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-219710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980" w:right="1760" w:hanging="3972"/>
        <w:spacing w:after="0" w:line="410" w:lineRule="auto"/>
        <w:tabs>
          <w:tab w:leader="none" w:pos="473"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5" w:lineRule="exact"/>
        <w:rPr>
          <w:sz w:val="24"/>
          <w:szCs w:val="24"/>
          <w:color w:val="auto"/>
        </w:rPr>
      </w:pPr>
    </w:p>
    <w:p>
      <w:pPr>
        <w:sectPr>
          <w:pgSz w:w="11900" w:h="16838" w:orient="portrait"/>
          <w:cols w:equalWidth="0" w:num="2">
            <w:col w:w="7100" w:space="720"/>
            <w:col w:w="3560"/>
          </w:cols>
          <w:pgMar w:left="240" w:top="233" w:right="27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340" w:space="720"/>
            <w:col w:w="4320"/>
          </w:cols>
          <w:pgMar w:left="240" w:top="233" w:right="279" w:bottom="1440" w:gutter="0" w:footer="0" w:header="0"/>
          <w:type w:val="continuous"/>
        </w:sectPr>
      </w:pPr>
    </w:p>
    <w:p>
      <w:pPr>
        <w:spacing w:after="0" w:line="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6"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firstLine="324"/>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02" w:lineRule="exact"/>
        <w:rPr>
          <w:sz w:val="24"/>
          <w:szCs w:val="24"/>
          <w:color w:val="auto"/>
        </w:rPr>
      </w:pPr>
    </w:p>
    <w:p>
      <w:pPr>
        <w:ind w:right="120" w:firstLine="369"/>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0"/>
          <w:szCs w:val="20"/>
          <w:color w:val="auto"/>
        </w:rPr>
        <w:t>☒</w:t>
      </w:r>
      <w:r>
        <w:rPr>
          <w:rFonts w:ascii="Arial" w:cs="Arial" w:eastAsia="Arial" w:hAnsi="Arial"/>
          <w:sz w:val="17"/>
          <w:szCs w:val="17"/>
          <w:color w:val="auto"/>
        </w:rPr>
        <w:t xml:space="preserve"> Yes </w:t>
      </w:r>
      <w:r>
        <w:rPr>
          <w:rFonts w:ascii="MS PGothic" w:cs="MS PGothic" w:eastAsia="MS PGothic" w:hAnsi="MS PGothic"/>
          <w:sz w:val="20"/>
          <w:szCs w:val="20"/>
          <w:color w:val="auto"/>
        </w:rPr>
        <w:t>☐</w:t>
      </w:r>
      <w:r>
        <w:rPr>
          <w:rFonts w:ascii="Arial" w:cs="Arial" w:eastAsia="Arial" w:hAnsi="Arial"/>
          <w:sz w:val="17"/>
          <w:szCs w:val="17"/>
          <w:color w:val="auto"/>
        </w:rPr>
        <w:t xml:space="preserve"> No</w:t>
      </w:r>
    </w:p>
    <w:p>
      <w:pPr>
        <w:spacing w:after="0" w:line="74"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4" w:lineRule="exact"/>
        <w:rPr>
          <w:sz w:val="24"/>
          <w:szCs w:val="24"/>
          <w:color w:val="auto"/>
        </w:rPr>
      </w:pPr>
    </w:p>
    <w:tbl>
      <w:tblPr>
        <w:tblLayout w:type="fixed"/>
        <w:tblInd w:w="1900" w:type="dxa"/>
        <w:tblCellMar>
          <w:top w:w="0" w:type="dxa"/>
          <w:left w:w="0" w:type="dxa"/>
          <w:bottom w:w="0" w:type="dxa"/>
          <w:right w:w="0" w:type="dxa"/>
        </w:tblCellMar>
      </w:tblPr>
      <w:tr>
        <w:trPr>
          <w:trHeight w:val="311"/>
        </w:trPr>
        <w:tc>
          <w:tcPr>
            <w:tcW w:w="372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21"/>
                <w:szCs w:val="21"/>
                <w:color w:val="auto"/>
                <w:w w:val="90"/>
              </w:rPr>
              <w:t>☒</w:t>
            </w:r>
          </w:p>
        </w:tc>
        <w:tc>
          <w:tcPr>
            <w:tcW w:w="408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21"/>
                <w:szCs w:val="21"/>
                <w:color w:val="auto"/>
              </w:rPr>
              <w:t>☐</w:t>
            </w:r>
          </w:p>
        </w:tc>
      </w:tr>
      <w:tr>
        <w:trPr>
          <w:trHeight w:val="311"/>
        </w:trPr>
        <w:tc>
          <w:tcPr>
            <w:tcW w:w="372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95"/>
              </w:rPr>
              <w:t xml:space="preserve">Non-accelerated filer </w:t>
            </w:r>
            <w:r>
              <w:rPr>
                <w:rFonts w:ascii="MS PGothic" w:cs="MS PGothic" w:eastAsia="MS PGothic" w:hAnsi="MS PGothic"/>
                <w:sz w:val="21"/>
                <w:szCs w:val="21"/>
                <w:color w:val="auto"/>
                <w:w w:val="95"/>
              </w:rPr>
              <w:t>☐</w:t>
            </w:r>
          </w:p>
        </w:tc>
        <w:tc>
          <w:tcPr>
            <w:tcW w:w="408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1"/>
                <w:szCs w:val="21"/>
                <w:color w:val="auto"/>
              </w:rPr>
              <w:t>☐</w:t>
            </w:r>
          </w:p>
        </w:tc>
      </w:tr>
      <w:tr>
        <w:trPr>
          <w:trHeight w:val="339"/>
        </w:trPr>
        <w:tc>
          <w:tcPr>
            <w:tcW w:w="3720" w:type="dxa"/>
            <w:vAlign w:val="bottom"/>
          </w:tcPr>
          <w:p>
            <w:pPr>
              <w:spacing w:after="0"/>
              <w:rPr>
                <w:sz w:val="24"/>
                <w:szCs w:val="24"/>
                <w:color w:val="auto"/>
              </w:rPr>
            </w:pPr>
          </w:p>
        </w:tc>
        <w:tc>
          <w:tcPr>
            <w:tcW w:w="408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tc>
      </w:tr>
    </w:tbl>
    <w:p>
      <w:pPr>
        <w:spacing w:after="0" w:line="114" w:lineRule="exact"/>
        <w:rPr>
          <w:sz w:val="24"/>
          <w:szCs w:val="24"/>
          <w:color w:val="auto"/>
        </w:rPr>
      </w:pPr>
    </w:p>
    <w:p>
      <w:pPr>
        <w:ind w:right="300" w:firstLine="351"/>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left="340" w:right="174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31, 2019, there were 166,989,575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9"/>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6260" w:type="dxa"/>
            <w:vAlign w:val="bottom"/>
            <w:tcBorders>
              <w:top w:val="single" w:sz="8" w:color="0000EE"/>
            </w:tcBorders>
            <w:gridSpan w:val="2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December 31, 2018</w:t>
              </w:r>
            </w:hyperlink>
          </w:p>
        </w:tc>
        <w:tc>
          <w:tcPr>
            <w:tcW w:w="39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04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2019 and 2018</w:t>
              </w:r>
            </w:hyperlink>
          </w:p>
        </w:tc>
        <w:tc>
          <w:tcPr>
            <w:tcW w:w="218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96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2019 and 2018</w:t>
              </w:r>
            </w:hyperlink>
          </w:p>
        </w:tc>
        <w:tc>
          <w:tcPr>
            <w:tcW w:w="126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96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six months ended June 30,</w:t>
              </w:r>
            </w:hyperlink>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3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and 2018</w:t>
              </w:r>
            </w:hyperlink>
          </w:p>
        </w:tc>
        <w:tc>
          <w:tcPr>
            <w:tcW w:w="102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8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2019 and 2018</w:t>
              </w:r>
            </w:hyperlink>
          </w:p>
        </w:tc>
        <w:tc>
          <w:tcPr>
            <w:tcW w:w="284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Changes in Partners’ Capital: For the three and six months ended June 30, 2019 and 2018</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5000" w:type="dxa"/>
            <w:vAlign w:val="bottom"/>
            <w:tcBorders>
              <w:top w:val="single" w:sz="8" w:color="0000EE"/>
            </w:tcBorders>
            <w:gridSpan w:val="10"/>
          </w:tcPr>
          <w:p>
            <w:pPr>
              <w:spacing w:after="0"/>
              <w:rPr>
                <w:sz w:val="21"/>
                <w:szCs w:val="21"/>
                <w:color w:val="auto"/>
              </w:rPr>
            </w:pPr>
          </w:p>
        </w:tc>
        <w:tc>
          <w:tcPr>
            <w:tcW w:w="9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420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3240" w:type="dxa"/>
            <w:vAlign w:val="bottom"/>
            <w:gridSpan w:val="18"/>
          </w:tcPr>
          <w:p>
            <w:pPr>
              <w:ind w:left="20"/>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Summary of Significant Accounting Policies</w:t>
              </w:r>
            </w:hyperlink>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3.</w:t>
              </w:r>
            </w:hyperlink>
          </w:p>
        </w:tc>
        <w:tc>
          <w:tcPr>
            <w:tcW w:w="3240" w:type="dxa"/>
            <w:vAlign w:val="bottom"/>
            <w:gridSpan w:val="18"/>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Revenues and Accounts Receivable</w:t>
              </w:r>
            </w:hyperlink>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4.</w:t>
              </w:r>
            </w:hyperlink>
          </w:p>
        </w:tc>
        <w:tc>
          <w:tcPr>
            <w:tcW w:w="2220" w:type="dxa"/>
            <w:vAlign w:val="bottom"/>
            <w:gridSpan w:val="11"/>
          </w:tcPr>
          <w:p>
            <w:pPr>
              <w:ind w:left="20"/>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Net Income Per Class A Share</w:t>
              </w:r>
            </w:hyperlink>
          </w:p>
        </w:tc>
        <w:tc>
          <w:tcPr>
            <w:tcW w:w="380" w:type="dxa"/>
            <w:vAlign w:val="bottom"/>
            <w:gridSpan w:val="4"/>
          </w:tcPr>
          <w:p>
            <w:pPr>
              <w:spacing w:after="0"/>
              <w:rPr>
                <w:sz w:val="21"/>
                <w:szCs w:val="21"/>
                <w:color w:val="auto"/>
              </w:rPr>
            </w:pPr>
          </w:p>
        </w:tc>
        <w:tc>
          <w:tcPr>
            <w:tcW w:w="72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5.</w:t>
              </w:r>
            </w:hyperlink>
          </w:p>
        </w:tc>
        <w:tc>
          <w:tcPr>
            <w:tcW w:w="4240" w:type="dxa"/>
            <w:vAlign w:val="bottom"/>
            <w:gridSpan w:val="22"/>
          </w:tcPr>
          <w:p>
            <w:pPr>
              <w:ind w:left="20"/>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6.</w:t>
              </w:r>
            </w:hyperlink>
          </w:p>
        </w:tc>
        <w:tc>
          <w:tcPr>
            <w:tcW w:w="4240" w:type="dxa"/>
            <w:vAlign w:val="bottom"/>
            <w:gridSpan w:val="22"/>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Goodwill</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7.</w:t>
              </w:r>
            </w:hyperlink>
          </w:p>
        </w:tc>
        <w:tc>
          <w:tcPr>
            <w:tcW w:w="2860" w:type="dxa"/>
            <w:vAlign w:val="bottom"/>
            <w:gridSpan w:val="17"/>
          </w:tcPr>
          <w:p>
            <w:pPr>
              <w:ind w:left="20"/>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Investments in Unconsolidated Entities</w:t>
              </w:r>
            </w:hyperlink>
          </w:p>
        </w:tc>
        <w:tc>
          <w:tcPr>
            <w:tcW w:w="700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Debt</w:t>
              </w:r>
            </w:hyperlink>
          </w:p>
        </w:tc>
        <w:tc>
          <w:tcPr>
            <w:tcW w:w="2480" w:type="dxa"/>
            <w:vAlign w:val="bottom"/>
            <w:gridSpan w:val="16"/>
          </w:tcPr>
          <w:p>
            <w:pPr>
              <w:spacing w:after="0"/>
              <w:rPr>
                <w:sz w:val="21"/>
                <w:szCs w:val="21"/>
                <w:color w:val="auto"/>
              </w:rPr>
            </w:pPr>
          </w:p>
        </w:tc>
        <w:tc>
          <w:tcPr>
            <w:tcW w:w="700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Partners’ Capital and Distributions</w:t>
              </w:r>
            </w:hyperlink>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10. Derivatives and Risk Management Activities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spacing w:after="0"/>
              <w:rPr>
                <w:rFonts w:ascii="Arial" w:cs="Arial" w:eastAsia="Arial" w:hAnsi="Arial"/>
                <w:sz w:val="18"/>
                <w:szCs w:val="18"/>
                <w:color w:val="0000EE"/>
                <w:w w:val="83"/>
              </w:rPr>
            </w:pPr>
            <w:hyperlink w:anchor="page31">
              <w:r>
                <w:rPr>
                  <w:rFonts w:ascii="Arial" w:cs="Arial" w:eastAsia="Arial" w:hAnsi="Arial"/>
                  <w:sz w:val="18"/>
                  <w:szCs w:val="18"/>
                  <w:color w:val="0000EE"/>
                  <w:w w:val="83"/>
                </w:rPr>
                <w:t>11. Leases</w:t>
              </w:r>
            </w:hyperlink>
          </w:p>
        </w:tc>
        <w:tc>
          <w:tcPr>
            <w:tcW w:w="2740" w:type="dxa"/>
            <w:vAlign w:val="bottom"/>
            <w:gridSpan w:val="17"/>
          </w:tcPr>
          <w:p>
            <w:pPr>
              <w:spacing w:after="0"/>
              <w:rPr>
                <w:sz w:val="21"/>
                <w:szCs w:val="21"/>
                <w:color w:val="auto"/>
              </w:rPr>
            </w:pPr>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3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12. Related Party Transactions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13. Commitments and Contingencies</w:t>
              </w:r>
            </w:hyperlink>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14. Operating Segments</w:t>
              </w:r>
            </w:hyperlink>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6"/>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15. Income Taxes</w:t>
              </w:r>
            </w:hyperlink>
          </w:p>
        </w:tc>
        <w:tc>
          <w:tcPr>
            <w:tcW w:w="460" w:type="dxa"/>
            <w:vAlign w:val="bottom"/>
            <w:gridSpan w:val="2"/>
          </w:tcPr>
          <w:p>
            <w:pPr>
              <w:spacing w:after="0"/>
              <w:rPr>
                <w:sz w:val="21"/>
                <w:szCs w:val="21"/>
                <w:color w:val="auto"/>
              </w:rPr>
            </w:pPr>
          </w:p>
        </w:tc>
        <w:tc>
          <w:tcPr>
            <w:tcW w:w="8280" w:type="dxa"/>
            <w:vAlign w:val="bottom"/>
            <w:gridSpan w:val="2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34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9"/>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19"/>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Item 4. CONTROLS AND PROCEDURES</w:t>
              </w:r>
            </w:hyperlink>
          </w:p>
        </w:tc>
        <w:tc>
          <w:tcPr>
            <w:tcW w:w="3540" w:type="dxa"/>
            <w:vAlign w:val="bottom"/>
            <w:gridSpan w:val="10"/>
          </w:tcPr>
          <w:p>
            <w:pPr>
              <w:spacing w:after="0"/>
              <w:rPr>
                <w:sz w:val="21"/>
                <w:szCs w:val="21"/>
                <w:color w:val="auto"/>
              </w:rPr>
            </w:pPr>
          </w:p>
        </w:tc>
        <w:tc>
          <w:tcPr>
            <w:tcW w:w="36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20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1A. RISK FACTORS</w:t>
              </w:r>
            </w:hyperlink>
          </w:p>
        </w:tc>
        <w:tc>
          <w:tcPr>
            <w:tcW w:w="7940" w:type="dxa"/>
            <w:vAlign w:val="bottom"/>
            <w:gridSpan w:val="2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3. DEFAULTS UPON SENIOR SECURITIES</w:t>
              </w:r>
            </w:hyperlink>
          </w:p>
        </w:tc>
        <w:tc>
          <w:tcPr>
            <w:tcW w:w="2880" w:type="dxa"/>
            <w:vAlign w:val="bottom"/>
            <w:gridSpan w:val="7"/>
          </w:tcPr>
          <w:p>
            <w:pPr>
              <w:spacing w:after="0"/>
              <w:rPr>
                <w:sz w:val="21"/>
                <w:szCs w:val="21"/>
                <w:color w:val="auto"/>
              </w:rPr>
            </w:pPr>
          </w:p>
        </w:tc>
        <w:tc>
          <w:tcPr>
            <w:tcW w:w="374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Item 4. MINE SAFETY DISCLOSURES</w:t>
              </w:r>
            </w:hyperlink>
          </w:p>
        </w:tc>
        <w:tc>
          <w:tcPr>
            <w:tcW w:w="740" w:type="dxa"/>
            <w:vAlign w:val="bottom"/>
            <w:gridSpan w:val="5"/>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2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20" w:type="dxa"/>
            <w:vAlign w:val="bottom"/>
            <w:gridSpan w:val="2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6. EXHIBITS</w:t>
              </w:r>
            </w:hyperlink>
          </w:p>
        </w:tc>
        <w:tc>
          <w:tcPr>
            <w:tcW w:w="7920" w:type="dxa"/>
            <w:vAlign w:val="bottom"/>
            <w:gridSpan w:val="2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0" w:type="dxa"/>
            <w:vAlign w:val="bottom"/>
            <w:gridSpan w:val="2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20" w:type="dxa"/>
            <w:vAlign w:val="bottom"/>
            <w:gridSpan w:val="5"/>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SIGNATURES</w:t>
              </w:r>
            </w:hyperlink>
          </w:p>
        </w:tc>
        <w:tc>
          <w:tcPr>
            <w:tcW w:w="240" w:type="dxa"/>
            <w:vAlign w:val="bottom"/>
            <w:gridSpan w:val="2"/>
          </w:tcPr>
          <w:p>
            <w:pPr>
              <w:spacing w:after="0"/>
              <w:rPr>
                <w:sz w:val="21"/>
                <w:szCs w:val="21"/>
                <w:color w:val="auto"/>
              </w:rPr>
            </w:pPr>
          </w:p>
        </w:tc>
        <w:tc>
          <w:tcPr>
            <w:tcW w:w="9000" w:type="dxa"/>
            <w:vAlign w:val="bottom"/>
            <w:gridSpan w:val="2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5240" w:type="dxa"/>
            <w:vAlign w:val="bottom"/>
            <w:gridSpan w:val="21"/>
          </w:tcPr>
          <w:p>
            <w:pPr>
              <w:jc w:val="right"/>
              <w:ind w:right="6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37"/>
        </w:trPr>
        <w:tc>
          <w:tcPr>
            <w:tcW w:w="8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20"/>
                <w:szCs w:val="20"/>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0"/>
        </w:trPr>
        <w:tc>
          <w:tcPr>
            <w:tcW w:w="8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2,835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2,454</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640</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373</w:t>
            </w:r>
          </w:p>
        </w:tc>
      </w:tr>
      <w:tr>
        <w:trPr>
          <w:trHeight w:val="31"/>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3,536</w:t>
            </w:r>
          </w:p>
        </w:tc>
      </w:tr>
      <w:tr>
        <w:trPr>
          <w:trHeight w:val="223"/>
        </w:trPr>
        <w:tc>
          <w:tcPr>
            <w:tcW w:w="8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17,905</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(3,103)</w:t>
            </w:r>
          </w:p>
        </w:tc>
      </w:tr>
      <w:tr>
        <w:trPr>
          <w:trHeight w:val="31"/>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14,802</w:t>
            </w:r>
          </w:p>
        </w:tc>
      </w:tr>
      <w:tr>
        <w:trPr>
          <w:trHeight w:val="223"/>
        </w:trPr>
        <w:tc>
          <w:tcPr>
            <w:tcW w:w="8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2,537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2,521</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2,702</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1,256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1,304</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913</w:t>
            </w:r>
          </w:p>
        </w:tc>
      </w:tr>
      <w:tr>
        <w:trPr>
          <w:trHeight w:val="31"/>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0"/>
        </w:trPr>
        <w:tc>
          <w:tcPr>
            <w:tcW w:w="8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3,049</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2,705</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687</w:t>
            </w:r>
          </w:p>
        </w:tc>
      </w:tr>
      <w:tr>
        <w:trPr>
          <w:trHeight w:val="31"/>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3,458</w:t>
            </w:r>
          </w:p>
        </w:tc>
      </w:tr>
      <w:tr>
        <w:trPr>
          <w:trHeight w:val="223"/>
        </w:trPr>
        <w:tc>
          <w:tcPr>
            <w:tcW w:w="8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8,945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8,941</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910</w:t>
            </w:r>
          </w:p>
        </w:tc>
      </w:tr>
      <w:tr>
        <w:trPr>
          <w:trHeight w:val="219"/>
        </w:trPr>
        <w:tc>
          <w:tcPr>
            <w:tcW w:w="8320" w:type="dxa"/>
            <w:vAlign w:val="bottom"/>
          </w:tcPr>
          <w:p>
            <w:pPr>
              <w:ind w:left="160"/>
              <w:spacing w:after="0"/>
              <w:rPr>
                <w:sz w:val="20"/>
                <w:szCs w:val="20"/>
                <w:color w:val="auto"/>
              </w:rPr>
            </w:pPr>
            <w:r>
              <w:rPr>
                <w:rFonts w:ascii="Arial" w:cs="Arial" w:eastAsia="Arial" w:hAnsi="Arial"/>
                <w:sz w:val="17"/>
                <w:szCs w:val="17"/>
                <w:color w:val="auto"/>
              </w:rPr>
              <w:t>Total long-term liabilities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10,390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10,053</w:t>
            </w:r>
          </w:p>
        </w:tc>
      </w:tr>
      <w:tr>
        <w:trPr>
          <w:trHeight w:val="31"/>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13)</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8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 A shareholders (166,817,333 and 159,485,588 shares outstanding,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12,306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11,473</w:t>
            </w:r>
          </w:p>
        </w:tc>
      </w:tr>
      <w:tr>
        <w:trPr>
          <w:trHeight w:val="31"/>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partners’ capital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13,319</w:t>
            </w:r>
          </w:p>
        </w:tc>
      </w:tr>
      <w:tr>
        <w:trPr>
          <w:trHeight w:val="219"/>
        </w:trPr>
        <w:tc>
          <w:tcPr>
            <w:tcW w:w="8320" w:type="dxa"/>
            <w:vAlign w:val="bottom"/>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3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29,033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26,830</w:t>
            </w:r>
          </w:p>
        </w:tc>
      </w:tr>
      <w:tr>
        <w:trPr>
          <w:trHeight w:val="31"/>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449"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44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7,914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15,892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16,478</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15,070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16,012</w:t>
            </w:r>
          </w:p>
        </w:tc>
      </w:tr>
      <w:tr>
        <w:trPr>
          <w:trHeight w:val="32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 (Note 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Interest expense (net of capitalized interest of $11, $7, $22 and $13,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91"/>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91"/>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3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60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21"/>
                <w:szCs w:val="21"/>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780" w:type="dxa"/>
            <w:vAlign w:val="bottom"/>
          </w:tcPr>
          <w:p>
            <w:pPr>
              <w:spacing w:after="0"/>
              <w:rPr>
                <w:sz w:val="21"/>
                <w:szCs w:val="21"/>
                <w:color w:val="auto"/>
              </w:rPr>
            </w:pPr>
          </w:p>
        </w:tc>
        <w:tc>
          <w:tcPr>
            <w:tcW w:w="46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6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(399)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6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 attributable to PAGP</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10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Translation</w:t>
            </w:r>
          </w:p>
        </w:tc>
        <w:tc>
          <w:tcPr>
            <w:tcW w:w="10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1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2018</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1,340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369</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 (Note 7)</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1,468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1,013</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169"/>
        </w:trPr>
        <w:tc>
          <w:tcPr>
            <w:tcW w:w="8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borrowings under PAA commercial paper program (Note 8)</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135</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PAA senior unsecured revolving credit facility (Note 8)</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borrowings/(repayments) under PAA senior secured hedged inventory facility (Note 8)</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noncontrolling interest in a subsidiary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169"/>
        </w:trPr>
        <w:tc>
          <w:tcPr>
            <w:tcW w:w="8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76"/>
        </w:trPr>
        <w:tc>
          <w:tcPr>
            <w:tcW w:w="8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8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7"/>
        </w:trPr>
        <w:tc>
          <w:tcPr>
            <w:tcW w:w="8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8"/>
              </w:rPr>
              <w:t>Change in ownership interest in connection with Exchange Right exercises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noncontrolling interest in a subsidiary (Note 9)</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8"/>
              </w:rPr>
              <w:t>Change in ownership interest in connection with Exchange Right exercises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noncontrolling interest in a subsidiary (Note 9)</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Impact of adoption of ASU 2017-05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June 30, 2019,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June 30, 2019, PAGP owned (i) a 100% managing member interest in Plains All American GP LLC (“GP LLC”), an entity that has also elected to be taxed as a corporation for United States federal income tax purposes and (ii) an approximate 63% limited partner interest in Plains AAP, L.P. (“AAP”) through our direct ownership of approximately 165.8 million Class A units of AAP (“AAP units”) and indirect ownership of approximately 1.0 million AAP units through GP LLC. GP LLC is a Delaware limited liability company that also holds the non-economic general partner interest in AAP. AAP is a Delaware limited partnership that, as of June 30, 2019, directly owned a limited partner interest in PAA through its ownership of approximately 268.5 million PAA common units (approximately 34% of PAA’s total outstanding common units and Series A preferred units combined). AAP is the sole member of PAA GP LLC (“PAA GP”), a Delaware limited liability company that directly holds the non-economic general partner interest in PAA.</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125"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accompanying unaudited condensed consolidated interim financial statements and related notes thereto should be read in conjunction with our 2018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Effective for the fourth quarter of 2018, we present “(Gains)/losses on asset sales and asset impairments, net” as a separate line item on our Condensed Consolidated Statements of Operations. To conform to the current year presentation, amounts related to gains and losses on asset sales and asset impairments previously presented in “Depreciation and amortization” are now presented in “(Gains)/losses on asset sales and asset impairments, net” on our Condensed Consolidated Statements of Operations. This change was applied retrospectively and does not affect Operating income, Net income or Net income attributable to PAGP.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condensed consolidated balance sheet data as of December 31, 2018 was derived from audited financial statements, but does not include all disclosures required by GAAP. The results of operations for the three and six months ended June 30, 2019 should not be taken as indicative of results to be expected for the entire year.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the exception of a deferred tax asset of $1.256 billion and $1.304 billion as of June 30, 2019 and December 31, 2018, respectively, substantially all assets and liabilities presented on PAGP’s Condensed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2019 or the year ended December 31, 2018. See Note 16 to our Consolidated Financial Statements included in Part IV of our 2018 Annual Report on Form 10-K for information regarding the Omnibus Agreement entered into in connection with the Simplification Transactions.</w:t>
      </w:r>
    </w:p>
    <w:p>
      <w:pPr>
        <w:spacing w:after="0" w:line="19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as of the end of the period (in millions):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9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42</w:t>
            </w:r>
          </w:p>
        </w:tc>
      </w:tr>
      <w:tr>
        <w:trPr>
          <w:trHeight w:val="27"/>
        </w:trPr>
        <w:tc>
          <w:tcPr>
            <w:tcW w:w="9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470</w:t>
            </w:r>
          </w:p>
        </w:tc>
      </w:tr>
      <w:tr>
        <w:trPr>
          <w:trHeight w:val="20"/>
        </w:trPr>
        <w:tc>
          <w:tcPr>
            <w:tcW w:w="9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2018 Annual Report on Form 10-K, there have been no new accounting pronouncements that have become effective or have been issued during the six months ended June 30, 2019 that are of significance or potential significance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historical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of assets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11 for information about our leases.</w:t>
      </w:r>
    </w:p>
    <w:p>
      <w:pPr>
        <w:spacing w:after="0" w:line="18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adopted the ASUs listed below effective January 1, 2019 and our adoption did not have a material impact to our financial position, results of operations or cash flows (see Note 2 to our Consolidated Financial Statements included in Part IV of our 2018 Annual Report on Form 10-K for additional information regarding these ASUs):</w:t>
      </w:r>
    </w:p>
    <w:p>
      <w:pPr>
        <w:spacing w:after="0" w:line="181" w:lineRule="exact"/>
        <w:rPr>
          <w:sz w:val="20"/>
          <w:szCs w:val="20"/>
          <w:color w:val="auto"/>
        </w:rPr>
      </w:pPr>
    </w:p>
    <w:p>
      <w:pPr>
        <w:ind w:left="820" w:right="280" w:hanging="164"/>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2018-16, Derivatives and Hedging (Topic 815): Inclusion of the Secured Overnight Financing Rate (SOFR) Overnight Index Swap (OIS) Rate as a Benchmark Interest Rate for Hedge Accounting Purposes;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2018-09, Codification Improvements;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ASU 2018-07, Compensation—Stock Compensation (Topic 718): Improvements to Nonemployee Share-Based Payment Accounting; and</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2017-12, Derivatives and Hedging (Topic 815): Targeted Improvements to Accounting for Hedging Activities.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In May 2019, the FASB issued 2019-05, </w:t>
      </w:r>
      <w:r>
        <w:rPr>
          <w:rFonts w:ascii="Arial" w:cs="Arial" w:eastAsia="Arial" w:hAnsi="Arial"/>
          <w:sz w:val="17"/>
          <w:szCs w:val="17"/>
          <w:i w:val="1"/>
          <w:iCs w:val="1"/>
          <w:color w:val="auto"/>
        </w:rPr>
        <w:t>Financial Instruments—Credit Losses (Topic 326): Targeted Transition Relief</w:t>
      </w:r>
      <w:r>
        <w:rPr>
          <w:rFonts w:ascii="Arial" w:cs="Arial" w:eastAsia="Arial" w:hAnsi="Arial"/>
          <w:sz w:val="17"/>
          <w:szCs w:val="17"/>
          <w:color w:val="auto"/>
        </w:rPr>
        <w:t>, which provides transition relief and allows entities to elect the fair value option on certain financial instruments. We expect to adopt this guidance on January 1, 2020, and we are currently evaluating the effect that our adoption will have on our financial position, results of operations and cash flows.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April 2019, the FASB issued 2019-04, </w:t>
      </w:r>
      <w:r>
        <w:rPr>
          <w:rFonts w:ascii="Arial" w:cs="Arial" w:eastAsia="Arial" w:hAnsi="Arial"/>
          <w:sz w:val="18"/>
          <w:szCs w:val="18"/>
          <w:i w:val="1"/>
          <w:iCs w:val="1"/>
          <w:color w:val="auto"/>
        </w:rPr>
        <w:t>Codification Improvements to Topic 326, Financial Instruments—Credit Losses, Topic 815,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and Topic 825, Financial Instruments</w:t>
      </w:r>
      <w:r>
        <w:rPr>
          <w:rFonts w:ascii="Arial" w:cs="Arial" w:eastAsia="Arial" w:hAnsi="Arial"/>
          <w:sz w:val="18"/>
          <w:szCs w:val="18"/>
          <w:color w:val="auto"/>
        </w:rPr>
        <w:t>, which clarifies certain aspects of accounting for credit losses, hedging activities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adopt this guidance on January 1, 2020, and we are currently evaluating the effect that our adoption will have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2018 Annual Report on Form 10-K for additional information regarding our types of revenues and policies for revenue recognition.</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tables present our Supply and Logistics segment, Transportation segment and Facilities segment revenues 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55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55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Supply and Logistics segment revenues from contracts with customers</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7,595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7,649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14,532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8"/>
                <w:szCs w:val="18"/>
                <w:color w:val="auto"/>
                <w:w w:val="90"/>
              </w:rPr>
              <w:t>Total Supply and Logistics segment revenues from contracts with customers</w:t>
            </w:r>
          </w:p>
        </w:tc>
        <w:tc>
          <w:tcPr>
            <w:tcW w:w="48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7,864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15,710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55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51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Transportation segment revenues from contracts with customers</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Trucking</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Transportation segment revenues from contracts with customers</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w w:val="99"/>
              </w:rPr>
              <w:t>13</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Crude oil, NGL and other terminalling and storage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177</w:t>
            </w:r>
          </w:p>
        </w:tc>
        <w:tc>
          <w:tcPr>
            <w:tcW w:w="100" w:type="dxa"/>
            <w:vAlign w:val="bottom"/>
          </w:tcPr>
          <w:p>
            <w:pPr>
              <w:spacing w:after="0"/>
              <w:rPr>
                <w:sz w:val="21"/>
                <w:szCs w:val="21"/>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337</w:t>
            </w:r>
          </w:p>
        </w:tc>
      </w:tr>
      <w:tr>
        <w:trPr>
          <w:trHeight w:val="27"/>
        </w:trPr>
        <w:tc>
          <w:tcPr>
            <w:tcW w:w="6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natural gas processing and fractionation</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w:t>
            </w: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Rail load / unload</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32</w:t>
            </w:r>
          </w:p>
        </w:tc>
      </w:tr>
      <w:tr>
        <w:trPr>
          <w:trHeight w:val="27"/>
        </w:trPr>
        <w:tc>
          <w:tcPr>
            <w:tcW w:w="6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560</w:t>
            </w:r>
          </w:p>
        </w:tc>
      </w:tr>
      <w:tr>
        <w:trPr>
          <w:trHeight w:val="20"/>
        </w:trPr>
        <w:tc>
          <w:tcPr>
            <w:tcW w:w="6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 presents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7,915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15,938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15,893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June 30, 2019 and December 31, 2018, counterparty deficiencies associated with contracts with customers and buy/sell arrangements that include minimum volume commitments totaled $54 million and $62 million, respectively, of which $35 million and $40 million, respectively, was recorded as a contract liability. The remaining balance of $19 million and $22 million at June 30, 2019 and December 31, 2018,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six months ended June 30, 2019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0"/>
        </w:trPr>
        <w:tc>
          <w:tcPr>
            <w:tcW w:w="934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3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43"/>
        </w:trPr>
        <w:tc>
          <w:tcPr>
            <w:tcW w:w="934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right="60" w:hanging="652"/>
        <w:spacing w:after="0" w:line="232"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approximately $130 million associated with crude oil sales agreements that were entered into in conjunction with storage arrangements and future inventory exchanges. Such amount is expected to be recognized as revenue in the third quarter of 2019. The inventory that has been sold under these agreements is reflected in “Other current assets” on our Condensed Consolidated Balance Sheet until all of our performance obligations are complete.</w:t>
      </w:r>
    </w:p>
    <w:p>
      <w:pPr>
        <w:spacing w:after="0" w:line="20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June 30, 2019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Storage, terminalling and throughput agreement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5620" w:right="4760" w:hanging="4964"/>
        <w:spacing w:after="0" w:line="684"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 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80" w:hanging="164"/>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other Supply and Logistics contracts, due to the election of practical expedients related to variable consideration and short-term contracts;</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7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June 30, 2019 and December 31, 2018, substantially all of our trade accounts receivable (net of allowance for doubtful accounts) were less than 30 days past their scheduled invoice date. Our allowance for doubtful accounts receivable totaled $3 million at both June 30, 2019 and December 31, 2018. Although we consider our allowance for doubtful accounts receivable to be adequate, actual amounts could vary significantly from estimated amounts.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0"/>
        </w:trPr>
        <w:tc>
          <w:tcPr>
            <w:tcW w:w="8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57"/>
        </w:trPr>
        <w:tc>
          <w:tcPr>
            <w:tcW w:w="830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2018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2018 Annual Report on Form 10-K for information regarding PAGP LTIP awards.</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the three and six months ended June 30, 2019 and 2018, the possible exchange of any AAP units would have had an antidilutive effect on basic net income per Class A share. For the three months ended June 30, 2019, the possible exchange of AAP Management Units would have had a dilutive effect on basic net income per Class A share and for the six months ended June 30, 2019 and the three and six months ended June 30, 2018, the possible exchange of AAP Management units would not have had a dilutive effect on basic net income per Class A share. For the three and six months ended June 30, 2019 and 2018, our PAGP LTIP awards were dilutive; however, there were less than 0.1 million dilutive LTIP awards for each period, which did not change the presentation of weighted average Class A shares outstanding or net income per Class A share.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0.41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Incremental net income attributable to PAGP resulting from assumed exchange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AAP Management Units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 including incremental net income from</w:t>
            </w:r>
          </w:p>
        </w:tc>
        <w:tc>
          <w:tcPr>
            <w:tcW w:w="820" w:type="dxa"/>
            <w:vAlign w:val="bottom"/>
            <w:tcBorders>
              <w:top w:val="single" w:sz="8" w:color="auto"/>
            </w:tcBorders>
            <w:vMerge w:val="restart"/>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80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assumed exchange of AAP Management Units</w:t>
            </w:r>
          </w:p>
        </w:tc>
        <w:tc>
          <w:tcPr>
            <w:tcW w:w="8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Dilutive shares resulting from assumed exchange of AAP Management Units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0.40</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8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8,177</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427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52.22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13,325</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57.49</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2,448</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51.47</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w:t>
            </w: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2,537</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utilized a quantitative assessment in our goodwill impairment test as of June 30, 2019 and determined that there was no impairment of goodwill.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vMerge w:val="restart"/>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 at June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June 30, 2019</w:t>
            </w:r>
          </w:p>
        </w:tc>
        <w:tc>
          <w:tcPr>
            <w:tcW w:w="100" w:type="dxa"/>
            <w:vAlign w:val="bottom"/>
            <w:vMerge w:val="restart"/>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30, 2019</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Advantage Pipeline Holdings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262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89"/>
              </w:rPr>
              <w:t xml:space="preserve">Crude Oil Pipeline </w:t>
            </w:r>
            <w:r>
              <w:rPr>
                <w:rFonts w:ascii="Arial" w:cs="Arial" w:eastAsia="Arial" w:hAnsi="Arial"/>
                <w:sz w:val="25"/>
                <w:szCs w:val="25"/>
                <w:color w:val="auto"/>
                <w:w w:val="89"/>
                <w:vertAlign w:val="superscript"/>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Capline Pipeline Company LLC</w:t>
            </w:r>
          </w:p>
        </w:tc>
        <w:tc>
          <w:tcPr>
            <w:tcW w:w="2620" w:type="dxa"/>
            <w:vAlign w:val="bottom"/>
            <w:gridSpan w:val="2"/>
            <w:shd w:val="clear" w:color="auto" w:fill="CCEEFF"/>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Cheyenne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Terminals”)</w:t>
            </w:r>
          </w:p>
        </w:tc>
        <w:tc>
          <w:tcPr>
            <w:tcW w:w="2620" w:type="dxa"/>
            <w:vAlign w:val="bottom"/>
            <w:gridSpan w:val="2"/>
            <w:shd w:val="clear" w:color="auto" w:fill="CCEEFF"/>
          </w:tcPr>
          <w:p>
            <w:pPr>
              <w:jc w:val="center"/>
              <w:ind w:right="80"/>
              <w:spacing w:after="0" w:line="257"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Midway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 Oak Pipeline LLC (“Red Oak”)</w:t>
            </w:r>
          </w:p>
        </w:tc>
        <w:tc>
          <w:tcPr>
            <w:tcW w:w="2620" w:type="dxa"/>
            <w:vAlign w:val="bottom"/>
            <w:gridSpan w:val="2"/>
            <w:shd w:val="clear" w:color="auto" w:fill="CCEEFF"/>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2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Barge Transportation Services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STACK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Wink to Webster Pipeline LLC (“W2W Pipeline”)</w:t>
            </w:r>
          </w:p>
        </w:tc>
        <w:tc>
          <w:tcPr>
            <w:tcW w:w="2620" w:type="dxa"/>
            <w:vAlign w:val="bottom"/>
            <w:tcBorders>
              <w:bottom w:val="single" w:sz="8" w:color="CCEEFF"/>
            </w:tcBorders>
            <w:gridSpan w:val="2"/>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20%</w:t>
            </w:r>
          </w:p>
        </w:tc>
        <w:tc>
          <w:tcPr>
            <w:tcW w:w="340" w:type="dxa"/>
            <w:vAlign w:val="bottom"/>
            <w:tcBorders>
              <w:bottom w:val="single" w:sz="8" w:color="CCEEFF"/>
            </w:tcBorders>
          </w:tcPr>
          <w:p>
            <w:pPr>
              <w:jc w:val="right"/>
              <w:ind w:right="79"/>
              <w:spacing w:after="0"/>
              <w:rPr>
                <w:sz w:val="20"/>
                <w:szCs w:val="20"/>
                <w:color w:val="auto"/>
              </w:rPr>
            </w:pPr>
            <w:r>
              <w:rPr>
                <w:rFonts w:ascii="Arial" w:cs="Arial" w:eastAsia="Arial" w:hAnsi="Arial"/>
                <w:sz w:val="13"/>
                <w:szCs w:val="13"/>
                <w:color w:val="auto"/>
              </w:rPr>
              <w:t>(4)</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98" w:lineRule="exact"/>
        <w:rPr>
          <w:rFonts w:ascii="Arial" w:cs="Arial" w:eastAsia="Arial" w:hAnsi="Arial"/>
          <w:sz w:val="25"/>
          <w:szCs w:val="25"/>
          <w:color w:val="auto"/>
          <w:vertAlign w:val="superscript"/>
        </w:rPr>
      </w:pPr>
    </w:p>
    <w:p>
      <w:pPr>
        <w:ind w:left="660" w:right="180" w:hanging="652"/>
        <w:spacing w:after="0" w:line="214"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Capline pipeline was taken out of service in the fourth quarter of 2018. Subsequent to June 30, 2019, the owners of Capline Pipeline Company LLC sanctioned the reversal of the Capline pipeline system.</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Subsequent to June 30, 2019, our ownership interest in W2W Pipeline was reduced to 16%, as discussed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Capline LLC. </w:t>
      </w:r>
      <w:r>
        <w:rPr>
          <w:rFonts w:ascii="Arial" w:cs="Arial" w:eastAsia="Arial" w:hAnsi="Arial"/>
          <w:sz w:val="18"/>
          <w:szCs w:val="18"/>
          <w:color w:val="auto"/>
        </w:rPr>
        <w:t>During the first quarter of 2019, the owners of the Capline pipeline system, which originates in St. James, Louisiana and terminates in</w:t>
      </w:r>
      <w:r>
        <w:rPr>
          <w:rFonts w:ascii="Arial" w:cs="Arial" w:eastAsia="Arial" w:hAnsi="Arial"/>
          <w:sz w:val="18"/>
          <w:szCs w:val="18"/>
          <w:i w:val="1"/>
          <w:iCs w:val="1"/>
          <w:color w:val="auto"/>
        </w:rPr>
        <w:t xml:space="preserve"> </w:t>
      </w:r>
      <w:r>
        <w:rPr>
          <w:rFonts w:ascii="Arial" w:cs="Arial" w:eastAsia="Arial" w:hAnsi="Arial"/>
          <w:sz w:val="18"/>
          <w:szCs w:val="18"/>
          <w:color w:val="auto"/>
        </w:rPr>
        <w:t>Patoka, Illinois, contributed their undivided joint interests in the system for equity interests in a legal entity, Capline Pipeline Company LLC (“Capline LLC”).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$177 million, which primarily related to property and equipment included in our Transportation segment. We determined the fair value of our investment in Capline LLC to be approximately $444 million, resulting in the recognition of a gain of $267 million during the six months ended June 30, 2019. Such gain is included in “Gain on investment in unconsolidated entities” on our Condensed Consolidated Statement of Operations.</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fair value of our investment in Capline LLC was based on an income approach utilizing a discounted cash flow analysis. This approach requires us to make long-term forecasts of future revenues and expenditures. Those forecasts require the use of various assumptions and estimates which include those related to the timing and amount of capital expenditures, and the expected tariff rates and volumes of crude oil. These assumptions are based on a potential reversal of the Capline pipeline and the initiation of southbound service on the Capline pipeline from Patoka to St. James, and potential service on our Diamond joint venture pipeline and the Capline pipeline from Cushing, Oklahoma to St. James. We probability weighted various forecasted cash flow scenarios utilized in the analysis when we considered the possible outcomes. We used a discount rate representing our estimate of the risk adjusted discount rate that would be used by market participants. These projects are dependent upon shipper interest.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W2W Pipeline. </w:t>
      </w:r>
      <w:r>
        <w:rPr>
          <w:rFonts w:ascii="Arial" w:cs="Arial" w:eastAsia="Arial" w:hAnsi="Arial"/>
          <w:sz w:val="18"/>
          <w:szCs w:val="18"/>
          <w:color w:val="auto"/>
        </w:rPr>
        <w:t>In the first quarter of 2019, we announced the formation of W2W Pipeline, a joint venture with subsidiaries of ExxonMobil and</w:t>
      </w:r>
      <w:r>
        <w:rPr>
          <w:rFonts w:ascii="Arial" w:cs="Arial" w:eastAsia="Arial" w:hAnsi="Arial"/>
          <w:sz w:val="18"/>
          <w:szCs w:val="18"/>
          <w:i w:val="1"/>
          <w:iCs w:val="1"/>
          <w:color w:val="auto"/>
        </w:rPr>
        <w:t xml:space="preserve"> </w:t>
      </w:r>
      <w:r>
        <w:rPr>
          <w:rFonts w:ascii="Arial" w:cs="Arial" w:eastAsia="Arial" w:hAnsi="Arial"/>
          <w:sz w:val="18"/>
          <w:szCs w:val="18"/>
          <w:color w:val="auto"/>
        </w:rPr>
        <w:t>Lotus Midstream, LLC. Subsequent to June 30, 2019, three additional entities joined as partners in W2W Pipeline. As a result, our ownership interest in W2W Pipeline decreased from 20% to 16%. We account for our interest in W2W Pipeline under the equity method of accounting. W2W Pipeline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Red Oak. </w:t>
      </w:r>
      <w:r>
        <w:rPr>
          <w:rFonts w:ascii="Arial" w:cs="Arial" w:eastAsia="Arial" w:hAnsi="Arial"/>
          <w:sz w:val="18"/>
          <w:szCs w:val="18"/>
          <w:color w:val="auto"/>
        </w:rPr>
        <w:t>In June 2019, we announced the formation of Red Oak, a joint venture with a subsidiary of Phillips 66. We own a 50% interest in Red Oak,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as early as the first quarter of 2021, subject to receipt of applicable permits and regulatory approvals. We account for our interest in Red Oak under the equity method of accounting.</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contributing cash for construction of the Red Oak pipeline system, we have also entered into a pipeline capacity agreement and will be contributing 300,000 barrels of capacity on our Sunrise II pipeline once the Red Oak pipeline system is operational. Once the Red Oak pipeline system is operational, we will record a $160 million increase to our investment in Red Oak associated with our contribution of the capacity and corresponding deferred revenue that will be recognized in revenue on a straight-line basis over the initial term of 33 years.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63" w:lineRule="exact"/>
        <w:rPr>
          <w:sz w:val="20"/>
          <w:szCs w:val="20"/>
          <w:color w:val="auto"/>
        </w:rPr>
      </w:pPr>
    </w:p>
    <w:p>
      <w:pPr>
        <w:jc w:val="right"/>
        <w:ind w:right="20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PAA commercial paper notes, bearing a weighted-average interest rate of 3.0%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PAA senior secured hedged inventory facility, bearing a weighted-average interest rate of 3.5% </w:t>
      </w:r>
      <w:r>
        <w:rPr>
          <w:rFonts w:ascii="Arial" w:cs="Arial" w:eastAsia="Arial" w:hAnsi="Arial"/>
          <w:sz w:val="25"/>
          <w:szCs w:val="25"/>
          <w:color w:val="auto"/>
          <w:vertAlign w:val="superscript"/>
        </w:rPr>
        <w:t>(1)</w:t>
      </w: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PAA senior notes, net of unamortized discounts and debt issuance costs of $55 and $59, respectively </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200" w:hanging="161"/>
        <w:spacing w:after="0" w:line="259" w:lineRule="auto"/>
        <w:rPr>
          <w:sz w:val="20"/>
          <w:szCs w:val="20"/>
          <w:color w:val="auto"/>
        </w:rPr>
      </w:pPr>
      <w:r>
        <w:rPr>
          <w:rFonts w:ascii="Arial" w:cs="Arial" w:eastAsia="Arial" w:hAnsi="Arial"/>
          <w:sz w:val="18"/>
          <w:szCs w:val="18"/>
          <w:color w:val="auto"/>
        </w:rPr>
        <w:t>PAA GO Zone term loans, net of debt issuance costs of $1 and $2, respectively, bearing a weighted-average interest rate of 3.2% and 3.1%, respectively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4955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960" w:val="left"/>
          <w:tab w:leader="none" w:pos="146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218</w:t>
        <w:tab/>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66</w:t>
      </w:r>
    </w:p>
    <w:p>
      <w:pPr>
        <w:spacing w:after="0" w:line="77"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8"/>
          <w:szCs w:val="18"/>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8,945</w:t>
      </w:r>
      <w:r>
        <w:rPr>
          <w:sz w:val="20"/>
          <w:szCs w:val="20"/>
          <w:color w:val="auto"/>
        </w:rPr>
        <w:tab/>
      </w:r>
      <w:r>
        <w:rPr>
          <w:rFonts w:ascii="Arial" w:cs="Arial" w:eastAsia="Arial" w:hAnsi="Arial"/>
          <w:sz w:val="18"/>
          <w:szCs w:val="18"/>
          <w:color w:val="auto"/>
        </w:rPr>
        <w:t>8,941</w:t>
      </w:r>
    </w:p>
    <w:p>
      <w:pPr>
        <w:spacing w:after="0" w:line="279"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8"/>
          <w:szCs w:val="18"/>
          <w:color w:val="auto"/>
        </w:rPr>
        <w:t>198</w:t>
      </w:r>
    </w:p>
    <w:p>
      <w:pPr>
        <w:spacing w:after="0" w:line="63" w:lineRule="exact"/>
        <w:rPr>
          <w:sz w:val="20"/>
          <w:szCs w:val="20"/>
          <w:color w:val="auto"/>
        </w:rPr>
      </w:pPr>
    </w:p>
    <w:p>
      <w:pPr>
        <w:jc w:val="both"/>
        <w:ind w:left="1060"/>
        <w:spacing w:after="0"/>
        <w:tabs>
          <w:tab w:leader="none" w:pos="2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4</w:t>
      </w:r>
    </w:p>
    <w:p>
      <w:pPr>
        <w:spacing w:after="0" w:line="77"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9,176</w:t>
      </w:r>
      <w:r>
        <w:rPr>
          <w:sz w:val="20"/>
          <w:szCs w:val="20"/>
          <w:color w:val="auto"/>
        </w:rPr>
        <w:tab/>
      </w:r>
      <w:r>
        <w:rPr>
          <w:rFonts w:ascii="Arial" w:cs="Arial" w:eastAsia="Arial" w:hAnsi="Arial"/>
          <w:sz w:val="18"/>
          <w:szCs w:val="18"/>
          <w:color w:val="auto"/>
        </w:rPr>
        <w:t>9,143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spacing w:after="0"/>
        <w:tabs>
          <w:tab w:leader="none" w:pos="820" w:val="left"/>
          <w:tab w:leader="none" w:pos="146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9,646</w:t>
        <w:tab/>
        <w:t>$</w:t>
      </w:r>
      <w:r>
        <w:rPr>
          <w:sz w:val="20"/>
          <w:szCs w:val="20"/>
          <w:color w:val="auto"/>
        </w:rPr>
        <w:tab/>
      </w:r>
      <w:r>
        <w:rPr>
          <w:rFonts w:ascii="Arial" w:cs="Arial" w:eastAsia="Arial" w:hAnsi="Arial"/>
          <w:sz w:val="16"/>
          <w:szCs w:val="16"/>
          <w:color w:val="auto"/>
        </w:rPr>
        <w:t>9,209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8360" w:space="240"/>
            <w:col w:w="2760"/>
          </w:cols>
          <w:pgMar w:left="240" w:top="125" w:right="299" w:bottom="1440" w:gutter="0" w:footer="0" w:header="0"/>
          <w:type w:val="continuous"/>
        </w:sectPr>
      </w:pPr>
    </w:p>
    <w:p>
      <w:pPr>
        <w:spacing w:after="0" w:line="161" w:lineRule="exact"/>
        <w:rPr>
          <w:sz w:val="20"/>
          <w:szCs w:val="20"/>
          <w:color w:val="auto"/>
        </w:rPr>
      </w:pPr>
    </w:p>
    <w:p>
      <w:pPr>
        <w:ind w:left="660" w:right="60" w:hanging="652"/>
        <w:spacing w:after="0" w:line="22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June 30, 2019,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of June 30, 2019, we classified PAA’s $500 million, 5.75% senior notes due January 2020 and PAA’s $500 million, 2.60% senior notes due December 2019 as long-term, and as of December 31, 2018, we classified PAA’s $500 million, 2.60% senior notes due December 2019 as long-term based on PAA’s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had a face value of approximately $9.0 billion at both June 30, 2019 and December 31, 2018. We estimated the aggregate fair value of these notes as of June 30, 2019 and December 31, 2018 to be approximately $9.3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six months ended June 30, 2019 and 2018 were approximately $4.1 billion and $23.5 billion, respectively. Total repayments under the PAA credit facilities and commercial paper program were approximately $3.8 billion and $23.6 billion for the six months ended June 30,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2019 and December 31, 2018, we had outstanding letters of credit of $153 million and $184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159,485,588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119,604,338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(91,672)</w:t>
            </w:r>
          </w:p>
        </w:tc>
        <w:tc>
          <w:tcPr>
            <w:tcW w:w="1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91,672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159,485,588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119,512,666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517,256,766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(12,193,771)</w:t>
            </w:r>
          </w:p>
        </w:tc>
        <w:tc>
          <w:tcPr>
            <w:tcW w:w="10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12,193,771</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603,456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June 30, 2019</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166,817,333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99,987,150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530,053,993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156,111,139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126,984,572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39,224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157,019,038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126,037,449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512,376,348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935,092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(935,092)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(3,084,027)</w:t>
            </w:r>
          </w:p>
        </w:tc>
        <w:tc>
          <w:tcPr>
            <w:tcW w:w="10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3,084,027</w:t>
            </w:r>
          </w:p>
        </w:tc>
        <w:tc>
          <w:tcPr>
            <w:tcW w:w="0" w:type="dxa"/>
            <w:vAlign w:val="bottom"/>
          </w:tcPr>
          <w:p>
            <w:pPr>
              <w:spacing w:after="0"/>
              <w:rPr>
                <w:sz w:val="1"/>
                <w:szCs w:val="1"/>
                <w:color w:val="auto"/>
              </w:rPr>
            </w:pPr>
          </w:p>
        </w:tc>
      </w:tr>
      <w:tr>
        <w:trPr>
          <w:trHeight w:val="26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157,954,130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122,018,330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515,460,375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480" w:hanging="652"/>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See Note 12 to our Consolidated Financial Statements included in Part IV of our 2018 Annual Report on Form 10-K for information regarding Exchange Rights and Redemption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 and Redemption Right Exercises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May 2019, among other transactions, an affiliate of The Energy &amp; Minerals Group (“EMG”) exercised its Exchange Right and Redemption Right. The Redemption Right exercise resulted in the issuance of additional Class C shares to PAA. The Exchange Right exercise resulted in the transfer of a portion of partners’ capital from noncontrolling interests to our Class A shareholders and the associated recognition of a deferred tax asset that was recorded as a component of partners’ capital as it resulted from transactions with shareholders.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six months of 2019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14"/>
                <w:szCs w:val="14"/>
                <w:color w:val="auto"/>
              </w:rPr>
            </w:pPr>
          </w:p>
        </w:tc>
        <w:tc>
          <w:tcPr>
            <w:tcW w:w="2040" w:type="dxa"/>
            <w:vAlign w:val="bottom"/>
          </w:tcPr>
          <w:p>
            <w:pPr>
              <w:jc w:val="right"/>
              <w:ind w:right="237"/>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jc w:val="right"/>
              <w:ind w:right="67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Class A Shareholders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2019 </w:t>
            </w:r>
            <w:r>
              <w:rPr>
                <w:rFonts w:ascii="Arial" w:cs="Arial" w:eastAsia="Arial" w:hAnsi="Arial"/>
                <w:sz w:val="25"/>
                <w:szCs w:val="25"/>
                <w:color w:val="auto"/>
                <w:vertAlign w:val="superscript"/>
              </w:rPr>
              <w:t>(1)</w:t>
            </w:r>
          </w:p>
        </w:tc>
        <w:tc>
          <w:tcPr>
            <w:tcW w:w="2040" w:type="dxa"/>
            <w:vAlign w:val="bottom"/>
            <w:shd w:val="clear" w:color="auto" w:fill="CCEEFF"/>
          </w:tcPr>
          <w:p>
            <w:pPr>
              <w:jc w:val="right"/>
              <w:ind w:right="183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May 15, 2019</w:t>
            </w:r>
          </w:p>
        </w:tc>
        <w:tc>
          <w:tcPr>
            <w:tcW w:w="2040" w:type="dxa"/>
            <w:vAlign w:val="bottom"/>
          </w:tcPr>
          <w:p>
            <w:pPr>
              <w:jc w:val="right"/>
              <w:ind w:right="183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2019</w:t>
            </w:r>
          </w:p>
        </w:tc>
        <w:tc>
          <w:tcPr>
            <w:tcW w:w="2040" w:type="dxa"/>
            <w:vAlign w:val="bottom"/>
            <w:shd w:val="clear" w:color="auto" w:fill="CCEEFF"/>
          </w:tcPr>
          <w:p>
            <w:pPr>
              <w:jc w:val="right"/>
              <w:ind w:right="183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Payable to shareholders of record at the close of business on July 31, 2019 for the period from April 1, 2019 through June 30,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As of June 30, 2019, noncontrolling interests in our subsidiaries consisted of (i) limited partner interests in PAA including a 66% interest in PAA’s common units and PAA’s Series A preferred units combined and 100% of PAA’s Series B preferred units, (ii) an approximate 37% limited partner interest in AAP and (iii) a 33% interest in Red River Pipeline Company LLC (“Red River LLC”), as discussed further below.</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May 2019, we formed a joint venture, Red River LLC, with Delek Logistics Partners, LP (“Delek”) on our Red River pipeline system. We received approximately $128 million for Delek’s 33% interest in Red River LLC. We consolidate Red River LLC, with Delek’s 33% interest accounted for as a noncontrolling interest.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 pertaining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six 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Series A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40" w:hanging="652"/>
        <w:spacing w:after="0" w:line="227"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July 31, 2019 for the period from April 1, 2019 through June 30, 2019. At June 30, 2019, such amount was accrued to distributions payable in “Other current liabilities” on our Condensed Consolidated Balance Sheet.</w:t>
      </w:r>
    </w:p>
    <w:p>
      <w:pPr>
        <w:spacing w:after="0" w:line="20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PAA Series B Preferred Unit Distributions</w:t>
      </w:r>
      <w:r>
        <w:rPr>
          <w:rFonts w:ascii="Arial" w:cs="Arial" w:eastAsia="Arial" w:hAnsi="Arial"/>
          <w:sz w:val="18"/>
          <w:szCs w:val="18"/>
          <w:color w:val="auto"/>
        </w:rPr>
        <w:t>. Distributions on PAA’s Series B preferred units are payable semi-annually in arrears on the 15th day of</w:t>
      </w:r>
      <w:r>
        <w:rPr>
          <w:rFonts w:ascii="Arial" w:cs="Arial" w:eastAsia="Arial" w:hAnsi="Arial"/>
          <w:sz w:val="18"/>
          <w:szCs w:val="18"/>
          <w:i w:val="1"/>
          <w:iCs w:val="1"/>
          <w:color w:val="auto"/>
        </w:rPr>
        <w:t xml:space="preserve"> </w:t>
      </w:r>
      <w:r>
        <w:rPr>
          <w:rFonts w:ascii="Arial" w:cs="Arial" w:eastAsia="Arial" w:hAnsi="Arial"/>
          <w:sz w:val="18"/>
          <w:szCs w:val="18"/>
          <w:color w:val="auto"/>
        </w:rPr>
        <w:t>May and November. The following table details distributions paid to PAA’s Series B preferred unitholders during the first six months of 2019 (in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Distribution per Unit</w:t>
            </w:r>
          </w:p>
        </w:tc>
      </w:tr>
      <w:tr>
        <w:trPr>
          <w:trHeight w:val="24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30.625</w:t>
            </w:r>
          </w:p>
        </w:tc>
      </w:tr>
      <w:tr>
        <w:trPr>
          <w:trHeight w:val="27"/>
        </w:trPr>
        <w:tc>
          <w:tcPr>
            <w:tcW w:w="7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June 30, 2019, we had accrued approximately $6 million of distributions payable to PAA’s Series B preferred unitholders in “Other current liabilities” on our Condensed Consolidated Balance Sheet.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2019 </w:t>
            </w:r>
            <w:r>
              <w:rPr>
                <w:rFonts w:ascii="Arial" w:cs="Arial" w:eastAsia="Arial" w:hAnsi="Arial"/>
                <w:sz w:val="25"/>
                <w:szCs w:val="25"/>
                <w:color w:val="auto"/>
                <w:vertAlign w:val="superscript"/>
              </w:rPr>
              <w:t>(1)</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7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May 15, 2019</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101</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2019</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7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2019 for the period from April 1, 2019 through June 30, 2019.</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six months of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Distribution to AAP</w:t>
            </w:r>
            <w:r>
              <w:rPr>
                <w:rFonts w:ascii="Arial" w:cs="Arial" w:eastAsia="Arial" w:hAnsi="Arial"/>
                <w:sz w:val="18"/>
                <w:szCs w:val="18"/>
                <w:color w:val="auto"/>
                <w:w w:val="99"/>
              </w:rPr>
              <w:t>’</w:t>
            </w:r>
            <w:r>
              <w:rPr>
                <w:rFonts w:ascii="Arial" w:cs="Arial" w:eastAsia="Arial" w:hAnsi="Arial"/>
                <w:sz w:val="14"/>
                <w:szCs w:val="14"/>
                <w:b w:val="1"/>
                <w:bCs w:val="1"/>
                <w:color w:val="auto"/>
                <w:w w:val="99"/>
              </w:rPr>
              <w:t>s Partners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53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Total Cash Distributions</w:t>
            </w:r>
          </w:p>
        </w:tc>
      </w:tr>
      <w:tr>
        <w:trPr>
          <w:trHeight w:val="270"/>
        </w:trPr>
        <w:tc>
          <w:tcPr>
            <w:tcW w:w="5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101</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r>
      <w:tr>
        <w:trPr>
          <w:trHeight w:val="27"/>
        </w:trPr>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2019 for the period from April 1, 2019 through June 30,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2019, net derivative positions related to these activities included: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980" w:right="5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long position of 5.8 million barrels associated with our crude oil purchases, which was unwound ratably during July 2019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time spread position of 6.0 million barrels, which hedges a portion of our anticipated crude oil lease gathering purchases through December 2020.</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crude oil basis spread position of 36.2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position of 5.6 million barrels through December 2021 related to anticipated net sales of crude oil and NGL inventory.</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June 30, 2019, we used derivatives to manage the risk of not utilizing an average of approximately 0.9 million barrels per month of storage capacity through January 2021. These positions involve no outright price exposure, but instead enable us to profitably use the capacity to store hedged crude oil.</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June 30, 2019, our PLA hedges included a short position consisting of crude oil futures of 1.3 million barrels through December 2020 and a long call option position of 2.4 million barrels through December 2021.</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Notional Volume</w:t>
            </w:r>
          </w:p>
        </w:tc>
        <w:tc>
          <w:tcPr>
            <w:tcW w:w="2260" w:type="dxa"/>
            <w:vAlign w:val="bottom"/>
          </w:tcPr>
          <w:p>
            <w:pPr>
              <w:spacing w:after="0"/>
              <w:rPr>
                <w:sz w:val="18"/>
                <w:szCs w:val="18"/>
                <w:color w:val="auto"/>
              </w:rPr>
            </w:pPr>
          </w:p>
        </w:tc>
      </w:tr>
      <w:tr>
        <w:trPr>
          <w:trHeight w:val="270"/>
        </w:trPr>
        <w:tc>
          <w:tcPr>
            <w:tcW w:w="6720" w:type="dxa"/>
            <w:vAlign w:val="bottom"/>
          </w:tcPr>
          <w:p>
            <w:pPr>
              <w:spacing w:after="0"/>
              <w:rPr>
                <w:sz w:val="23"/>
                <w:szCs w:val="2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(Short)/Long</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Tenor</w:t>
            </w:r>
          </w:p>
        </w:tc>
      </w:tr>
      <w:tr>
        <w:trPr>
          <w:trHeight w:val="33"/>
        </w:trPr>
        <w:tc>
          <w:tcPr>
            <w:tcW w:w="67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77.8 Bcf</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(10.8)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March 2021</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(3.2)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(1.2)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March 2021</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5"/>
                <w:szCs w:val="25"/>
                <w:color w:val="auto"/>
                <w:vertAlign w:val="superscript"/>
              </w:rPr>
              <w:t>(1)</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1.1 TWh</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19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2019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8 forward starting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12/13/2019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 forward starting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right"/>
              <w:ind w:right="279"/>
              <w:spacing w:after="0"/>
              <w:rPr>
                <w:sz w:val="20"/>
                <w:szCs w:val="20"/>
                <w:color w:val="auto"/>
              </w:rPr>
            </w:pPr>
            <w:r>
              <w:rPr>
                <w:rFonts w:ascii="Arial" w:cs="Arial" w:eastAsia="Arial" w:hAnsi="Arial"/>
                <w:sz w:val="18"/>
                <w:szCs w:val="18"/>
                <w:color w:val="auto"/>
              </w:rPr>
              <w:t>6/15/2020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2019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See Note 12 to our Consolidated Financial Statements included in Part IV of our 2018 Annual Report on Form 10-K for additional information regarding the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physical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2"/>
              </w:rPr>
              <w:t>Three Months Ended June 30, 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Preferred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Foreign Currency</w:t>
            </w:r>
          </w:p>
        </w:tc>
        <w:tc>
          <w:tcPr>
            <w:tcW w:w="20" w:type="dxa"/>
            <w:vAlign w:val="bottom"/>
          </w:tcPr>
          <w:p>
            <w:pPr>
              <w:spacing w:after="0"/>
              <w:rPr>
                <w:sz w:val="17"/>
                <w:szCs w:val="17"/>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Distribution Rate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4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Total gain/(loss) on derivatives recognized in</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2"/>
              </w:rPr>
              <w:t>Three Months Ended June 30, 2018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Preferred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Foreign Currency</w:t>
            </w:r>
          </w:p>
        </w:tc>
        <w:tc>
          <w:tcPr>
            <w:tcW w:w="20" w:type="dxa"/>
            <w:vAlign w:val="bottom"/>
          </w:tcPr>
          <w:p>
            <w:pPr>
              <w:spacing w:after="0"/>
              <w:rPr>
                <w:sz w:val="17"/>
                <w:szCs w:val="17"/>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Distribution Rate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w w:val="93"/>
              </w:rPr>
              <w:t>Total gain/(loss) on derivatives recognized in</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8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gridSpan w:val="2"/>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gridSpan w:val="2"/>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gridSpan w:val="2"/>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gridSpan w:val="2"/>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8"/>
          </w:tcPr>
          <w:p>
            <w:pPr>
              <w:jc w:val="center"/>
              <w:ind w:left="953"/>
              <w:spacing w:after="0"/>
              <w:rPr>
                <w:sz w:val="20"/>
                <w:szCs w:val="20"/>
                <w:color w:val="auto"/>
              </w:rPr>
            </w:pPr>
            <w:r>
              <w:rPr>
                <w:rFonts w:ascii="Arial" w:cs="Arial" w:eastAsia="Arial" w:hAnsi="Arial"/>
                <w:sz w:val="16"/>
                <w:szCs w:val="16"/>
                <w:b w:val="1"/>
                <w:bCs w:val="1"/>
                <w:color w:val="auto"/>
                <w:w w:val="91"/>
              </w:rPr>
              <w:t>Six Months Ended June 30, 2019</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Preferred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Distribution Rate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Total gain/(loss) on derivatives recognized in</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1"/>
              </w:rPr>
              <w:t>Six Months Ended June 30, 2018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Preferred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Distribution Rate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354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5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Total gain/(loss) on derivatives recognized in</w:t>
            </w:r>
          </w:p>
        </w:tc>
        <w:tc>
          <w:tcPr>
            <w:tcW w:w="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restart"/>
          </w:tcPr>
          <w:p>
            <w:pPr>
              <w:jc w:val="right"/>
              <w:ind w:right="77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Derivatives not designated as a hedge.</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2019 (in millions):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9"/>
          </w:tcPr>
          <w:p>
            <w:pPr>
              <w:jc w:val="right"/>
              <w:ind w:right="1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Commodity</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393</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97"/>
        </w:trPr>
        <w:tc>
          <w:tcPr>
            <w:tcW w:w="26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r>
      <w:tr>
        <w:trPr>
          <w:trHeight w:val="311"/>
        </w:trPr>
        <w:tc>
          <w:tcPr>
            <w:tcW w:w="25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Commodity</w:t>
            </w: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89"/>
              </w:rPr>
              <w:t xml:space="preserve">Derivatives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76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2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r>
      <w:tr>
        <w:trPr>
          <w:trHeight w:val="297"/>
        </w:trPr>
        <w:tc>
          <w:tcPr>
            <w:tcW w:w="8560" w:type="dxa"/>
            <w:vAlign w:val="bottom"/>
          </w:tcPr>
          <w:p>
            <w:pPr>
              <w:ind w:left="40"/>
              <w:spacing w:after="0"/>
              <w:rPr>
                <w:sz w:val="20"/>
                <w:szCs w:val="20"/>
                <w:color w:val="auto"/>
              </w:rPr>
            </w:pPr>
            <w:r>
              <w:rPr>
                <w:rFonts w:ascii="Arial" w:cs="Arial" w:eastAsia="Arial" w:hAnsi="Arial"/>
                <w:sz w:val="18"/>
                <w:szCs w:val="18"/>
                <w:color w:val="auto"/>
              </w:rPr>
              <w:t>Variation margin returned</w:t>
            </w:r>
          </w:p>
        </w:tc>
        <w:tc>
          <w:tcPr>
            <w:tcW w:w="9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broker payable</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0"/>
              </w:rPr>
              <w:t>June 30, 2019</w:t>
            </w:r>
          </w:p>
        </w:tc>
        <w:tc>
          <w:tcPr>
            <w:tcW w:w="2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2018</w:t>
            </w:r>
          </w:p>
        </w:tc>
      </w:tr>
      <w:tr>
        <w:trPr>
          <w:trHeight w:val="152"/>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6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collateral received</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50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June 30, 2019, there was a net loss of $230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June 30, 2019, we expect to reclassify a net loss of $8 million to earnings in the next twelve months. We estimate that substantially all of the remaining deferred loss will be reclassified to earnings through 2050 as the underlying hedged transactions impact earnings. A portion of these amounts is based on market prices as of June 30, 2019;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4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r>
      <w:tr>
        <w:trPr>
          <w:trHeight w:val="27"/>
        </w:trPr>
        <w:tc>
          <w:tcPr>
            <w:tcW w:w="6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jc w:val="both"/>
        <w:ind w:right="120" w:firstLine="594"/>
        <w:spacing w:after="0" w:line="264" w:lineRule="auto"/>
        <w:rPr>
          <w:sz w:val="20"/>
          <w:szCs w:val="20"/>
          <w:color w:val="auto"/>
        </w:rPr>
      </w:pPr>
      <w:r>
        <w:rPr>
          <w:rFonts w:ascii="Arial" w:cs="Arial" w:eastAsia="Arial" w:hAnsi="Arial"/>
          <w:sz w:val="18"/>
          <w:szCs w:val="18"/>
          <w:color w:val="auto"/>
        </w:rPr>
        <w:t>At June 30, 2019 and December 31, 2018,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June 30, 2019</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2018</w:t>
            </w:r>
          </w:p>
        </w:tc>
        <w:tc>
          <w:tcPr>
            <w:tcW w:w="62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ind w:left="660" w:right="10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6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2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contracts, over-the-counter options and the Preferred Distribution Rate Reset Option contained in PAA’s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right="80"/>
        <w:spacing w:after="0" w:line="257" w:lineRule="auto"/>
        <w:rPr>
          <w:rFonts w:ascii="Arial" w:cs="Arial" w:eastAsia="Arial" w:hAnsi="Arial"/>
          <w:sz w:val="25"/>
          <w:szCs w:val="25"/>
          <w:color w:val="auto"/>
          <w:vertAlign w:val="superscript"/>
        </w:rPr>
      </w:pPr>
      <w:r>
        <w:rPr>
          <w:rFonts w:ascii="Arial" w:cs="Arial" w:eastAsia="Arial" w:hAnsi="Arial"/>
          <w:sz w:val="18"/>
          <w:szCs w:val="18"/>
          <w:color w:val="auto"/>
        </w:rPr>
        <w:t>The fair values of our Level 3 physical commodity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physical commodity contracts in our Condensed Consolidated Statements of Operations as Supply and Logistics segment revenues.</w:t>
      </w:r>
    </w:p>
    <w:p>
      <w:pPr>
        <w:spacing w:after="0" w:line="188" w:lineRule="exact"/>
        <w:rPr>
          <w:rFonts w:ascii="Arial" w:cs="Arial" w:eastAsia="Arial" w:hAnsi="Arial"/>
          <w:sz w:val="25"/>
          <w:szCs w:val="25"/>
          <w:color w:val="auto"/>
          <w:vertAlign w:val="superscript"/>
        </w:rPr>
      </w:pPr>
    </w:p>
    <w:p>
      <w:pPr>
        <w:ind w:left="660" w:right="8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unrealized gains/(losses) included in earnings relating to Level 3</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evaluate all agreements entered into or modified after the date of adoption of Topic 842 that convey to us the use of property or 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vehicles and land.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18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components of lease cost, including both amounts recognized in income and amounts capitalized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immaterial finance lease costs, variable lease costs and sublease income.</w:t>
      </w:r>
    </w:p>
    <w:p>
      <w:pPr>
        <w:spacing w:after="0" w:line="309"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information related to cash flows arising from lease transactions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ind w:right="277"/>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9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67</w:t>
            </w:r>
          </w:p>
        </w:tc>
      </w:tr>
      <w:tr>
        <w:trPr>
          <w:trHeight w:val="27"/>
        </w:trPr>
        <w:tc>
          <w:tcPr>
            <w:tcW w:w="9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r>
      <w:tr>
        <w:trPr>
          <w:trHeight w:val="324"/>
        </w:trPr>
        <w:tc>
          <w:tcPr>
            <w:tcW w:w="9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the weighted-average remaining lease term and discount rate is presented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49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760" w:type="dxa"/>
            <w:vAlign w:val="bottom"/>
            <w:gridSpan w:val="2"/>
          </w:tcPr>
          <w:p>
            <w:pPr>
              <w:jc w:val="center"/>
              <w:ind w:left="4850"/>
              <w:spacing w:after="0"/>
              <w:rPr>
                <w:sz w:val="20"/>
                <w:szCs w:val="20"/>
                <w:color w:val="auto"/>
              </w:rPr>
            </w:pPr>
            <w:r>
              <w:rPr>
                <w:rFonts w:ascii="Arial" w:cs="Arial" w:eastAsia="Arial" w:hAnsi="Arial"/>
                <w:sz w:val="18"/>
                <w:szCs w:val="18"/>
                <w:color w:val="auto"/>
                <w:w w:val="85"/>
              </w:rPr>
              <w:t>10.0</w:t>
            </w:r>
          </w:p>
        </w:tc>
      </w:tr>
      <w:tr>
        <w:trPr>
          <w:trHeight w:val="27"/>
        </w:trPr>
        <w:tc>
          <w:tcPr>
            <w:tcW w:w="4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6760" w:type="dxa"/>
            <w:vAlign w:val="bottom"/>
            <w:tcBorders>
              <w:bottom w:val="single" w:sz="8" w:color="CCEEFF"/>
            </w:tcBorders>
            <w:gridSpan w:val="2"/>
            <w:shd w:val="clear" w:color="auto" w:fill="CCEEFF"/>
          </w:tcPr>
          <w:p>
            <w:pPr>
              <w:jc w:val="center"/>
              <w:ind w:left="4850"/>
              <w:spacing w:after="0"/>
              <w:rPr>
                <w:sz w:val="20"/>
                <w:szCs w:val="20"/>
                <w:color w:val="auto"/>
              </w:rPr>
            </w:pPr>
            <w:r>
              <w:rPr>
                <w:rFonts w:ascii="Arial" w:cs="Arial" w:eastAsia="Arial" w:hAnsi="Arial"/>
                <w:sz w:val="18"/>
                <w:szCs w:val="18"/>
                <w:color w:val="auto"/>
                <w:w w:val="87"/>
              </w:rPr>
              <w:t>3.4</w:t>
            </w:r>
          </w:p>
        </w:tc>
      </w:tr>
      <w:tr>
        <w:trPr>
          <w:trHeight w:val="324"/>
        </w:trPr>
        <w:tc>
          <w:tcPr>
            <w:tcW w:w="4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9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760" w:type="dxa"/>
            <w:vAlign w:val="bottom"/>
            <w:gridSpan w:val="2"/>
          </w:tcPr>
          <w:p>
            <w:pPr>
              <w:jc w:val="center"/>
              <w:ind w:left="4850"/>
              <w:spacing w:after="0"/>
              <w:rPr>
                <w:sz w:val="20"/>
                <w:szCs w:val="20"/>
                <w:color w:val="auto"/>
              </w:rPr>
            </w:pPr>
            <w:r>
              <w:rPr>
                <w:rFonts w:ascii="Arial" w:cs="Arial" w:eastAsia="Arial" w:hAnsi="Arial"/>
                <w:sz w:val="18"/>
                <w:szCs w:val="18"/>
                <w:color w:val="auto"/>
                <w:w w:val="92"/>
              </w:rPr>
              <w:t>4.5%</w:t>
            </w:r>
          </w:p>
        </w:tc>
      </w:tr>
      <w:tr>
        <w:trPr>
          <w:trHeight w:val="27"/>
        </w:trPr>
        <w:tc>
          <w:tcPr>
            <w:tcW w:w="4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6760" w:type="dxa"/>
            <w:vAlign w:val="bottom"/>
            <w:tcBorders>
              <w:bottom w:val="single" w:sz="8" w:color="CCEEFF"/>
            </w:tcBorders>
            <w:gridSpan w:val="2"/>
            <w:shd w:val="clear" w:color="auto" w:fill="CCEEFF"/>
          </w:tcPr>
          <w:p>
            <w:pPr>
              <w:jc w:val="center"/>
              <w:ind w:left="4850"/>
              <w:spacing w:after="0"/>
              <w:rPr>
                <w:sz w:val="20"/>
                <w:szCs w:val="20"/>
                <w:color w:val="auto"/>
              </w:rPr>
            </w:pPr>
            <w:r>
              <w:rPr>
                <w:rFonts w:ascii="Arial" w:cs="Arial" w:eastAsia="Arial" w:hAnsi="Arial"/>
                <w:sz w:val="18"/>
                <w:szCs w:val="18"/>
                <w:color w:val="auto"/>
                <w:w w:val="92"/>
              </w:rPr>
              <w:t>2.2%</w:t>
            </w:r>
          </w:p>
        </w:tc>
      </w:tr>
      <w:tr>
        <w:trPr>
          <w:trHeight w:val="905"/>
        </w:trPr>
        <w:tc>
          <w:tcPr>
            <w:tcW w:w="4640" w:type="dxa"/>
            <w:vAlign w:val="bottom"/>
          </w:tcPr>
          <w:p>
            <w:pPr>
              <w:spacing w:after="0"/>
              <w:rPr>
                <w:sz w:val="24"/>
                <w:szCs w:val="24"/>
                <w:color w:val="auto"/>
              </w:rPr>
            </w:pPr>
          </w:p>
        </w:tc>
        <w:tc>
          <w:tcPr>
            <w:tcW w:w="4940" w:type="dxa"/>
            <w:vAlign w:val="bottom"/>
          </w:tcPr>
          <w:p>
            <w:pPr>
              <w:jc w:val="right"/>
              <w:ind w:right="3690"/>
              <w:spacing w:after="0"/>
              <w:rPr>
                <w:sz w:val="20"/>
                <w:szCs w:val="20"/>
                <w:color w:val="auto"/>
              </w:rPr>
            </w:pPr>
            <w:r>
              <w:rPr>
                <w:rFonts w:ascii="Arial" w:cs="Arial" w:eastAsia="Arial" w:hAnsi="Arial"/>
                <w:sz w:val="18"/>
                <w:szCs w:val="18"/>
                <w:color w:val="auto"/>
              </w:rPr>
              <w:t>32</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Condensed Consolidated Balance Sheet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Operating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Property and equipment,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r>
      <w:tr>
        <w:trPr>
          <w:trHeight w:val="297"/>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w:t>
            </w:r>
          </w:p>
        </w:tc>
      </w:tr>
      <w:tr>
        <w:trPr>
          <w:trHeight w:val="311"/>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Long-term operating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37"/>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Total operating lease liabilities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Short-term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long-term debt,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324"/>
        </w:trPr>
        <w:tc>
          <w:tcPr>
            <w:tcW w:w="4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57"/>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the maturity of undiscounted cash flows for future minimum lease payments under noncancelable leases as of June 30, 2019 reconciled to our lease liabilities on our Condensed Consolidated Balance Sheet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Remainder of 2019</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2021</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Present value discount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Excludes future minimum payments for short-term and other immaterial leases not included on our Condensed Consolidated Balance Sheet.</w:t>
      </w:r>
    </w:p>
    <w:p>
      <w:pPr>
        <w:spacing w:after="0" w:line="200" w:lineRule="exact"/>
        <w:rPr>
          <w:rFonts w:ascii="Arial" w:cs="Arial" w:eastAsia="Arial" w:hAnsi="Arial"/>
          <w:sz w:val="24"/>
          <w:szCs w:val="24"/>
          <w:color w:val="auto"/>
          <w:vertAlign w:val="superscript"/>
        </w:rPr>
      </w:pPr>
    </w:p>
    <w:p>
      <w:pPr>
        <w:spacing w:after="0" w:line="244"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three and six months ended June 30, 2019, our lease revenue was not material.</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table below presents the maturity of lease payments for operating lease agreements in effect as of June 30, 2019. This presentation includes minimum fixed lease payments and does not include an estimate of variable lease consideration. These agreements have remaining lease terms ranging from two years to 23 years. The following table presents the undiscounted cash flows expected to be received related to these agreements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Remainder</w:t>
            </w: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of 2019</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16 to our Consolidated Financial Statements included in Part IV of our 2018 Annual Report on Form 10-K for a complete discussion of our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Ownership of our Class C Shares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2019 and December 31, 2018, PAA owned 530,053,993 and 516,938,280,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additional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As of June 30, 2019, our principal owners include Oxy and Kayne Anderson Capital Advisors, L.P. We also consider subsidiaries or funds identified as affiliated with such entities to be related parties. Through various transactions by EMG in May 2019, EMG’s limited partner interest in AAP was significantly reduced, which caused EMG to lose its right to designate a representative on the board of directors of our general partner. Following these transactions, we no longer recognize EMG as a principal owner.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During the three and six months ended June 30, 2019 and 2018,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9"/>
              </w:rPr>
              <w:t>2018</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566</w:t>
            </w:r>
          </w:p>
        </w:tc>
      </w:tr>
      <w:tr>
        <w:trPr>
          <w:trHeight w:val="297"/>
        </w:trPr>
        <w:tc>
          <w:tcPr>
            <w:tcW w:w="5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55" w:lineRule="exact"/>
        <w:rPr>
          <w:rFonts w:ascii="Arial" w:cs="Arial" w:eastAsia="Arial" w:hAnsi="Arial"/>
          <w:sz w:val="22"/>
          <w:szCs w:val="22"/>
          <w:color w:val="auto"/>
          <w:vertAlign w:val="superscript"/>
        </w:rPr>
      </w:pPr>
    </w:p>
    <w:p>
      <w:pPr>
        <w:ind w:left="660" w:right="240" w:hanging="652"/>
        <w:spacing w:after="0" w:line="208"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144</w:t>
            </w:r>
          </w:p>
        </w:tc>
      </w:tr>
      <w:tr>
        <w:trPr>
          <w:trHeight w:val="297"/>
        </w:trPr>
        <w:tc>
          <w:tcPr>
            <w:tcW w:w="8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49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98" w:lineRule="exact"/>
        <w:rPr>
          <w:rFonts w:ascii="Arial" w:cs="Arial" w:eastAsia="Arial" w:hAnsi="Arial"/>
          <w:sz w:val="25"/>
          <w:szCs w:val="25"/>
          <w:color w:val="auto"/>
          <w:vertAlign w:val="superscript"/>
        </w:rPr>
      </w:pPr>
    </w:p>
    <w:p>
      <w:pPr>
        <w:ind w:left="660" w:right="340" w:hanging="652"/>
        <w:spacing w:after="0" w:line="214"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94" w:lineRule="exact"/>
        <w:rPr>
          <w:rFonts w:ascii="Arial" w:cs="Arial" w:eastAsia="Arial" w:hAnsi="Arial"/>
          <w:sz w:val="25"/>
          <w:szCs w:val="25"/>
          <w:color w:val="auto"/>
          <w:vertAlign w:val="superscript"/>
        </w:rPr>
      </w:pPr>
    </w:p>
    <w:p>
      <w:pPr>
        <w:ind w:left="660" w:right="20" w:hanging="652"/>
        <w:spacing w:after="0" w:line="252"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June 30, 2019, our estimated undiscounted reserve for environmental liabilities (including liabilities related to the Line 901 incident, as discussed further below) totaled $143 million, of which $64 million was classified as short-term and $79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Condensed Consolidated Balance Sheets. At June 30, 2019, we had recorded receivables totaling $74 million for amounts probable of recovery under insurance and from third parties under indemnification agreements, of which $43 million was classified as short-term and $31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Condensed Consolidated Balance Sheets.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 In April of 2019, the Prosecutors announced their intent to re-try the two felony discharge counts for which no jury verdict was returned. The strict liability animal taking count for which no jury verdict was returned has been dismissed. We do not believe that a conviction on either or both counts can result in the imposition of any additional fines, penalties, or other punishment, under the California penal code. As such, we have filed a motion to vacate the trial.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3" w:lineRule="exact"/>
        <w:rPr>
          <w:sz w:val="20"/>
          <w:szCs w:val="20"/>
          <w:color w:val="auto"/>
        </w:rPr>
      </w:pPr>
    </w:p>
    <w:p>
      <w:pPr>
        <w:ind w:right="80" w:firstLine="8"/>
        <w:spacing w:after="0" w:line="290" w:lineRule="auto"/>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On appeal, the Ninth Circuit Court of Appeals overturned the certification of the oil-industry sub-class, so the remaining sub-classes that have been certified include (i) commercial fishermen who landed fish in certain specified fishing blocks in the waters adjacent to Santa Barbara County or persons or businesses who resold commercial seafood landed in such areas; and (ii) beachfront property and easement owners whose properties were oiled.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6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There were also two securities law class action lawsuits filed on behalf of certain purported investors in PAA and/or PAGP against PAA, PAGP and/or certain of their respective officers, directors and underwriters. Both of these lawsuits were consolidated into a single proceeding in the United States District Court for the Southern District of Texas. In general, these lawsuits alleged that the various defendants violated securities laws by misleading investors regarding the integrity of PAA’s pipelines and related facilities through false and misleading statements, omission of material facts and concealing of the true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extent of the spill. The plaintiffs claimed unspecified damages as a result of the reduction in value of their investments in PAA and PAGP, which they attributed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appealed the dismissal, and on July 16, 2019 the Fifth Circuit Court of Appeals affirmed the dismissal. Consistent with and subject to the terms of our governing organizational documents (and to the extent applicable, insurance policies), we indemnified and funded the defense costs of our officers and directors in connection with this lawsuit; we also indemnified and funded the defense costs of our underwriters pursuant to the terms of the underwriting agreements we previously entered into with such underwriters.</w:t>
      </w:r>
    </w:p>
    <w:p>
      <w:pPr>
        <w:spacing w:after="0" w:line="16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four unitholder derivative lawsuits have been filed by certain purported investors in PAA against PAA,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and subsequently dismissed without prejudice. Plaintiffs amended and refiled their complaint on June 3, 2019.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6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Taking the foregoing into account, as of June 30, 2019, we estimate that the aggregate total costs we have incurred or will incur with respect to the Line 901 incident will be approximately $380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of June 30, 2019, we had a remaining undiscounted gross liability of $88 million related to this event, of which approximately $55 million is presented in “Other current liabilities” on our Condensed Consolidated Balance Sheet, with the remainder presented in “Other long-term liabilities and deferred credits.” We maintain insurance coverage, which is subject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2019, we had collected, subject to customary reservations, $188 million out of the approximate $255 million of release costs that we believe are probable of recovery from insurance carriers, net of deductibles. Therefore, as of June 30, 2019, we have recognized a receivable of approximately $67 million for the portion of the release costs that we believe is probable of recovery from insurance, net of deductibles and amounts already collected. Of this amount, approximately $38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2018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10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1"/>
              </w:rPr>
              <w:t>Logistics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6"/>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7,914</w:t>
            </w:r>
          </w:p>
        </w:tc>
        <w:tc>
          <w:tcPr>
            <w:tcW w:w="32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6"/>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4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10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1"/>
              </w:rPr>
              <w:t>Logistics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6"/>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7,781</w:t>
            </w:r>
          </w:p>
        </w:tc>
        <w:tc>
          <w:tcPr>
            <w:tcW w:w="32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6"/>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7,781</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12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Intersegment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3"/>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6"/>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15,936</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shd w:val="clear" w:color="auto" w:fill="CCEEFF"/>
          </w:tcPr>
          <w:p>
            <w:pPr>
              <w:spacing w:after="0"/>
              <w:rPr>
                <w:sz w:val="23"/>
                <w:szCs w:val="23"/>
                <w:color w:val="auto"/>
              </w:rPr>
            </w:pPr>
          </w:p>
        </w:tc>
        <w:tc>
          <w:tcPr>
            <w:tcW w:w="4080" w:type="dxa"/>
            <w:vAlign w:val="bottom"/>
            <w:gridSpan w:val="5"/>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51"/>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478</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51"/>
        </w:trPr>
        <w:tc>
          <w:tcPr>
            <w:tcW w:w="40" w:type="dxa"/>
            <w:vAlign w:val="bottom"/>
            <w:tcBorders>
              <w:right w:val="single" w:sz="8" w:color="CCEEFF"/>
            </w:tcBorders>
            <w:shd w:val="clear" w:color="auto" w:fill="CCEEFF"/>
          </w:tcPr>
          <w:p>
            <w:pPr>
              <w:spacing w:after="0"/>
              <w:rPr>
                <w:sz w:val="21"/>
                <w:szCs w:val="21"/>
                <w:color w:val="auto"/>
              </w:rPr>
            </w:pPr>
          </w:p>
        </w:tc>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gridSpan w:val="3"/>
            <w:vMerge w:val="restart"/>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Logistics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6"/>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15,892</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16,478</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100" w:type="dxa"/>
            <w:vAlign w:val="bottom"/>
            <w:gridSpan w:val="6"/>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6"/>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17,398</w:t>
            </w:r>
          </w:p>
        </w:tc>
        <w:tc>
          <w:tcPr>
            <w:tcW w:w="0" w:type="dxa"/>
            <w:vAlign w:val="bottom"/>
          </w:tcPr>
          <w:p>
            <w:pPr>
              <w:spacing w:after="0"/>
              <w:rPr>
                <w:sz w:val="1"/>
                <w:szCs w:val="1"/>
                <w:color w:val="auto"/>
              </w:rPr>
            </w:pPr>
          </w:p>
        </w:tc>
      </w:tr>
      <w:tr>
        <w:trPr>
          <w:trHeight w:val="251"/>
        </w:trPr>
        <w:tc>
          <w:tcPr>
            <w:tcW w:w="40" w:type="dxa"/>
            <w:vAlign w:val="bottom"/>
            <w:tcBorders>
              <w:right w:val="single" w:sz="8" w:color="CCEEFF"/>
            </w:tcBorders>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51"/>
        </w:trPr>
        <w:tc>
          <w:tcPr>
            <w:tcW w:w="40" w:type="dxa"/>
            <w:vAlign w:val="bottom"/>
            <w:tcBorders>
              <w:right w:val="single" w:sz="8" w:color="CCEEFF"/>
            </w:tcBorders>
          </w:tcPr>
          <w:p>
            <w:pPr>
              <w:spacing w:after="0"/>
              <w:rPr>
                <w:sz w:val="21"/>
                <w:szCs w:val="21"/>
                <w:color w:val="auto"/>
              </w:rPr>
            </w:pPr>
          </w:p>
        </w:tc>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92" w:lineRule="exact"/>
        <w:rPr>
          <w:sz w:val="20"/>
          <w:szCs w:val="20"/>
          <w:color w:val="auto"/>
        </w:rPr>
      </w:pPr>
    </w:p>
    <w:p>
      <w:pPr>
        <w:ind w:left="660" w:right="120" w:hanging="652"/>
        <w:spacing w:after="0" w:line="253"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2018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83" w:lineRule="exact"/>
        <w:rPr>
          <w:rFonts w:ascii="Arial" w:cs="Arial" w:eastAsia="Arial" w:hAnsi="Arial"/>
          <w:sz w:val="24"/>
          <w:szCs w:val="24"/>
          <w:color w:val="auto"/>
          <w:vertAlign w:val="superscript"/>
        </w:rPr>
      </w:pPr>
    </w:p>
    <w:p>
      <w:pPr>
        <w:ind w:left="660" w:right="160" w:hanging="652"/>
        <w:spacing w:after="0" w:line="26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(expense)/benefit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of, and gains and losses on significant asset sales by, unconsolidated entities.</w:t>
      </w:r>
    </w:p>
    <w:p>
      <w:pPr>
        <w:spacing w:after="0" w:line="98" w:lineRule="exact"/>
        <w:rPr>
          <w:rFonts w:ascii="Arial" w:cs="Arial" w:eastAsia="Arial" w:hAnsi="Arial"/>
          <w:sz w:val="22"/>
          <w:szCs w:val="22"/>
          <w:color w:val="auto"/>
          <w:vertAlign w:val="superscript"/>
        </w:rPr>
      </w:pPr>
    </w:p>
    <w:p>
      <w:pPr>
        <w:ind w:left="660" w:right="20" w:hanging="652"/>
        <w:spacing w:after="0" w:line="248" w:lineRule="auto"/>
        <w:tabs>
          <w:tab w:leader="none" w:pos="66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5" w:lineRule="exact"/>
        <w:rPr>
          <w:sz w:val="20"/>
          <w:szCs w:val="20"/>
          <w:color w:val="auto"/>
        </w:rPr>
      </w:pPr>
    </w:p>
    <w:p>
      <w:pPr>
        <w:ind w:left="660" w:right="200"/>
        <w:spacing w:after="0" w:line="324" w:lineRule="auto"/>
        <w:rPr>
          <w:sz w:val="20"/>
          <w:szCs w:val="20"/>
          <w:color w:val="auto"/>
        </w:rPr>
      </w:pPr>
      <w:r>
        <w:rPr>
          <w:rFonts w:ascii="Arial" w:cs="Arial" w:eastAsia="Arial" w:hAnsi="Arial"/>
          <w:sz w:val="18"/>
          <w:szCs w:val="18"/>
          <w:color w:val="auto"/>
        </w:rPr>
        <w:t>gains and losses on derivatives that are related to investing activities, such as the purchase of linefill. We also exclude the impact of corresponding inventory valuation adjustments, as applicable.</w:t>
      </w:r>
    </w:p>
    <w:p>
      <w:pPr>
        <w:spacing w:after="0" w:line="35" w:lineRule="exact"/>
        <w:rPr>
          <w:sz w:val="20"/>
          <w:szCs w:val="20"/>
          <w:color w:val="auto"/>
        </w:rPr>
      </w:pPr>
    </w:p>
    <w:p>
      <w:pPr>
        <w:ind w:left="660" w:right="180" w:hanging="652"/>
        <w:spacing w:after="0" w:line="271"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201"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95" w:lineRule="exact"/>
        <w:rPr>
          <w:rFonts w:ascii="Arial" w:cs="Arial" w:eastAsia="Arial" w:hAnsi="Arial"/>
          <w:sz w:val="25"/>
          <w:szCs w:val="25"/>
          <w:color w:val="auto"/>
          <w:vertAlign w:val="superscript"/>
        </w:rPr>
      </w:pPr>
    </w:p>
    <w:p>
      <w:pPr>
        <w:ind w:left="660" w:right="24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Provincial Taxes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of our Canadian operations are conducted by entities that are treated as corporations for Canadian tax purposes (flow through for U.S. income tax purposes) and that are subject to Canadian federal and provincial taxes. During the second quarter of 2019, the Alberta government enacted legislation that reduces the Alberta provincial corporate income tax rate from 12% to 8% over the period from July 1, 2019 through January 1, 2022. As a result, at June 30, 2019, we recognized a reduction of our deferred income tax liability of approximately $60 million and a corresponding deferred tax benefit.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EMG Exchange Right Exercise</w:t>
      </w:r>
    </w:p>
    <w:p>
      <w:pPr>
        <w:spacing w:after="0" w:line="14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a result of the exchange of the ownership interest in AAP by EMG, we recognized a deferred tax asset. See Note 9 for additional information regarding this transaction. See Note 14 to our Consolidated Financial Statements included in Part IV of our 2018 Annual Report on Form 10-K for information regarding the recognition of deferred tax assets associated with Exchange Right exercises.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2018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June 30, 2019, our sole cash-generating assets consisted of (i) a 100% managing member interest in Plains All American GP LLC (“GP LLC”) that has also elected to be taxed as a corporation for United States federal income tax purposes and (ii) an approximate 63% limited partner interest in AAP through our direct ownership of approximately 165.8 million AAP units and indirect ownership of approximately 1.0 million AAP units through GP LLC. GP LLC is a Delaware limited liability company that also holds the non-economic general partner interest in AAP. AAP is a Delaware limited partnership that, as of June 30, 2019, directly owned a limited partner interest in PAA through its ownership of approximately 268.5 million PAA common units (approximately 34% of PAA’s total outstanding common units and Series A preferred units combined). AAP is the sole member of PAA GP LLC (“PAA GP”), a Delaware limited liability company that directly holds the non-economic general partner interest in PAA.</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first six months of 2019, we recognized net income of $1.340 billion as compared to net income of $369 million recognized during the first six months of 2018. The increase in net income over the comparative periods was driven by:</w:t>
      </w:r>
    </w:p>
    <w:p>
      <w:pPr>
        <w:spacing w:after="0" w:line="170" w:lineRule="exact"/>
        <w:rPr>
          <w:sz w:val="20"/>
          <w:szCs w:val="20"/>
          <w:color w:val="auto"/>
        </w:rPr>
      </w:pPr>
    </w:p>
    <w:p>
      <w:pPr>
        <w:ind w:left="1300" w:right="320" w:hanging="320"/>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Favorable results from our Supply and Logistics segment due to favorable crude oil differentials, primarily in the Permian Basin and Canada, higher NGL margins and more favorable impacts in the 2019 period from the mark-to-market of certain derivative instruments;</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 and</w:t>
      </w:r>
    </w:p>
    <w:p>
      <w:pPr>
        <w:spacing w:after="0" w:line="170" w:lineRule="exact"/>
        <w:rPr>
          <w:rFonts w:ascii="Arial" w:cs="Arial" w:eastAsia="Arial" w:hAnsi="Arial"/>
          <w:sz w:val="18"/>
          <w:szCs w:val="18"/>
          <w:color w:val="auto"/>
        </w:rPr>
      </w:pPr>
    </w:p>
    <w:p>
      <w:pPr>
        <w:ind w:left="1300" w:right="20" w:hanging="320"/>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non-cash gain of $267 million recognized in the current period related to a fair value adjustment resulting from the accounting for the contribution of our undivided joint interest in the Capline pipeline system for an equity interest in Capline Pipeline Company LLC; partially offset by</w:t>
      </w:r>
    </w:p>
    <w:p>
      <w:pPr>
        <w:spacing w:after="0" w:line="181"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due to additional depreciation expense associated with the completion of various capital expansion projects; and</w:t>
      </w:r>
    </w:p>
    <w:p>
      <w:pPr>
        <w:spacing w:after="0" w:line="170"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unfavorable impact to the 2019 comparative period of a net gain on asset sales and asset impairments of $81 million for six months ended June 30, 2018.</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invested $695 million in midstream infrastructure projects during the six months ended June 30, 2019, and we expect expansion capital for the full year of 2019 to be approximately $1.5 billion, primarily related to projects under development in the Permian Basin. See the “—Acquisitions and Capital Projects” section below for additional information.</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During 2019, we also announced the formation of several strategic joint ventures, including Wink to Webster Pipeline LLC, Red Oak Pipeline LLC and Red River Pipeline Company LLC. See Note 7 and Note 9 to our Condensed Consolidated Financial Statements for additional information.</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paid approximately $579 million of cash distributions to our Class A shareholders and noncontrolling interests during the six months ended June 30, 2019. In July 2019, we declared a quarterly cash distribution of $0.36 per Class A share to be paid on August 14, 2019. In the third quarter of 2019, we will pay aggregate cash distributions of approximately $300 million to our Class A shareholders and noncontrolling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Leverage Reduction Plan Completion and Financial Policy Update</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August 2017, PAA announced that it was implementing an action plan to strengthen its balance sheet, reduce leverage, enhance its distribution coverage, minimize new issuances of common equity and position PAA for future distribution growth. The action plan (“PAA Leverage Reduction Plan”), which was endorsed by our Board, included PAA’s intent to achieve certain objectives. During 2017 and 2018, PAA made meaningful progress in executing the PAA Leverage Reduction Plan and in April 2019, PAA announced its achievement of the remaining objectives. Concurrent with the completion of the PAA Leverage Reduction Plan, PAA completed a review of its approach to its capital allocation process, targeted leverage metrics and distribution management policies. As part of the April 2019 announcement, PAA provided several updates regarding its financial policy, including the following actions:</w:t>
      </w:r>
    </w:p>
    <w:p>
      <w:pPr>
        <w:spacing w:after="0" w:line="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Lowering PAA’s targeted long-term debt to Adjusted EBITDA leverage ratio by 0.5x to a range of 3.0x to 3.5x;</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 long-term sustainable minimum annual PAA distribution coverage level of 130% underpinned by predominantly fee-based cash flows;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PAA’s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These actions reflect PAA’s dedication to optimizing sustainable unitholder value while also preserving and enhancing PAA’s financial flexibility, further reducing leverage and improving its credit profile, with an objective of achieving mid-BBB equivalent credit ratings over time. Consistent with those objectives, PAA announced that it intends to continue to focus on activities to enhance investment returns and reinforce capital discipline through asset optimization, joint ventures, potential divestitures and similar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capital</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0"/>
        </w:trPr>
        <w:tc>
          <w:tcPr>
            <w:tcW w:w="8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832</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r>
      <w:tr>
        <w:trPr>
          <w:trHeight w:val="237"/>
        </w:trPr>
        <w:tc>
          <w:tcPr>
            <w:tcW w:w="832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940</w:t>
            </w:r>
          </w:p>
        </w:tc>
      </w:tr>
      <w:tr>
        <w:trPr>
          <w:trHeight w:val="27"/>
        </w:trPr>
        <w:tc>
          <w:tcPr>
            <w:tcW w:w="8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440" w:hanging="652"/>
        <w:spacing w:after="0" w:line="22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2019 and the estimated cost for the year ending December 31, 2019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570</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485</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Selected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Other Long-Haul Pipeline Projects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r>
      <w:tr>
        <w:trPr>
          <w:trHeight w:val="264"/>
        </w:trPr>
        <w:tc>
          <w:tcPr>
            <w:tcW w:w="9800" w:type="dxa"/>
            <w:vAlign w:val="bottom"/>
            <w:gridSpan w:val="2"/>
          </w:tcPr>
          <w:p>
            <w:pPr>
              <w:ind w:left="18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1,500</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68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Facilities Segment Adjusted EBITDA </w:t>
            </w:r>
            <w:r>
              <w:rPr>
                <w:rFonts w:ascii="Arial" w:cs="Arial" w:eastAsia="Arial" w:hAnsi="Arial"/>
                <w:sz w:val="25"/>
                <w:szCs w:val="25"/>
                <w:color w:val="auto"/>
                <w:w w:val="93"/>
                <w:vertAlign w:val="superscript"/>
              </w:rPr>
              <w:t>(1)</w:t>
            </w: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Supply and Logistics Segment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w w:val="98"/>
              </w:rPr>
              <w:t>comparability - Segment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Unallocated general and administrative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Gains/(losses) on asset sales and asset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impairments, net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9"/>
              </w:rPr>
              <w:t>Gain on investment in unconsolidated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(expense)/benefit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97"/>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PAGP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Basic net income per Class A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Class A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Basic weighted average Class A shares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Diluted weighted average Class A shares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8" w:lineRule="exact"/>
        <w:rPr>
          <w:sz w:val="20"/>
          <w:szCs w:val="20"/>
          <w:color w:val="auto"/>
        </w:rPr>
      </w:pPr>
    </w:p>
    <w:p>
      <w:pPr>
        <w:ind w:left="660" w:right="40" w:hanging="652"/>
        <w:spacing w:after="0" w:line="260"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this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1"/>
              </w:rPr>
              <w:t>(Gains)/losses on asset sales and asset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impairments, net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Gain on investment in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entities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 - Segment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(8)</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220" w:hanging="652"/>
        <w:spacing w:after="0" w:line="223"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and gains and losses on significant asset sales by,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50"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60"/>
        <w:spacing w:after="0" w:line="298" w:lineRule="auto"/>
        <w:rPr>
          <w:sz w:val="20"/>
          <w:szCs w:val="20"/>
          <w:color w:val="auto"/>
        </w:rPr>
      </w:pPr>
      <w:r>
        <w:rPr>
          <w:rFonts w:ascii="Arial" w:cs="Arial" w:eastAsia="Arial" w:hAnsi="Arial"/>
          <w:sz w:val="18"/>
          <w:szCs w:val="18"/>
          <w:color w:val="auto"/>
        </w:rPr>
        <w:t xml:space="preserve">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w:t>
      </w:r>
      <w:r>
        <w:rPr>
          <w:rFonts w:ascii="Arial" w:cs="Arial" w:eastAsia="Arial" w:hAnsi="Arial"/>
          <w:sz w:val="21"/>
          <w:szCs w:val="21"/>
          <w:color w:val="auto"/>
        </w:rPr>
        <w:t>Note 10</w:t>
      </w:r>
      <w:r>
        <w:rPr>
          <w:rFonts w:ascii="Arial" w:cs="Arial" w:eastAsia="Arial" w:hAnsi="Arial"/>
          <w:sz w:val="18"/>
          <w:szCs w:val="18"/>
          <w:color w:val="auto"/>
        </w:rPr>
        <w:t xml:space="preserve"> to our Condensed Consolidated Financial Statements for a comprehensive discussion regarding our derivatives and risk management activities and PAA’s Preferred Distribution Rate Reset Option.</w:t>
      </w:r>
    </w:p>
    <w:p>
      <w:pPr>
        <w:spacing w:after="0" w:line="50" w:lineRule="exact"/>
        <w:rPr>
          <w:sz w:val="20"/>
          <w:szCs w:val="20"/>
          <w:color w:val="auto"/>
        </w:rPr>
      </w:pPr>
    </w:p>
    <w:p>
      <w:pPr>
        <w:ind w:left="660" w:hanging="652"/>
        <w:spacing w:after="0" w:line="273"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2018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included in Part IV of our 2018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20" w:hanging="652"/>
        <w:spacing w:after="0" w:line="22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During the periods presented, there were fluctuations in the value of CAD to USD, resulting in non-cash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5" w:lineRule="exact"/>
        <w:rPr>
          <w:rFonts w:ascii="Arial" w:cs="Arial" w:eastAsia="Arial" w:hAnsi="Arial"/>
          <w:sz w:val="25"/>
          <w:szCs w:val="25"/>
          <w:color w:val="auto"/>
          <w:vertAlign w:val="superscript"/>
        </w:rPr>
      </w:pPr>
    </w:p>
    <w:p>
      <w:pPr>
        <w:ind w:left="660" w:right="240" w:hanging="652"/>
        <w:spacing w:after="0" w:line="22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to our Condensed Consolidated Financial Statements for additional information regarding the Line 901 incident.</w:t>
      </w:r>
    </w:p>
    <w:p>
      <w:pPr>
        <w:spacing w:after="0" w:line="95" w:lineRule="exact"/>
        <w:rPr>
          <w:rFonts w:ascii="Arial" w:cs="Arial" w:eastAsia="Arial" w:hAnsi="Arial"/>
          <w:sz w:val="25"/>
          <w:szCs w:val="25"/>
          <w:color w:val="auto"/>
          <w:vertAlign w:val="superscript"/>
        </w:rPr>
      </w:pPr>
    </w:p>
    <w:p>
      <w:pPr>
        <w:ind w:left="660" w:right="620" w:hanging="652"/>
        <w:spacing w:after="0" w:line="252"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PAGP.</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97"/>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67"/>
        </w:trPr>
        <w:tc>
          <w:tcPr>
            <w:tcW w:w="3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58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780" w:type="dxa"/>
            <w:vAlign w:val="bottom"/>
            <w:gridSpan w:val="7"/>
          </w:tcPr>
          <w:p>
            <w:pPr>
              <w:jc w:val="center"/>
              <w:ind w:right="3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gridSpan w:val="9"/>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2"/>
                <w:szCs w:val="12"/>
                <w:color w:val="auto"/>
              </w:rPr>
            </w:pPr>
          </w:p>
        </w:tc>
        <w:tc>
          <w:tcPr>
            <w:tcW w:w="2780" w:type="dxa"/>
            <w:vAlign w:val="bottom"/>
            <w:gridSpan w:val="7"/>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3"/>
                <w:szCs w:val="13"/>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3"/>
                <w:szCs w:val="13"/>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Other regions, trucking and pipeline loss allowance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60" w:hanging="324"/>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of approximately $53 million and $117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2019, respectively, compared to the three and six months ended June 30, 2018 was primarily due to higher volumes from increased production and our recently completed capital expansion projects. These increases for the three and six month comparative periods included (i) higher volumes on our gathering systems of approximately 279,000 and 290,000 barrels per day, respectively, (ii) higher volumes of approximately 390,000 and 450,000 barrels per day, respectively, on our intra-basin pipelines and (iii) a volume increase of approximately 172,000 and 194,000, respectively, on our long-haul pipelines, including our Sunrise II pipeline, which was placed in service in the fourth quarter of 2018.</w:t>
      </w:r>
    </w:p>
    <w:p>
      <w:pPr>
        <w:spacing w:after="0" w:line="189" w:lineRule="exact"/>
        <w:rPr>
          <w:sz w:val="20"/>
          <w:szCs w:val="20"/>
          <w:color w:val="auto"/>
        </w:rPr>
      </w:pPr>
    </w:p>
    <w:p>
      <w:pPr>
        <w:ind w:left="980" w:right="280"/>
        <w:spacing w:after="0" w:line="308" w:lineRule="auto"/>
        <w:rPr>
          <w:sz w:val="20"/>
          <w:szCs w:val="20"/>
          <w:color w:val="auto"/>
        </w:rPr>
      </w:pPr>
      <w:r>
        <w:rPr>
          <w:rFonts w:ascii="Arial" w:cs="Arial" w:eastAsia="Arial" w:hAnsi="Arial"/>
          <w:sz w:val="17"/>
          <w:szCs w:val="17"/>
          <w:color w:val="auto"/>
        </w:rPr>
        <w:t>The decrease in equity earnings for the three and six months ended June 30, 2019 compared to the three and six months ended June 30, 2018 was primarily due to the sale of a 30% interest in BridgeTex Pipeline Company, LLC in the third quarter of 2018.</w:t>
      </w:r>
    </w:p>
    <w:p>
      <w:pPr>
        <w:spacing w:after="0" w:line="147" w:lineRule="exact"/>
        <w:rPr>
          <w:sz w:val="20"/>
          <w:szCs w:val="20"/>
          <w:color w:val="auto"/>
        </w:rPr>
      </w:pPr>
    </w:p>
    <w:p>
      <w:pPr>
        <w:ind w:left="980" w:hanging="324"/>
        <w:spacing w:after="0" w:line="259" w:lineRule="auto"/>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The increase in equity earnings for the three and six months ended June 30, 2019 compared to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was from our 50% interest in Eagle Ford Pipeline LLC and was primarily due to higher volumes. The six month comparative period was also favorably impacted by the recognition of revenue associated with deficiencies under minimum volume commitments.</w:t>
      </w:r>
    </w:p>
    <w:p>
      <w:pPr>
        <w:spacing w:after="0" w:line="186" w:lineRule="exact"/>
        <w:rPr>
          <w:rFonts w:ascii="Arial" w:cs="Arial" w:eastAsia="Arial" w:hAnsi="Arial"/>
          <w:sz w:val="18"/>
          <w:szCs w:val="18"/>
          <w:i w:val="1"/>
          <w:iCs w:val="1"/>
          <w:color w:val="auto"/>
        </w:rPr>
      </w:pPr>
    </w:p>
    <w:p>
      <w:pPr>
        <w:ind w:left="980" w:right="40" w:hanging="324"/>
        <w:spacing w:after="0" w:line="312"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Central region. </w:t>
      </w:r>
      <w:r>
        <w:rPr>
          <w:rFonts w:ascii="Arial" w:cs="Arial" w:eastAsia="Arial" w:hAnsi="Arial"/>
          <w:sz w:val="16"/>
          <w:szCs w:val="16"/>
          <w:color w:val="auto"/>
        </w:rPr>
        <w:t>The increase in revenues for the three and six months ended June 30, 2019 compared to the three and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was primarily due to higher volumes on certain of our pipelines in the Central region, including our Red River pipeline. Additionally, the six-month 2019 period was favorably impacted by the recognition of previously deferred revenue in the first quarter of 2019.</w:t>
      </w:r>
    </w:p>
    <w:p>
      <w:pPr>
        <w:spacing w:after="0" w:line="146" w:lineRule="exact"/>
        <w:rPr>
          <w:rFonts w:ascii="Arial" w:cs="Arial" w:eastAsia="Arial" w:hAnsi="Arial"/>
          <w:sz w:val="16"/>
          <w:szCs w:val="16"/>
          <w:color w:val="auto"/>
        </w:rPr>
      </w:pPr>
    </w:p>
    <w:p>
      <w:pPr>
        <w:jc w:val="both"/>
        <w:ind w:left="980"/>
        <w:spacing w:after="0" w:line="259" w:lineRule="auto"/>
        <w:rPr>
          <w:rFonts w:ascii="Arial" w:cs="Arial" w:eastAsia="Arial" w:hAnsi="Arial"/>
          <w:sz w:val="16"/>
          <w:szCs w:val="16"/>
          <w:color w:val="auto"/>
        </w:rPr>
      </w:pPr>
      <w:r>
        <w:rPr>
          <w:rFonts w:ascii="Arial" w:cs="Arial" w:eastAsia="Arial" w:hAnsi="Arial"/>
          <w:sz w:val="18"/>
          <w:szCs w:val="18"/>
          <w:color w:val="auto"/>
        </w:rPr>
        <w:t>The increase in equity earnings for the three and six months ended June 30, 2019 compared to the three and six months ended June 30, 2018 was primarily from our 50% interests in Diamond Pipeline LLC (“Diamond Pipeline”), Caddo Pipeline LLC and Midway Pipeline LLC and was due to higher volumes related to increased refinery demand. Subsequent to June 30, 2019, the owners of Diamond Pipeline sanctioned an expansion and an extension of the pipeline to connect to the Capline pipeline.</w:t>
      </w:r>
    </w:p>
    <w:p>
      <w:pPr>
        <w:spacing w:after="0" w:line="186" w:lineRule="exact"/>
        <w:rPr>
          <w:rFonts w:ascii="Arial" w:cs="Arial" w:eastAsia="Arial" w:hAnsi="Arial"/>
          <w:sz w:val="16"/>
          <w:szCs w:val="16"/>
          <w:color w:val="auto"/>
        </w:rPr>
      </w:pPr>
    </w:p>
    <w:p>
      <w:pPr>
        <w:ind w:left="980" w:right="120" w:hanging="324"/>
        <w:spacing w:after="0" w:line="279" w:lineRule="auto"/>
        <w:tabs>
          <w:tab w:leader="none" w:pos="98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Gulf Coast region. </w:t>
      </w:r>
      <w:r>
        <w:rPr>
          <w:rFonts w:ascii="Arial" w:cs="Arial" w:eastAsia="Arial" w:hAnsi="Arial"/>
          <w:sz w:val="17"/>
          <w:szCs w:val="17"/>
          <w:color w:val="auto"/>
        </w:rPr>
        <w:t>The decrease in volumes in the Gulf Coast region for the three and six months ended June 30, 2019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six months ended June 30, 2018 were associated with (i) a lower tariff pipeline, which did not result in a significant impact on revenue and (ii) the Capline pipeline being taken out of service in the fourth quarter of 2018. Subsequent to June 30, 2019, the owners of Capline Pipeline Company LLC sanctioned the reversal of the Capline pipeline system and a connection to Diamond Pipeline.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spacing w:after="0" w:line="276" w:lineRule="auto"/>
        <w:rPr>
          <w:sz w:val="20"/>
          <w:szCs w:val="20"/>
          <w:color w:val="auto"/>
        </w:rPr>
      </w:pPr>
      <w:r>
        <w:rPr>
          <w:rFonts w:ascii="Arial" w:cs="Arial" w:eastAsia="Arial" w:hAnsi="Arial"/>
          <w:sz w:val="17"/>
          <w:szCs w:val="17"/>
          <w:color w:val="auto"/>
        </w:rPr>
        <w:t>In the first quarter of 2019, the owners of the Capline pipeline system contributed their undivided joint interests in the system for equity interests in a legal entity. As a result, revenues and expenses from the Capline pipeline system that were previously consolidated are reflected as equity earnings. The unfavorable equity earnings variance for the three and six months ended June 30, 2019 compared to the three and six months ended June 30, 2018 was due to our share of operating costs from our 54.13% interest in Capline Pipeline Company LLC reflected in equity earnings in the 2019 periods, whereas such costs were reflected in field operating costs in the 2018 periods.</w:t>
      </w:r>
    </w:p>
    <w:p>
      <w:pPr>
        <w:spacing w:after="0" w:line="173" w:lineRule="exact"/>
        <w:rPr>
          <w:sz w:val="20"/>
          <w:szCs w:val="20"/>
          <w:color w:val="auto"/>
        </w:rPr>
      </w:pPr>
    </w:p>
    <w:p>
      <w:pPr>
        <w:ind w:left="980" w:right="20" w:hanging="324"/>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Rocky Mountain region. </w:t>
      </w:r>
      <w:r>
        <w:rPr>
          <w:rFonts w:ascii="Arial" w:cs="Arial" w:eastAsia="Arial" w:hAnsi="Arial"/>
          <w:sz w:val="17"/>
          <w:szCs w:val="17"/>
          <w:color w:val="auto"/>
        </w:rPr>
        <w:t>The decrease in revenues for the three and six months ended June 30, 2019 compared to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was primarily due to the sale of certain of our assets in the Rocky Mountain region in May of 2018.</w:t>
      </w:r>
    </w:p>
    <w:p>
      <w:pPr>
        <w:spacing w:after="0" w:line="146" w:lineRule="exact"/>
        <w:rPr>
          <w:rFonts w:ascii="Arial" w:cs="Arial" w:eastAsia="Arial" w:hAnsi="Arial"/>
          <w:sz w:val="17"/>
          <w:szCs w:val="17"/>
          <w:color w:val="auto"/>
        </w:rPr>
      </w:pPr>
    </w:p>
    <w:p>
      <w:pPr>
        <w:ind w:left="980"/>
        <w:spacing w:after="0" w:line="308" w:lineRule="auto"/>
        <w:rPr>
          <w:rFonts w:ascii="Arial" w:cs="Arial" w:eastAsia="Arial" w:hAnsi="Arial"/>
          <w:sz w:val="17"/>
          <w:szCs w:val="17"/>
          <w:color w:val="auto"/>
        </w:rPr>
      </w:pPr>
      <w:r>
        <w:rPr>
          <w:rFonts w:ascii="Arial" w:cs="Arial" w:eastAsia="Arial" w:hAnsi="Arial"/>
          <w:sz w:val="17"/>
          <w:szCs w:val="17"/>
          <w:color w:val="auto"/>
        </w:rPr>
        <w:t>The increase in equity earnings for the three and six months ended June 30, 2019 compared to the three and six months ended June 30, 2018 was primarily from our 40% interest in Saddlehorn Pipeline Company, LLC and was due to higher volumes from committed shippers.</w:t>
      </w:r>
    </w:p>
    <w:p>
      <w:pPr>
        <w:spacing w:after="0" w:line="146" w:lineRule="exact"/>
        <w:rPr>
          <w:rFonts w:ascii="Arial" w:cs="Arial" w:eastAsia="Arial" w:hAnsi="Arial"/>
          <w:sz w:val="17"/>
          <w:szCs w:val="17"/>
          <w:color w:val="auto"/>
        </w:rPr>
      </w:pPr>
    </w:p>
    <w:p>
      <w:pPr>
        <w:ind w:left="980" w:right="2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increase in revenues for the three and six months ended June 30, 2019 compared to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was primarily due to higher tariffs on certain of our Canadian crude oil pipelines and related system assets, partially offset by unfavorable foreign exchange impacts.</w:t>
      </w:r>
    </w:p>
    <w:p>
      <w:pPr>
        <w:spacing w:after="0" w:line="181"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Other regions, trucking and pipeline loss allowance revenue. </w:t>
      </w:r>
      <w:r>
        <w:rPr>
          <w:rFonts w:ascii="Arial" w:cs="Arial" w:eastAsia="Arial" w:hAnsi="Arial"/>
          <w:sz w:val="18"/>
          <w:szCs w:val="18"/>
          <w:color w:val="auto"/>
        </w:rPr>
        <w:t>The increase in other net revenues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three and six months ended June 30, 2018 was primarily due to greater loss allowance revenue in the 2019 periods driven by higher volumes.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Adjustments: Deficiencies under minimum volume commitments, net</w:t>
      </w:r>
      <w:r>
        <w:rPr>
          <w:rFonts w:ascii="Arial" w:cs="Arial" w:eastAsia="Arial" w:hAnsi="Arial"/>
          <w:sz w:val="16"/>
          <w:szCs w:val="16"/>
          <w:color w:val="auto"/>
        </w:rPr>
        <w:t>. 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the three months ended June 30, 2019 and the three and six months ended June 30, 2018, amounts billed to counterparties exceeded revenue recognized during the period that was previously deferred. For the six months ended June 30, 2019, the recognition of previously deferred revenue exceeded amounts billed to counterparties associated with deficiencies under minimum volume commitments.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six months ended June 30, 2019 compared to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2018 was primarily due to (i) the impact of an increase of estimated costs recognized in the second quarter of 2019 associated with the Line 901 incident (which impact our field operating costs but are excluded from Segment Adjusted EBITDA and thus are reflected as an “Adjustment” in the table above) (see Note 13 to our Condensed Consolidated Financial Statements for additional information regarding the Line 901 incident), (ii) an increase in power related costs, resulting from higher volumes and (iii) an increase in property taxes related to new assets placed in service and (iv) an increase in performance-based compensation costs. Overall increases in field operating costs also resulted from expansion projects placed in service since June 30, 2018, including our Sunrise II pipeline expansion within the Permian Basin region, which was placed in service in late 2018. The increase in field operating costs for the three and six months ended June 30, 2019 compared to the three and six months ended June 30, 2018 was partially offset by the favorable impact of reflecting operating costs associated with the Capline pipeline system in equity earnings for the 2019 periods that were included in field operating costs for the 2018 periods, as discussed above.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compared to the three and six months ended June 30, 2018 was primarily due to a decrease in equity-indexed compensation expense due to fewer awards outstanding in 2019. A portion of equity-indexed compensation expense was associated with awards that will or may be settled in common units (which impact our segment general and administrative expenses but are excluded from Segment Adjusted EBITDA and thus are reflected as an “Adjustment” in the table above).</w:t>
      </w:r>
    </w:p>
    <w:p>
      <w:pPr>
        <w:spacing w:after="0" w:line="18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increase in maintenance capital for the three and six months ended June 30, 2019 compared to the same periods in 2018 was primarily due to the timing of projects in our integrity management program.</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8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4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24"/>
        </w:trPr>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4"/>
              </w:rPr>
              <w:t>Equity-indexed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560" w:type="dxa"/>
            <w:vAlign w:val="bottom"/>
          </w:tcPr>
          <w:p>
            <w:pPr>
              <w:jc w:val="right"/>
              <w:ind w:right="354"/>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w:t>
            </w:r>
          </w:p>
        </w:tc>
        <w:tc>
          <w:tcPr>
            <w:tcW w:w="8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38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38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capacity in millions of barrels)</w:t>
            </w: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vMerge w:val="continue"/>
            <w:shd w:val="clear" w:color="auto" w:fill="CCEEFF"/>
          </w:tcPr>
          <w:p>
            <w:pPr>
              <w:spacing w:after="0"/>
              <w:rPr>
                <w:sz w:val="20"/>
                <w:szCs w:val="20"/>
                <w:color w:val="auto"/>
              </w:rPr>
            </w:pPr>
          </w:p>
        </w:tc>
        <w:tc>
          <w:tcPr>
            <w:tcW w:w="78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3"/>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Natural gas storage (average monthly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working capacity in billions of cubic</w:t>
            </w:r>
          </w:p>
        </w:tc>
        <w:tc>
          <w:tcPr>
            <w:tcW w:w="880" w:type="dxa"/>
            <w:vAlign w:val="bottom"/>
            <w:vMerge w:val="restart"/>
          </w:tcPr>
          <w:p>
            <w:pPr>
              <w:jc w:val="right"/>
              <w:ind w:right="1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3120" w:type="dxa"/>
            <w:vAlign w:val="bottom"/>
            <w:tcBorders>
              <w:bottom w:val="single" w:sz="8" w:color="CCEEFF"/>
            </w:tcBorders>
            <w:gridSpan w:val="2"/>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(5)</w:t>
            </w: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NGL fractionation (average volumes in</w:t>
            </w:r>
          </w:p>
        </w:tc>
        <w:tc>
          <w:tcPr>
            <w:tcW w:w="8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thousands of barrels per day)</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40"/>
              <w:spacing w:after="0"/>
              <w:rPr>
                <w:sz w:val="20"/>
                <w:szCs w:val="20"/>
                <w:color w:val="auto"/>
              </w:rPr>
            </w:pPr>
            <w:r>
              <w:rPr>
                <w:rFonts w:ascii="Arial" w:cs="Arial" w:eastAsia="Arial" w:hAnsi="Arial"/>
                <w:sz w:val="18"/>
                <w:szCs w:val="18"/>
                <w:color w:val="auto"/>
              </w:rPr>
              <w:t>Facilities segment total volumes</w:t>
            </w: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00"/>
              <w:spacing w:after="0"/>
              <w:rPr>
                <w:sz w:val="20"/>
                <w:szCs w:val="20"/>
                <w:color w:val="auto"/>
              </w:rPr>
            </w:pPr>
            <w:r>
              <w:rPr>
                <w:rFonts w:ascii="Arial" w:cs="Arial" w:eastAsia="Arial" w:hAnsi="Arial"/>
                <w:sz w:val="18"/>
                <w:szCs w:val="18"/>
                <w:color w:val="auto"/>
                <w:w w:val="98"/>
              </w:rPr>
              <w:t>(average monthly volumes in millions</w:t>
            </w:r>
          </w:p>
        </w:tc>
        <w:tc>
          <w:tcPr>
            <w:tcW w:w="880" w:type="dxa"/>
            <w:vAlign w:val="bottom"/>
            <w:vMerge w:val="restart"/>
          </w:tcPr>
          <w:p>
            <w:pPr>
              <w:jc w:val="right"/>
              <w:ind w:right="18"/>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38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38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4"/>
        </w:trPr>
        <w:tc>
          <w:tcPr>
            <w:tcW w:w="3120" w:type="dxa"/>
            <w:vAlign w:val="bottom"/>
            <w:gridSpan w:val="2"/>
          </w:tcPr>
          <w:p>
            <w:pPr>
              <w:ind w:left="200"/>
              <w:spacing w:after="0" w:line="244"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5"/>
                <w:szCs w:val="25"/>
                <w:color w:val="auto"/>
                <w:vertAlign w:val="superscript"/>
              </w:rPr>
              <w:t>(6)</w:t>
            </w: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780" w:type="dxa"/>
            <w:vAlign w:val="bottom"/>
            <w:tcBorders>
              <w:right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62" w:lineRule="auto"/>
        <w:tabs>
          <w:tab w:leader="none" w:pos="66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The following summarizes the significant drivers of variances in revenues, purchases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costs and volumes for the comparative periods:</w:t>
      </w:r>
    </w:p>
    <w:p>
      <w:pPr>
        <w:spacing w:after="0" w:line="170" w:lineRule="exact"/>
        <w:rPr>
          <w:sz w:val="20"/>
          <w:szCs w:val="20"/>
          <w:color w:val="auto"/>
        </w:rPr>
      </w:pPr>
    </w:p>
    <w:p>
      <w:pPr>
        <w:ind w:left="980" w:right="60" w:hanging="324"/>
        <w:spacing w:after="0" w:line="259"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increased by $6 million and $12 million for the three and six months ended June 30, 2019,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and six months ended June 30, 2018 due to increased activity at certain of our terminals, primarily our Cushing terminal, and the addition of 1.0 million barrels of storage capacity at our Midland terminal placed into service in the fourth quarter of 2018 and the first quarter of 2019.</w:t>
      </w:r>
    </w:p>
    <w:p>
      <w:pPr>
        <w:spacing w:after="0" w:line="186" w:lineRule="exact"/>
        <w:rPr>
          <w:rFonts w:ascii="Arial" w:cs="Arial" w:eastAsia="Arial" w:hAnsi="Arial"/>
          <w:sz w:val="18"/>
          <w:szCs w:val="18"/>
          <w:color w:val="auto"/>
        </w:rPr>
      </w:pPr>
    </w:p>
    <w:p>
      <w:pPr>
        <w:ind w:left="980" w:right="14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Rail Terminals. </w:t>
      </w:r>
      <w:r>
        <w:rPr>
          <w:rFonts w:ascii="Arial" w:cs="Arial" w:eastAsia="Arial" w:hAnsi="Arial"/>
          <w:sz w:val="17"/>
          <w:szCs w:val="17"/>
          <w:color w:val="auto"/>
        </w:rPr>
        <w:t>Revenues increased by $6 million and $12 million for the three and six months ended June 30, 2019, respectively,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six months ended June 30, 2018, primarily due to increased activity at our St. James rail terminal.</w:t>
      </w:r>
    </w:p>
    <w:p>
      <w:pPr>
        <w:spacing w:after="0" w:line="146"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Revenues, net of purchases and related costs, were relatively flat for the three months ended June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2018. Revenues, net of purchases and related costs, increased by $5 million for the six months ended June 30, 2019 compared to the six months ended June 30, 2018, primarily due to expiring contracts replaced by contracts with higher rates and increased hub activity.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80" w:hanging="324"/>
        <w:spacing w:after="0" w:line="25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$5 million and $16 million for the three and six months ended June 30, 2019,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and six months ended June 30, 2018, primarily due to a net unfavorable foreign exchange impact of approximately $4 million and $10 million, respectively. The six-month comparative period was further unfavorably impacted by the sale of a natural gas processing facility in the second quarter of 2018.</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six months ended June 30, 2019 compared to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was primarily related to a decrease in power-related costs associated with derivative activities (which impact our field operating costs but are excluded from Segment Adjusted EBITDA and thus are reflected as an “Adjustment” in the table above), partially offset by increased personnel costs, including higher costs at our rail terminals as a result of increased activity.</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For the three and six months ended June 30, 2019 as compared to the three and six months ended June 30, 2018,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spending increased primarily due to the impact of higher expenditures related to cavern maintenance at certain of our gas storage facilities.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340" w:firstLine="648"/>
        <w:spacing w:after="0" w:line="297" w:lineRule="auto"/>
        <w:rPr>
          <w:sz w:val="20"/>
          <w:szCs w:val="20"/>
          <w:color w:val="auto"/>
        </w:rPr>
      </w:pPr>
      <w:r>
        <w:rPr>
          <w:rFonts w:ascii="Arial" w:cs="Arial" w:eastAsia="Arial" w:hAnsi="Arial"/>
          <w:sz w:val="16"/>
          <w:szCs w:val="16"/>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15,893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41" w:lineRule="exact"/>
        <w:rPr>
          <w:rFonts w:ascii="Arial" w:cs="Arial" w:eastAsia="Arial" w:hAnsi="Arial"/>
          <w:sz w:val="25"/>
          <w:szCs w:val="25"/>
          <w:color w:val="auto"/>
          <w:vertAlign w:val="superscript"/>
        </w:rPr>
      </w:pPr>
    </w:p>
    <w:p>
      <w:pPr>
        <w:ind w:left="660" w:right="2320" w:hanging="652"/>
        <w:spacing w:after="0" w:line="440" w:lineRule="auto"/>
        <w:tabs>
          <w:tab w:leader="none" w:pos="646"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2019</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Three months ended June 30, 2018</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Six months ended June 30, 2019</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 2018</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were impacted by net gains and losses from certain derivative activities during the periods.</w:t>
      </w:r>
    </w:p>
    <w:p>
      <w:pPr>
        <w:spacing w:after="0" w:line="171"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for the comparative periods:</w:t>
      </w:r>
    </w:p>
    <w:p>
      <w:pPr>
        <w:spacing w:after="0" w:line="170" w:lineRule="exact"/>
        <w:rPr>
          <w:sz w:val="20"/>
          <w:szCs w:val="20"/>
          <w:color w:val="auto"/>
        </w:rPr>
      </w:pPr>
    </w:p>
    <w:p>
      <w:pPr>
        <w:ind w:left="980" w:right="300" w:hanging="324"/>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supply and logistics operations increased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three and six months ended June 30, 2018 largely due to favorable differentials, primarily in the Permian Basin and Canada.</w:t>
      </w:r>
    </w:p>
    <w:p>
      <w:pPr>
        <w:spacing w:after="0" w:line="181"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three and six months ended June 30, 2019 compared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primarily due to the streamlining of our NGL activities by focusing on our equity supply from our gathering and processing facilities, favorable regional differentials and the favorable impact of certain non-recurring items recorded in the second quarter of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20" w:hanging="324"/>
        <w:spacing w:after="0" w:line="293" w:lineRule="auto"/>
        <w:tabs>
          <w:tab w:leader="none" w:pos="9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64" w:lineRule="exact"/>
        <w:rPr>
          <w:rFonts w:ascii="Arial" w:cs="Arial" w:eastAsia="Arial" w:hAnsi="Arial"/>
          <w:sz w:val="16"/>
          <w:szCs w:val="16"/>
          <w:i w:val="1"/>
          <w:iCs w:val="1"/>
          <w:color w:val="auto"/>
        </w:rPr>
      </w:pPr>
    </w:p>
    <w:p>
      <w:pPr>
        <w:ind w:left="980" w:hanging="324"/>
        <w:spacing w:after="0" w:line="25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60" w:hanging="324"/>
        <w:spacing w:after="0" w:line="286"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165" w:lineRule="exact"/>
        <w:rPr>
          <w:rFonts w:ascii="Arial" w:cs="Arial" w:eastAsia="Arial" w:hAnsi="Arial"/>
          <w:sz w:val="17"/>
          <w:szCs w:val="17"/>
          <w:color w:val="auto"/>
        </w:rPr>
      </w:pPr>
    </w:p>
    <w:p>
      <w:pPr>
        <w:ind w:left="980" w:right="280" w:hanging="324"/>
        <w:spacing w:after="0" w:line="286" w:lineRule="auto"/>
        <w:tabs>
          <w:tab w:leader="none" w:pos="980"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six months ended June 30, 2019 compared to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2018 was primarily driven by an increase in trucking costs resulting from higher third-party hauled volumes, partially offset by a decrease in vehicle expense related to the adoption of the new lease accounting standard.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Depreciation and amortization expense increased for the three and six months ended June 30, 2019 compared to the three and six months ended June 30, 2018 largely driven by (i) additional depreciation expense associated with the completion of various capital expansion projects and (ii) an adjustment to the useful lives of certain assets.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gain on asset sales and asset impairments for the three and six months ended June 30, 2018 was largely driven by a gain on the sale of certain pipelines in the Rocky Mountain region, partially offset by a loss on the sale of a non-core asset under construction.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the six months ended June 30, 2019, we recognized a non-cash gain of $267 million related to a fair value adjustment resulting from the accounting for the contribution of our undivided joint interest in the Capline pipeline system for an equity interest in Capline Pipeline Company LLC. See Note 7 to our Condensed Consolidated Financial Statements for additional information.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decrease in interest expense for the three and six months ended June 30, 2019 compared to the three and six months ended June 30, 2018 was primarily due to (i) a lower weighted average debt balance during the 2019 periods from lower PAA commercial paper and credit facility borrowings and (ii) higher capitalized interest in the 2019 periods due to additional projects under construction.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28"/>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Gain/(loss) related to mark-to-market adjustment of the Preferred Distribution Rate Reset</w:t>
            </w: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700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5"/>
                <w:szCs w:val="25"/>
                <w:color w:val="auto"/>
                <w:vertAlign w:val="superscript"/>
              </w:rPr>
              <w:t>(1)</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21"/>
                <w:szCs w:val="21"/>
                <w:color w:val="auto"/>
              </w:rPr>
            </w:pPr>
          </w:p>
        </w:tc>
        <w:tc>
          <w:tcPr>
            <w:tcW w:w="3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For the three months ended June 30, 2019 compared to the three months ended June 30, 2018, the lower income tax benefit was primarily due to higher current income tax expense as a result of higher taxable earnings from our Canadian operations, partially offset by a higher deferred tax benefit from</w:t>
      </w:r>
    </w:p>
    <w:p>
      <w:pPr>
        <w:ind w:right="100" w:firstLine="8"/>
        <w:spacing w:after="0" w:line="255"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recognition of a deferred tax benefit of $60 million as a result of the reduction of the provincial tax rate in Alberta, Canada enacted during the second quarter of 2019, partially offset by (ii) higher year-over-year income as impacted by fluctuations in the derivative mark-to-market valuations in our Canadian operations and (iii) higher deferred income tax expense as a result of higher income attributable to PAGP.</w:t>
      </w:r>
    </w:p>
    <w:p>
      <w:pPr>
        <w:spacing w:after="0" w:line="19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increase in income tax expense for the six months ended June 30, 2019 compared to the six months ended June 30, 2018 was primarily due to higher current income tax expense as a result of higher taxable earnings from our Canadian operations, partially offset by lower deferred income tax expense primarily from (i) the recognition of a deferred tax benefit of $60 million as a result of the reduction of the provincial tax rate in Alberta, Canada enacted during the second quarter of 2019 and (ii) lower year-over-year income as impacted by fluctuations in the derivative mark-to-market valuations in our Canadian operations, partially offset by (iii) higher deferred income tax expense as a result of higher income attributable to PAGP and a change in our effective tax rate in the first quarter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2019, although we had a working capital deficit of $10 million, we had approximately $3.0 billion of liquidity available to meet our ongoing operating, investing and financing needs, subject to continued covenant compliance, as noted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2019</w:t>
            </w:r>
          </w:p>
        </w:tc>
      </w:tr>
      <w:tr>
        <w:trPr>
          <w:trHeight w:val="270"/>
        </w:trPr>
        <w:tc>
          <w:tcPr>
            <w:tcW w:w="9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1,460</w:t>
            </w:r>
          </w:p>
        </w:tc>
      </w:tr>
      <w:tr>
        <w:trPr>
          <w:trHeight w:val="270"/>
        </w:trPr>
        <w:tc>
          <w:tcPr>
            <w:tcW w:w="9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2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1,287</w:t>
            </w: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97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2,529</w:t>
            </w:r>
          </w:p>
        </w:tc>
      </w:tr>
      <w:tr>
        <w:trPr>
          <w:trHeight w:val="27"/>
        </w:trPr>
        <w:tc>
          <w:tcPr>
            <w:tcW w:w="9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r>
      <w:tr>
        <w:trPr>
          <w:trHeight w:val="237"/>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2,957</w:t>
            </w:r>
          </w:p>
        </w:tc>
      </w:tr>
      <w:tr>
        <w:trPr>
          <w:trHeight w:val="27"/>
        </w:trPr>
        <w:tc>
          <w:tcPr>
            <w:tcW w:w="9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$140 million and $13 million, respectively.</w:t>
      </w:r>
    </w:p>
    <w:p>
      <w:pPr>
        <w:spacing w:after="0" w:line="203"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June 30, 2019, PAA was in compliance with all such covenants. Also, see Item 1A. “Risk Factors” included in our 2018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2018 Annual Report on Form 10-K.</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provided by operating activities for the first six months of 2019 and 2018 was $1.468 billion and $1.013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six months ended June 30, 2019, our cash provided by operating activities was positively impacted by decreases in the volume of inventory that we held, primarily due to the sale of NGL and crude oil inventory. The favorable effects from liquidation of such inventory were partially offset by timing of revenue recognized during the period for which cash was received in prior periods.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During the six months ended June 30, 2018, net cash provided by operating activities was positively impacted by approximately $300 million of cash received for transactions for which the revenue had been deferred pending the completion of future performance obligations. That positive impact was partially offset by increases in the margin balances required as part of our hedging activities, which were funded by short-term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During the second quarter of 2019, we paid an aggregate of $47 million to acquire assets, including a crude oil storage terminal.</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$695 million in midstream infrastructure during the six months ended June 30, 2019, and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approximately $1.5 billion during the full year ending December 31, 2019. See “—Acquisitions and Capital Projects” for detail of our projected capital expenditures for the year ending December 31, 2019. We expect to fund our 2019 capital program with retained cash flow, proceeds from assets sold as part of our divestiture program or debt.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first quarter of 2019, we announced the formation of W2W Pipeline, a joint venture with subsidiaries of ExxonMobil and Lotus Midstream, LLC. Subsequent to June 30, 2019, three additional entities joined as partners in W2W Pipeline. As a result, our ownership interest in W2W Pipeline decreased from 20% to 16%. W2W Pipeline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 See Note 7 to our Condensed Consolidated Financial Statements for additional information.</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second quarter of 2019, we announced the formation of Red Oak, a joint venture with a subsidiary of Phillips 66. We own a 50% interest in Red Oak, 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as early as the first quarter of 2021, subject to receipt of applicable permits and regulatory approvals. See Note 7 to our Condensed Consolidated Financial Statements for additional information.</w:t>
      </w:r>
    </w:p>
    <w:p>
      <w:pPr>
        <w:spacing w:after="0" w:line="18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During the second quarter of 2019, we formed a joint venture, Red River LLC, with Delek on our Red River pipeline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approximately $128 million for Delek’s 33% interest in Red River LLC. See Note 9 to our Condensed Consolidated Financial Statements for additional information.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 reinforce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PAA’s Business” of our 2018 Annual Report on Form 10-K for further discussion regarding risks related to our acquisitions and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an aggregate of $1.0 billion of equity securities (the “PAGP Traditional Shelf”). All issuances of equity securities associated with our continuous offering program have been issued pursuant to the PAGP Traditional Shelf. At June 30, 2019,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six months ended June 30, 2019.</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$1.1 billion of debt or equity securities (the “PAA Traditional Shelf”). At June 30, 2019,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six months ended June 30, 2019.</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 PAA’s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the PAA commercial paper program because they provide the financial backstop that supports PAA’s short-term credit ratings) and its GO Zone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As of June 30, 2019, PAA was in compliance with the covenants contained in its credit agreements and indentures.</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During the six months ended June 30, 2019, we had net borrowings under PAA’s credit facilities and the PAA commercial paper program of $318 million. These borrowings resulted primarily from funds needed for general partnership purposes.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six months ended June 30, 2018, we had net repayments on PAA’s credit facilities and the PAA commercial paper program of $72 million. The net repayments resulted primarily from cash flow from operating activities, partially offset by borrowings during the period related to funding needs for inventory purchases and related margin activities.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Distributions to our Class A shareholders. </w:t>
      </w:r>
      <w:r>
        <w:rPr>
          <w:rFonts w:ascii="Arial" w:cs="Arial" w:eastAsia="Arial" w:hAnsi="Arial"/>
          <w:sz w:val="16"/>
          <w:szCs w:val="16"/>
          <w:color w:val="auto"/>
        </w:rPr>
        <w:t>We distribute all of our available cash within 55 days following the end of each quarter 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August 14, 2019, we will pay a quarterly distribution of $0.36 per Class A share ($1.44 per Class A share on an annualized basis) on our Class A shares outstanding as of July 31, 2019, the record date for such distribution for the period from April 1, 2019 through June 30, 2019. See Note 9 to our Condensed Consolidated Financial Statements for details of distributions paid during or pertaining to the first six months of 2019. Also, see Item 5. “Market for Registrant’s Shares, Related Shareholder Matters and Issuer Purchases of Equity Securities—Cash Distribution Policy” included in our 2018 Annual Report on Form 10-K for additional discussion regarding distributions.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June 30, 2019, noncontrolling interests in our subsidiaries consisted of (i) limited partner interests in PAA including a 66% interest in PAA’s common units and PAA’s Series A preferred units combined and 100% of PAA’s Series B preferred units, (ii) an approximate 37% limited partner interest in AAP and (iii) a 33% interest in Red River LLC. See Note 9 to our Condensed Consolidated Financial Statements for additional information.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August 14, 2019, PAA will pay a cash distribution of $37 million ($0.525 per unit) on its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July 31, 2019, the record date for such distribution for the period from April 1, 2019 through June 30, 2019. See Note 9 to our Condensed Consolidated Financial Statements for details of distributions made during or pertaining to the first six months of 2019.</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Distributions to PAA’s Series B preferred unitholders. </w:t>
      </w:r>
      <w:r>
        <w:rPr>
          <w:rFonts w:ascii="Arial" w:cs="Arial" w:eastAsia="Arial" w:hAnsi="Arial"/>
          <w:sz w:val="18"/>
          <w:szCs w:val="18"/>
          <w:color w:val="auto"/>
        </w:rPr>
        <w:t>Distributions on PAA’s Series B preferred units are payable semi-annually in arrears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15th day of May and November. See Note 9 to our Condensed Consolidated Financial Statements for additional information.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August 14, 2019, PAA will pay a quarterly distribution of $0.36 per common unit ($1.44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on its common units outstanding as of July 31, 2019, the record date for such distribution for the period from April 1, 2019 through June 30, 2019. See Note 9 to our Condensed Consolidated Financial Statements for details of distributions paid during or pertaining to the first six months of 2019.</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2019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2024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709</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8,593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36,878</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20,602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54,914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37" w:lineRule="auto"/>
        <w:tabs>
          <w:tab w:leader="none" w:pos="66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8 to our Condensed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20" w:hanging="652"/>
        <w:spacing w:after="0" w:line="252" w:lineRule="auto"/>
        <w:tabs>
          <w:tab w:leader="none" w:pos="66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11 to our Condensed Consolidated Financial Statements for additional information.</w:t>
      </w:r>
    </w:p>
    <w:p>
      <w:pPr>
        <w:spacing w:after="0" w:line="81" w:lineRule="exact"/>
        <w:rPr>
          <w:rFonts w:ascii="Arial" w:cs="Arial" w:eastAsia="Arial" w:hAnsi="Arial"/>
          <w:sz w:val="22"/>
          <w:szCs w:val="22"/>
          <w:color w:val="auto"/>
          <w:vertAlign w:val="superscript"/>
        </w:rPr>
      </w:pPr>
    </w:p>
    <w:p>
      <w:pPr>
        <w:ind w:left="660" w:hanging="652"/>
        <w:spacing w:after="0" w:line="245" w:lineRule="auto"/>
        <w:tabs>
          <w:tab w:leader="none" w:pos="66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660" w:right="40"/>
        <w:spacing w:after="0" w:line="254" w:lineRule="auto"/>
        <w:rPr>
          <w:rFonts w:ascii="Arial" w:cs="Arial" w:eastAsia="Arial" w:hAnsi="Arial"/>
          <w:sz w:val="22"/>
          <w:szCs w:val="22"/>
          <w:color w:val="auto"/>
          <w:vertAlign w:val="superscript"/>
        </w:rPr>
      </w:pPr>
      <w:r>
        <w:rPr>
          <w:rFonts w:ascii="Arial" w:cs="Arial" w:eastAsia="Arial" w:hAnsi="Arial"/>
          <w:sz w:val="18"/>
          <w:szCs w:val="18"/>
          <w:color w:val="auto"/>
        </w:rPr>
        <w:t>(iv) noncancelable commitments related to our capital expansion projects, including projected contributions for our share of the capital spending of our equity method investments. The transportation agreements include approximately $1.7 billion associated with agreements to transport crude oil at posted tariff rates on pipelines that are owned by equity method investees. Our commitment to transport is supported by crude oil buy/sell or other agreements with third parties (including Oxy) with commensurate quantities.</w:t>
      </w:r>
    </w:p>
    <w:p>
      <w:pPr>
        <w:spacing w:after="0" w:line="81" w:lineRule="exact"/>
        <w:rPr>
          <w:rFonts w:ascii="Arial" w:cs="Arial" w:eastAsia="Arial" w:hAnsi="Arial"/>
          <w:sz w:val="22"/>
          <w:szCs w:val="22"/>
          <w:color w:val="auto"/>
          <w:vertAlign w:val="superscript"/>
        </w:rPr>
      </w:pPr>
    </w:p>
    <w:p>
      <w:pPr>
        <w:ind w:left="660" w:right="200" w:hanging="652"/>
        <w:spacing w:after="0" w:line="238" w:lineRule="auto"/>
        <w:tabs>
          <w:tab w:leader="none" w:pos="660" w:val="left"/>
        </w:tabs>
        <w:numPr>
          <w:ilvl w:val="0"/>
          <w:numId w:val="60"/>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June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June 30, 2019 and December 31, 2018, we had outstanding letters of credit of approximately $153 million and $184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2018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2018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64"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2019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June 30, 2019, approximately $518 million, was subject to interest rate re-sets that generally range from one day to approximately one month. The average interest rate on variable rate debt that was outstanding during the six months ended June 30, 2019 was 3.3%, based upon rates in effect during such period. The fair value of our interest rate derivatives was a liability of $43 million as of June 30, 2019. A 10% increase in the forward LIBOR curve as of June 30, 2019 would have resulted in an increase of $19 million to the fair value of our interest rate derivatives. A 10% decrease in the forward LIBOR curve as of June 30, 2019 would have resulted in a decrease of $19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$3 million as of June 30, 2019. A 10% increase in the exchange rate (USD-to-CAD) would have resulted in a decrease of $10 million to the fair value of our foreign currency derivatives. A 10% decrease in the exchange rate (USD-to-CAD) would have resulted in an increase of $10 million to the fair value of our foreign currency derivatives. See Note 10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$20 million as of June 30, 2019. A 10% increase or decrease in the fair value would have an impact of $2 million. See Note 10 to our Condensed Consolidated Financial Statements for a discussion of embedded derivatives.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2019,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In addition to the information concerning our DCP, we are required to disclose certain changes in internal control over financial reporting. We implemented new processes and internal controls in connection with our adoption on January 1, 2019 of FASB accounting standard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and we also implemented a new lease accounting system during the second quarter of 2019.</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Except as discussed above, there have been no other changes in our internal control over financial reporting during the second quarter of 2019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2018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June 30, 2019, certain Legacy Owners or their permitted transferees exercised the Exchange Right, which resulted in the issuance of 7,331,745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Exhibit No.</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30"/>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1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Certificate of Limited Partnership of Plains GP Holdings, L.P. (incorporated by reference to Exhibit 3.1 to our Registration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Statement on Form S-1 (333-190227) filed July 29, 2013).</w:t>
              </w:r>
            </w:hyperlink>
          </w:p>
        </w:tc>
        <w:tc>
          <w:tcPr>
            <w:tcW w:w="700" w:type="dxa"/>
            <w:vAlign w:val="bottom"/>
            <w:gridSpan w:val="1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00" w:type="dxa"/>
            <w:vAlign w:val="bottom"/>
            <w:tcBorders>
              <w:bottom w:val="single" w:sz="8" w:color="0000FF"/>
            </w:tcBorders>
            <w:gridSpan w:val="20"/>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Second Amended and Restated Agreement of Limited Partnership of Plains GP Holdings, L.P. dated as of November 15, 2016</w:t>
              </w:r>
            </w:hyperlink>
          </w:p>
        </w:tc>
        <w:tc>
          <w:tcPr>
            <w:tcW w:w="4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(incorporated by reference to Exhibit 3.2 to our Current Report on Form 8-K filed November 21, 2016).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Certificate of Formation of PAA GP Holdings LLC (incorporated by reference to Exhibit 3.3 to our Registration Statement 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Form S-1 (333-190227) filed July 29, 2013).</w:t>
              </w:r>
            </w:hyperlink>
          </w:p>
        </w:tc>
        <w:tc>
          <w:tcPr>
            <w:tcW w:w="5840" w:type="dxa"/>
            <w:vAlign w:val="bottom"/>
            <w:tcBorders>
              <w:top w:val="single" w:sz="8" w:color="0000FF"/>
            </w:tcBorders>
            <w:gridSpan w:val="17"/>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40" w:type="dxa"/>
            <w:vAlign w:val="bottom"/>
            <w:tcBorders>
              <w:bottom w:val="single" w:sz="8" w:color="0000FF"/>
            </w:tcBorders>
            <w:gridSpan w:val="22"/>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Third Amended and Restated Limited Liability Company Agreement of PAA GP Holdings LLC dated as of February 16, 2017</w:t>
              </w:r>
            </w:hyperlink>
          </w:p>
        </w:tc>
        <w:tc>
          <w:tcPr>
            <w:tcW w:w="40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(incorporated by reference to Exhibit 3.1 to our Current Report on Form 8-K filed February 21, 2017).</w:t>
              </w:r>
            </w:hyperlink>
          </w:p>
        </w:tc>
        <w:tc>
          <w:tcPr>
            <w:tcW w:w="2160" w:type="dxa"/>
            <w:vAlign w:val="bottom"/>
            <w:gridSpan w:val="27"/>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tcBorders>
              <w:bottom w:val="single" w:sz="8" w:color="0000FF"/>
            </w:tcBorders>
            <w:gridSpan w:val="2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Amendment No. 1 dated October 1, 2018 to the Third Amended and Restated Limited Liability Company Agreement of PAA GP</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Holdings LLC (incorporated by reference to Exhibit 3.1 to our Current Report on Form 8-K filed August 20, 2018).</w:t>
              </w:r>
            </w:hyperlink>
          </w:p>
        </w:tc>
        <w:tc>
          <w:tcPr>
            <w:tcW w:w="1200" w:type="dxa"/>
            <w:vAlign w:val="bottom"/>
            <w:gridSpan w:val="20"/>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00" w:type="dxa"/>
            <w:vAlign w:val="bottom"/>
            <w:tcBorders>
              <w:bottom w:val="single" w:sz="8" w:color="0000FF"/>
            </w:tcBorders>
            <w:gridSpan w:val="26"/>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Seventh Amended and Restated Agreement of Limited Partnership of Plains All American Pipeline, L.P., dated as of October 10,</w:t>
              </w:r>
            </w:hyperlink>
          </w:p>
        </w:tc>
        <w:tc>
          <w:tcPr>
            <w:tcW w:w="24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2017 (incorporated by reference to Exhibit 3.1 to PAA's Current Report on Form 8-K filed October 12, 2017).</w:t>
              </w:r>
            </w:hyperlink>
          </w:p>
        </w:tc>
        <w:tc>
          <w:tcPr>
            <w:tcW w:w="1620" w:type="dxa"/>
            <w:vAlign w:val="bottom"/>
            <w:gridSpan w:val="2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tcBorders>
              <w:bottom w:val="single" w:sz="8" w:color="0000FF"/>
            </w:tcBorders>
            <w:gridSpan w:val="32"/>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(incorporated by reference to Exhibit 3.3 to our Current Report on Form 8-K filed November 21, 2016).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Eighth Amended and Restated Limited Partnership Agreement of Plains AAP, L.P. dated November 15, 2016 (incorporated by</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reference to Exhibit 3.4 to our Current Report on Form 8-K filed November 21, 2016).</w:t>
              </w:r>
            </w:hyperlink>
          </w:p>
        </w:tc>
        <w:tc>
          <w:tcPr>
            <w:tcW w:w="440" w:type="dxa"/>
            <w:vAlign w:val="bottom"/>
            <w:gridSpan w:val="1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Amendment No. 1 dated September 26, 2018 to the Eighth Amended and Restated Limited Partnership Agreement of Plains AAP,</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L.P. (incorporated by reference to Exhibit 3.1 to our Current Report on Form 8-K filed October 2, 2018).</w:t>
              </w:r>
            </w:hyperlink>
          </w:p>
        </w:tc>
        <w:tc>
          <w:tcPr>
            <w:tcW w:w="1840" w:type="dxa"/>
            <w:vAlign w:val="bottom"/>
            <w:tcBorders>
              <w:top w:val="single" w:sz="8" w:color="0000FF"/>
            </w:tcBorders>
            <w:gridSpan w:val="2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Amendment No. 2 dated May 23, 2019 to the Eighth Amended and Restated Limited Partnership Agreement of Plains AAP, L.P.</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19"/>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21"/>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Limited Liability Company Agreement of PAA GP LLC dated December 28, 2007 (incorporated by reference to Exhibit 3.3 to</w:t>
              </w:r>
            </w:hyperlink>
          </w:p>
        </w:tc>
        <w:tc>
          <w:tcPr>
            <w:tcW w:w="42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PAA’s Current Report on Form 8-K filed January 4, 2008).</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top w:val="single" w:sz="8" w:color="0000FF"/>
            </w:tcBorders>
            <w:gridSpan w:val="29"/>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Association, as trustee (incorporated by reference to Exhibit 4.1 to PAA’s Quarterly Report on Form 10-Q for the quarter ended</w:t>
              </w:r>
            </w:hyperlink>
          </w:p>
        </w:tc>
        <w:tc>
          <w:tcPr>
            <w:tcW w:w="18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September 30, 2002).</w:t>
              </w:r>
            </w:hyperlink>
          </w:p>
        </w:tc>
        <w:tc>
          <w:tcPr>
            <w:tcW w:w="38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80" w:type="dxa"/>
            <w:vAlign w:val="bottom"/>
            <w:tcBorders>
              <w:bottom w:val="single" w:sz="8" w:color="0000FF"/>
            </w:tcBorders>
            <w:gridSpan w:val="17"/>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Sixth Supplemental Indenture (Series A and Series B 6.70% Senior Notes due 2036) dated May 12, 2006 among Plains All</w:t>
              </w:r>
            </w:hyperlink>
          </w:p>
        </w:tc>
        <w:tc>
          <w:tcPr>
            <w:tcW w:w="66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as trustee (incorporated by reference to Exhibit 4.1 to PAA’s Current Report on Form 8-K filed May 12, 2006).</w:t>
              </w:r>
            </w:hyperlink>
          </w:p>
        </w:tc>
        <w:tc>
          <w:tcPr>
            <w:tcW w:w="1560" w:type="dxa"/>
            <w:vAlign w:val="bottom"/>
            <w:gridSpan w:val="22"/>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24"/>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3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American Pipeline, L.P., PAA Finance Corp., the Subsidiary Guarantors named therein and U.S. Bank National Association, as</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trustee (incorporated by reference to Exhibit 4.2 to PAA’s Current Report on Form 8-K filed October 30, 2006).</w:t>
              </w:r>
            </w:hyperlink>
          </w:p>
        </w:tc>
        <w:tc>
          <w:tcPr>
            <w:tcW w:w="400" w:type="dxa"/>
            <w:vAlign w:val="bottom"/>
            <w:gridSpan w:val="1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Seventeenth Supplemental Indenture (5.75% Senior Notes due 2020) dated September 4, 2009 among Plains All American</w:t>
              </w:r>
            </w:hyperlink>
          </w:p>
        </w:tc>
        <w:tc>
          <w:tcPr>
            <w:tcW w:w="68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Pipeline, L.P., PAA Finance Corp., the Subsidiary Guarantors named therein and U.S. Bank National Association, as trustee</w:t>
              </w:r>
            </w:hyperlink>
          </w:p>
        </w:tc>
        <w:tc>
          <w:tcPr>
            <w:tcW w:w="62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(incorporated by reference to Exhibit 4.1 to PAA’s Current Report on Form 8-K filed September 4, 2009).</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720" w:type="dxa"/>
            <w:vAlign w:val="bottom"/>
            <w:gridSpan w:val="1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20" w:type="dxa"/>
            <w:vAlign w:val="bottom"/>
            <w:tcBorders>
              <w:bottom w:val="single" w:sz="8" w:color="0000FF"/>
            </w:tcBorders>
            <w:gridSpan w:val="27"/>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Nineteenth Supplemental Indenture (5.00% Senior Notes due 2021) dated January 14, 2011 among Plains All American Pipeline,</w:t>
              </w:r>
            </w:hyperlink>
          </w:p>
        </w:tc>
        <w:tc>
          <w:tcPr>
            <w:tcW w:w="22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L.P., PAA Finance Corp., the Subsidiary Guarantors named therein and U.S. Bank National Association, as trustee (incorporated by</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reference to Exhibit 4.1 to PAA’s Current Report on Form 8-K filed January 11, 2011).</w:t>
              </w:r>
            </w:hyperlink>
          </w:p>
        </w:tc>
        <w:tc>
          <w:tcPr>
            <w:tcW w:w="3300" w:type="dxa"/>
            <w:vAlign w:val="bottom"/>
            <w:gridSpan w:val="2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5" w:right="25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1"/>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Twentieth Supplemental Indenture (3.65% Senior Notes due 2022) dated March 22, 2012 among Plains All American Pipeline,</w:t>
              </w:r>
            </w:hyperlink>
          </w:p>
        </w:tc>
        <w:tc>
          <w:tcPr>
            <w:tcW w:w="30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L.P., PAA Finance Corp and U.S. Bank National Association, as trustee (incorporated by reference to Exhibit 4.1 to PAA’s Current</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Report on Form 8-K filed March 26,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Twenty-First Supplemental Indenture (5.15% Senior Notes due 2042)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Report on Form 8-K filed March 26,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17"/>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Twenty-Second Supplemental Indenture (2.85% Senior Notes due 2023) dated December 10, 2012, by and among Plains All</w:t>
              </w:r>
            </w:hyperlink>
          </w:p>
        </w:tc>
        <w:tc>
          <w:tcPr>
            <w:tcW w:w="48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Exhibit 4.1 to PAA’s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5"/>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Exhibit 4.3 to PAA’s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7"/>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Pipeline, L.P., PAA Finance Corp. and U.S. Bank National Association, as trustee (incorporated by reference to Exhibit 4.1 to</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PAA’s Current Report on Form 8-K filed August 15, 2013).</w:t>
              </w:r>
            </w:hyperlink>
          </w:p>
        </w:tc>
        <w:tc>
          <w:tcPr>
            <w:tcW w:w="4760" w:type="dxa"/>
            <w:vAlign w:val="bottom"/>
            <w:tcBorders>
              <w:top w:val="single" w:sz="8" w:color="0000FF"/>
            </w:tcBorders>
            <w:gridSpan w:val="15"/>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2"/>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Twenty-Fifth Supplemental Indenture (4.70% Senior Notes due 2044) dated April 23, 2014, by and among Plains All American</w:t>
              </w:r>
            </w:hyperlink>
          </w:p>
        </w:tc>
        <w:tc>
          <w:tcPr>
            <w:tcW w:w="26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Current Report on Form 8-K filed April 29, 2014).</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7"/>
          </w:tcPr>
          <w:p>
            <w:pPr>
              <w:spacing w:after="0"/>
              <w:rPr>
                <w:rFonts w:ascii="Arial" w:cs="Arial" w:eastAsia="Arial" w:hAnsi="Arial"/>
                <w:sz w:val="18"/>
                <w:szCs w:val="18"/>
                <w:color w:val="0000FF"/>
                <w:w w:val="97"/>
              </w:rPr>
            </w:pPr>
            <w:hyperlink r:id="rId74">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Exhibit 4.1 to our Current Report on Form 8-K filed September 11, 2014).</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6"/>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American Pipeline, L.P., PAA Finance Corp., and U.S. Bank National Association, as trustee (incorporated by reference to</w:t>
              </w:r>
            </w:hyperlink>
          </w:p>
        </w:tc>
        <w:tc>
          <w:tcPr>
            <w:tcW w:w="64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Exhibit 4.1 to our Current Report on Form 8-K filed December 11, 2014).</w:t>
              </w:r>
            </w:hyperlink>
          </w:p>
        </w:tc>
        <w:tc>
          <w:tcPr>
            <w:tcW w:w="4120" w:type="dxa"/>
            <w:vAlign w:val="bottom"/>
            <w:gridSpan w:val="20"/>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4"/>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American Pipeline, L.P., PAA Finance Corp., and U.S. Bank National Association, as trustee (incorporated by reference to</w:t>
              </w:r>
            </w:hyperlink>
          </w:p>
        </w:tc>
        <w:tc>
          <w:tcPr>
            <w:tcW w:w="64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Exhibit 4.3 to our Current Report on Form 8-K filed December 11, 2014).</w:t>
              </w:r>
            </w:hyperlink>
          </w:p>
        </w:tc>
        <w:tc>
          <w:tcPr>
            <w:tcW w:w="4120" w:type="dxa"/>
            <w:vAlign w:val="bottom"/>
            <w:gridSpan w:val="20"/>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5"/>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Twenty-Ninth Supplemental Indenture (4.65% Senior Notes due 2025) dated August 24, 2015, by and among Plains All American</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3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PAA’s Current Report on Form 8-K filed August 26, 2015).</w:t>
              </w:r>
            </w:hyperlink>
          </w:p>
        </w:tc>
        <w:tc>
          <w:tcPr>
            <w:tcW w:w="5180" w:type="dxa"/>
            <w:vAlign w:val="bottom"/>
            <w:gridSpan w:val="24"/>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23"/>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Thirtieth Supplemental Indenture (4.50% Senior Notes due 2026) dated November 22, 2016, by and among Plains All American</w:t>
              </w:r>
            </w:hyperlink>
          </w:p>
        </w:tc>
        <w:tc>
          <w:tcPr>
            <w:tcW w:w="2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3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PAA’s Current Report on Form 8-K filed November 29, 2016).</w:t>
              </w:r>
            </w:hyperlink>
          </w:p>
        </w:tc>
        <w:tc>
          <w:tcPr>
            <w:tcW w:w="4940" w:type="dxa"/>
            <w:vAlign w:val="bottom"/>
            <w:gridSpan w:val="2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19"/>
          </w:tcPr>
          <w:p>
            <w:pPr>
              <w:spacing w:after="0"/>
              <w:rPr>
                <w:rFonts w:ascii="Arial" w:cs="Arial" w:eastAsia="Arial" w:hAnsi="Arial"/>
                <w:sz w:val="18"/>
                <w:szCs w:val="18"/>
                <w:color w:val="0000FF"/>
                <w:w w:val="89"/>
              </w:rPr>
            </w:pPr>
            <w:hyperlink r:id="rId79">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7"/>
          </w:tcPr>
          <w:p>
            <w:pPr>
              <w:spacing w:after="0" w:line="196" w:lineRule="exact"/>
              <w:rPr>
                <w:rFonts w:ascii="Arial" w:cs="Arial" w:eastAsia="Arial" w:hAnsi="Arial"/>
                <w:sz w:val="18"/>
                <w:szCs w:val="18"/>
                <w:color w:val="0000FF"/>
                <w:w w:val="95"/>
              </w:rPr>
            </w:pPr>
            <w:hyperlink r:id="rId79">
              <w:r>
                <w:rPr>
                  <w:rFonts w:ascii="Arial" w:cs="Arial" w:eastAsia="Arial" w:hAnsi="Arial"/>
                  <w:sz w:val="18"/>
                  <w:szCs w:val="18"/>
                  <w:color w:val="0000FF"/>
                  <w:w w:val="95"/>
                </w:rPr>
                <w:t>parties signatory thereto (incorporated by reference to Exhibit 4.1 to our Current Report on Form 8-K filed October 25, 2013).</w:t>
              </w:r>
            </w:hyperlink>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w:t>
            </w:r>
          </w:p>
        </w:tc>
        <w:tc>
          <w:tcPr>
            <w:tcW w:w="1740" w:type="dxa"/>
            <w:vAlign w:val="bottom"/>
            <w:tcBorders>
              <w:top w:val="single" w:sz="8" w:color="0000FF"/>
            </w:tcBorders>
            <w:gridSpan w:val="9"/>
          </w:tcPr>
          <w:p>
            <w:pPr>
              <w:spacing w:after="0"/>
              <w:rPr>
                <w:sz w:val="24"/>
                <w:szCs w:val="24"/>
                <w:color w:val="auto"/>
              </w:rPr>
            </w:pPr>
          </w:p>
        </w:tc>
        <w:tc>
          <w:tcPr>
            <w:tcW w:w="380" w:type="dxa"/>
            <w:vAlign w:val="bottom"/>
            <w:gridSpan w:val="8"/>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7"/>
          </w:tcPr>
          <w:p>
            <w:pPr>
              <w:spacing w:after="0"/>
              <w:rPr>
                <w:sz w:val="20"/>
                <w:szCs w:val="20"/>
                <w:color w:val="auto"/>
              </w:rPr>
            </w:pPr>
            <w:r>
              <w:rPr>
                <w:rFonts w:ascii="Arial" w:cs="Arial" w:eastAsia="Arial" w:hAnsi="Arial"/>
                <w:sz w:val="18"/>
                <w:szCs w:val="18"/>
                <w:color w:val="0000FF"/>
              </w:rPr>
              <w:t>Certification of Principal Financial Officer pursuant to Exchange Act Rules 13a-14(a) and 15d-14(a).</w:t>
            </w: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Principal Executive Officer pursuant to 18 U.S.C. 1350.</w:t>
            </w:r>
          </w:p>
        </w:tc>
        <w:tc>
          <w:tcPr>
            <w:tcW w:w="2100" w:type="dxa"/>
            <w:vAlign w:val="bottom"/>
            <w:tcBorders>
              <w:top w:val="single" w:sz="8" w:color="0000FF"/>
            </w:tcBorders>
            <w:gridSpan w:val="3"/>
          </w:tcPr>
          <w:p>
            <w:pPr>
              <w:spacing w:after="0"/>
              <w:rPr>
                <w:sz w:val="24"/>
                <w:szCs w:val="24"/>
                <w:color w:val="auto"/>
              </w:rPr>
            </w:pPr>
          </w:p>
        </w:tc>
        <w:tc>
          <w:tcPr>
            <w:tcW w:w="2180" w:type="dxa"/>
            <w:vAlign w:val="bottom"/>
            <w:gridSpan w:val="18"/>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7"/>
          </w:tcPr>
          <w:p>
            <w:pPr>
              <w:spacing w:after="0"/>
              <w:rPr>
                <w:sz w:val="20"/>
                <w:szCs w:val="20"/>
                <w:color w:val="auto"/>
              </w:rPr>
            </w:pPr>
            <w:r>
              <w:rPr>
                <w:rFonts w:ascii="Arial" w:cs="Arial" w:eastAsia="Arial" w:hAnsi="Arial"/>
                <w:sz w:val="18"/>
                <w:szCs w:val="18"/>
                <w:color w:val="0000FF"/>
              </w:rPr>
              <w:t>Certification of Principal Financial Officer pursuant to 18 U.S.C. 1350.</w:t>
            </w: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340" w:type="dxa"/>
            <w:vAlign w:val="bottom"/>
            <w:gridSpan w:val="22"/>
          </w:tcPr>
          <w:p>
            <w:pPr>
              <w:spacing w:after="0" w:line="20" w:lineRule="exact"/>
              <w:rPr>
                <w:sz w:val="1"/>
                <w:szCs w:val="1"/>
                <w:color w:val="auto"/>
              </w:rPr>
            </w:pPr>
          </w:p>
        </w:tc>
      </w:tr>
      <w:tr>
        <w:trPr>
          <w:trHeight w:val="54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101.INS†</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7"/>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gridSpan w:val="2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bl>
    <w:p>
      <w:pPr>
        <w:spacing w:after="0" w:line="200" w:lineRule="exact"/>
        <w:rPr>
          <w:sz w:val="20"/>
          <w:szCs w:val="20"/>
          <w:color w:val="auto"/>
        </w:rPr>
      </w:pPr>
    </w:p>
    <w:p>
      <w:pPr>
        <w:sectPr>
          <w:pgSz w:w="11900" w:h="16838" w:orient="portrait"/>
          <w:cols w:equalWidth="0" w:num="1">
            <w:col w:w="11320"/>
          </w:cols>
          <w:pgMar w:left="240" w:top="108" w:right="339" w:bottom="366" w:gutter="0" w:footer="0" w:header="0"/>
        </w:sect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20"/>
          </w:cols>
          <w:pgMar w:left="240" w:top="108" w:right="339" w:bottom="366"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642"/>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101.CAL†</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101.DEF†</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101.LAB†</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101.PRE†</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w w:val="91"/>
              </w:rPr>
              <w:t>Inline XBRL Taxonomy Extension Presentation Linkbase Document</w:t>
            </w:r>
          </w:p>
        </w:tc>
      </w:tr>
      <w:tr>
        <w:trPr>
          <w:trHeight w:val="284"/>
        </w:trPr>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6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Filed herewith.</w:t>
            </w:r>
          </w:p>
        </w:tc>
        <w:tc>
          <w:tcPr>
            <w:tcW w:w="210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2"/>
              </w:rPr>
              <w:t>Furnished herewith.</w:t>
            </w:r>
          </w:p>
        </w:tc>
        <w:tc>
          <w:tcPr>
            <w:tcW w:w="210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108" w:right="144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56"/>
        </w:trPr>
        <w:tc>
          <w:tcPr>
            <w:tcW w:w="66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0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spacing w:after="0" w:line="35"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90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4"/>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3"/>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lowerRoman"/>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2"/>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lowerRoman"/>
      <w:start w:val="2"/>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5"/>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lowerRoman"/>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52" Type="http://schemas.openxmlformats.org/officeDocument/2006/relationships/hyperlink" Target="http://www.sec.gov/Archives/edgar/data/1581990/000104746913007875/a2216069zex-3_1.htm" TargetMode="External"/><Relationship Id="rId53" Type="http://schemas.openxmlformats.org/officeDocument/2006/relationships/hyperlink" Target="http://www.sec.gov/Archives/edgar/data/1581990/000110465916158356/a16-21845_1ex3d2.htm" TargetMode="External"/><Relationship Id="rId54" Type="http://schemas.openxmlformats.org/officeDocument/2006/relationships/hyperlink" Target="http://www.sec.gov/Archives/edgar/data/1581990/000104746913007875/a2216069zex-3_3.htm" TargetMode="External"/><Relationship Id="rId55" Type="http://schemas.openxmlformats.org/officeDocument/2006/relationships/hyperlink" Target="http://www.sec.gov/Archives/edgar/data/1581990/000110465917010602/a17-6893_1ex3d1.htm" TargetMode="External"/><Relationship Id="rId56" Type="http://schemas.openxmlformats.org/officeDocument/2006/relationships/hyperlink" Target="http://www.sec.gov/Archives/edgar/data/1581990/000110465918052852/a18-18386_2ex3d1.htm" TargetMode="External"/><Relationship Id="rId57" Type="http://schemas.openxmlformats.org/officeDocument/2006/relationships/hyperlink" Target="http://www.sec.gov/Archives/edgar/data/1070423/000110465917061889/a17-22685_5ex3d1.htm" TargetMode="External"/><Relationship Id="rId58" Type="http://schemas.openxmlformats.org/officeDocument/2006/relationships/hyperlink" Target="http://www.sec.gov/Archives/edgar/data/1581990/000110465916158356/a16-21845_1ex3d3.htm" TargetMode="External"/><Relationship Id="rId59" Type="http://schemas.openxmlformats.org/officeDocument/2006/relationships/hyperlink" Target="http://www.sec.gov/Archives/edgar/data/1581990/000110465916158356/a16-21845_1ex3d4.htm" TargetMode="External"/><Relationship Id="rId60" Type="http://schemas.openxmlformats.org/officeDocument/2006/relationships/hyperlink" Target="http://www.sec.gov/Archives/edgar/data/1581990/000110465918060012/a18-36197_1ex3d1.htm" TargetMode="External"/><Relationship Id="rId61" Type="http://schemas.openxmlformats.org/officeDocument/2006/relationships/hyperlink" Target="http://www.sec.gov/Archives/edgar/data/1581990/000110465919032813/a19-10857_1ex3d1.htm" TargetMode="External"/><Relationship Id="rId62" Type="http://schemas.openxmlformats.org/officeDocument/2006/relationships/hyperlink" Target="http://www.sec.gov/Archives/edgar/data/1070423/000095012908000071/h52770exv3w3.htm" TargetMode="External"/><Relationship Id="rId63" Type="http://schemas.openxmlformats.org/officeDocument/2006/relationships/hyperlink" Target="http://www.sec.gov/Archives/edgar/data/1070423/000089924302002834/dex41.txt" TargetMode="External"/><Relationship Id="rId64" Type="http://schemas.openxmlformats.org/officeDocument/2006/relationships/hyperlink" Target="http://www.sec.gov/Archives/edgar/data/1070423/000110465906034368/a06-11663_1ex4d1.htm" TargetMode="External"/><Relationship Id="rId65" Type="http://schemas.openxmlformats.org/officeDocument/2006/relationships/hyperlink" Target="http://www.sec.gov/Archives/edgar/data/1070423/000095012906009235/h40667exv4w2.htm" TargetMode="External"/><Relationship Id="rId66" Type="http://schemas.openxmlformats.org/officeDocument/2006/relationships/hyperlink" Target="http://www.sec.gov/Archives/edgar/data/1070423/000095012309041075/h67912exv4w1.htm" TargetMode="External"/><Relationship Id="rId67" Type="http://schemas.openxmlformats.org/officeDocument/2006/relationships/hyperlink" Target="http://www.sec.gov/Archives/edgar/data/1070423/000095012311002051/h78739exv4w1.htm" TargetMode="External"/><Relationship Id="rId68" Type="http://schemas.openxmlformats.org/officeDocument/2006/relationships/hyperlink" Target="http://www.sec.gov/Archives/edgar/data/1070423/000119312512132295/d321017dex41.htm" TargetMode="External"/><Relationship Id="rId69" Type="http://schemas.openxmlformats.org/officeDocument/2006/relationships/hyperlink" Target="http://www.sec.gov/Archives/edgar/data/1070423/000119312512132295/d321017dex43.htm" TargetMode="External"/><Relationship Id="rId70" Type="http://schemas.openxmlformats.org/officeDocument/2006/relationships/hyperlink" Target="http://www.sec.gov/Archives/edgar/data/1070423/000119312512499932/d453762dex41.htm" TargetMode="External"/><Relationship Id="rId71" Type="http://schemas.openxmlformats.org/officeDocument/2006/relationships/hyperlink" Target="http://www.sec.gov/Archives/edgar/data/1070423/000119312512499932/d453762dex43.htm" TargetMode="External"/><Relationship Id="rId72" Type="http://schemas.openxmlformats.org/officeDocument/2006/relationships/hyperlink" Target="http://www.sec.gov/Archives/edgar/data/1070423/000119312513336066/d581734dex41.htm" TargetMode="External"/><Relationship Id="rId73" Type="http://schemas.openxmlformats.org/officeDocument/2006/relationships/hyperlink" Target="http://www.sec.gov/Archives/edgar/data/1581990/000119312514164185/d717953dex41.htm" TargetMode="External"/><Relationship Id="rId74" Type="http://schemas.openxmlformats.org/officeDocument/2006/relationships/hyperlink" Target="http://www.sec.gov/Archives/edgar/data/1581990/000119312514338295/d787197dex41.htm" TargetMode="External"/><Relationship Id="rId75" Type="http://schemas.openxmlformats.org/officeDocument/2006/relationships/hyperlink" Target="http://www.sec.gov/Archives/edgar/data/1581990/000119312514440012/d835488dex41.htm" TargetMode="External"/><Relationship Id="rId76" Type="http://schemas.openxmlformats.org/officeDocument/2006/relationships/hyperlink" Target="http://www.sec.gov/Archives/edgar/data/1581990/000119312514440012/d835488dex43.htm" TargetMode="External"/><Relationship Id="rId77" Type="http://schemas.openxmlformats.org/officeDocument/2006/relationships/hyperlink" Target="http://www.sec.gov/Archives/edgar/data/1070423/000119312515302829/d45393dex41.htm" TargetMode="External"/><Relationship Id="rId78" Type="http://schemas.openxmlformats.org/officeDocument/2006/relationships/hyperlink" Target="http://www.sec.gov/Archives/edgar/data/1070423/000110465916159593/a16-22232_1ex4d1.htm" TargetMode="External"/><Relationship Id="rId79" Type="http://schemas.openxmlformats.org/officeDocument/2006/relationships/hyperlink" Target="http://www.sec.gov/Archives/edgar/data/1581990/000110465913078057/a13-22338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2019-11-30T06:20:48Z</dcterms:created>
  <dcterms:modified xsi:type="dcterms:W3CDTF">2019-11-30T06:20:48Z</dcterms:modified>
</cp:coreProperties>
</file>