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Herbold Chris</w:t>
              </w:r>
            </w:hyperlink>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PLAINS ALL AMERICAN PIPELINE LP</w:t>
              </w:r>
            </w:hyperlink>
          </w:p>
        </w:tc>
        <w:tc>
          <w:tcPr>
            <w:tcW w:w="16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Borders>
              <w:bottom w:val="single" w:sz="8" w:color="0000EE"/>
            </w:tcBorders>
            <w:gridSpan w:val="2"/>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spacing w:after="0" w:line="250" w:lineRule="exact"/>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0000FF"/>
              </w:rPr>
              <w:t>PAA</w:t>
            </w:r>
            <w:r>
              <w:rPr>
                <w:rFonts w:ascii="Arial" w:cs="Arial" w:eastAsia="Arial" w:hAnsi="Arial"/>
                <w:sz w:val="22"/>
                <w:szCs w:val="22"/>
                <w:color w:val="auto"/>
              </w:rPr>
              <w:t xml:space="preserve"> ]</w:t>
            </w: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20"/>
              <w:spacing w:after="0"/>
              <w:rPr>
                <w:sz w:val="20"/>
                <w:szCs w:val="20"/>
                <w:color w:val="auto"/>
              </w:rPr>
            </w:pPr>
            <w:r>
              <w:rPr>
                <w:rFonts w:ascii="Arial" w:cs="Arial" w:eastAsia="Arial" w:hAnsi="Arial"/>
                <w:sz w:val="18"/>
                <w:szCs w:val="18"/>
                <w:color w:val="0000FF"/>
              </w:rPr>
              <w:t>Sr. VP and Chief Acctg Officer</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4"/>
              </w:rPr>
              <w:t>333 CLAY STREET, SUITE 1600</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08/29/2018</w:t>
            </w: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vMerge w:val="continue"/>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60" w:type="dxa"/>
            <w:vAlign w:val="bottom"/>
            <w:tcBorders>
              <w:bottom w:val="single" w:sz="8" w:color="2C2C2C"/>
            </w:tcBorders>
            <w:gridSpan w:val="6"/>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60" w:type="dxa"/>
            <w:vAlign w:val="bottom"/>
            <w:gridSpan w:val="6"/>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3"/>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0000FF"/>
              </w:rPr>
              <w:t>HOUSTON</w:t>
            </w:r>
          </w:p>
        </w:tc>
        <w:tc>
          <w:tcPr>
            <w:tcW w:w="260" w:type="dxa"/>
            <w:vAlign w:val="bottom"/>
          </w:tcPr>
          <w:p>
            <w:pPr>
              <w:ind w:left="2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5"/>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Units</w:t>
            </w:r>
          </w:p>
        </w:tc>
        <w:tc>
          <w:tcPr>
            <w:tcW w:w="2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08/29/2018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10,591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6"/>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26.3491</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34,227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6"/>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$26.34 to $26.3750. Reporting Person undertakes to provide to the SEC staff, the Issuer or any unitholder of the Issuer, upon request, full information regarding the number of units sold at each separate price.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0000FF"/>
                <w:w w:val="89"/>
              </w:rPr>
              <w:t>/s/ Chris Herbold</w:t>
            </w:r>
          </w:p>
        </w:tc>
        <w:tc>
          <w:tcPr>
            <w:tcW w:w="9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08/29/2018</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792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2020-01-12T20:48:59Z</dcterms:created>
  <dcterms:modified xsi:type="dcterms:W3CDTF">2020-01-12T20:48:59Z</dcterms:modified>
</cp:coreProperties>
</file>