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582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58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RESOURCES INC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 MILAM STREET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36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PAA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45"/>
        <w:spacing w:after="0"/>
        <w:tabs>
          <w:tab w:leader="none" w:pos="18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5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5"/>
            <w:col w:w="346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right="200" w:hanging="4196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 xml:space="preserve">6. Individual or Joint/Group Filing (Check Applicable Line)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X </w:t>
      </w:r>
      <w:r>
        <w:rPr>
          <w:rFonts w:ascii="Arial" w:cs="Arial" w:eastAsia="Arial" w:hAnsi="Arial"/>
          <w:sz w:val="12"/>
          <w:szCs w:val="12"/>
          <w:color w:val="000000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46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1,115,476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7,741,484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Subordinated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1,115,476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1,115,476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3,346,428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One-for-one conversion of Subordinated Units into Common Units.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Subordinated Units convert upon satisfaction of financial tests in PAA Partnership Agreement. Tests for 25% conversion were satisfied on November 14, 2003.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Subordinated Units and Common Units are held directly by Plains Holdings II Inc. which is a wholly owned subsidiary of Plains Holdings Inc., which is a wholly owned subsidiary of Plains Resources Inc.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John F. Wombwell, EVP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11/17/2003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General Counsel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6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3504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2020-02-17T04:56:28Z</dcterms:created>
  <dcterms:modified xsi:type="dcterms:W3CDTF">2020-02-17T04:56:28Z</dcterms:modified>
</cp:coreProperties>
</file>