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87" w:orient="portrait"/>
          <w:cols w:equalWidth="0" w:num="3">
            <w:col w:w="4020" w:space="720"/>
            <w:col w:w="3460" w:space="720"/>
            <w:col w:w="2480"/>
          </w:cols>
          <w:pgMar w:left="240" w:top="544" w:right="259" w:bottom="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4"/>
          <w:szCs w:val="24"/>
          <w:color w:val="auto"/>
        </w:rPr>
      </w:pPr>
    </w:p>
    <w:p>
      <w:pPr>
        <w:ind w:right="60" w:firstLine="324"/>
        <w:spacing w:after="0" w:line="271" w:lineRule="auto"/>
        <w:rPr>
          <w:sz w:val="20"/>
          <w:szCs w:val="20"/>
          <w:color w:val="auto"/>
        </w:rPr>
      </w:pPr>
      <w:r>
        <w:rPr>
          <w:rFonts w:ascii="Arial" w:cs="Arial" w:eastAsia="Arial" w:hAnsi="Arial"/>
          <w:sz w:val="17"/>
          <w:szCs w:val="17"/>
          <w:color w:val="auto"/>
        </w:rPr>
        <w:t>On December 27, 2016, Plains GP Holdings, L.P. (“</w:t>
      </w:r>
      <w:r>
        <w:rPr>
          <w:rFonts w:ascii="Arial" w:cs="Arial" w:eastAsia="Arial" w:hAnsi="Arial"/>
          <w:sz w:val="17"/>
          <w:szCs w:val="17"/>
          <w:b w:val="1"/>
          <w:bCs w:val="1"/>
          <w:color w:val="auto"/>
        </w:rPr>
        <w:t>PAGP</w:t>
      </w:r>
      <w:r>
        <w:rPr>
          <w:rFonts w:ascii="Arial" w:cs="Arial" w:eastAsia="Arial" w:hAnsi="Arial"/>
          <w:sz w:val="17"/>
          <w:szCs w:val="17"/>
          <w:color w:val="auto"/>
        </w:rPr>
        <w:t>”) entered into an Equity Distribution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 Securities LLC (each a “</w:t>
      </w:r>
      <w:r>
        <w:rPr>
          <w:rFonts w:ascii="Arial" w:cs="Arial" w:eastAsia="Arial" w:hAnsi="Arial"/>
          <w:sz w:val="17"/>
          <w:szCs w:val="17"/>
          <w:b w:val="1"/>
          <w:bCs w:val="1"/>
          <w:color w:val="auto"/>
        </w:rPr>
        <w:t>Manager</w:t>
      </w:r>
      <w:r>
        <w:rPr>
          <w:rFonts w:ascii="Arial" w:cs="Arial" w:eastAsia="Arial" w:hAnsi="Arial"/>
          <w:sz w:val="17"/>
          <w:szCs w:val="17"/>
          <w:color w:val="auto"/>
        </w:rPr>
        <w:t>” and collectively the “</w:t>
      </w:r>
      <w:r>
        <w:rPr>
          <w:rFonts w:ascii="Arial" w:cs="Arial" w:eastAsia="Arial" w:hAnsi="Arial"/>
          <w:sz w:val="17"/>
          <w:szCs w:val="17"/>
          <w:b w:val="1"/>
          <w:bCs w:val="1"/>
          <w:color w:val="auto"/>
        </w:rPr>
        <w:t>Managers</w:t>
      </w:r>
      <w:r>
        <w:rPr>
          <w:rFonts w:ascii="Arial" w:cs="Arial" w:eastAsia="Arial" w:hAnsi="Arial"/>
          <w:sz w:val="17"/>
          <w:szCs w:val="17"/>
          <w:color w:val="auto"/>
        </w:rPr>
        <w:t>”). Pursuant to the terms of the Agreement, PAGP may sell from time to time through the Managers, as PAGP’s sales agents, Class A shares representing limited partner interests in PAGP having an aggregate offering price of up to $500,000,000 (the “</w:t>
      </w:r>
      <w:r>
        <w:rPr>
          <w:rFonts w:ascii="Arial" w:cs="Arial" w:eastAsia="Arial" w:hAnsi="Arial"/>
          <w:sz w:val="17"/>
          <w:szCs w:val="17"/>
          <w:b w:val="1"/>
          <w:bCs w:val="1"/>
          <w:color w:val="auto"/>
        </w:rPr>
        <w:t>Shares</w:t>
      </w:r>
      <w:r>
        <w:rPr>
          <w:rFonts w:ascii="Arial" w:cs="Arial" w:eastAsia="Arial" w:hAnsi="Arial"/>
          <w:sz w:val="17"/>
          <w:szCs w:val="17"/>
          <w:color w:val="auto"/>
        </w:rPr>
        <w:t>”). Sales of the Shares, if any, will be made by means of ordinary brokers’ transactions on the New York Stock Exchange at market prices, in block transactions or as otherwise agreed by PAGP and the Managers.</w:t>
      </w:r>
    </w:p>
    <w:p>
      <w:pPr>
        <w:spacing w:after="0" w:line="174" w:lineRule="exact"/>
        <w:rPr>
          <w:sz w:val="24"/>
          <w:szCs w:val="24"/>
          <w:color w:val="auto"/>
        </w:rPr>
      </w:pPr>
    </w:p>
    <w:p>
      <w:pPr>
        <w:ind w:firstLine="324"/>
        <w:spacing w:after="0" w:line="298" w:lineRule="auto"/>
        <w:rPr>
          <w:sz w:val="20"/>
          <w:szCs w:val="20"/>
          <w:color w:val="auto"/>
        </w:rPr>
      </w:pPr>
      <w:r>
        <w:rPr>
          <w:rFonts w:ascii="Arial" w:cs="Arial" w:eastAsia="Arial" w:hAnsi="Arial"/>
          <w:sz w:val="16"/>
          <w:szCs w:val="16"/>
          <w:color w:val="auto"/>
        </w:rPr>
        <w:t>Pursuant to that certain Omnibus Agreement dated as of November 15, 2016 (the “</w:t>
      </w:r>
      <w:r>
        <w:rPr>
          <w:rFonts w:ascii="Arial" w:cs="Arial" w:eastAsia="Arial" w:hAnsi="Arial"/>
          <w:sz w:val="16"/>
          <w:szCs w:val="16"/>
          <w:b w:val="1"/>
          <w:bCs w:val="1"/>
          <w:color w:val="auto"/>
        </w:rPr>
        <w:t>Omnibus Agreement</w:t>
      </w:r>
      <w:r>
        <w:rPr>
          <w:rFonts w:ascii="Arial" w:cs="Arial" w:eastAsia="Arial" w:hAnsi="Arial"/>
          <w:sz w:val="16"/>
          <w:szCs w:val="16"/>
          <w:color w:val="auto"/>
        </w:rPr>
        <w:t>”), by and among PAGP, PAA GP Holdings LLC, Plains AAP, L.P. (“</w:t>
      </w:r>
      <w:r>
        <w:rPr>
          <w:rFonts w:ascii="Arial" w:cs="Arial" w:eastAsia="Arial" w:hAnsi="Arial"/>
          <w:sz w:val="16"/>
          <w:szCs w:val="16"/>
          <w:b w:val="1"/>
          <w:bCs w:val="1"/>
          <w:color w:val="auto"/>
        </w:rPr>
        <w:t>AAP</w:t>
      </w:r>
      <w:r>
        <w:rPr>
          <w:rFonts w:ascii="Arial" w:cs="Arial" w:eastAsia="Arial" w:hAnsi="Arial"/>
          <w:sz w:val="16"/>
          <w:szCs w:val="16"/>
          <w:color w:val="auto"/>
        </w:rPr>
        <w:t>”), PAA GP LLC and Plains All American Pipeline, L.P. (the “</w:t>
      </w:r>
      <w:r>
        <w:rPr>
          <w:rFonts w:ascii="Arial" w:cs="Arial" w:eastAsia="Arial" w:hAnsi="Arial"/>
          <w:sz w:val="16"/>
          <w:szCs w:val="16"/>
          <w:b w:val="1"/>
          <w:bCs w:val="1"/>
          <w:color w:val="auto"/>
        </w:rPr>
        <w:t>Partnership</w:t>
      </w:r>
      <w:r>
        <w:rPr>
          <w:rFonts w:ascii="Arial" w:cs="Arial" w:eastAsia="Arial" w:hAnsi="Arial"/>
          <w:sz w:val="16"/>
          <w:szCs w:val="16"/>
          <w:color w:val="auto"/>
        </w:rPr>
        <w:t>”), PAGP has agreed, among other things, to use the net proceeds from any public or private offering and sale of its Class A shares, including the net proceeds of the above mentioned offering, after deducting the sales agents’ commissions and offering expenses, to purchase from AAP a number of AAP Class A units equal to the number of PAGP Class A shares sold in such offering at a price equal to the net proceeds from such offering. The Omnibus Agreement also provides that immediately following such purchase</w:t>
      </w:r>
    </w:p>
    <w:p>
      <w:pPr>
        <w:sectPr>
          <w:pgSz w:w="11900" w:h="16887" w:orient="portrait"/>
          <w:cols w:equalWidth="0" w:num="1">
            <w:col w:w="11400"/>
          </w:cols>
          <w:pgMar w:left="240" w:top="544" w:right="259" w:bottom="0" w:gutter="0" w:footer="0" w:header="0"/>
          <w:type w:val="continuous"/>
        </w:sectPr>
      </w:pPr>
    </w:p>
    <w:bookmarkStart w:id="1" w:name="page2"/>
    <w:bookmarkEnd w:id="1"/>
    <w:p>
      <w:pPr>
        <w:ind w:right="260"/>
        <w:spacing w:after="0" w:line="277" w:lineRule="auto"/>
        <w:rPr>
          <w:sz w:val="20"/>
          <w:szCs w:val="20"/>
          <w:color w:val="auto"/>
        </w:rPr>
      </w:pPr>
      <w:r>
        <w:rPr>
          <w:rFonts w:ascii="Arial" w:cs="Arial" w:eastAsia="Arial" w:hAnsi="Arial"/>
          <w:sz w:val="18"/>
          <w:szCs w:val="18"/>
          <w:color w:val="auto"/>
        </w:rPr>
        <w:t>and sale, AAP will use the net proceeds it receives from such sale of AAP Class A units to PAGP to purchase from the Partnership an equivalent number of common units representing limited partner interests in the Partnership (the “</w:t>
      </w:r>
      <w:r>
        <w:rPr>
          <w:rFonts w:ascii="Arial" w:cs="Arial" w:eastAsia="Arial" w:hAnsi="Arial"/>
          <w:sz w:val="18"/>
          <w:szCs w:val="18"/>
          <w:b w:val="1"/>
          <w:bCs w:val="1"/>
          <w:color w:val="auto"/>
        </w:rPr>
        <w:t>Common Units</w:t>
      </w:r>
      <w:r>
        <w:rPr>
          <w:rFonts w:ascii="Arial" w:cs="Arial" w:eastAsia="Arial" w:hAnsi="Arial"/>
          <w:sz w:val="18"/>
          <w:szCs w:val="18"/>
          <w:color w:val="auto"/>
        </w:rPr>
        <w:t>”).</w:t>
      </w:r>
    </w:p>
    <w:p>
      <w:pPr>
        <w:spacing w:after="0" w:line="170"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Partnership intends to use the net proceeds it receives from the sale of such Common Units to AAP for general partnership purposes, which may include, among other things, repayment of indebtedness, acquisitions, capital expenditures and additions to working capital. Amounts repaid under the Partnership’s credit facilities or commercial paper program may be reborrowed to fund its ongoing expansion capital program, future acquisitions and investments or for general partnership purposes</w:t>
      </w:r>
    </w:p>
    <w:p>
      <w:pPr>
        <w:spacing w:after="0" w:line="18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foregoing description of the Agreement does not purport to be complete and is qualified in its entirety by reference to the full text of the Agreement, a copy of which is filed as Exhibit 1.1 to PAGP’s Current Report on Form 8-K filed as of the date hereof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Equity Distribution Agreement, dated December 27, 2016, by and among PAGP and Wells Fargo Securities, LLC, Barclays Capital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BB&amp;T Capital Markets, a division of BB&amp;T Securities, LLC, BMO Capital Markets Corp., BNP Paribas Securities Corp., Citigroup Global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Markets Inc., Deutsche Bank Securities Inc., DNB Markets, Inc., Fifth Third Securities, Inc., J.P. Morgan Securities LLC, Jefferies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Merrill Lynch, Pierce, Fenner &amp; Smith Incorporated, MUFG Securities Americas, Inc., Mizuho Securities USA Inc., Morgan Stanley &amp;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LLC, Raymond James &amp; Associates, Inc., Scotia Capital (USA) Inc., SMBC Nikko Securities America, Inc., SunTrust Robinson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Humphrey, Inc. and UBS Securities LLC (incorporated by reference to Exhibit 1.1 of PAGP’s Current Report on Form 8-K filed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27,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December 27,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Equity Distribution Agreement, dated December 27, 2016, by and among PAGP and Wells Fargo Securities, LLC, Barclays Capital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BB&amp;T Capital Markets, a division of BB&amp;T Securities, LLC, BMO Capital Markets Corp., BNP Paribas Securities Corp., Citigroup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8"/>
              </w:rPr>
              <w:t>Global Markets Inc., Deutsche Bank Securities Inc., DNB Markets, Inc., Fifth Third Securities, Inc., J.P. Morgan Securities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Jefferies LLC, Merrill Lynch, Pierce, Fenner &amp; Smith Incorporated, MUFG Securities Americas, Inc., Mizuho Securities USA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Morgan Stanley &amp; Co. LLC, Raymond James &amp; Associates, Inc., Scotia Capital (USA) Inc., SMBC Nikko Securities America,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SunTrust Robinson Humphrey, Inc. and UBS Securities LLC (incorporated by reference to Exhibit 1.1 of PAGP’s Current Report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8-K filed on December 27,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2020-01-22T01:53:05Z</dcterms:created>
  <dcterms:modified xsi:type="dcterms:W3CDTF">2020-01-22T01:53:05Z</dcterms:modified>
</cp:coreProperties>
</file>