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333-184137</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2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2"/>
        </w:trPr>
        <w:tc>
          <w:tcPr>
            <w:tcW w:w="20" w:type="dxa"/>
            <w:vAlign w:val="bottom"/>
          </w:tcPr>
          <w:p>
            <w:pPr>
              <w:spacing w:after="0"/>
              <w:rPr>
                <w:sz w:val="9"/>
                <w:szCs w:val="9"/>
                <w:color w:val="auto"/>
              </w:rPr>
            </w:pPr>
          </w:p>
        </w:tc>
        <w:tc>
          <w:tcPr>
            <w:tcW w:w="82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jc w:val="center"/>
              <w:spacing w:after="0" w:line="113"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560" w:type="dxa"/>
            <w:vAlign w:val="bottom"/>
          </w:tcPr>
          <w:p>
            <w:pPr>
              <w:spacing w:after="0"/>
              <w:rPr>
                <w:sz w:val="9"/>
                <w:szCs w:val="9"/>
                <w:color w:val="auto"/>
              </w:rPr>
            </w:pPr>
          </w:p>
        </w:tc>
      </w:tr>
      <w:tr>
        <w:trPr>
          <w:trHeight w:val="149"/>
        </w:trPr>
        <w:tc>
          <w:tcPr>
            <w:tcW w:w="20" w:type="dxa"/>
            <w:vAlign w:val="bottom"/>
          </w:tcPr>
          <w:p>
            <w:pPr>
              <w:spacing w:after="0"/>
              <w:rPr>
                <w:sz w:val="12"/>
                <w:szCs w:val="12"/>
                <w:color w:val="auto"/>
              </w:rPr>
            </w:pPr>
          </w:p>
        </w:tc>
        <w:tc>
          <w:tcPr>
            <w:tcW w:w="82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maximum</w:t>
            </w:r>
          </w:p>
        </w:tc>
        <w:tc>
          <w:tcPr>
            <w:tcW w:w="15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Title of Each Class of</w:t>
            </w:r>
          </w:p>
        </w:tc>
        <w:tc>
          <w:tcPr>
            <w:tcW w:w="1600" w:type="dxa"/>
            <w:vAlign w:val="bottom"/>
            <w:tcBorders>
              <w:right w:val="single" w:sz="8" w:color="auto"/>
            </w:tcBorders>
          </w:tcPr>
          <w:p>
            <w:pPr>
              <w:jc w:val="center"/>
              <w:ind w:left="1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aggregate</w:t>
            </w:r>
          </w:p>
        </w:tc>
        <w:tc>
          <w:tcPr>
            <w:tcW w:w="1560" w:type="dxa"/>
            <w:vAlign w:val="bottom"/>
          </w:tcPr>
          <w:p>
            <w:pPr>
              <w:jc w:val="center"/>
              <w:ind w:left="26"/>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r>
      <w:tr>
        <w:trPr>
          <w:trHeight w:val="178"/>
        </w:trPr>
        <w:tc>
          <w:tcPr>
            <w:tcW w:w="20" w:type="dxa"/>
            <w:vAlign w:val="bottom"/>
          </w:tcPr>
          <w:p>
            <w:pPr>
              <w:spacing w:after="0"/>
              <w:rPr>
                <w:sz w:val="15"/>
                <w:szCs w:val="15"/>
                <w:color w:val="auto"/>
              </w:rPr>
            </w:pPr>
          </w:p>
        </w:tc>
        <w:tc>
          <w:tcPr>
            <w:tcW w:w="8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offering price</w:t>
            </w:r>
          </w:p>
        </w:tc>
        <w:tc>
          <w:tcPr>
            <w:tcW w:w="1560" w:type="dxa"/>
            <w:vAlign w:val="bottom"/>
            <w:tcBorders>
              <w:bottom w:val="single" w:sz="8" w:color="auto"/>
            </w:tcBorders>
          </w:tcPr>
          <w:p>
            <w:pPr>
              <w:jc w:val="center"/>
              <w:ind w:left="6"/>
              <w:spacing w:after="0"/>
              <w:rPr>
                <w:sz w:val="20"/>
                <w:szCs w:val="20"/>
                <w:color w:val="auto"/>
              </w:rPr>
            </w:pPr>
            <w:r>
              <w:rPr>
                <w:rFonts w:ascii="Times New Roman" w:cs="Times New Roman" w:eastAsia="Times New Roman" w:hAnsi="Times New Roman"/>
                <w:sz w:val="14"/>
                <w:szCs w:val="14"/>
                <w:b w:val="1"/>
                <w:bCs w:val="1"/>
                <w:color w:val="auto"/>
                <w:w w:val="97"/>
              </w:rPr>
              <w:t>registration fee</w:t>
            </w:r>
          </w:p>
        </w:tc>
      </w:tr>
      <w:tr>
        <w:trPr>
          <w:trHeight w:val="210"/>
        </w:trPr>
        <w:tc>
          <w:tcPr>
            <w:tcW w:w="20" w:type="dxa"/>
            <w:vAlign w:val="bottom"/>
            <w:tcBorders>
              <w:bottom w:val="single" w:sz="8" w:color="auto"/>
            </w:tcBorders>
          </w:tcPr>
          <w:p>
            <w:pPr>
              <w:spacing w:after="0"/>
              <w:rPr>
                <w:sz w:val="18"/>
                <w:szCs w:val="18"/>
                <w:color w:val="auto"/>
              </w:rPr>
            </w:pPr>
          </w:p>
        </w:tc>
        <w:tc>
          <w:tcPr>
            <w:tcW w:w="8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4.70% Senior Notes due 2044</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$698,138,000</w:t>
            </w:r>
          </w:p>
        </w:tc>
        <w:tc>
          <w:tcPr>
            <w:tcW w:w="1560" w:type="dxa"/>
            <w:vAlign w:val="bottom"/>
            <w:tcBorders>
              <w:bottom w:val="single" w:sz="8" w:color="auto"/>
            </w:tcBorders>
          </w:tcPr>
          <w:p>
            <w:pPr>
              <w:jc w:val="center"/>
              <w:ind w:left="26"/>
              <w:spacing w:after="0"/>
              <w:rPr>
                <w:sz w:val="20"/>
                <w:szCs w:val="20"/>
                <w:color w:val="auto"/>
              </w:rPr>
            </w:pPr>
            <w:r>
              <w:rPr>
                <w:rFonts w:ascii="Times New Roman" w:cs="Times New Roman" w:eastAsia="Times New Roman" w:hAnsi="Times New Roman"/>
                <w:sz w:val="18"/>
                <w:szCs w:val="18"/>
                <w:color w:val="auto"/>
                <w:w w:val="98"/>
              </w:rPr>
              <w:t>$89,921(1)</w:t>
            </w:r>
          </w:p>
        </w:tc>
      </w:tr>
      <w:tr>
        <w:trPr>
          <w:trHeight w:val="20"/>
        </w:trPr>
        <w:tc>
          <w:tcPr>
            <w:tcW w:w="20" w:type="dxa"/>
            <w:vAlign w:val="bottom"/>
          </w:tcPr>
          <w:p>
            <w:pPr>
              <w:spacing w:after="0" w:line="20" w:lineRule="exact"/>
              <w:rPr>
                <w:sz w:val="1"/>
                <w:szCs w:val="1"/>
                <w:color w:val="auto"/>
              </w:rPr>
            </w:pPr>
          </w:p>
        </w:tc>
        <w:tc>
          <w:tcPr>
            <w:tcW w:w="8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ind w:left="460" w:right="500" w:hanging="452"/>
        <w:spacing w:after="0" w:line="274"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fee, calculated in accordance with Rule 457(r), has been transmitted to the SEC in connection with the securities offered from Registration Statement File No. 333-184137 by means of this prospectus supplement.</w:t>
      </w:r>
    </w:p>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September 27,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161290</wp:posOffset>
            </wp:positionV>
            <wp:extent cx="1697990" cy="540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9799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5"/>
          <w:szCs w:val="65"/>
          <w:b w:val="1"/>
          <w:bCs w:val="1"/>
          <w:color w:val="auto"/>
        </w:rPr>
        <w:t>Plains All American Pipeline, L.P.</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5"/>
          <w:szCs w:val="65"/>
          <w:b w:val="1"/>
          <w:bCs w:val="1"/>
          <w:color w:val="auto"/>
        </w:rPr>
        <w:t>PAA Finance Corp.</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$700,000,000 4.70% Senior Notes due 2044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103505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37"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Plains All American Pipeline, L.P. and PAA Finance Corp. are offering $700 million aggregate principal amount of 4.70% Senior Notes due 2044 (the “Notes”).</w:t>
      </w:r>
    </w:p>
    <w:p>
      <w:pPr>
        <w:spacing w:after="0" w:line="106"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We will pay interest on the Notes semi-annually in arrears on June 15 and December 15 of each year, beginning on December 15, 2014. The Notes will mature on June 15, 2044, unless redeemed prior to the maturity date.</w:t>
      </w:r>
    </w:p>
    <w:p>
      <w:pPr>
        <w:spacing w:after="0" w:line="106"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We may, at our option, redeem the Notes at any time in whole or from time to time in part, prior to maturity, at the redemption prices as described herein under “Description of Notes—Optional Redemption.”</w:t>
      </w:r>
    </w:p>
    <w:p>
      <w:pPr>
        <w:spacing w:after="0" w:line="106"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Notes will be the unsecured senior obligations of Plains All American Pipeline, L.P. and PAA Finance Corp. and will rank equally in right of payment with their other senior indebtedness from time to time outstanding.</w:t>
      </w:r>
    </w:p>
    <w:p>
      <w:pPr>
        <w:spacing w:after="0" w:line="106"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do not currently intend to apply for listing of the Notes on any securities exchange or have the Notes quoted on any automated quotation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76835</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77" w:lineRule="exact"/>
        <w:rPr>
          <w:sz w:val="20"/>
          <w:szCs w:val="20"/>
          <w:color w:val="auto"/>
        </w:rPr>
      </w:pPr>
    </w:p>
    <w:p>
      <w:pPr>
        <w:ind w:left="4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the Notes involves risks. See “</w:t>
      </w:r>
      <w:hyperlink w:anchor="page47">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S-5 of this prospectus supplement.</w:t>
      </w:r>
    </w:p>
    <w:p>
      <w:pPr>
        <w:spacing w:after="0" w:line="156"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67945</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168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6"/>
              </w:rPr>
              <w:t>Public Offering</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5"/>
              </w:rPr>
              <w:t>Underwriting</w:t>
            </w:r>
          </w:p>
        </w:tc>
        <w:tc>
          <w:tcPr>
            <w:tcW w:w="28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5"/>
              </w:rPr>
              <w:t>Proceeds, Before</w:t>
            </w:r>
          </w:p>
        </w:tc>
      </w:tr>
      <w:tr>
        <w:trPr>
          <w:trHeight w:val="165"/>
        </w:trPr>
        <w:tc>
          <w:tcPr>
            <w:tcW w:w="70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Price(1)</w:t>
            </w:r>
          </w:p>
        </w:tc>
        <w:tc>
          <w:tcPr>
            <w:tcW w:w="7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4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Expenses, to Us</w:t>
            </w:r>
          </w:p>
        </w:tc>
        <w:tc>
          <w:tcPr>
            <w:tcW w:w="200" w:type="dxa"/>
            <w:vAlign w:val="bottom"/>
            <w:tcBorders>
              <w:bottom w:val="single" w:sz="8" w:color="CCEEFF"/>
            </w:tcBorders>
          </w:tcPr>
          <w:p>
            <w:pPr>
              <w:spacing w:after="0"/>
              <w:rPr>
                <w:sz w:val="14"/>
                <w:szCs w:val="14"/>
                <w:color w:val="auto"/>
              </w:rPr>
            </w:pPr>
          </w:p>
        </w:tc>
      </w:tr>
      <w:tr>
        <w:trPr>
          <w:trHeight w:val="21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Note</w:t>
            </w:r>
          </w:p>
        </w:tc>
        <w:tc>
          <w:tcPr>
            <w:tcW w:w="16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99.734%</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0.875%</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98.859%</w:t>
            </w:r>
          </w:p>
        </w:tc>
      </w:tr>
      <w:tr>
        <w:trPr>
          <w:trHeight w:val="228"/>
        </w:trPr>
        <w:tc>
          <w:tcPr>
            <w:tcW w:w="7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w w:val="94"/>
              </w:rPr>
              <w:t>$698,138,000</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6"/>
              </w:rPr>
              <w:t>$6,125,000</w:t>
            </w:r>
          </w:p>
        </w:tc>
        <w:tc>
          <w:tcPr>
            <w:tcW w:w="1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$692,013,000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accrued interest, if any, from April 23, 2014 if settlement occurs after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109220</wp:posOffset>
            </wp:positionV>
            <wp:extent cx="1089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46"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underwriters expect to deliver the Notes in book-entry form only through facilities of The Depository Trust Company for the account of its participants, including Clearstream Banking, société anonyme, and Euroclear Bank S.A./N.V., as operator of the Euroclear System, against payment in New York, New York on or about April 23, 2014, the fifth trading day after the date of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127635</wp:posOffset>
            </wp:positionV>
            <wp:extent cx="1089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4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220" w:type="dxa"/>
            <w:vAlign w:val="bottom"/>
            <w:gridSpan w:val="2"/>
          </w:tcPr>
          <w:p>
            <w:pPr>
              <w:jc w:val="center"/>
              <w:ind w:right="612"/>
              <w:spacing w:after="0"/>
              <w:rPr>
                <w:sz w:val="20"/>
                <w:szCs w:val="20"/>
                <w:color w:val="auto"/>
              </w:rPr>
            </w:pPr>
            <w:r>
              <w:rPr>
                <w:rFonts w:ascii="Times New Roman" w:cs="Times New Roman" w:eastAsia="Times New Roman" w:hAnsi="Times New Roman"/>
                <w:sz w:val="22"/>
                <w:szCs w:val="22"/>
                <w:i w:val="1"/>
                <w:iCs w:val="1"/>
                <w:color w:val="auto"/>
                <w:w w:val="98"/>
              </w:rPr>
              <w:t>Joint Book-Running Managers</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14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Citigroup</w:t>
            </w:r>
          </w:p>
        </w:tc>
        <w:tc>
          <w:tcPr>
            <w:tcW w:w="3360" w:type="dxa"/>
            <w:vAlign w:val="bottom"/>
            <w:gridSpan w:val="2"/>
          </w:tcPr>
          <w:p>
            <w:pPr>
              <w:ind w:left="500"/>
              <w:spacing w:after="0"/>
              <w:rPr>
                <w:sz w:val="20"/>
                <w:szCs w:val="20"/>
                <w:color w:val="auto"/>
              </w:rPr>
            </w:pPr>
            <w:r>
              <w:rPr>
                <w:rFonts w:ascii="Times New Roman" w:cs="Times New Roman" w:eastAsia="Times New Roman" w:hAnsi="Times New Roman"/>
                <w:sz w:val="22"/>
                <w:szCs w:val="22"/>
                <w:b w:val="1"/>
                <w:bCs w:val="1"/>
                <w:color w:val="auto"/>
                <w:w w:val="97"/>
              </w:rPr>
              <w:t>SunTrust Robinson Humphrey</w:t>
            </w:r>
          </w:p>
        </w:tc>
        <w:tc>
          <w:tcPr>
            <w:tcW w:w="3920" w:type="dxa"/>
            <w:vAlign w:val="bottom"/>
          </w:tcPr>
          <w:p>
            <w:pPr>
              <w:ind w:left="1200"/>
              <w:spacing w:after="0"/>
              <w:rPr>
                <w:sz w:val="20"/>
                <w:szCs w:val="20"/>
                <w:color w:val="auto"/>
              </w:rPr>
            </w:pPr>
            <w:r>
              <w:rPr>
                <w:rFonts w:ascii="Times New Roman" w:cs="Times New Roman" w:eastAsia="Times New Roman" w:hAnsi="Times New Roman"/>
                <w:sz w:val="22"/>
                <w:szCs w:val="22"/>
                <w:b w:val="1"/>
                <w:bCs w:val="1"/>
                <w:color w:val="auto"/>
              </w:rPr>
              <w:t>UBS Investment Bank</w:t>
            </w:r>
          </w:p>
        </w:tc>
        <w:tc>
          <w:tcPr>
            <w:tcW w:w="27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Wells Fargo Securities</w:t>
            </w:r>
          </w:p>
        </w:tc>
        <w:tc>
          <w:tcPr>
            <w:tcW w:w="0" w:type="dxa"/>
            <w:vAlign w:val="bottom"/>
          </w:tcPr>
          <w:p>
            <w:pPr>
              <w:spacing w:after="0"/>
              <w:rPr>
                <w:sz w:val="1"/>
                <w:szCs w:val="1"/>
                <w:color w:val="auto"/>
              </w:rPr>
            </w:pPr>
          </w:p>
        </w:tc>
      </w:tr>
      <w:tr>
        <w:trPr>
          <w:trHeight w:val="287"/>
        </w:trPr>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Mitsubishi UFJ Securities</w:t>
            </w:r>
          </w:p>
        </w:tc>
        <w:tc>
          <w:tcPr>
            <w:tcW w:w="13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Scotiabank</w:t>
            </w:r>
          </w:p>
        </w:tc>
        <w:tc>
          <w:tcPr>
            <w:tcW w:w="0" w:type="dxa"/>
            <w:vAlign w:val="bottom"/>
          </w:tcPr>
          <w:p>
            <w:pPr>
              <w:spacing w:after="0"/>
              <w:rPr>
                <w:sz w:val="1"/>
                <w:szCs w:val="1"/>
                <w:color w:val="auto"/>
              </w:rPr>
            </w:pPr>
          </w:p>
        </w:tc>
      </w:tr>
      <w:tr>
        <w:trPr>
          <w:trHeight w:val="311"/>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BBVA</w:t>
            </w:r>
          </w:p>
        </w:tc>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920" w:type="dxa"/>
            <w:vAlign w:val="bottom"/>
          </w:tcPr>
          <w:p>
            <w:pPr>
              <w:jc w:val="center"/>
              <w:ind w:right="1892"/>
              <w:spacing w:after="0"/>
              <w:rPr>
                <w:sz w:val="20"/>
                <w:szCs w:val="20"/>
                <w:color w:val="auto"/>
              </w:rPr>
            </w:pPr>
            <w:r>
              <w:rPr>
                <w:rFonts w:ascii="Times New Roman" w:cs="Times New Roman" w:eastAsia="Times New Roman" w:hAnsi="Times New Roman"/>
                <w:sz w:val="22"/>
                <w:szCs w:val="22"/>
                <w:i w:val="1"/>
                <w:iCs w:val="1"/>
                <w:color w:val="auto"/>
                <w:w w:val="98"/>
              </w:rPr>
              <w:t>Co-Managers</w:t>
            </w:r>
          </w:p>
        </w:tc>
        <w:tc>
          <w:tcPr>
            <w:tcW w:w="27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SMBC Nikko</w:t>
            </w:r>
          </w:p>
        </w:tc>
        <w:tc>
          <w:tcPr>
            <w:tcW w:w="0" w:type="dxa"/>
            <w:vAlign w:val="bottom"/>
          </w:tcPr>
          <w:p>
            <w:pPr>
              <w:spacing w:after="0"/>
              <w:rPr>
                <w:sz w:val="1"/>
                <w:szCs w:val="1"/>
                <w:color w:val="auto"/>
              </w:rPr>
            </w:pPr>
          </w:p>
        </w:tc>
      </w:tr>
      <w:tr>
        <w:trPr>
          <w:trHeight w:val="200"/>
        </w:trPr>
        <w:tc>
          <w:tcPr>
            <w:tcW w:w="1400" w:type="dxa"/>
            <w:vAlign w:val="bottom"/>
            <w:vMerge w:val="continue"/>
          </w:tcPr>
          <w:p>
            <w:pPr>
              <w:spacing w:after="0"/>
              <w:rPr>
                <w:sz w:val="17"/>
                <w:szCs w:val="17"/>
                <w:color w:val="auto"/>
              </w:rPr>
            </w:pPr>
          </w:p>
        </w:tc>
        <w:tc>
          <w:tcPr>
            <w:tcW w:w="2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CIBC</w:t>
            </w:r>
          </w:p>
        </w:tc>
        <w:tc>
          <w:tcPr>
            <w:tcW w:w="20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920" w:type="dxa"/>
            <w:vAlign w:val="bottom"/>
          </w:tcPr>
          <w:p>
            <w:pPr>
              <w:jc w:val="center"/>
              <w:ind w:right="17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Fifth Third Securities</w:t>
            </w:r>
          </w:p>
        </w:tc>
        <w:tc>
          <w:tcPr>
            <w:tcW w:w="2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ING</w:t>
            </w:r>
          </w:p>
        </w:tc>
        <w:tc>
          <w:tcPr>
            <w:tcW w:w="0" w:type="dxa"/>
            <w:vAlign w:val="bottom"/>
          </w:tcPr>
          <w:p>
            <w:pPr>
              <w:spacing w:after="0"/>
              <w:rPr>
                <w:sz w:val="1"/>
                <w:szCs w:val="1"/>
                <w:color w:val="auto"/>
              </w:rPr>
            </w:pPr>
          </w:p>
        </w:tc>
      </w:tr>
      <w:tr>
        <w:trPr>
          <w:trHeight w:val="287"/>
        </w:trPr>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PNC Capital Markets LLC</w:t>
            </w:r>
          </w:p>
        </w:tc>
        <w:tc>
          <w:tcPr>
            <w:tcW w:w="5220" w:type="dxa"/>
            <w:vAlign w:val="bottom"/>
            <w:gridSpan w:val="2"/>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8"/>
              </w:rPr>
              <w:t>Regions Securities LLC</w:t>
            </w:r>
          </w:p>
        </w:tc>
        <w:tc>
          <w:tcPr>
            <w:tcW w:w="27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US Bancorp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86995</wp:posOffset>
            </wp:positionV>
            <wp:extent cx="10890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date of this prospectus supplement is April 15, 2014.</w:t>
      </w:r>
    </w:p>
    <w:p>
      <w:pPr>
        <w:sectPr>
          <w:pgSz w:w="11900" w:h="16838" w:orient="portrait"/>
          <w:cols w:equalWidth="0" w:num="1">
            <w:col w:w="11420"/>
          </w:cols>
          <w:pgMar w:left="240" w:top="455" w:right="23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6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000" w:type="dxa"/>
            <w:vAlign w:val="bottom"/>
          </w:tcPr>
          <w:p>
            <w:pPr>
              <w:spacing w:after="0"/>
              <w:rPr>
                <w:sz w:val="20"/>
                <w:szCs w:val="20"/>
                <w:color w:val="auto"/>
              </w:rPr>
            </w:pPr>
          </w:p>
        </w:tc>
      </w:tr>
      <w:tr>
        <w:trPr>
          <w:trHeight w:val="365"/>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6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7"/>
              </w:rPr>
              <w:t>Prospectus Supplement</w:t>
            </w:r>
          </w:p>
        </w:tc>
        <w:tc>
          <w:tcPr>
            <w:tcW w:w="2000" w:type="dxa"/>
            <w:vAlign w:val="bottom"/>
          </w:tcPr>
          <w:p>
            <w:pPr>
              <w:spacing w:after="0"/>
              <w:rPr>
                <w:sz w:val="24"/>
                <w:szCs w:val="24"/>
                <w:color w:val="auto"/>
              </w:rPr>
            </w:pPr>
          </w:p>
        </w:tc>
      </w:tr>
      <w:tr>
        <w:trPr>
          <w:trHeight w:val="326"/>
        </w:trPr>
        <w:tc>
          <w:tcPr>
            <w:tcW w:w="9320" w:type="dxa"/>
            <w:vAlign w:val="bottom"/>
            <w:gridSpan w:val="24"/>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Important Notice About Information in This Prospectus Supplement and the Accompanying Base Prospectus</w:t>
              </w:r>
            </w:hyperlink>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w:t>
            </w:r>
          </w:p>
        </w:tc>
      </w:tr>
      <w:tr>
        <w:trPr>
          <w:trHeight w:val="196"/>
        </w:trPr>
        <w:tc>
          <w:tcPr>
            <w:tcW w:w="210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Forward-Looking Statements</w:t>
              </w:r>
            </w:hyperlink>
          </w:p>
        </w:tc>
        <w:tc>
          <w:tcPr>
            <w:tcW w:w="5560" w:type="dxa"/>
            <w:vAlign w:val="bottom"/>
            <w:tcBorders>
              <w:top w:val="single" w:sz="8" w:color="0000EE"/>
            </w:tcBorders>
            <w:gridSpan w:val="9"/>
          </w:tcPr>
          <w:p>
            <w:pPr>
              <w:spacing w:after="0"/>
              <w:rPr>
                <w:sz w:val="17"/>
                <w:szCs w:val="17"/>
                <w:color w:val="auto"/>
              </w:rPr>
            </w:pPr>
          </w:p>
        </w:tc>
        <w:tc>
          <w:tcPr>
            <w:tcW w:w="1660" w:type="dxa"/>
            <w:vAlign w:val="bottom"/>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S-ii</w:t>
            </w:r>
          </w:p>
        </w:tc>
      </w:tr>
      <w:tr>
        <w:trPr>
          <w:trHeight w:val="196"/>
        </w:trPr>
        <w:tc>
          <w:tcPr>
            <w:tcW w:w="23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Prospectus Supplement Summary</w:t>
              </w:r>
            </w:hyperlink>
          </w:p>
        </w:tc>
        <w:tc>
          <w:tcPr>
            <w:tcW w:w="6940" w:type="dxa"/>
            <w:vAlign w:val="bottom"/>
            <w:gridSpan w:val="8"/>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9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10">
              <w:r>
                <w:rPr>
                  <w:rFonts w:ascii="Times New Roman" w:cs="Times New Roman" w:eastAsia="Times New Roman" w:hAnsi="Times New Roman"/>
                  <w:sz w:val="18"/>
                  <w:szCs w:val="18"/>
                  <w:color w:val="0000EE"/>
                  <w:w w:val="97"/>
                </w:rPr>
                <w:t>Risk Factors</w:t>
              </w:r>
            </w:hyperlink>
          </w:p>
        </w:tc>
        <w:tc>
          <w:tcPr>
            <w:tcW w:w="8420" w:type="dxa"/>
            <w:vAlign w:val="bottom"/>
            <w:gridSpan w:val="2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S-5</w:t>
            </w:r>
          </w:p>
        </w:tc>
      </w:tr>
      <w:tr>
        <w:trPr>
          <w:trHeight w:val="196"/>
        </w:trPr>
        <w:tc>
          <w:tcPr>
            <w:tcW w:w="9320" w:type="dxa"/>
            <w:vAlign w:val="bottom"/>
            <w:gridSpan w:val="24"/>
          </w:tcPr>
          <w:p>
            <w:pPr>
              <w:spacing w:after="0" w:line="19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Use of Proceeds</w:t>
              </w:r>
            </w:hyperlink>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S-7</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320" w:type="dxa"/>
            <w:vAlign w:val="bottom"/>
            <w:gridSpan w:val="24"/>
          </w:tcPr>
          <w:p>
            <w:pPr>
              <w:spacing w:after="0" w:line="19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Ratio of Earnings to Fixed Charges</w:t>
              </w:r>
            </w:hyperlink>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S-8</w:t>
            </w:r>
          </w:p>
        </w:tc>
      </w:tr>
      <w:tr>
        <w:trPr>
          <w:trHeight w:val="196"/>
        </w:trPr>
        <w:tc>
          <w:tcPr>
            <w:tcW w:w="10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6"/>
              </w:rPr>
            </w:pPr>
            <w:hyperlink w:anchor="page14">
              <w:r>
                <w:rPr>
                  <w:rFonts w:ascii="Times New Roman" w:cs="Times New Roman" w:eastAsia="Times New Roman" w:hAnsi="Times New Roman"/>
                  <w:sz w:val="18"/>
                  <w:szCs w:val="18"/>
                  <w:color w:val="0000EE"/>
                  <w:w w:val="96"/>
                </w:rPr>
                <w:t>Capitalization</w:t>
              </w:r>
            </w:hyperlink>
          </w:p>
        </w:tc>
        <w:tc>
          <w:tcPr>
            <w:tcW w:w="1480" w:type="dxa"/>
            <w:vAlign w:val="bottom"/>
            <w:tcBorders>
              <w:top w:val="single" w:sz="8" w:color="0000EE"/>
            </w:tcBorders>
            <w:gridSpan w:val="12"/>
          </w:tcPr>
          <w:p>
            <w:pPr>
              <w:spacing w:after="0"/>
              <w:rPr>
                <w:sz w:val="17"/>
                <w:szCs w:val="17"/>
                <w:color w:val="auto"/>
              </w:rPr>
            </w:pPr>
          </w:p>
        </w:tc>
        <w:tc>
          <w:tcPr>
            <w:tcW w:w="6840" w:type="dxa"/>
            <w:vAlign w:val="bottom"/>
            <w:gridSpan w:val="6"/>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S-9</w:t>
            </w:r>
          </w:p>
        </w:tc>
      </w:tr>
      <w:tr>
        <w:trPr>
          <w:trHeight w:val="196"/>
        </w:trPr>
        <w:tc>
          <w:tcPr>
            <w:tcW w:w="14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w:anchor="page15">
              <w:r>
                <w:rPr>
                  <w:rFonts w:ascii="Times New Roman" w:cs="Times New Roman" w:eastAsia="Times New Roman" w:hAnsi="Times New Roman"/>
                  <w:sz w:val="18"/>
                  <w:szCs w:val="18"/>
                  <w:color w:val="0000EE"/>
                  <w:w w:val="97"/>
                </w:rPr>
                <w:t>Description of Notes</w:t>
              </w:r>
            </w:hyperlink>
          </w:p>
        </w:tc>
        <w:tc>
          <w:tcPr>
            <w:tcW w:w="7840" w:type="dxa"/>
            <w:vAlign w:val="bottom"/>
            <w:gridSpan w:val="14"/>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S-10</w:t>
            </w:r>
          </w:p>
        </w:tc>
      </w:tr>
      <w:tr>
        <w:trPr>
          <w:trHeight w:val="196"/>
        </w:trPr>
        <w:tc>
          <w:tcPr>
            <w:tcW w:w="22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6"/>
              </w:rPr>
            </w:pPr>
            <w:hyperlink w:anchor="page27">
              <w:r>
                <w:rPr>
                  <w:rFonts w:ascii="Times New Roman" w:cs="Times New Roman" w:eastAsia="Times New Roman" w:hAnsi="Times New Roman"/>
                  <w:sz w:val="18"/>
                  <w:szCs w:val="18"/>
                  <w:color w:val="0000EE"/>
                  <w:w w:val="96"/>
                </w:rPr>
                <w:t>Book Entry, Delivery and Form</w:t>
              </w:r>
            </w:hyperlink>
          </w:p>
        </w:tc>
        <w:tc>
          <w:tcPr>
            <w:tcW w:w="7080" w:type="dxa"/>
            <w:vAlign w:val="bottom"/>
            <w:gridSpan w:val="9"/>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S-22</w:t>
            </w:r>
          </w:p>
        </w:tc>
      </w:tr>
      <w:tr>
        <w:trPr>
          <w:trHeight w:val="196"/>
        </w:trPr>
        <w:tc>
          <w:tcPr>
            <w:tcW w:w="34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7"/>
              </w:rPr>
            </w:pPr>
            <w:hyperlink w:anchor="page30">
              <w:r>
                <w:rPr>
                  <w:rFonts w:ascii="Times New Roman" w:cs="Times New Roman" w:eastAsia="Times New Roman" w:hAnsi="Times New Roman"/>
                  <w:sz w:val="18"/>
                  <w:szCs w:val="18"/>
                  <w:color w:val="0000EE"/>
                  <w:w w:val="97"/>
                </w:rPr>
                <w:t>Material U.S. Federal Income Tax Consequences</w:t>
              </w:r>
            </w:hyperlink>
          </w:p>
        </w:tc>
        <w:tc>
          <w:tcPr>
            <w:tcW w:w="5860" w:type="dxa"/>
            <w:vAlign w:val="bottom"/>
            <w:gridSpan w:val="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S-25</w:t>
            </w:r>
          </w:p>
        </w:tc>
      </w:tr>
      <w:tr>
        <w:trPr>
          <w:trHeight w:val="196"/>
        </w:trPr>
        <w:tc>
          <w:tcPr>
            <w:tcW w:w="9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w:anchor="page35">
              <w:r>
                <w:rPr>
                  <w:rFonts w:ascii="Times New Roman" w:cs="Times New Roman" w:eastAsia="Times New Roman" w:hAnsi="Times New Roman"/>
                  <w:sz w:val="18"/>
                  <w:szCs w:val="18"/>
                  <w:color w:val="0000EE"/>
                  <w:w w:val="96"/>
                </w:rPr>
                <w:t>Underwriting</w:t>
              </w:r>
            </w:hyperlink>
          </w:p>
        </w:tc>
        <w:tc>
          <w:tcPr>
            <w:tcW w:w="8360" w:type="dxa"/>
            <w:vAlign w:val="bottom"/>
            <w:gridSpan w:val="20"/>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S-30</w:t>
            </w:r>
          </w:p>
        </w:tc>
      </w:tr>
      <w:tr>
        <w:trPr>
          <w:trHeight w:val="196"/>
        </w:trPr>
        <w:tc>
          <w:tcPr>
            <w:tcW w:w="9320" w:type="dxa"/>
            <w:vAlign w:val="bottom"/>
            <w:gridSpan w:val="24"/>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Legal Matters</w:t>
              </w:r>
            </w:hyperlink>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S-33</w:t>
            </w:r>
          </w:p>
        </w:tc>
      </w:tr>
      <w:tr>
        <w:trPr>
          <w:trHeight w:val="196"/>
        </w:trPr>
        <w:tc>
          <w:tcPr>
            <w:tcW w:w="98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Experts</w:t>
              </w:r>
            </w:hyperlink>
          </w:p>
        </w:tc>
        <w:tc>
          <w:tcPr>
            <w:tcW w:w="8340" w:type="dxa"/>
            <w:vAlign w:val="bottom"/>
            <w:gridSpan w:val="19"/>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S-33</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320" w:type="dxa"/>
            <w:vAlign w:val="bottom"/>
            <w:gridSpan w:val="24"/>
          </w:tcPr>
          <w:p>
            <w:pPr>
              <w:spacing w:after="0" w:line="19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Where You Can Find More Information</w:t>
              </w:r>
            </w:hyperlink>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S-34</w:t>
            </w:r>
          </w:p>
        </w:tc>
      </w:tr>
      <w:tr>
        <w:trPr>
          <w:trHeight w:val="438"/>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6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2000" w:type="dxa"/>
            <w:vAlign w:val="bottom"/>
          </w:tcPr>
          <w:p>
            <w:pPr>
              <w:spacing w:after="0"/>
              <w:rPr>
                <w:sz w:val="24"/>
                <w:szCs w:val="24"/>
                <w:color w:val="auto"/>
              </w:rPr>
            </w:pPr>
          </w:p>
        </w:tc>
      </w:tr>
      <w:tr>
        <w:trPr>
          <w:trHeight w:val="190"/>
        </w:trPr>
        <w:tc>
          <w:tcPr>
            <w:tcW w:w="9320" w:type="dxa"/>
            <w:vAlign w:val="bottom"/>
            <w:gridSpan w:val="24"/>
          </w:tcPr>
          <w:p>
            <w:pPr>
              <w:spacing w:after="0" w:line="190"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About This Prospectus</w:t>
              </w:r>
            </w:hyperlink>
          </w:p>
        </w:tc>
        <w:tc>
          <w:tcPr>
            <w:tcW w:w="20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i</w:t>
            </w:r>
          </w:p>
        </w:tc>
      </w:tr>
      <w:tr>
        <w:trPr>
          <w:trHeight w:val="20"/>
        </w:trPr>
        <w:tc>
          <w:tcPr>
            <w:tcW w:w="920" w:type="dxa"/>
            <w:vAlign w:val="bottom"/>
            <w:gridSpan w:val="3"/>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320" w:type="dxa"/>
            <w:vAlign w:val="bottom"/>
            <w:gridSpan w:val="24"/>
          </w:tcPr>
          <w:p>
            <w:pPr>
              <w:spacing w:after="0" w:line="19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Where You Can Find More Information</w:t>
              </w:r>
            </w:hyperlink>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20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7"/>
              </w:rPr>
            </w:pPr>
            <w:hyperlink w:anchor="page44">
              <w:r>
                <w:rPr>
                  <w:rFonts w:ascii="Times New Roman" w:cs="Times New Roman" w:eastAsia="Times New Roman" w:hAnsi="Times New Roman"/>
                  <w:sz w:val="18"/>
                  <w:szCs w:val="18"/>
                  <w:color w:val="0000EE"/>
                  <w:w w:val="97"/>
                </w:rPr>
                <w:t>Forward-Looking Statements</w:t>
              </w:r>
            </w:hyperlink>
          </w:p>
        </w:tc>
        <w:tc>
          <w:tcPr>
            <w:tcW w:w="720" w:type="dxa"/>
            <w:vAlign w:val="bottom"/>
            <w:tcBorders>
              <w:top w:val="single" w:sz="8" w:color="0000EE"/>
            </w:tcBorders>
            <w:gridSpan w:val="7"/>
          </w:tcPr>
          <w:p>
            <w:pPr>
              <w:spacing w:after="0"/>
              <w:rPr>
                <w:sz w:val="17"/>
                <w:szCs w:val="17"/>
                <w:color w:val="auto"/>
              </w:rPr>
            </w:pPr>
          </w:p>
        </w:tc>
        <w:tc>
          <w:tcPr>
            <w:tcW w:w="6520" w:type="dxa"/>
            <w:vAlign w:val="bottom"/>
            <w:gridSpan w:val="4"/>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r>
      <w:tr>
        <w:trPr>
          <w:trHeight w:val="196"/>
        </w:trPr>
        <w:tc>
          <w:tcPr>
            <w:tcW w:w="9320" w:type="dxa"/>
            <w:vAlign w:val="bottom"/>
            <w:gridSpan w:val="24"/>
          </w:tcPr>
          <w:p>
            <w:pPr>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Who We Are</w:t>
              </w:r>
            </w:hyperlink>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47">
              <w:r>
                <w:rPr>
                  <w:rFonts w:ascii="Times New Roman" w:cs="Times New Roman" w:eastAsia="Times New Roman" w:hAnsi="Times New Roman"/>
                  <w:sz w:val="18"/>
                  <w:szCs w:val="18"/>
                  <w:color w:val="0000EE"/>
                  <w:w w:val="97"/>
                </w:rPr>
                <w:t>Risk Factors</w:t>
              </w:r>
            </w:hyperlink>
          </w:p>
        </w:tc>
        <w:tc>
          <w:tcPr>
            <w:tcW w:w="20" w:type="dxa"/>
            <w:vAlign w:val="bottom"/>
            <w:tcBorders>
              <w:top w:val="single" w:sz="8" w:color="0000EE"/>
            </w:tcBorders>
          </w:tcPr>
          <w:p>
            <w:pPr>
              <w:spacing w:after="0"/>
              <w:rPr>
                <w:sz w:val="17"/>
                <w:szCs w:val="17"/>
                <w:color w:val="auto"/>
              </w:rPr>
            </w:pPr>
          </w:p>
        </w:tc>
        <w:tc>
          <w:tcPr>
            <w:tcW w:w="8400" w:type="dxa"/>
            <w:vAlign w:val="bottom"/>
            <w:gridSpan w:val="21"/>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9320" w:type="dxa"/>
            <w:vAlign w:val="bottom"/>
            <w:gridSpan w:val="24"/>
          </w:tcPr>
          <w:p>
            <w:pPr>
              <w:spacing w:after="0" w:line="196"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Use Of Proceeds</w:t>
              </w:r>
            </w:hyperlink>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180" w:type="dxa"/>
            <w:vAlign w:val="bottom"/>
            <w:gridSpan w:val="8"/>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5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6"/>
              </w:rPr>
            </w:pPr>
            <w:hyperlink w:anchor="page49">
              <w:r>
                <w:rPr>
                  <w:rFonts w:ascii="Times New Roman" w:cs="Times New Roman" w:eastAsia="Times New Roman" w:hAnsi="Times New Roman"/>
                  <w:sz w:val="18"/>
                  <w:szCs w:val="18"/>
                  <w:color w:val="0000EE"/>
                  <w:w w:val="96"/>
                </w:rPr>
                <w:t>Ratio Of Earnings To Fixed Charges</w:t>
              </w:r>
            </w:hyperlink>
          </w:p>
        </w:tc>
        <w:tc>
          <w:tcPr>
            <w:tcW w:w="6740" w:type="dxa"/>
            <w:vAlign w:val="bottom"/>
            <w:gridSpan w:val="5"/>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4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7"/>
              </w:rPr>
            </w:pPr>
            <w:hyperlink w:anchor="page50">
              <w:r>
                <w:rPr>
                  <w:rFonts w:ascii="Times New Roman" w:cs="Times New Roman" w:eastAsia="Times New Roman" w:hAnsi="Times New Roman"/>
                  <w:sz w:val="18"/>
                  <w:szCs w:val="18"/>
                  <w:color w:val="0000EE"/>
                  <w:w w:val="97"/>
                </w:rPr>
                <w:t>Description of Our Debt Securities</w:t>
              </w:r>
            </w:hyperlink>
          </w:p>
        </w:tc>
        <w:tc>
          <w:tcPr>
            <w:tcW w:w="6860" w:type="dxa"/>
            <w:vAlign w:val="bottom"/>
            <w:gridSpan w:val="7"/>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24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7"/>
              </w:rPr>
            </w:pPr>
            <w:hyperlink w:anchor="page59">
              <w:r>
                <w:rPr>
                  <w:rFonts w:ascii="Times New Roman" w:cs="Times New Roman" w:eastAsia="Times New Roman" w:hAnsi="Times New Roman"/>
                  <w:sz w:val="18"/>
                  <w:szCs w:val="18"/>
                  <w:color w:val="0000EE"/>
                  <w:w w:val="97"/>
                </w:rPr>
                <w:t>Description of Our Common Units</w:t>
              </w:r>
            </w:hyperlink>
          </w:p>
        </w:tc>
        <w:tc>
          <w:tcPr>
            <w:tcW w:w="6860" w:type="dxa"/>
            <w:vAlign w:val="bottom"/>
            <w:gridSpan w:val="7"/>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9320" w:type="dxa"/>
            <w:vAlign w:val="bottom"/>
            <w:gridSpan w:val="24"/>
          </w:tcPr>
          <w:p>
            <w:pPr>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Cash Distribution Policy</w:t>
              </w:r>
            </w:hyperlink>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1400" w:type="dxa"/>
            <w:vAlign w:val="bottom"/>
            <w:gridSpan w:val="9"/>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320" w:type="dxa"/>
            <w:vAlign w:val="bottom"/>
            <w:gridSpan w:val="24"/>
          </w:tcPr>
          <w:p>
            <w:pPr>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Description of Our Partnership Agreement</w:t>
              </w:r>
            </w:hyperlink>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1400" w:type="dxa"/>
            <w:vAlign w:val="bottom"/>
            <w:gridSpan w:val="9"/>
            <w:shd w:val="clear" w:color="auto" w:fill="0000EE"/>
          </w:tcPr>
          <w:p>
            <w:pPr>
              <w:spacing w:after="0" w:line="20" w:lineRule="exact"/>
              <w:rPr>
                <w:sz w:val="1"/>
                <w:szCs w:val="1"/>
                <w:color w:val="auto"/>
              </w:rPr>
            </w:pPr>
          </w:p>
        </w:tc>
        <w:tc>
          <w:tcPr>
            <w:tcW w:w="1600" w:type="dxa"/>
            <w:vAlign w:val="bottom"/>
            <w:gridSpan w:val="12"/>
            <w:shd w:val="clear" w:color="auto" w:fill="0000EE"/>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7"/>
              </w:rPr>
            </w:pPr>
            <w:hyperlink w:anchor="page68">
              <w:r>
                <w:rPr>
                  <w:rFonts w:ascii="Times New Roman" w:cs="Times New Roman" w:eastAsia="Times New Roman" w:hAnsi="Times New Roman"/>
                  <w:sz w:val="18"/>
                  <w:szCs w:val="18"/>
                  <w:color w:val="0000EE"/>
                  <w:w w:val="97"/>
                </w:rPr>
                <w:t>Material U.S. Federal Income Tax Consequences</w:t>
              </w:r>
            </w:hyperlink>
          </w:p>
        </w:tc>
        <w:tc>
          <w:tcPr>
            <w:tcW w:w="5860" w:type="dxa"/>
            <w:vAlign w:val="bottom"/>
            <w:gridSpan w:val="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9320" w:type="dxa"/>
            <w:vAlign w:val="bottom"/>
            <w:gridSpan w:val="24"/>
          </w:tcPr>
          <w:p>
            <w:pPr>
              <w:spacing w:after="0" w:line="196"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Plan of Distribution</w:t>
              </w:r>
            </w:hyperlink>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140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Legal Matters</w:t>
              </w:r>
            </w:hyperlink>
          </w:p>
        </w:tc>
        <w:tc>
          <w:tcPr>
            <w:tcW w:w="7920" w:type="dxa"/>
            <w:vAlign w:val="bottom"/>
            <w:gridSpan w:val="15"/>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98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Experts</w:t>
              </w:r>
            </w:hyperlink>
          </w:p>
        </w:tc>
        <w:tc>
          <w:tcPr>
            <w:tcW w:w="8340" w:type="dxa"/>
            <w:vAlign w:val="bottom"/>
            <w:gridSpan w:val="19"/>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320"/>
          </w:cols>
          <w:pgMar w:left="240" w:top="455" w:right="3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ABOUT INFORMATION IN THIS PROSPECTUS SUPPLEMENT AND THE ACCOMPANYING BASE PROSPECTUS</w:t>
      </w:r>
    </w:p>
    <w:p>
      <w:pPr>
        <w:spacing w:after="0" w:line="158" w:lineRule="exact"/>
        <w:rPr>
          <w:sz w:val="20"/>
          <w:szCs w:val="20"/>
          <w:color w:val="auto"/>
        </w:rPr>
      </w:pPr>
    </w:p>
    <w:p>
      <w:pPr>
        <w:ind w:right="18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This document is in two parts. The first part is the prospectus supplement, which describes our business and the specific terms of this offering. The second part, the accompanying base prospectus, gives more general information and includes disclosures regarding the Notes and additional disclosures that would pertain if at some time in the future we were to offer other series of our debt securities or our common units. Accordingly, the accompanying base prospectus may contain information that does not apply to this offering. Generally, when we refer only to the “prospectus,” we are referring to both parts combined.</w:t>
      </w:r>
    </w:p>
    <w:p>
      <w:pPr>
        <w:spacing w:after="0" w:line="121" w:lineRule="exact"/>
        <w:rPr>
          <w:sz w:val="20"/>
          <w:szCs w:val="20"/>
          <w:color w:val="auto"/>
        </w:rPr>
      </w:pPr>
    </w:p>
    <w:p>
      <w:pPr>
        <w:ind w:right="66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If the description of the offering varies between the prospectus supplement and the accompanying base prospectus, you should rely on the information in the prospectus supplement.</w:t>
      </w:r>
    </w:p>
    <w:p>
      <w:pPr>
        <w:spacing w:after="0" w:line="10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or incorporated by reference in this prospectus supplement, the accompanying base prospectus or any free writing prospectus relating to this offering of Notes. Neither we nor the underwriters have authorized anyone to provide you with different information. Neither we nor the underwriters are making an offer of the Notes in any jurisdiction where the offer is not permitted. You should not assume that the information contained or incorporated by reference in this prospectus supplement, the accompanying base prospectus or any related free writing prospectus is accurate as of any date other than the date on the front of those respective documents. Our business, financial condition, results of operations and prospects may have changed since those dates.</w:t>
      </w:r>
    </w:p>
    <w:p>
      <w:pPr>
        <w:spacing w:after="0" w:line="126" w:lineRule="exact"/>
        <w:rPr>
          <w:sz w:val="20"/>
          <w:szCs w:val="20"/>
          <w:color w:val="auto"/>
        </w:rPr>
      </w:pPr>
    </w:p>
    <w:p>
      <w:pPr>
        <w:ind w:right="54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The information in this prospectus supplement is not complete. You should review carefully all of the detailed information appearing in this prospectus supplement, the accompanying base prospectus, any free writing prospectus relating to this offering and the documents we have incorporated by reference before making any investment decision.</w:t>
      </w:r>
    </w:p>
    <w:p>
      <w:pPr>
        <w:spacing w:after="0" w:line="116"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We expect delivery of the Notes will be made against payment therefor on or about April 23, 2014, which is the fifth business day following the date of pricing of the Notes (such settlement being referred to as “T+5”). Under Rule 15c6-1 of the Securities Exchange Act of 1934, as amended (the “Exchange Act”), trades in the secondary market generally are required to settle in three business days unless the parties to any such trade expressly agree otherwise. Accordingly, purchasers who wish to trade the Notes on the date of pricing of the Notes or the next succeeding business day will be required, by virtue of the fact that the Notes initially will settle in T+5, to specify an alternate settlement cycle at the time of any such trade to prevent failed settlement and should consult their own advisers.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0"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All statements included or incorporated by reference in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6" w:lineRule="exact"/>
        <w:rPr>
          <w:sz w:val="20"/>
          <w:szCs w:val="20"/>
          <w:color w:val="auto"/>
        </w:rPr>
      </w:pPr>
    </w:p>
    <w:p>
      <w:pPr>
        <w:ind w:left="660" w:hanging="20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planned internal growth projects;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market structure, grade differentials and volatility (or lack thereof);</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or events that are not covered by an indemnity, insurance or existing reserves;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660" w:right="160" w:hanging="206"/>
        <w:spacing w:after="0" w:line="27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25"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or other event, including attacks on our electronic and computer systems;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tightened capital markets or other factors that increase our cost of capital or limit our access to capital;</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credit rating and ability to receive open credit from our suppliers and trade counterparties;</w:t>
      </w:r>
    </w:p>
    <w:p>
      <w:pPr>
        <w:spacing w:after="0" w:line="103" w:lineRule="exact"/>
        <w:rPr>
          <w:rFonts w:ascii="Times New Roman" w:cs="Times New Roman" w:eastAsia="Times New Roman" w:hAnsi="Times New Roman"/>
          <w:sz w:val="18"/>
          <w:szCs w:val="18"/>
          <w:color w:val="auto"/>
        </w:rPr>
      </w:pPr>
    </w:p>
    <w:p>
      <w:pPr>
        <w:ind w:left="660" w:right="640" w:hanging="206"/>
        <w:spacing w:after="0" w:line="27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creditworthiness of, and performance by, our counterparties, including financial institutions and trading companies with which we do business;</w:t>
      </w:r>
    </w:p>
    <w:p>
      <w:pPr>
        <w:spacing w:after="0" w:line="25"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acquisition or combination opportunities;</w:t>
      </w:r>
    </w:p>
    <w:p>
      <w:pPr>
        <w:spacing w:after="0" w:line="103" w:lineRule="exact"/>
        <w:rPr>
          <w:rFonts w:ascii="Times New Roman" w:cs="Times New Roman" w:eastAsia="Times New Roman" w:hAnsi="Times New Roman"/>
          <w:sz w:val="18"/>
          <w:szCs w:val="18"/>
          <w:color w:val="auto"/>
        </w:rPr>
      </w:pPr>
    </w:p>
    <w:p>
      <w:pPr>
        <w:ind w:left="660" w:right="280" w:hanging="206"/>
        <w:spacing w:after="0" w:line="27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25"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103" w:lineRule="exact"/>
        <w:rPr>
          <w:rFonts w:ascii="Times New Roman" w:cs="Times New Roman" w:eastAsia="Times New Roman" w:hAnsi="Times New Roman"/>
          <w:sz w:val="18"/>
          <w:szCs w:val="18"/>
          <w:color w:val="auto"/>
        </w:rPr>
      </w:pPr>
    </w:p>
    <w:p>
      <w:pPr>
        <w:jc w:val="both"/>
        <w:ind w:left="660" w:hanging="206"/>
        <w:spacing w:after="0" w:line="26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w:t>
      </w:r>
    </w:p>
    <w:p>
      <w:pPr>
        <w:spacing w:after="0" w:line="3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103" w:lineRule="exact"/>
        <w:rPr>
          <w:rFonts w:ascii="Times New Roman" w:cs="Times New Roman" w:eastAsia="Times New Roman" w:hAnsi="Times New Roman"/>
          <w:sz w:val="18"/>
          <w:szCs w:val="18"/>
          <w:color w:val="auto"/>
        </w:rPr>
      </w:pPr>
    </w:p>
    <w:p>
      <w:pPr>
        <w:ind w:left="660" w:right="80" w:hanging="206"/>
        <w:spacing w:after="0" w:line="27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25"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governmental regulations, accounting standards and statements, and related interpretations;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non-utilization of our assets and facilities;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w:t>
      </w:r>
    </w:p>
    <w:p>
      <w:pPr>
        <w:spacing w:after="0" w:line="103" w:lineRule="exact"/>
        <w:rPr>
          <w:rFonts w:ascii="Times New Roman" w:cs="Times New Roman" w:eastAsia="Times New Roman" w:hAnsi="Times New Roman"/>
          <w:sz w:val="18"/>
          <w:szCs w:val="18"/>
          <w:color w:val="auto"/>
        </w:rPr>
      </w:pPr>
    </w:p>
    <w:p>
      <w:pPr>
        <w:ind w:left="660" w:right="580" w:hanging="206"/>
        <w:spacing w:after="0" w:line="27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facilities, including our ability to satisfy our contractual obligations to our customers at our facilities;</w:t>
      </w:r>
    </w:p>
    <w:p>
      <w:pPr>
        <w:spacing w:after="0" w:line="25"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demand for natural gas and natural gas storage services and rates;</w:t>
      </w:r>
    </w:p>
    <w:p>
      <w:pPr>
        <w:spacing w:after="0" w:line="103" w:lineRule="exact"/>
        <w:rPr>
          <w:rFonts w:ascii="Times New Roman" w:cs="Times New Roman" w:eastAsia="Times New Roman" w:hAnsi="Times New Roman"/>
          <w:sz w:val="18"/>
          <w:szCs w:val="18"/>
          <w:color w:val="auto"/>
        </w:rPr>
      </w:pPr>
    </w:p>
    <w:p>
      <w:pPr>
        <w:ind w:left="660" w:right="580" w:hanging="206"/>
        <w:spacing w:after="0" w:line="27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and the amplification of other risks caused by volatile financial markets, capital constraints and pervasive liquidity concerns; and</w:t>
      </w:r>
    </w:p>
    <w:p>
      <w:pPr>
        <w:spacing w:after="0" w:line="25" w:lineRule="exact"/>
        <w:rPr>
          <w:rFonts w:ascii="Times New Roman" w:cs="Times New Roman" w:eastAsia="Times New Roman" w:hAnsi="Times New Roman"/>
          <w:sz w:val="18"/>
          <w:szCs w:val="18"/>
          <w:color w:val="auto"/>
        </w:rPr>
      </w:pPr>
    </w:p>
    <w:p>
      <w:pPr>
        <w:ind w:left="660" w:right="380" w:hanging="206"/>
        <w:spacing w:after="0" w:line="27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0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Other factors described herein or incorporated by reference, as well as factors that are unknown or unpredictable, could also have a material adverse effect on future results. Please read “Risk Factors” on page S-5 of this prospectus supplement and in Item 1A. “Risk Factors” in our Annual Report on Form 10-K for the fiscal year ended December 31, 2013 (File No. 001-14569), which is incorporated in this prospectus supplement by reference, for information regarding risks you should consider before making an investment decision. Except as required by applicable securities laws, we do not intend to update these forward-looking statements and information.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400"/>
          </w:cols>
          <w:pgMar w:left="240" w:top="455" w:right="2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58"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information included or incorporated by reference in this prospectus supplement and the accompanying base prospectus.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complete understanding of this offering of Notes. Please read “Risk Factors” on page S-5 of this prospectus supplement and in our Annual Report on Form 10-K for the fiscal year ended December 31, 2013, which is incorporated by reference herein, for information regarding risks you should consider before making a decision to purchase any Notes in this offering.</w:t>
      </w:r>
    </w:p>
    <w:p>
      <w:pPr>
        <w:spacing w:after="0" w:line="126" w:lineRule="exact"/>
        <w:rPr>
          <w:sz w:val="20"/>
          <w:szCs w:val="20"/>
          <w:color w:val="auto"/>
        </w:rPr>
      </w:pPr>
    </w:p>
    <w:p>
      <w:pPr>
        <w:ind w:right="140" w:firstLine="456"/>
        <w:spacing w:after="0" w:line="297" w:lineRule="auto"/>
        <w:rPr>
          <w:sz w:val="20"/>
          <w:szCs w:val="20"/>
          <w:color w:val="auto"/>
        </w:rPr>
      </w:pPr>
      <w:r>
        <w:rPr>
          <w:rFonts w:ascii="Times New Roman" w:cs="Times New Roman" w:eastAsia="Times New Roman" w:hAnsi="Times New Roman"/>
          <w:sz w:val="16"/>
          <w:szCs w:val="16"/>
          <w:i w:val="1"/>
          <w:iCs w:val="1"/>
          <w:color w:val="auto"/>
        </w:rPr>
        <w:t>For purposes of this prospectus supplement and the accompanying base prospectus, except as set forth in “Description of Notes” and unless the context clearly indicates otherwise, references to “PAA,” the “Partnership,” “we,” “us,” “our” and similar terms refer to Plains All American Pipeline, L.P. and its subsidiaries. With respect to the cover page and in the section entitled “Prospectus Supplement Summary—The Offering,” “we,” “our” and “us” refer only to Plains All American Pipeline, L.P. and, as the context requires, PAA Finance Corp., but not to any of the other subsidiaries of Plains All American Pipeline, L.P. References to our “general partner,” as the context requires, include any or all of PAA GP LLC, Plains AAP, L.P. and Plains All American GP LLC.</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160"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We are a Delaware limited partnership formed in 1998. Our operations are conducted directly and indirectly through our primary operating subsidiaries. We own and operate midstream energy infrastructure and provide logistics services for crude oil, natural gas liquids (“NGL”), natural gas and refined products. The term NGL includes ethane and natural gasoline products as well as products commonly referred to as liquefied petroleum gas, such as propane and butane.</w:t>
      </w:r>
    </w:p>
    <w:p>
      <w:pPr>
        <w:spacing w:after="0" w:line="8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are one of the largest publicly-traded partnerships with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Ongoing Acquisition Activities</w:t>
      </w:r>
    </w:p>
    <w:p>
      <w:pPr>
        <w:spacing w:after="0" w:line="160" w:lineRule="exact"/>
        <w:rPr>
          <w:sz w:val="20"/>
          <w:szCs w:val="20"/>
          <w:color w:val="auto"/>
        </w:rPr>
      </w:pPr>
    </w:p>
    <w:p>
      <w:pPr>
        <w:ind w:right="360" w:firstLine="456"/>
        <w:spacing w:after="0" w:line="254" w:lineRule="auto"/>
        <w:rPr>
          <w:sz w:val="20"/>
          <w:szCs w:val="20"/>
          <w:color w:val="auto"/>
        </w:rPr>
      </w:pPr>
      <w:r>
        <w:rPr>
          <w:rFonts w:ascii="Times New Roman" w:cs="Times New Roman" w:eastAsia="Times New Roman" w:hAnsi="Times New Roman"/>
          <w:sz w:val="18"/>
          <w:szCs w:val="18"/>
          <w:color w:val="auto"/>
        </w:rPr>
        <w:t>Consistent with our business strategy, we are continuously engaged in discussions with potential sellers regarding the possible purchase of assets and operations that are strategic and complementary to our existing operations. In addition, we have in the past evaluated and pursued, and intend in the future to evaluate and pursue, other energy-related assets that have characteristics and opportunities similar to our existing business lines and enable us to leverage our assets, knowledge and skill sets. Such acquisition efforts may involve participation by us in processes that have been made public and involve a number of potential buyers, commonly referred to as “auction” processes, as well as situations in which we believe we are the only party or one of a limited number of potential buyers in negotiations with the potential seller. These acquisition efforts often involve assets which, if acquired, could have a material effect on our financial condition and results of operations.</w:t>
      </w:r>
    </w:p>
    <w:p>
      <w:pPr>
        <w:spacing w:after="0" w:line="128"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typically do not announce a transaction until after we have executed a definitive acquisition agreement. However, in certain cases in order to protect our business interests or for other reasons, we may defer public announcement of an acquisition until closing or a later date. Past experience has demonstrated that discussions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and negotiations regarding a potential acquisition can advance or terminate in a short period of time. Moreover, the closing of any transaction for which we have entered into a definitive acquisition agreement will be subject to customary and other closing conditions, which may not ultimately be satisfied or waived. Accordingly, we can give no assurance that our current or future acquisition efforts will be successful. Although we expect the acquisitions we make to be accretive in the long term, we can provide no assurance that our expectations will ultimately be realized.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Principal Executive Offices</w:t>
      </w:r>
    </w:p>
    <w:p>
      <w:pPr>
        <w:spacing w:after="0" w:line="16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 xml:space="preserve">Our executive offices are located at 333 Clay Street, Suite 1600, Houston, Texas 77002. Our telephone number is (713) 646-4100. We maintain a website at </w:t>
      </w:r>
      <w:r>
        <w:rPr>
          <w:rFonts w:ascii="Times New Roman" w:cs="Times New Roman" w:eastAsia="Times New Roman" w:hAnsi="Times New Roman"/>
          <w:sz w:val="18"/>
          <w:szCs w:val="18"/>
          <w:i w:val="1"/>
          <w:iCs w:val="1"/>
          <w:color w:val="auto"/>
        </w:rPr>
        <w:t xml:space="preserve">www.plainsallamerican.com </w:t>
      </w:r>
      <w:r>
        <w:rPr>
          <w:rFonts w:ascii="Times New Roman" w:cs="Times New Roman" w:eastAsia="Times New Roman" w:hAnsi="Times New Roman"/>
          <w:sz w:val="18"/>
          <w:szCs w:val="18"/>
          <w:color w:val="auto"/>
        </w:rPr>
        <w:t>that provides information about our business and operations. Information contained on or available through our website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into or otherwise a part of this prospectus supplement or the accompanying base prospectus.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60"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For additional information about us, including our partnership structure and management, please refer to the documents set forth under “Where You Can Find More Information” in this prospectus supplement, including our Annual Report on Form 10-K for the fiscal year ended December 31, 2013, which is incorporated by reference herein.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60"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The summary below describes the principal terms of the Notes. Certain of the terms described below are subject to important limitations and exceptions. The “Description of Notes” section of this prospectus supplement and the “Description of Our Debt Securities” section of the accompanying base prospectus contain a more detailed description of the terms of the Notes.</w:t>
      </w:r>
    </w:p>
    <w:p>
      <w:pPr>
        <w:sectPr>
          <w:pgSz w:w="11900" w:h="16838" w:orient="portrait"/>
          <w:cols w:equalWidth="0" w:num="1">
            <w:col w:w="11420"/>
          </w:cols>
          <w:pgMar w:left="240" w:top="455" w:right="239" w:bottom="1440" w:gutter="0" w:footer="0" w:header="0"/>
        </w:sectPr>
      </w:pP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Issuers</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Plains All American Pipeline, L.P. and PAA Finance Corp.</w:t>
      </w:r>
    </w:p>
    <w:p>
      <w:pPr>
        <w:spacing w:after="0" w:line="193" w:lineRule="exact"/>
        <w:rPr>
          <w:sz w:val="20"/>
          <w:szCs w:val="20"/>
          <w:color w:val="auto"/>
        </w:rPr>
      </w:pPr>
    </w:p>
    <w:p>
      <w:pPr>
        <w:sectPr>
          <w:pgSz w:w="11900" w:h="16838" w:orient="portrait"/>
          <w:cols w:equalWidth="0" w:num="2">
            <w:col w:w="3620" w:space="720"/>
            <w:col w:w="7080"/>
          </w:cols>
          <w:pgMar w:left="240" w:top="455" w:right="239" w:bottom="1440" w:gutter="0" w:footer="0" w:header="0"/>
          <w:type w:val="continuous"/>
        </w:sectPr>
      </w:pPr>
    </w:p>
    <w:p>
      <w:pPr>
        <w:ind w:left="4340" w:right="40"/>
        <w:spacing w:after="0" w:line="256" w:lineRule="auto"/>
        <w:rPr>
          <w:sz w:val="20"/>
          <w:szCs w:val="20"/>
          <w:color w:val="auto"/>
        </w:rPr>
      </w:pPr>
      <w:r>
        <w:rPr>
          <w:rFonts w:ascii="Times New Roman" w:cs="Times New Roman" w:eastAsia="Times New Roman" w:hAnsi="Times New Roman"/>
          <w:sz w:val="18"/>
          <w:szCs w:val="18"/>
          <w:color w:val="auto"/>
        </w:rPr>
        <w:t>PAA Finance Corp., a Delaware corporation, is a wholly owned subsidiary of Plains All American Pipeline, L.P. that has been organized for the purpose of co-issuing our existing notes, the Notes offered hereby and the notes issued in any future offerings. PAA Finance Corp. does not have operations of any kind and will not have any revenue other than as may be incidental to its activities as a co-issuer of our debt securities.</w:t>
      </w:r>
    </w:p>
    <w:p>
      <w:pPr>
        <w:sectPr>
          <w:pgSz w:w="11900" w:h="16838" w:orient="portrait"/>
          <w:cols w:equalWidth="0" w:num="1">
            <w:col w:w="11420"/>
          </w:cols>
          <w:pgMar w:left="240" w:top="455" w:right="239" w:bottom="1440" w:gutter="0" w:footer="0" w:header="0"/>
          <w:type w:val="continuous"/>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Future guarantees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Initially, the Notes will not be guaranteed by any subsidiaries of the issuers. In the future, however, if any subsidiaries guarantee any of the issuers’ other debt, then those subsidiaries will, jointly and severally, fully and unconditionally guarantee the issuers’ payment obligations under the Notes. Please read “Description of Notes—Possible Future Guarantees.”</w:t>
      </w:r>
    </w:p>
    <w:p>
      <w:pPr>
        <w:spacing w:after="0" w:line="123" w:lineRule="exact"/>
        <w:rPr>
          <w:sz w:val="20"/>
          <w:szCs w:val="20"/>
          <w:color w:val="auto"/>
        </w:rPr>
      </w:pPr>
    </w:p>
    <w:p>
      <w:pPr>
        <w:sectPr>
          <w:pgSz w:w="11900" w:h="16838" w:orient="portrait"/>
          <w:cols w:equalWidth="0" w:num="2">
            <w:col w:w="3620" w:space="720"/>
            <w:col w:w="7080"/>
          </w:cols>
          <w:pgMar w:left="240" w:top="45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Notes offered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$700,000,000 aggregate principal amount of 4.70% Senior Notes due 2044.</w:t>
      </w:r>
    </w:p>
    <w:p>
      <w:pPr>
        <w:spacing w:after="0" w:line="194" w:lineRule="exact"/>
        <w:rPr>
          <w:sz w:val="20"/>
          <w:szCs w:val="20"/>
          <w:color w:val="auto"/>
        </w:rPr>
      </w:pPr>
    </w:p>
    <w:p>
      <w:pPr>
        <w:sectPr>
          <w:pgSz w:w="11900" w:h="16838" w:orient="portrait"/>
          <w:cols w:equalWidth="0" w:num="2">
            <w:col w:w="3620" w:space="720"/>
            <w:col w:w="7080"/>
          </w:cols>
          <w:pgMar w:left="240" w:top="45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June 15, 2044.</w:t>
      </w:r>
    </w:p>
    <w:p>
      <w:pPr>
        <w:spacing w:after="0" w:line="194" w:lineRule="exact"/>
        <w:rPr>
          <w:sz w:val="20"/>
          <w:szCs w:val="20"/>
          <w:color w:val="auto"/>
        </w:rPr>
      </w:pPr>
    </w:p>
    <w:p>
      <w:pPr>
        <w:sectPr>
          <w:pgSz w:w="11900" w:h="16838" w:orient="portrait"/>
          <w:cols w:equalWidth="0" w:num="2">
            <w:col w:w="3620" w:space="720"/>
            <w:col w:w="7080"/>
          </w:cols>
          <w:pgMar w:left="240" w:top="45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4.70%.</w:t>
      </w:r>
    </w:p>
    <w:p>
      <w:pPr>
        <w:spacing w:after="0" w:line="194" w:lineRule="exact"/>
        <w:rPr>
          <w:sz w:val="20"/>
          <w:szCs w:val="20"/>
          <w:color w:val="auto"/>
        </w:rPr>
      </w:pPr>
    </w:p>
    <w:p>
      <w:pPr>
        <w:sectPr>
          <w:pgSz w:w="11900" w:h="16838" w:orient="portrait"/>
          <w:cols w:equalWidth="0" w:num="2">
            <w:col w:w="3620" w:space="720"/>
            <w:col w:w="7080"/>
          </w:cols>
          <w:pgMar w:left="240" w:top="45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Interest payment dates</w:t>
      </w:r>
    </w:p>
    <w:p>
      <w:pPr>
        <w:spacing w:after="0" w:line="20" w:lineRule="exact"/>
        <w:rPr>
          <w:sz w:val="20"/>
          <w:szCs w:val="20"/>
          <w:color w:val="auto"/>
        </w:rPr>
      </w:pPr>
      <w:r>
        <w:rPr>
          <w:sz w:val="20"/>
          <w:szCs w:val="20"/>
          <w:color w:val="auto"/>
        </w:rPr>
        <w:br w:type="column"/>
      </w:r>
    </w:p>
    <w:p>
      <w:pPr>
        <w:ind w:right="360"/>
        <w:spacing w:after="0" w:line="275" w:lineRule="auto"/>
        <w:rPr>
          <w:sz w:val="20"/>
          <w:szCs w:val="20"/>
          <w:color w:val="auto"/>
        </w:rPr>
      </w:pPr>
      <w:r>
        <w:rPr>
          <w:rFonts w:ascii="Times New Roman" w:cs="Times New Roman" w:eastAsia="Times New Roman" w:hAnsi="Times New Roman"/>
          <w:sz w:val="18"/>
          <w:szCs w:val="18"/>
          <w:color w:val="auto"/>
        </w:rPr>
        <w:t>We will pay interest on the Notes semi-annually in arrears on June 15 and December 15 of each year, beginning on December 15, 2014.</w:t>
      </w:r>
    </w:p>
    <w:p>
      <w:pPr>
        <w:spacing w:after="0" w:line="106" w:lineRule="exact"/>
        <w:rPr>
          <w:sz w:val="20"/>
          <w:szCs w:val="20"/>
          <w:color w:val="auto"/>
        </w:rPr>
      </w:pPr>
    </w:p>
    <w:p>
      <w:pPr>
        <w:sectPr>
          <w:pgSz w:w="11900" w:h="16838" w:orient="portrait"/>
          <w:cols w:equalWidth="0" w:num="2">
            <w:col w:w="3620" w:space="720"/>
            <w:col w:w="7080"/>
          </w:cols>
          <w:pgMar w:left="240" w:top="45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Times New Roman" w:cs="Times New Roman" w:eastAsia="Times New Roman" w:hAnsi="Times New Roman"/>
          <w:sz w:val="18"/>
          <w:szCs w:val="18"/>
          <w:color w:val="auto"/>
        </w:rPr>
        <w:t>We may redeem the Notes, in whole or in part, at any time and from time to time prior to maturity. If we redeem the Notes before December 15, 2043 (six months prior to their maturity date), the Notes may be redeemed at a price equal to the greater of (i) 100% of the principal amount of the Notes to be redeemed or (ii) the sum of the present values of the remaining scheduled payments of principal of and interest on the Notes to be redeemed, discounted to the redemption date on a semiannual basis at the Adjusted Treasury Rate (as defined herein) plus 20 basis points, together with accrued and unpaid interest to the date of redemption. If we redeem the Notes on or after December 15, 2043 (six months prior to their maturity date), the redemption price will equal 100% of the principal amount of the Notes to be redeemed plus accrued and unpaid interest to the redemption date. See “Description of Notes—Optional Redemption.”</w:t>
      </w:r>
    </w:p>
    <w:p>
      <w:pPr>
        <w:spacing w:after="0" w:line="127" w:lineRule="exact"/>
        <w:rPr>
          <w:sz w:val="20"/>
          <w:szCs w:val="20"/>
          <w:color w:val="auto"/>
        </w:rPr>
      </w:pPr>
    </w:p>
    <w:p>
      <w:pPr>
        <w:sectPr>
          <w:pgSz w:w="11900" w:h="16838" w:orient="portrait"/>
          <w:cols w:equalWidth="0" w:num="2">
            <w:col w:w="3620" w:space="720"/>
            <w:col w:w="7080"/>
          </w:cols>
          <w:pgMar w:left="240" w:top="45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Ranking</w:t>
      </w:r>
    </w:p>
    <w:p>
      <w:pPr>
        <w:spacing w:after="0" w:line="20" w:lineRule="exact"/>
        <w:rPr>
          <w:sz w:val="20"/>
          <w:szCs w:val="20"/>
          <w:color w:val="auto"/>
        </w:rPr>
      </w:pPr>
      <w:r>
        <w:rPr>
          <w:sz w:val="20"/>
          <w:szCs w:val="20"/>
          <w:color w:val="auto"/>
        </w:rPr>
        <w:br w:type="column"/>
      </w:r>
    </w:p>
    <w:p>
      <w:pPr>
        <w:ind w:right="160"/>
        <w:spacing w:after="0" w:line="275" w:lineRule="auto"/>
        <w:rPr>
          <w:sz w:val="20"/>
          <w:szCs w:val="20"/>
          <w:color w:val="auto"/>
        </w:rPr>
      </w:pPr>
      <w:r>
        <w:rPr>
          <w:rFonts w:ascii="Times New Roman" w:cs="Times New Roman" w:eastAsia="Times New Roman" w:hAnsi="Times New Roman"/>
          <w:sz w:val="18"/>
          <w:szCs w:val="18"/>
          <w:color w:val="auto"/>
        </w:rPr>
        <w:t>The Notes will be general senior unsecured obligations of the issuers and will rank equally in right of payment with the existing and future senior indebtedness of the issuers.</w:t>
      </w:r>
    </w:p>
    <w:p>
      <w:pPr>
        <w:spacing w:after="0" w:line="106" w:lineRule="exact"/>
        <w:rPr>
          <w:sz w:val="20"/>
          <w:szCs w:val="20"/>
          <w:color w:val="auto"/>
        </w:rPr>
      </w:pPr>
    </w:p>
    <w:p>
      <w:pPr>
        <w:sectPr>
          <w:pgSz w:w="11900" w:h="16838" w:orient="portrait"/>
          <w:cols w:equalWidth="0" w:num="2">
            <w:col w:w="3620" w:space="720"/>
            <w:col w:w="7080"/>
          </w:cols>
          <w:pgMar w:left="240" w:top="455" w:right="2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color w:val="auto"/>
        </w:rPr>
        <w:t>S-3</w:t>
      </w:r>
    </w:p>
    <w:p>
      <w:pPr>
        <w:sectPr>
          <w:pgSz w:w="11900" w:h="16838" w:orient="portrait"/>
          <w:cols w:equalWidth="0" w:num="1">
            <w:col w:w="11420"/>
          </w:cols>
          <w:pgMar w:left="240" w:top="455" w:right="239" w:bottom="1440" w:gutter="0" w:footer="0" w:header="0"/>
          <w:type w:val="continuous"/>
        </w:sectPr>
      </w:pPr>
    </w:p>
    <w:bookmarkStart w:id="8" w:name="page9"/>
    <w:bookmarkEnd w:id="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380"/>
          </w:cols>
          <w:pgMar w:left="240" w:top="455" w:right="279" w:bottom="1440" w:gutter="0" w:footer="0" w:header="0"/>
        </w:sect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Certain covenants</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Notes will be issued under an indenture containing covenants for your benefit. These covenants restrict our ability, with certain exceptions, to:</w:t>
      </w:r>
    </w:p>
    <w:p>
      <w:pPr>
        <w:spacing w:after="0" w:line="25" w:lineRule="exact"/>
        <w:rPr>
          <w:sz w:val="20"/>
          <w:szCs w:val="20"/>
          <w:color w:val="auto"/>
        </w:rPr>
      </w:pPr>
    </w:p>
    <w:p>
      <w:pPr>
        <w:sectPr>
          <w:pgSz w:w="11900" w:h="16838" w:orient="portrait"/>
          <w:cols w:equalWidth="0" w:num="2">
            <w:col w:w="3620" w:space="720"/>
            <w:col w:w="7040"/>
          </w:cols>
          <w:pgMar w:left="240" w:top="455" w:right="279" w:bottom="1440" w:gutter="0" w:footer="0" w:header="0"/>
          <w:type w:val="continuous"/>
        </w:sectPr>
      </w:pPr>
    </w:p>
    <w:p>
      <w:pPr>
        <w:ind w:left="4340"/>
        <w:spacing w:after="0"/>
        <w:tabs>
          <w:tab w:leader="none" w:pos="4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incur liens on principal properties to secure debt;</w:t>
      </w:r>
    </w:p>
    <w:p>
      <w:pPr>
        <w:spacing w:after="0" w:line="104" w:lineRule="exact"/>
        <w:rPr>
          <w:sz w:val="20"/>
          <w:szCs w:val="20"/>
          <w:color w:val="auto"/>
        </w:rPr>
      </w:pPr>
    </w:p>
    <w:p>
      <w:pPr>
        <w:ind w:left="4340"/>
        <w:spacing w:after="0"/>
        <w:tabs>
          <w:tab w:leader="none" w:pos="4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engage in sale-leaseback transactions; and</w:t>
      </w:r>
    </w:p>
    <w:p>
      <w:pPr>
        <w:spacing w:after="0" w:line="104" w:lineRule="exact"/>
        <w:rPr>
          <w:sz w:val="20"/>
          <w:szCs w:val="20"/>
          <w:color w:val="auto"/>
        </w:rPr>
      </w:pPr>
    </w:p>
    <w:p>
      <w:pPr>
        <w:ind w:left="4560" w:right="680" w:hanging="219"/>
        <w:spacing w:after="0" w:line="275" w:lineRule="auto"/>
        <w:tabs>
          <w:tab w:leader="none" w:pos="4540" w:val="left"/>
        </w:tabs>
        <w:rPr>
          <w:sz w:val="20"/>
          <w:szCs w:val="20"/>
          <w:color w:val="auto"/>
        </w:rPr>
      </w:pPr>
      <w:r>
        <w:rPr>
          <w:rFonts w:ascii="Times New Roman" w:cs="Times New Roman" w:eastAsia="Times New Roman" w:hAnsi="Times New Roman"/>
          <w:sz w:val="18"/>
          <w:szCs w:val="18"/>
          <w:color w:val="auto"/>
        </w:rPr>
        <w:t>•</w:t>
        <w:tab/>
        <w:t>merge or consolidate with another entity or sell, lease or transfer substantially all of our properties or assets to another entity.</w:t>
      </w:r>
    </w:p>
    <w:p>
      <w:pPr>
        <w:spacing w:after="0" w:line="1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See “Description of Notes—Covenants.”</w:t>
      </w:r>
    </w:p>
    <w:p>
      <w:pPr>
        <w:sectPr>
          <w:pgSz w:w="11900" w:h="16838" w:orient="portrait"/>
          <w:cols w:equalWidth="0" w:num="1">
            <w:col w:w="11380"/>
          </w:cols>
          <w:pgMar w:left="240" w:top="455" w:right="279"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net proceeds of this offering will be approximately $690.9 million after deducting the underwriting discount and our estimated offering expenses. We expect to use the net proceeds from this offering to repay outstanding borrowings under our commercial paper program and for general partnership purposes.</w:t>
      </w:r>
    </w:p>
    <w:p>
      <w:pPr>
        <w:spacing w:after="0" w:line="123" w:lineRule="exact"/>
        <w:rPr>
          <w:sz w:val="20"/>
          <w:szCs w:val="20"/>
          <w:color w:val="auto"/>
        </w:rPr>
      </w:pPr>
    </w:p>
    <w:p>
      <w:pPr>
        <w:sectPr>
          <w:pgSz w:w="11900" w:h="16838" w:orient="portrait"/>
          <w:cols w:equalWidth="0" w:num="2">
            <w:col w:w="3620" w:space="720"/>
            <w:col w:w="7040"/>
          </w:cols>
          <w:pgMar w:left="240" w:top="455" w:right="279" w:bottom="1440" w:gutter="0" w:footer="0" w:header="0"/>
          <w:type w:val="continuous"/>
        </w:sectPr>
      </w:pPr>
    </w:p>
    <w:p>
      <w:pPr>
        <w:ind w:left="4340" w:right="20"/>
        <w:spacing w:after="0" w:line="275" w:lineRule="auto"/>
        <w:rPr>
          <w:sz w:val="20"/>
          <w:szCs w:val="20"/>
          <w:color w:val="auto"/>
        </w:rPr>
      </w:pPr>
      <w:r>
        <w:rPr>
          <w:rFonts w:ascii="Times New Roman" w:cs="Times New Roman" w:eastAsia="Times New Roman" w:hAnsi="Times New Roman"/>
          <w:sz w:val="18"/>
          <w:szCs w:val="18"/>
          <w:color w:val="auto"/>
        </w:rPr>
        <w:t>Amounts repaid under our commercial paper program may be reborrowed, as necessary, to fund our ongoing expansion capital program, future acquisitions, or for general partnership purposes.</w:t>
      </w:r>
    </w:p>
    <w:p>
      <w:pPr>
        <w:sectPr>
          <w:pgSz w:w="11900" w:h="16838" w:orient="portrait"/>
          <w:cols w:equalWidth="0" w:num="1">
            <w:col w:w="11380"/>
          </w:cols>
          <w:pgMar w:left="240" w:top="455" w:right="27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Book entry, delivery and form</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The Notes will be represented by one or more permanent global certificates in fully registered form deposited with a custodian for, and registered in the name of, a nominee of The Depository Trust Company.</w:t>
      </w:r>
    </w:p>
    <w:p>
      <w:pPr>
        <w:spacing w:after="0" w:line="119" w:lineRule="exact"/>
        <w:rPr>
          <w:sz w:val="20"/>
          <w:szCs w:val="20"/>
          <w:color w:val="auto"/>
        </w:rPr>
      </w:pPr>
    </w:p>
    <w:p>
      <w:pPr>
        <w:sectPr>
          <w:pgSz w:w="11900" w:h="16838" w:orient="portrait"/>
          <w:cols w:equalWidth="0" w:num="2">
            <w:col w:w="3620" w:space="720"/>
            <w:col w:w="7040"/>
          </w:cols>
          <w:pgMar w:left="240" w:top="455"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Further issuances</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Times New Roman" w:cs="Times New Roman" w:eastAsia="Times New Roman" w:hAnsi="Times New Roman"/>
          <w:sz w:val="18"/>
          <w:szCs w:val="18"/>
          <w:color w:val="auto"/>
        </w:rPr>
        <w:t>We may create and issue additional Notes ranking equally and ratably with the Notes offered by this prospectus supplement in all respects, so that such additional Notes will be consolidated and form a single series with such Notes and will have the same terms, as to status, redemption or otherwise except for the issue date, the initial interest payment date, if applicable, and the payment of interest accruing prior to the issue date of such additional Notes.</w:t>
      </w:r>
    </w:p>
    <w:p>
      <w:pPr>
        <w:spacing w:after="0" w:line="125" w:lineRule="exact"/>
        <w:rPr>
          <w:sz w:val="20"/>
          <w:szCs w:val="20"/>
          <w:color w:val="auto"/>
        </w:rPr>
      </w:pPr>
    </w:p>
    <w:p>
      <w:pPr>
        <w:sectPr>
          <w:pgSz w:w="11900" w:h="16838" w:orient="portrait"/>
          <w:cols w:equalWidth="0" w:num="2">
            <w:col w:w="3620" w:space="720"/>
            <w:col w:w="7040"/>
          </w:cols>
          <w:pgMar w:left="240" w:top="455"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No listing</w:t>
      </w:r>
    </w:p>
    <w:p>
      <w:pPr>
        <w:spacing w:after="0" w:line="20" w:lineRule="exact"/>
        <w:rPr>
          <w:sz w:val="20"/>
          <w:szCs w:val="20"/>
          <w:color w:val="auto"/>
        </w:rPr>
      </w:pPr>
      <w:r>
        <w:rPr>
          <w:sz w:val="20"/>
          <w:szCs w:val="20"/>
          <w:color w:val="auto"/>
        </w:rPr>
        <w:br w:type="column"/>
      </w:r>
    </w:p>
    <w:p>
      <w:pPr>
        <w:ind w:right="100"/>
        <w:spacing w:after="0" w:line="258"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do not currently intend to apply for listing of the Notes on any securities exchange or have the Notes quoted on any automated quotation system. See “Risk Factors—Risks Related to the Notes—Your ability to transfer the Notes may be limited by the absence of an organized trading market.”</w:t>
      </w:r>
    </w:p>
    <w:p>
      <w:pPr>
        <w:spacing w:after="0" w:line="123" w:lineRule="exact"/>
        <w:rPr>
          <w:sz w:val="20"/>
          <w:szCs w:val="20"/>
          <w:color w:val="auto"/>
        </w:rPr>
      </w:pPr>
    </w:p>
    <w:p>
      <w:pPr>
        <w:sectPr>
          <w:pgSz w:w="11900" w:h="16838" w:orient="portrait"/>
          <w:cols w:equalWidth="0" w:num="2">
            <w:col w:w="3620" w:space="720"/>
            <w:col w:w="7040"/>
          </w:cols>
          <w:pgMar w:left="240" w:top="455"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Governing law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State of New York.</w:t>
      </w:r>
    </w:p>
    <w:p>
      <w:pPr>
        <w:spacing w:after="0" w:line="194" w:lineRule="exact"/>
        <w:rPr>
          <w:sz w:val="20"/>
          <w:szCs w:val="20"/>
          <w:color w:val="auto"/>
        </w:rPr>
      </w:pPr>
    </w:p>
    <w:p>
      <w:pPr>
        <w:sectPr>
          <w:pgSz w:w="11900" w:h="16838" w:orient="portrait"/>
          <w:cols w:equalWidth="0" w:num="2">
            <w:col w:w="3620" w:space="720"/>
            <w:col w:w="7040"/>
          </w:cols>
          <w:pgMar w:left="240" w:top="455"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U.S. Bank National Association.</w:t>
      </w:r>
    </w:p>
    <w:p>
      <w:pPr>
        <w:spacing w:after="0" w:line="193" w:lineRule="exact"/>
        <w:rPr>
          <w:sz w:val="20"/>
          <w:szCs w:val="20"/>
          <w:color w:val="auto"/>
        </w:rPr>
      </w:pPr>
    </w:p>
    <w:p>
      <w:pPr>
        <w:sectPr>
          <w:pgSz w:w="11900" w:h="16838" w:orient="portrait"/>
          <w:cols w:equalWidth="0" w:num="2">
            <w:col w:w="3620" w:space="720"/>
            <w:col w:w="7040"/>
          </w:cols>
          <w:pgMar w:left="240" w:top="455"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Risk factors</w:t>
      </w:r>
    </w:p>
    <w:p>
      <w:pPr>
        <w:spacing w:after="0" w:line="20" w:lineRule="exact"/>
        <w:rPr>
          <w:sz w:val="20"/>
          <w:szCs w:val="20"/>
          <w:color w:val="auto"/>
        </w:rPr>
      </w:pPr>
      <w:r>
        <w:rPr>
          <w:sz w:val="20"/>
          <w:szCs w:val="20"/>
          <w:color w:val="auto"/>
        </w:rPr>
        <w:br w:type="column"/>
      </w:r>
    </w:p>
    <w:p>
      <w:pPr>
        <w:ind w:right="40"/>
        <w:spacing w:after="0" w:line="256" w:lineRule="auto"/>
        <w:rPr>
          <w:sz w:val="20"/>
          <w:szCs w:val="20"/>
          <w:color w:val="auto"/>
        </w:rPr>
      </w:pPr>
      <w:r>
        <w:rPr>
          <w:rFonts w:ascii="Times New Roman" w:cs="Times New Roman" w:eastAsia="Times New Roman" w:hAnsi="Times New Roman"/>
          <w:sz w:val="18"/>
          <w:szCs w:val="18"/>
          <w:color w:val="auto"/>
        </w:rPr>
        <w:t>Investing in the Notes involves risks. You should consider carefully all of the information in this prospectus supplement, the accompanying base prospectus, any free writing prospectus relating to this offering and the documents incorporated by reference herein and therein. In particular, you should consider carefully the specific risks set forth in “Risk Factors” beginning on page S-5 of this prospectus supplement.</w:t>
      </w:r>
    </w:p>
    <w:p>
      <w:pPr>
        <w:spacing w:after="0" w:line="125" w:lineRule="exact"/>
        <w:rPr>
          <w:sz w:val="20"/>
          <w:szCs w:val="20"/>
          <w:color w:val="auto"/>
        </w:rPr>
      </w:pPr>
    </w:p>
    <w:p>
      <w:pPr>
        <w:sectPr>
          <w:pgSz w:w="11900" w:h="16838" w:orient="portrait"/>
          <w:cols w:equalWidth="0" w:num="2">
            <w:col w:w="3620" w:space="720"/>
            <w:col w:w="7040"/>
          </w:cols>
          <w:pgMar w:left="240" w:top="455" w:right="27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6"/>
          <w:szCs w:val="16"/>
          <w:color w:val="auto"/>
        </w:rPr>
        <w:t>S-4</w:t>
      </w:r>
    </w:p>
    <w:p>
      <w:pPr>
        <w:sectPr>
          <w:pgSz w:w="11900" w:h="16838" w:orient="portrait"/>
          <w:cols w:equalWidth="0" w:num="1">
            <w:col w:w="11380"/>
          </w:cols>
          <w:pgMar w:left="240" w:top="455" w:right="279" w:bottom="1440" w:gutter="0" w:footer="0" w:header="0"/>
          <w:type w:val="continuous"/>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58"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Before making an investment in the Notes offered hereby, you should carefully consider the risk factors included below and those included in Item 1A. “Risk Factors” in our Annual Report on Form 10-K for the fiscal year ended December 31, 2013 (File No. 001-14569), which is incorporated by reference herein, together with all of the other information included or incorporated by reference in this prospectus supplement. If any of these risks were to occur, our business, financial condition or results of operations could be materially adversely affected. In such case, the value of the Notes could decline, and you could lose all or part of your investment.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75" w:lineRule="exact"/>
        <w:rPr>
          <w:sz w:val="20"/>
          <w:szCs w:val="20"/>
          <w:color w:val="auto"/>
        </w:rPr>
      </w:pPr>
    </w:p>
    <w:p>
      <w:pPr>
        <w:jc w:val="both"/>
        <w:ind w:left="240" w:right="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p>
    <w:p>
      <w:pPr>
        <w:spacing w:after="0" w:line="34"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The Notes are effectively subordinated to claims of our secured creditors and to any existing and future indebtedness and other obligations of our subsidiaries, including trade payables, other than subsidiaries that may guarantee the Notes in the future. As of December 31, 2013, on an as adjusted basis as described under “Capitalization,” the Notes would have been effectively subordinated to no short-term secured indebtedness and structurally subordinated to all of our subsidiaries’ indebtedness, which totaled approximately $200 million at that date. In the event of the insolvency, bankruptcy, liquidation, reorganization, dissolution or winding up of the business of a subsidiary, other than a subsidiary that may guarantee the Notes in the future, creditors of that subsidiary would generally have the right to be paid in full before any distribution is made to us or the holders of the Notes.</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leverage may limit our ability to borrow additional funds, comply with the terms of our indebtedness or capitalize on business opportunities.</w:t>
      </w:r>
    </w:p>
    <w:p>
      <w:pPr>
        <w:spacing w:after="0" w:line="81" w:lineRule="exact"/>
        <w:rPr>
          <w:sz w:val="20"/>
          <w:szCs w:val="20"/>
          <w:color w:val="auto"/>
        </w:rPr>
      </w:pPr>
    </w:p>
    <w:p>
      <w:pPr>
        <w:ind w:right="60" w:firstLine="456"/>
        <w:spacing w:after="0" w:line="301" w:lineRule="auto"/>
        <w:rPr>
          <w:sz w:val="20"/>
          <w:szCs w:val="20"/>
          <w:color w:val="auto"/>
        </w:rPr>
      </w:pPr>
      <w:r>
        <w:rPr>
          <w:rFonts w:ascii="Times New Roman" w:cs="Times New Roman" w:eastAsia="Times New Roman" w:hAnsi="Times New Roman"/>
          <w:sz w:val="16"/>
          <w:szCs w:val="16"/>
          <w:color w:val="auto"/>
        </w:rPr>
        <w:t>Our leverage is significant in relation to our partners’ capital. As of December 31, 2013, on an as adjusted basis as described under “Capitalization,” our total outstanding long-term debt was approximately $7.4 billion, and our total outstanding short-term debt was approximately $422 million. See “Capitalization.”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9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facility to service our indebtedness, although the principal amount of the Notes will likely need to be refinanced at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spacing w:after="0" w:line="130" w:lineRule="exact"/>
        <w:rPr>
          <w:sz w:val="20"/>
          <w:szCs w:val="20"/>
          <w:color w:val="auto"/>
        </w:rPr>
      </w:pPr>
    </w:p>
    <w:p>
      <w:pPr>
        <w:jc w:val="both"/>
        <w:ind w:right="540" w:firstLine="456"/>
        <w:spacing w:after="0" w:line="262" w:lineRule="auto"/>
        <w:rPr>
          <w:sz w:val="20"/>
          <w:szCs w:val="20"/>
          <w:color w:val="auto"/>
        </w:rPr>
      </w:pPr>
      <w:r>
        <w:rPr>
          <w:rFonts w:ascii="Times New Roman" w:cs="Times New Roman" w:eastAsia="Times New Roman" w:hAnsi="Times New Roman"/>
          <w:sz w:val="18"/>
          <w:szCs w:val="18"/>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400"/>
          </w:cols>
          <w:pgMar w:left="240" w:top="45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Your ability to transfer the Notes may be limited by the absence of an organized trading market.</w:t>
      </w:r>
    </w:p>
    <w:p>
      <w:pPr>
        <w:spacing w:after="0" w:line="8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do not currently intend to apply for listing of the Notes on any securities exchange or have the Notes quoted on any automated quotation system. Although certain of the underwriters have informed us that they currently intend to make a market in the Notes, they are not obligated to do so. In addition, the underwriters may discontinue any such market making at any time without notice. The liquidity of any market for the Notes will depend on the number of holders of the Notes, the interest of securities dealers in making a market in the Notes and other factors. Accordingly, we can give no assurance as to the development, continuation or liquidity of any market for the Notes.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have a holding company structure in which our subsidiaries conduct our operations and own our operating assets.</w:t>
      </w:r>
    </w:p>
    <w:p>
      <w:pPr>
        <w:spacing w:after="0" w:line="8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are a holding company, and our subsidiaries conduct all of our operations and own all of our operating assets. We have no significant assets other than the ownership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the Notes, we may be required to adopt one or more alternatives, such as a refinancing of the Notes. We cannot assure you that we would be able to refinance the Notes.</w:t>
      </w:r>
    </w:p>
    <w:p>
      <w:pPr>
        <w:spacing w:after="0" w:line="124" w:lineRule="exact"/>
        <w:rPr>
          <w:sz w:val="20"/>
          <w:szCs w:val="20"/>
          <w:color w:val="auto"/>
        </w:rPr>
      </w:pPr>
    </w:p>
    <w:p>
      <w:pPr>
        <w:ind w:left="240" w:right="3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do not have the same flexibility as other types of organizations to accumulate cash, which may limit cash available to service the Notes or to repay them at maturity.</w:t>
      </w:r>
    </w:p>
    <w:p>
      <w:pPr>
        <w:spacing w:after="0" w:line="2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42" w:lineRule="exact"/>
        <w:rPr>
          <w:sz w:val="20"/>
          <w:szCs w:val="20"/>
          <w:color w:val="auto"/>
        </w:rPr>
      </w:pPr>
    </w:p>
    <w:p>
      <w:pPr>
        <w:ind w:left="660" w:right="40" w:hanging="206"/>
        <w:spacing w:after="0" w:line="27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proper conduct of our business and the businesses of our operating partnerships (including reserves for future capital expenditures and for our anticipated future credit needs);</w:t>
      </w:r>
    </w:p>
    <w:p>
      <w:pPr>
        <w:spacing w:after="0" w:line="25"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funds for distributions to our unitholders and the general partner for any one or more of the next four calendar quarters; or</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applicable law or any of our loan or other agreements.</w:t>
      </w:r>
    </w:p>
    <w:p>
      <w:pPr>
        <w:spacing w:after="0" w:line="18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Although our payment obligations to our unitholders are subordinate to our payment obligations to you, the value of our units will decrease in direct correlation with decreases in the amount we distribute per unit. Accordingly, if we experience a liquidity problem in the future, we may not be able to issue equity to recapitalize.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0"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net proceeds of this offering will be approximately $690.9 million after deducting the underwriting discount and our estimated offering expenses. We expect to use the net proceeds from this offering to repay outstanding borrowings under our commercial paper program and for general partnership purposes. Amounts repaid under our commercial paper program may be reborrowed, as necessary, to fund our ongoing expansion capital program, future acquisitions, or for general partnership purposes.</w:t>
      </w:r>
    </w:p>
    <w:p>
      <w:pPr>
        <w:spacing w:after="0" w:line="123" w:lineRule="exact"/>
        <w:rPr>
          <w:sz w:val="20"/>
          <w:szCs w:val="20"/>
          <w:color w:val="auto"/>
        </w:rPr>
      </w:pPr>
    </w:p>
    <w:p>
      <w:pPr>
        <w:ind w:right="220" w:firstLine="456"/>
        <w:spacing w:after="0" w:line="339" w:lineRule="auto"/>
        <w:rPr>
          <w:sz w:val="20"/>
          <w:szCs w:val="20"/>
          <w:color w:val="auto"/>
        </w:rPr>
      </w:pPr>
      <w:r>
        <w:rPr>
          <w:rFonts w:ascii="Times New Roman" w:cs="Times New Roman" w:eastAsia="Times New Roman" w:hAnsi="Times New Roman"/>
          <w:sz w:val="16"/>
          <w:szCs w:val="16"/>
          <w:color w:val="auto"/>
        </w:rPr>
        <w:t>Affiliates of certain of the underwriters are dealers under our commercial paper program and may hold commercial paper notes thereunder. Accordingly, they may receive a portion of the net proceeds from this offering. Please read “Underwriting” in this prospectus supplement for further information.</w:t>
      </w:r>
    </w:p>
    <w:p>
      <w:pPr>
        <w:spacing w:after="0" w:line="6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As of April 14, 2014, we had approximately $987 million of borrowings outstanding under our commercial paper program with a weighted average interest rate of approximately 0.29%. The outstanding borrowings under our commercial paper program have maturity dates of one week or less. Our commercial paper program is backstopped by our senior secured hedged inventory facility and our senior unsecured revolving credit facility.</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p>
      <w:pPr>
        <w:spacing w:after="0" w:line="160"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leases deemed to be the equivalent of interest.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Years Ended 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7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2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3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4.41x</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4.03x</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4.13x</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2.57x</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3.00x</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40" w:hanging="452"/>
        <w:spacing w:after="0" w:line="275"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costs attributable to borrowings for hedged inventory purchases of $30 million, $12 million, $20 million, $17 million and $11 million for the years ended December 31, 2013, 2012, 2011, 2010 and 2009, respectively.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December 31, 2013:</w:t>
      </w:r>
    </w:p>
    <w:p>
      <w:pPr>
        <w:spacing w:after="0" w:line="77" w:lineRule="exact"/>
        <w:rPr>
          <w:sz w:val="20"/>
          <w:szCs w:val="20"/>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historical basis; and</w:t>
      </w:r>
    </w:p>
    <w:p>
      <w:pPr>
        <w:spacing w:after="0" w:line="103" w:lineRule="exact"/>
        <w:rPr>
          <w:rFonts w:ascii="Times New Roman" w:cs="Times New Roman" w:eastAsia="Times New Roman" w:hAnsi="Times New Roman"/>
          <w:sz w:val="18"/>
          <w:szCs w:val="18"/>
          <w:color w:val="auto"/>
        </w:rPr>
      </w:pPr>
    </w:p>
    <w:p>
      <w:pPr>
        <w:ind w:left="660" w:right="40" w:hanging="206"/>
        <w:spacing w:after="0" w:line="275"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to give effect to the sale of the Notes offered hereby and the application of the net proceeds therefrom as described under “Use of Proceeds” in this prospectus supplement.</w:t>
      </w:r>
    </w:p>
    <w:p>
      <w:pPr>
        <w:spacing w:after="0" w:line="106"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This table should also be read in conjunction with our financial statements and the notes thereto that are incorporated by reference into this prospectus supplement.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As of December 31, 2013</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58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4"/>
              </w:rPr>
              <w:t>Historical</w:t>
            </w:r>
          </w:p>
        </w:tc>
        <w:tc>
          <w:tcPr>
            <w:tcW w:w="5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3"/>
              </w:rPr>
              <w:t>As 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center"/>
              <w:ind w:left="334"/>
              <w:spacing w:after="0" w:line="142" w:lineRule="exact"/>
              <w:rPr>
                <w:sz w:val="20"/>
                <w:szCs w:val="20"/>
                <w:color w:val="auto"/>
              </w:rPr>
            </w:pPr>
            <w:r>
              <w:rPr>
                <w:rFonts w:ascii="Times New Roman" w:cs="Times New Roman" w:eastAsia="Times New Roman" w:hAnsi="Times New Roman"/>
                <w:sz w:val="14"/>
                <w:szCs w:val="14"/>
                <w:b w:val="1"/>
                <w:bCs w:val="1"/>
                <w:color w:val="auto"/>
                <w:w w:val="97"/>
              </w:rPr>
              <w:t>(In millions)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7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SHORT-TERM DEBT(1)(2)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5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PAA senior secured hedged inventory facility</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5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PAA senior unsecured revolving credit facility</w:t>
            </w:r>
          </w:p>
        </w:tc>
        <w:tc>
          <w:tcPr>
            <w:tcW w:w="8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5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PAA commercial paper notes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short-term debt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7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5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Senior notes, net of unamortized discounts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7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Notes offered hereby, net of unamortized discount</w:t>
            </w:r>
          </w:p>
        </w:tc>
        <w:tc>
          <w:tcPr>
            <w:tcW w:w="8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Long-term debt under credit facilities and other</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Total long-term debt</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PARTNERS’ CAPITAL</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Common unitholders</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7,349</w:t>
            </w:r>
          </w:p>
        </w:tc>
        <w:tc>
          <w:tcPr>
            <w:tcW w:w="7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General partner</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Total partners’ capital excluding noncontrolling interests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5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Total partners’ capital</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5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capitalization</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14,418</w:t>
            </w:r>
          </w:p>
        </w:tc>
        <w:tc>
          <w:tcPr>
            <w:tcW w:w="7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240" w:hanging="452"/>
        <w:spacing w:after="0" w:line="255"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classify as short-term certain borrowings under our PAA senior secured hedged inventory facility, our PAA senior unsecured revolving credit facility and our commercial paper program. These borrowings are primarily designated as working capital borrowings, must be repaid within one year and are primarily for hedged NGL and crude oil inventory and NYMEX and ICE margin deposits.</w:t>
      </w:r>
    </w:p>
    <w:p>
      <w:pPr>
        <w:ind w:left="460" w:right="120" w:hanging="452"/>
        <w:spacing w:after="0" w:line="261"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April 14, 2014, we had approximately $987 million of borrowings outstanding under our commercial paper program and no borrowings outstanding under our senior secured hedged inventory facility or our senior unsecured revolving credit facility.</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16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will issue the Notes under an indenture (the “Base Indenture”) dated as of September 25, 2002, among us, the subsidiary guarantors and U.S. Bank National Association, as successor trustee, and a supplemental indenture thereto with respect to the Notes to be dated as of April 23, 2014 (the Base Indenture, as supplemented by such supplemental indenture, the “Indenture”). The Notes will constitute a new series of debt securities under the Indenture, and 15 other series are now outstanding under the Base Indenture, each issued under a separate supplemental indenture.</w:t>
      </w:r>
    </w:p>
    <w:p>
      <w:pPr>
        <w:spacing w:after="0" w:line="12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As used in this description, the terms “we,” “us” and “our” refer to Plains All American Pipeline, L.P. and PAA Finance Corp. as co-issuers of the Notes and not to any of their subsidiaries or affiliates, and references to “Plains All American Pipeline” are to Plains All American Pipeline, L.P. Other capitalized terms that are used in this section of the prospectus supplement have the meanings assigned to them in the Indenture, and we have included some of those definitions at the end of this section. See “—Definitions.” Also, in this section, the term “holders” means The Depository Trust Company or its nominee and not the persons who own beneficial interests in the Notes through participants in The Depository Trust Company. Please review the special considerations that apply to beneficial owners under “Book Entry, Delivery and Form.”</w:t>
      </w:r>
    </w:p>
    <w:p>
      <w:pPr>
        <w:spacing w:after="0" w:line="126" w:lineRule="exact"/>
        <w:rPr>
          <w:sz w:val="20"/>
          <w:szCs w:val="20"/>
          <w:color w:val="auto"/>
        </w:rPr>
      </w:pPr>
    </w:p>
    <w:p>
      <w:pPr>
        <w:ind w:right="360" w:firstLine="456"/>
        <w:spacing w:after="0" w:line="262" w:lineRule="auto"/>
        <w:rPr>
          <w:sz w:val="20"/>
          <w:szCs w:val="20"/>
          <w:color w:val="auto"/>
        </w:rPr>
      </w:pPr>
      <w:r>
        <w:rPr>
          <w:rFonts w:ascii="Times New Roman" w:cs="Times New Roman" w:eastAsia="Times New Roman" w:hAnsi="Times New Roman"/>
          <w:sz w:val="18"/>
          <w:szCs w:val="18"/>
          <w:color w:val="auto"/>
        </w:rPr>
        <w:t>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Base Indenture and the supplemental indenture creating the Notes from us as set forth under “Where You Can Find More Information.”</w:t>
      </w:r>
    </w:p>
    <w:p>
      <w:pPr>
        <w:spacing w:after="0" w:line="119"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This description is intended to be an overview of the material provisions of the Notes and is intended to supplement and, to the extent of any inconsistency, replace the description of the general terms and provisions of the debt securities set forth in the accompanying base prospectus, to which we refer you. Since this description is only a summary, you should refer to the Indenture for a complete description of our obligations and your rights.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Description of the Notes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Notes will be:</w:t>
      </w:r>
    </w:p>
    <w:p>
      <w:pPr>
        <w:spacing w:after="0" w:line="77" w:lineRule="exact"/>
        <w:rPr>
          <w:sz w:val="20"/>
          <w:szCs w:val="20"/>
          <w:color w:val="auto"/>
        </w:rPr>
      </w:pPr>
    </w:p>
    <w:p>
      <w:pPr>
        <w:ind w:left="660" w:hanging="20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senior unsecured indebtedness ranking equally in right of payment with all of our existing and future unsubordinated indebtedness;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series of debt securities issued under the Indenture;</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non-recourse to our general partner;</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in right of payment to any of our future subordinated indebtedness;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junior to any of our existing and future secured indebtedness, to the extent of the security for that debt; and</w:t>
      </w:r>
    </w:p>
    <w:p>
      <w:pPr>
        <w:spacing w:after="0" w:line="103" w:lineRule="exact"/>
        <w:rPr>
          <w:rFonts w:ascii="Times New Roman" w:cs="Times New Roman" w:eastAsia="Times New Roman" w:hAnsi="Times New Roman"/>
          <w:sz w:val="18"/>
          <w:szCs w:val="18"/>
          <w:color w:val="auto"/>
        </w:rPr>
      </w:pPr>
    </w:p>
    <w:p>
      <w:pPr>
        <w:ind w:left="660" w:right="40" w:hanging="206"/>
        <w:spacing w:after="0" w:line="27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junior to existing and future indebtedness and other obligations of our subsidiaries, including trade payables, other than subsidiaries that may guarantee the Notes in the future.</w:t>
      </w:r>
    </w:p>
    <w:p>
      <w:pPr>
        <w:spacing w:after="0" w:line="10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As of December 31, 2013, on an as adjusted basis as described under “Capitalization,” the Notes would have been effectively subordinated to no short-term secured indebtedness and structurally subordinated to all of our subsidiaries’ outstanding indebtedness, which totaled approximately $200 million at that date. See “Risk Factors—Risks Related to the Notes—Your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Indenture will not limit the aggregate principal amount of debt securities that may be issued thereunder and provides that debt securities may be issued thereunder from time to time in one or more series. Except to the extent described under “—Covenants,” the Indenture does not limit our ability or the ability of our subsidiaries to incur either secured or unsecured additional indebtedness.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Further Issuances</w:t>
      </w:r>
    </w:p>
    <w:p>
      <w:pPr>
        <w:spacing w:after="0" w:line="7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may, from time to time, without notice to or the consent of the holders of the Notes, create and issue additional Notes ranking equally and ratably with the Notes offered hereby in all respects, so that such additional Notes will be consolidated and form a single series with the Notes and will have the same terms as to status, redemption or otherwise as the Notes (except for the issue date, the initial interest payment date, if applicable, and the payment of interest accruing prior to the issue date of such additional 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Maturity and Interest</w:t>
      </w:r>
    </w:p>
    <w:p>
      <w:pPr>
        <w:spacing w:after="0" w:line="7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will issue the Notes in an initial aggregate principal amount of $700 million. The Notes will mature on June 15, 2044. The Notes will bear interest at the annual rate of 4.70%. Interest on the Notes will accrue from April 23, 2014 and will be payable semi-annually in arrears on June 15 and December 15 of each year, beginning December 15, 2014. We will make each interest payment to the holders of record at the close of business on the June 1 and December 1 preceding such interest payment dates. Interest will be computed on the basis of a 360-day year consisting of twelve 30-day months. We will issue the Notes in minimum denominations of $2,000 and integral multiples of $1,000 in excess thereof.</w:t>
      </w:r>
    </w:p>
    <w:p>
      <w:pPr>
        <w:spacing w:after="0" w:line="125"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If any interest payment date, redemption date or maturity date of the Notes is not a business day, then the related payment of interest or principal payable, as applicable, on such date will be paid on the next succeeding business day with the same force and effect as if made on such interest payment date, redemption date or maturity date and no further interest will accrue as a result of such delay.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Liability of General Partner</w:t>
      </w:r>
    </w:p>
    <w:p>
      <w:pPr>
        <w:spacing w:after="0" w:line="7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Plains All American Pipeline’s general partner and its directors, officers, employees and member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Possible Future Guarantees</w:t>
      </w:r>
    </w:p>
    <w:p>
      <w:pPr>
        <w:spacing w:after="0" w:line="7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Initially, the Notes will not be guaranteed by any of our Subsidiaries. If at any time after the issuance of the Notes, including following any release of a future subsidiary guarantor from its guarantee under the Indenture, a Subsidiary of Plains All American Pipeline (including any future Subsidiary) guarantees any of our debt, we will cause such Subsidiary to guarantee the Notes in accordance with the Indenture by simultaneously executing and delivering a supplemental indenture.</w:t>
      </w:r>
    </w:p>
    <w:p>
      <w:pPr>
        <w:spacing w:after="0" w:line="123"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Provided that no default shall have occurred and shall be continuing under the Indenture, a future subsidiary guarantor will be unconditionally released and discharged from its guarantee:</w:t>
      </w:r>
    </w:p>
    <w:p>
      <w:pPr>
        <w:spacing w:after="0" w:line="25" w:lineRule="exact"/>
        <w:rPr>
          <w:sz w:val="20"/>
          <w:szCs w:val="20"/>
          <w:color w:val="auto"/>
        </w:rPr>
      </w:pPr>
    </w:p>
    <w:p>
      <w:pPr>
        <w:ind w:left="660" w:right="480" w:hanging="206"/>
        <w:spacing w:after="0" w:line="27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sale or other disposition of all or substantially all of the assets of that subsidiary guarantor, including by way of merger, consolidation or otherwise, to any person that is not our affiliate (provided such sale or other disposition is not prohibited by the Indenture);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660" w:hanging="20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sale or other disposition of all of our direct or indirect equity interests in that subsidiary guarantor to any person that is not our affiliate; or</w:t>
      </w:r>
    </w:p>
    <w:p>
      <w:pPr>
        <w:spacing w:after="0" w:line="103" w:lineRule="exact"/>
        <w:rPr>
          <w:rFonts w:ascii="Times New Roman" w:cs="Times New Roman" w:eastAsia="Times New Roman" w:hAnsi="Times New Roman"/>
          <w:sz w:val="18"/>
          <w:szCs w:val="18"/>
          <w:color w:val="auto"/>
        </w:rPr>
      </w:pPr>
    </w:p>
    <w:p>
      <w:pPr>
        <w:ind w:left="660" w:hanging="206"/>
        <w:spacing w:after="0" w:line="275"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delivery of a written notice of the release from the guarantee by us to the trustee, upon the release of all guarantees by the subsidiary guarantor of any debt of ours (other than debt securities issued under the Indenture).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7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Notes will be redeemable, in whole or in part, at our option at any time and from time to time prior to maturity. If we redeem the Notes before December 15, 2043 (six months prior to their maturity date), the Notes may be redeemed at a redemption price equal to the greater of (a) 100% of the principal amount of the Notes to be redeemed, and (b) as determined by the Quotation Agent, the sum of the present values of the remaining scheduled payments of principal and interest on the Notes to be redeemed (not including any portion of those payments of interest accrued as of the date of redemption) discounted to the date of redemption on a semiannual basis (assuming 360-day years, each consisting of twelve 30-day months), at the Adjusted Treasury Rate plus 20 basis points, together with accrued and unpaid interest to the date of redemption.</w:t>
      </w:r>
    </w:p>
    <w:p>
      <w:pPr>
        <w:spacing w:after="0" w:line="126"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If we redeem the Notes on or after December 15, 2043 (six months prior to their maturity date), the redemption price will equal 100% of the principal amount of the Notes to be redeemed plus accrued and unpaid interest to the redemption date.</w:t>
      </w:r>
    </w:p>
    <w:p>
      <w:pPr>
        <w:spacing w:after="0" w:line="104" w:lineRule="exact"/>
        <w:rPr>
          <w:sz w:val="20"/>
          <w:szCs w:val="20"/>
          <w:color w:val="auto"/>
        </w:rPr>
      </w:pPr>
    </w:p>
    <w:p>
      <w:pPr>
        <w:ind w:right="280" w:firstLine="456"/>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Treasury Rate</w:t>
      </w:r>
      <w:r>
        <w:rPr>
          <w:rFonts w:ascii="Times New Roman" w:cs="Times New Roman" w:eastAsia="Times New Roman" w:hAnsi="Times New Roman"/>
          <w:sz w:val="18"/>
          <w:szCs w:val="18"/>
          <w:color w:val="auto"/>
        </w:rPr>
        <w:t>” means, with respect to any date of redemption, the rate per annum equal to the semi-annual equivalent yield to maturity of the applicable Comparable Treasury Issue, assuming a price for the Comparable Treasury Issue (expressed as a percentage of its principal amount) equal to the Comparable Treasury Price for the date of redemption.</w:t>
      </w:r>
    </w:p>
    <w:p>
      <w:pPr>
        <w:spacing w:after="0" w:line="114" w:lineRule="exact"/>
        <w:rPr>
          <w:sz w:val="20"/>
          <w:szCs w:val="20"/>
          <w:color w:val="auto"/>
        </w:rPr>
      </w:pPr>
    </w:p>
    <w:p>
      <w:pPr>
        <w:ind w:right="20" w:firstLine="456"/>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Comparable Treasury Issue</w:t>
      </w:r>
      <w:r>
        <w:rPr>
          <w:rFonts w:ascii="Times New Roman" w:cs="Times New Roman" w:eastAsia="Times New Roman" w:hAnsi="Times New Roman"/>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14" w:lineRule="exact"/>
        <w:rPr>
          <w:sz w:val="20"/>
          <w:szCs w:val="20"/>
          <w:color w:val="auto"/>
        </w:rPr>
      </w:pPr>
    </w:p>
    <w:p>
      <w:pPr>
        <w:ind w:right="120" w:firstLine="456"/>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Comparable Treasury Price</w:t>
      </w:r>
      <w:r>
        <w:rPr>
          <w:rFonts w:ascii="Times New Roman" w:cs="Times New Roman" w:eastAsia="Times New Roman" w:hAnsi="Times New Roman"/>
          <w:sz w:val="18"/>
          <w:szCs w:val="18"/>
          <w:color w:val="auto"/>
        </w:rPr>
        <w:t>” means, with respect to any date of redemption (a) the average of the Reference Treasury Dealer Quotations for the date of redemption, after excluding the highest and lowest Reference Treasury Dealer Quotations, or (b) if the trustee obtains fewer than five Reference Treasury Dealer Quotations, the average of all such Reference Treasury Dealer Quotations.</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Quotation Agent</w:t>
      </w:r>
      <w:r>
        <w:rPr>
          <w:rFonts w:ascii="Times New Roman" w:cs="Times New Roman" w:eastAsia="Times New Roman" w:hAnsi="Times New Roman"/>
          <w:sz w:val="18"/>
          <w:szCs w:val="18"/>
          <w:color w:val="auto"/>
        </w:rPr>
        <w:t>” means a Primary Treasury Dealer (as defined below) appointed by us.</w:t>
      </w:r>
    </w:p>
    <w:p>
      <w:pPr>
        <w:spacing w:after="0" w:line="158" w:lineRule="exact"/>
        <w:rPr>
          <w:sz w:val="20"/>
          <w:szCs w:val="20"/>
          <w:color w:val="auto"/>
        </w:rPr>
      </w:pPr>
    </w:p>
    <w:p>
      <w:pPr>
        <w:ind w:right="140" w:firstLine="45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Reference Treasury Dealer</w:t>
      </w:r>
      <w:r>
        <w:rPr>
          <w:rFonts w:ascii="Times New Roman" w:cs="Times New Roman" w:eastAsia="Times New Roman" w:hAnsi="Times New Roman"/>
          <w:sz w:val="18"/>
          <w:szCs w:val="18"/>
          <w:color w:val="auto"/>
        </w:rPr>
        <w:t>” means (a) Citigroup Global Markets Inc. and its successors, (b) a primary U.S. Government securities dealer in the United States (a “Primary Treasury Dealer”) selected by SunTrust Robinson Humphrey, Inc., (c) UBS Securities LLC and its successors and (d) a Primary Treasury Dealer selected by Wells Fargo Securities, LLC; provided, however, that if the foregoing shall cease to be a Primary Treasury Dealer, we shall substitute another Primary Treasury Dealer.</w:t>
      </w:r>
    </w:p>
    <w:p>
      <w:pPr>
        <w:spacing w:after="0" w:line="119" w:lineRule="exact"/>
        <w:rPr>
          <w:sz w:val="20"/>
          <w:szCs w:val="20"/>
          <w:color w:val="auto"/>
        </w:rPr>
      </w:pPr>
    </w:p>
    <w:p>
      <w:pPr>
        <w:jc w:val="both"/>
        <w:ind w:right="40" w:firstLine="456"/>
        <w:spacing w:after="0" w:line="31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Reference Treasury Dealer Quotations</w:t>
      </w:r>
      <w:r>
        <w:rPr>
          <w:rFonts w:ascii="Times New Roman" w:cs="Times New Roman" w:eastAsia="Times New Roman" w:hAnsi="Times New Roman"/>
          <w:sz w:val="16"/>
          <w:szCs w:val="16"/>
          <w:color w:val="auto"/>
        </w:rPr>
        <w:t>”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w:t>
      </w:r>
    </w:p>
    <w:p>
      <w:pPr>
        <w:spacing w:after="0" w:line="81"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Unless we default in payment of the redemption price, on and after the date of redemption, interest will cease to accrue on the Notes or portions thereof called for redemption.</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On or before a redemption date, we will deposit with a paying agent (or with the trustee) sufficient money to pay the redemption price and accrued interest on the Notes to be redeemed.</w:t>
      </w:r>
    </w:p>
    <w:p>
      <w:pPr>
        <w:spacing w:after="0" w:line="106"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If less than all of the Notes are to be redeemed at any time, the trustee will select Notes (or any portion of Notes in integral multiples of $1,000) for redemption as follows:</w:t>
      </w:r>
    </w:p>
    <w:p>
      <w:pPr>
        <w:spacing w:after="0" w:line="25" w:lineRule="exact"/>
        <w:rPr>
          <w:sz w:val="20"/>
          <w:szCs w:val="20"/>
          <w:color w:val="auto"/>
        </w:rPr>
      </w:pPr>
    </w:p>
    <w:p>
      <w:pPr>
        <w:ind w:left="660" w:hanging="20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Notes are listed, in compliance with the requirements of the principal national securities exchange on which such Notes are listed; or</w:t>
      </w:r>
    </w:p>
    <w:p>
      <w:pPr>
        <w:spacing w:after="0" w:line="103" w:lineRule="exact"/>
        <w:rPr>
          <w:rFonts w:ascii="Times New Roman" w:cs="Times New Roman" w:eastAsia="Times New Roman" w:hAnsi="Times New Roman"/>
          <w:sz w:val="18"/>
          <w:szCs w:val="18"/>
          <w:color w:val="auto"/>
        </w:rPr>
      </w:pPr>
    </w:p>
    <w:p>
      <w:pPr>
        <w:ind w:left="660" w:right="740" w:hanging="206"/>
        <w:spacing w:after="0" w:line="275"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Notes are not so listed or there are no such requirements, on a pro rata basis, by lot or by such method as the trustee shall deem fair and appropriate.</w:t>
      </w:r>
    </w:p>
    <w:p>
      <w:pPr>
        <w:spacing w:after="0" w:line="106"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However, no Note with a principal amount of $2,000 or less will be redeemed in part. Notice of any such optional redemption will be mailed by first class mail at least 30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of the following is an “Event of Default”:</w:t>
      </w:r>
    </w:p>
    <w:p>
      <w:pPr>
        <w:spacing w:after="0" w:line="77" w:lineRule="exact"/>
        <w:rPr>
          <w:sz w:val="20"/>
          <w:szCs w:val="20"/>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when due of the principal of or any premium on any Note at maturity, upon redemption or otherwise;</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60 days in the payment when due of interest on any Note;</w:t>
      </w:r>
    </w:p>
    <w:p>
      <w:pPr>
        <w:spacing w:after="0" w:line="103" w:lineRule="exact"/>
        <w:rPr>
          <w:rFonts w:ascii="Times New Roman" w:cs="Times New Roman" w:eastAsia="Times New Roman" w:hAnsi="Times New Roman"/>
          <w:sz w:val="18"/>
          <w:szCs w:val="18"/>
          <w:color w:val="auto"/>
        </w:rPr>
      </w:pPr>
    </w:p>
    <w:p>
      <w:pPr>
        <w:ind w:left="660" w:right="220" w:hanging="206"/>
        <w:spacing w:after="0" w:line="310" w:lineRule="auto"/>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us or, if and so long as the Notes are guaranteed by a subsidiary guarantor, by such subsidiary guarantor, for 90 days after receipt of notice from the trustee or the holders to comply with any other term, covenant or warranty in the Indenture or the Notes (provided that notice need not be given, and an Event of Default will occur, 90 days after any breach of the covenants described under “—Consolidation, Merger or Sale”);</w:t>
      </w:r>
    </w:p>
    <w:p>
      <w:pPr>
        <w:spacing w:after="0" w:line="2" w:lineRule="exact"/>
        <w:rPr>
          <w:rFonts w:ascii="Times New Roman" w:cs="Times New Roman" w:eastAsia="Times New Roman" w:hAnsi="Times New Roman"/>
          <w:sz w:val="16"/>
          <w:szCs w:val="16"/>
          <w:color w:val="auto"/>
        </w:rPr>
      </w:pPr>
    </w:p>
    <w:p>
      <w:pPr>
        <w:ind w:left="660" w:right="40" w:hanging="206"/>
        <w:spacing w:after="0" w:line="253"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any mortgage, indenture or instrument under which there may be issued or by which there may be secured or evidenced any debt for money borrowed of us or any of the Subsidiaries of Plains All American Pipeline (or the payment of which is guaranteed by Plains All American Pipeline or any of its Subsidiaries), whether such debt or guarantee now exists or is created after the Issue Date, if (a) that default (x) is caused by a failure to pay principal of or premium, if any, or interest on such debt prior to the expiration of any grace period provided in such debt (a “Payment Default”), or (y) results in the acceleration of the maturity of such debt to a date prior to its originally stated maturity, and, (b) in each case described in clause (x) or (y) above, the principal amount of any such debt, together with the principal amount of any other such debt under which there has been a Payment Default or the maturity of which has been so accelerated, aggregates $25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46" w:lineRule="exact"/>
        <w:rPr>
          <w:rFonts w:ascii="Times New Roman" w:cs="Times New Roman" w:eastAsia="Times New Roman" w:hAnsi="Times New Roman"/>
          <w:sz w:val="18"/>
          <w:szCs w:val="18"/>
          <w:color w:val="auto"/>
        </w:rPr>
      </w:pPr>
    </w:p>
    <w:p>
      <w:pPr>
        <w:ind w:left="660" w:right="380" w:hanging="206"/>
        <w:spacing w:after="0" w:line="275"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events in bankruptcy, insolvency or reorganization of us or, if and so long as the Notes are guaranteed by a subsidiary guarantor, by such subsidiary guarantor; or</w:t>
      </w:r>
    </w:p>
    <w:p>
      <w:pPr>
        <w:spacing w:after="0" w:line="25"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so long as the Notes are guaranteed by a subsidiary guarantor:</w:t>
      </w:r>
    </w:p>
    <w:p>
      <w:pPr>
        <w:spacing w:after="0" w:line="103" w:lineRule="exact"/>
        <w:rPr>
          <w:rFonts w:ascii="Times New Roman" w:cs="Times New Roman" w:eastAsia="Times New Roman" w:hAnsi="Times New Roman"/>
          <w:sz w:val="18"/>
          <w:szCs w:val="18"/>
          <w:color w:val="auto"/>
        </w:rPr>
      </w:pPr>
    </w:p>
    <w:p>
      <w:pPr>
        <w:ind w:left="900" w:hanging="217"/>
        <w:spacing w:after="0"/>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by such subsidiary guarantor ceases to be in full force and effect, except as otherwise provided in the Indenture;</w:t>
      </w:r>
    </w:p>
    <w:p>
      <w:pPr>
        <w:spacing w:after="0" w:line="103" w:lineRule="exact"/>
        <w:rPr>
          <w:rFonts w:ascii="Times New Roman" w:cs="Times New Roman" w:eastAsia="Times New Roman" w:hAnsi="Times New Roman"/>
          <w:sz w:val="18"/>
          <w:szCs w:val="18"/>
          <w:color w:val="auto"/>
        </w:rPr>
      </w:pPr>
    </w:p>
    <w:p>
      <w:pPr>
        <w:ind w:left="900" w:hanging="217"/>
        <w:spacing w:after="0"/>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by such subsidiary guarantor is declared null and void in a judicial proceeding; or</w:t>
      </w:r>
    </w:p>
    <w:p>
      <w:pPr>
        <w:spacing w:after="0" w:line="103" w:lineRule="exact"/>
        <w:rPr>
          <w:rFonts w:ascii="Times New Roman" w:cs="Times New Roman" w:eastAsia="Times New Roman" w:hAnsi="Times New Roman"/>
          <w:sz w:val="18"/>
          <w:szCs w:val="18"/>
          <w:color w:val="auto"/>
        </w:rPr>
      </w:pPr>
    </w:p>
    <w:p>
      <w:pPr>
        <w:ind w:left="900" w:hanging="217"/>
        <w:spacing w:after="0"/>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guarantor denies or disaffirms its obligations under the Indenture or its guarantee.</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320"/>
          </w:cols>
          <w:pgMar w:left="240" w:top="455" w:right="3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An Event of Default regarding the Notes will not necessarily constitute an Event of Default for any other series of debt securities that may be issued under the Base Indenture. In the case of an Event of Default arising from certain events of bankruptcy, insolvency or reorganization involving us, but not any subsidiary guarantor, all outstanding Notes will become due and payable immediately without further action or notice. If any other Event of Default occurs and is continuing with respect to the Notes, the trustee or the holders of at least 25% in principal amount of the then outstanding Notes may declare all the Notes to be due and payable immediately.</w:t>
      </w:r>
    </w:p>
    <w:p>
      <w:pPr>
        <w:spacing w:after="0" w:line="12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Within five days after any of our officers becomes aware of the occurrence of any Default (meaning an event that is, or after the giving of notice or passage of time or both would be, an Event of Default) or Event of Default, we are required to give an officers’ certificate to the trustee specifying the Default or Event of Default and what action we are taking or propose to take to cure it. In addition, we and the subsidiary guarantors, if any, are required to deliver to the trustee, within 90 days after the end of each fiscal year, an officers’ certificate indicating that we have complied with all covenants contained in the Indenture or whether any Default or Event of Default has occurred during the previous year.</w:t>
      </w:r>
    </w:p>
    <w:p>
      <w:pPr>
        <w:spacing w:after="0" w:line="125"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If a Default occurs and is continuing and is known to the trustee, the trustee must mail to each holder of the Notes a notice of the Default within 90 days after the Default occurs. Except in the case of a Default in the payment of principal, premium, if any, or interest with respect to the Notes, the trustee may withhold such notice, but only if and so long as a committee of responsible officers of the trustee in good faith determines that withholding such notice is in the interests of such 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79"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the partnership agreement of Plains All American Pipeline, and unless:</w:t>
      </w:r>
    </w:p>
    <w:p>
      <w:pPr>
        <w:spacing w:after="0" w:line="38" w:lineRule="exact"/>
        <w:rPr>
          <w:sz w:val="20"/>
          <w:szCs w:val="20"/>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Person in the case of a merger, or the surviving Person:</w:t>
      </w:r>
    </w:p>
    <w:p>
      <w:pPr>
        <w:spacing w:after="0" w:line="103" w:lineRule="exact"/>
        <w:rPr>
          <w:rFonts w:ascii="Times New Roman" w:cs="Times New Roman" w:eastAsia="Times New Roman" w:hAnsi="Times New Roman"/>
          <w:sz w:val="18"/>
          <w:szCs w:val="18"/>
          <w:color w:val="auto"/>
        </w:rPr>
      </w:pPr>
    </w:p>
    <w:p>
      <w:pPr>
        <w:ind w:left="900" w:right="200" w:hanging="217"/>
        <w:spacing w:after="0" w:line="262" w:lineRule="auto"/>
        <w:tabs>
          <w:tab w:leader="none" w:pos="9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partnership, limited liability company or corporation organized under the laws of the United States, a state thereof or the District of Columbia, provided that PAA Finance Corp. may not merge, amalgamate or consolidate with or into another Person other than a corporation satisfying such requirement for so long as Plains All American Pipeline is not a corporation; and</w:t>
      </w:r>
    </w:p>
    <w:p>
      <w:pPr>
        <w:spacing w:after="0" w:line="37" w:lineRule="exact"/>
        <w:rPr>
          <w:rFonts w:ascii="Times New Roman" w:cs="Times New Roman" w:eastAsia="Times New Roman" w:hAnsi="Times New Roman"/>
          <w:sz w:val="18"/>
          <w:szCs w:val="18"/>
          <w:color w:val="auto"/>
        </w:rPr>
      </w:pPr>
    </w:p>
    <w:p>
      <w:pPr>
        <w:ind w:left="900" w:hanging="217"/>
        <w:spacing w:after="0" w:line="262" w:lineRule="auto"/>
        <w:tabs>
          <w:tab w:leader="none" w:pos="9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w:t>
      </w:r>
    </w:p>
    <w:p>
      <w:pPr>
        <w:spacing w:after="0" w:line="3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or series of transactions, no Default or Event of Default has occurred and is continuing;</w:t>
      </w:r>
    </w:p>
    <w:p>
      <w:pPr>
        <w:spacing w:after="0" w:line="103" w:lineRule="exact"/>
        <w:rPr>
          <w:rFonts w:ascii="Times New Roman" w:cs="Times New Roman" w:eastAsia="Times New Roman" w:hAnsi="Times New Roman"/>
          <w:sz w:val="18"/>
          <w:szCs w:val="18"/>
          <w:color w:val="auto"/>
        </w:rPr>
      </w:pPr>
    </w:p>
    <w:p>
      <w:pPr>
        <w:ind w:left="660" w:right="180" w:hanging="206"/>
        <w:spacing w:after="0" w:line="26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the surviving Person, then any subsidiary guarantor, unless such subsidiary guarantor is the Person with which we have consummated a transaction under this provision, shall have confirmed that its guarantee of the Notes shall continue to apply to the obligations under the Notes and the Indenture; and</w:t>
      </w:r>
    </w:p>
    <w:p>
      <w:pPr>
        <w:spacing w:after="0" w:line="37" w:lineRule="exact"/>
        <w:rPr>
          <w:rFonts w:ascii="Times New Roman" w:cs="Times New Roman" w:eastAsia="Times New Roman" w:hAnsi="Times New Roman"/>
          <w:sz w:val="18"/>
          <w:szCs w:val="18"/>
          <w:color w:val="auto"/>
        </w:rPr>
      </w:pPr>
    </w:p>
    <w:p>
      <w:pPr>
        <w:ind w:left="660" w:right="100" w:hanging="206"/>
        <w:spacing w:after="0" w:line="26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w:t>
      </w:r>
    </w:p>
    <w:p>
      <w:pPr>
        <w:spacing w:after="0" w:line="119"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Thereafter, the surviving Person will be substituted for us under the Indenture. If we sell or otherwise dispose of (except by lease) all or substantially all of our assets and the above stated requirements are satisfied, we will be released from all our liabilities and obligations under the Indenture. If we lease all or substantially all of our assets, we will not be so released from our obligations under the Indenture.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380"/>
          </w:cols>
          <w:pgMar w:left="240" w:top="455" w:right="2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7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Generally, we, any subsidiary guarantors and the trustee may amend or supplement the Indenture, any guarantees and the Notes with the consent of the holders of at least a majority in principal amount of the then outstanding Notes. However, without the consent of each holder affected, an amendment, supplement or waiver may not (with respect to any Notes held by a nonconsenting holder):</w:t>
      </w:r>
    </w:p>
    <w:p>
      <w:pPr>
        <w:spacing w:after="0" w:line="38" w:lineRule="exact"/>
        <w:rPr>
          <w:sz w:val="20"/>
          <w:szCs w:val="20"/>
          <w:color w:val="auto"/>
        </w:rPr>
      </w:pPr>
    </w:p>
    <w:p>
      <w:pPr>
        <w:ind w:left="660" w:hanging="20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Notes whose holders must consent to an amendment, supplement or waiver;</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fixed maturity of any Note;</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 waive the premium payable upon redemption or alter or waive the other provisions with respect to the redemption of any Notes;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any Note;</w:t>
      </w:r>
    </w:p>
    <w:p>
      <w:pPr>
        <w:spacing w:after="0" w:line="103" w:lineRule="exact"/>
        <w:rPr>
          <w:rFonts w:ascii="Times New Roman" w:cs="Times New Roman" w:eastAsia="Times New Roman" w:hAnsi="Times New Roman"/>
          <w:sz w:val="18"/>
          <w:szCs w:val="18"/>
          <w:color w:val="auto"/>
        </w:rPr>
      </w:pPr>
    </w:p>
    <w:p>
      <w:pPr>
        <w:ind w:left="660" w:right="20" w:hanging="206"/>
        <w:spacing w:after="0" w:line="325" w:lineRule="auto"/>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waive a Default or an Event of Default in the payment of principal of or premium, if any, or interest on, any Notes (except a rescission of acceleration of the Notes by the holders of at least a majority in aggregate principal amount and a waiver of the payment default that resulted from such acceleration);</w:t>
      </w:r>
    </w:p>
    <w:p>
      <w:pPr>
        <w:spacing w:after="0" w:line="1" w:lineRule="exact"/>
        <w:rPr>
          <w:rFonts w:ascii="Times New Roman" w:cs="Times New Roman" w:eastAsia="Times New Roman" w:hAnsi="Times New Roman"/>
          <w:sz w:val="16"/>
          <w:szCs w:val="16"/>
          <w:color w:val="auto"/>
        </w:rPr>
      </w:pPr>
    </w:p>
    <w:p>
      <w:pPr>
        <w:ind w:left="660" w:hanging="20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any security that may have been granted with respect to the Notes;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currency other than that stated in the Notes;</w:t>
      </w:r>
    </w:p>
    <w:p>
      <w:pPr>
        <w:spacing w:after="0" w:line="103" w:lineRule="exact"/>
        <w:rPr>
          <w:rFonts w:ascii="Times New Roman" w:cs="Times New Roman" w:eastAsia="Times New Roman" w:hAnsi="Times New Roman"/>
          <w:sz w:val="18"/>
          <w:szCs w:val="18"/>
          <w:color w:val="auto"/>
        </w:rPr>
      </w:pPr>
    </w:p>
    <w:p>
      <w:pPr>
        <w:ind w:left="660" w:right="40" w:hanging="206"/>
        <w:spacing w:after="0" w:line="275"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provisions of the Indenture relating to waivers of past Defaults or the rights of holders of Notes to receive payments of principal of or premium, if any, or interest on the Notes;</w:t>
      </w:r>
    </w:p>
    <w:p>
      <w:pPr>
        <w:spacing w:after="0" w:line="25"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Note;</w:t>
      </w:r>
    </w:p>
    <w:p>
      <w:pPr>
        <w:spacing w:after="0" w:line="103" w:lineRule="exact"/>
        <w:rPr>
          <w:rFonts w:ascii="Times New Roman" w:cs="Times New Roman" w:eastAsia="Times New Roman" w:hAnsi="Times New Roman"/>
          <w:sz w:val="18"/>
          <w:szCs w:val="18"/>
          <w:color w:val="auto"/>
        </w:rPr>
      </w:pPr>
    </w:p>
    <w:p>
      <w:pPr>
        <w:ind w:left="660" w:right="140" w:hanging="206"/>
        <w:spacing w:after="0" w:line="275"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in the Indenture, release any subsidiary guarantor from its obligations under its guarantee or the Indenture or change any guarantee in any manner that would adversely affect the rights of holders; or</w:t>
      </w:r>
    </w:p>
    <w:p>
      <w:pPr>
        <w:spacing w:after="0" w:line="25"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preceding amendment, supplement and waiver provisions (except to increase any percentage set forth therein).</w:t>
      </w:r>
    </w:p>
    <w:p>
      <w:pPr>
        <w:spacing w:after="0" w:line="185"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Notwithstanding the preceding paragraph, without the consent of any holder of Notes, we, any subsidiary guarantors and the trustee may amend or supplement the Indenture or the Notes:</w:t>
      </w:r>
    </w:p>
    <w:p>
      <w:pPr>
        <w:spacing w:after="0" w:line="25" w:lineRule="exact"/>
        <w:rPr>
          <w:sz w:val="20"/>
          <w:szCs w:val="20"/>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certificated Notes;</w:t>
      </w:r>
    </w:p>
    <w:p>
      <w:pPr>
        <w:spacing w:after="0" w:line="103" w:lineRule="exact"/>
        <w:rPr>
          <w:rFonts w:ascii="Times New Roman" w:cs="Times New Roman" w:eastAsia="Times New Roman" w:hAnsi="Times New Roman"/>
          <w:sz w:val="18"/>
          <w:szCs w:val="18"/>
          <w:color w:val="auto"/>
        </w:rPr>
      </w:pPr>
    </w:p>
    <w:p>
      <w:pPr>
        <w:ind w:left="660" w:right="660" w:hanging="206"/>
        <w:spacing w:after="0" w:line="275"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our or the confirmation of any subsidiary guarantor’s obligations to holders of Notes in the case of a merger or consolidation or sale of all or substantially all of our assets;</w:t>
      </w:r>
    </w:p>
    <w:p>
      <w:pPr>
        <w:spacing w:after="0" w:line="25"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release any subsidiary guarantors as permitted pursuant to the terms of the Indenture (see “—Possible Future Guarantees”);</w:t>
      </w:r>
    </w:p>
    <w:p>
      <w:pPr>
        <w:spacing w:after="0" w:line="103" w:lineRule="exact"/>
        <w:rPr>
          <w:rFonts w:ascii="Times New Roman" w:cs="Times New Roman" w:eastAsia="Times New Roman" w:hAnsi="Times New Roman"/>
          <w:sz w:val="18"/>
          <w:szCs w:val="18"/>
          <w:color w:val="auto"/>
        </w:rPr>
      </w:pPr>
    </w:p>
    <w:p>
      <w:pPr>
        <w:ind w:left="660" w:right="20" w:hanging="206"/>
        <w:spacing w:after="0" w:line="275"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changes that would provide any additional rights or benefits to the holders of Notes that do not, taken as a whole, adversely affect the rights under the Indenture of any holder of the Notes;</w:t>
      </w:r>
    </w:p>
    <w:p>
      <w:pPr>
        <w:spacing w:after="0" w:line="25"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or provide for the acceptance of appointment under the Indenture of a successor trustee;</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 and/or any guarantees; or</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any other series of debt securities under the Base Indenture.</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Liens</w:t>
      </w:r>
    </w:p>
    <w:p>
      <w:pPr>
        <w:spacing w:after="0" w:line="8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will not, nor will we permit any Subsidiary to, create, assume, incur or suffer to exist any lien upon any Principal Property or upon any Capital Interests of any Restricted Subsidiary, whether owned or leased or hereafter acquired, to secure any of our debt or any debt of any other Person (other than debt securities issued under the Indenture), without in any such case making effective provision whereby all of the Notes shall be secured equally and ratably with, or prior to, such debt so long as such debt shall be so secured. The following are excluded from this restriction:</w:t>
      </w:r>
    </w:p>
    <w:p>
      <w:pPr>
        <w:spacing w:after="0" w:line="42" w:lineRule="exact"/>
        <w:rPr>
          <w:sz w:val="20"/>
          <w:szCs w:val="20"/>
          <w:color w:val="auto"/>
        </w:rPr>
      </w:pPr>
    </w:p>
    <w:p>
      <w:pPr>
        <w:ind w:left="660" w:hanging="20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103" w:lineRule="exact"/>
        <w:rPr>
          <w:rFonts w:ascii="Times New Roman" w:cs="Times New Roman" w:eastAsia="Times New Roman" w:hAnsi="Times New Roman"/>
          <w:sz w:val="18"/>
          <w:szCs w:val="18"/>
          <w:color w:val="auto"/>
        </w:rPr>
      </w:pPr>
    </w:p>
    <w:p>
      <w:pPr>
        <w:ind w:left="660" w:right="160" w:hanging="206"/>
        <w:spacing w:after="0" w:line="26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37" w:lineRule="exact"/>
        <w:rPr>
          <w:rFonts w:ascii="Times New Roman" w:cs="Times New Roman" w:eastAsia="Times New Roman" w:hAnsi="Times New Roman"/>
          <w:sz w:val="18"/>
          <w:szCs w:val="18"/>
          <w:color w:val="auto"/>
        </w:rPr>
      </w:pPr>
    </w:p>
    <w:p>
      <w:pPr>
        <w:ind w:left="660" w:hanging="206"/>
        <w:spacing w:after="0" w:line="26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37" w:lineRule="exact"/>
        <w:rPr>
          <w:rFonts w:ascii="Times New Roman" w:cs="Times New Roman" w:eastAsia="Times New Roman" w:hAnsi="Times New Roman"/>
          <w:sz w:val="18"/>
          <w:szCs w:val="18"/>
          <w:color w:val="auto"/>
        </w:rPr>
      </w:pPr>
    </w:p>
    <w:p>
      <w:pPr>
        <w:ind w:left="660" w:right="40" w:hanging="206"/>
        <w:spacing w:after="0" w:line="26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existing thereon at the time of the acquisition thereof by us or any Restricted Subsidiary (whether or not the obligations secured thereby are assumed by us or any Restricted Subsidiary); provided, however, that such lien only encumbers the property or assets so acquired;</w:t>
      </w:r>
    </w:p>
    <w:p>
      <w:pPr>
        <w:spacing w:after="0" w:line="37" w:lineRule="exact"/>
        <w:rPr>
          <w:rFonts w:ascii="Times New Roman" w:cs="Times New Roman" w:eastAsia="Times New Roman" w:hAnsi="Times New Roman"/>
          <w:sz w:val="18"/>
          <w:szCs w:val="18"/>
          <w:color w:val="auto"/>
        </w:rPr>
      </w:pPr>
    </w:p>
    <w:p>
      <w:pPr>
        <w:ind w:left="660" w:right="380" w:hanging="206"/>
        <w:spacing w:after="0" w:line="26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w:t>
      </w:r>
    </w:p>
    <w:p>
      <w:pPr>
        <w:spacing w:after="0" w:line="37" w:lineRule="exact"/>
        <w:rPr>
          <w:rFonts w:ascii="Times New Roman" w:cs="Times New Roman" w:eastAsia="Times New Roman" w:hAnsi="Times New Roman"/>
          <w:sz w:val="18"/>
          <w:szCs w:val="18"/>
          <w:color w:val="auto"/>
        </w:rPr>
      </w:pPr>
    </w:p>
    <w:p>
      <w:pPr>
        <w:ind w:left="660" w:right="320" w:hanging="206"/>
        <w:spacing w:after="0" w:line="275"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of our property or assets or the property or assets of any Restricted Subsidiary in existence on December 10, 2003 or provided for pursuant to agreements existing on December 10, 2003;</w:t>
      </w:r>
    </w:p>
    <w:p>
      <w:pPr>
        <w:spacing w:after="0" w:line="25" w:lineRule="exact"/>
        <w:rPr>
          <w:rFonts w:ascii="Times New Roman" w:cs="Times New Roman" w:eastAsia="Times New Roman" w:hAnsi="Times New Roman"/>
          <w:sz w:val="18"/>
          <w:szCs w:val="18"/>
          <w:color w:val="auto"/>
        </w:rPr>
      </w:pPr>
    </w:p>
    <w:p>
      <w:pPr>
        <w:ind w:left="660" w:right="300" w:hanging="206"/>
        <w:spacing w:after="0" w:line="26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or order as a result of any proceeding before any court or regulatory body that is being contested in good faith, and liens which secure a judgment or other court ordered award or settlement as to which we or the applicable Restricted Subsidiary has not exhausted its appellate rights;</w:t>
      </w:r>
    </w:p>
    <w:p>
      <w:pPr>
        <w:spacing w:after="0" w:line="37" w:lineRule="exact"/>
        <w:rPr>
          <w:rFonts w:ascii="Times New Roman" w:cs="Times New Roman" w:eastAsia="Times New Roman" w:hAnsi="Times New Roman"/>
          <w:sz w:val="18"/>
          <w:szCs w:val="18"/>
          <w:color w:val="auto"/>
        </w:rPr>
      </w:pPr>
    </w:p>
    <w:p>
      <w:pPr>
        <w:ind w:left="660" w:right="80" w:hanging="206"/>
        <w:spacing w:after="0" w:line="255"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of our expenses and the expenses of the Restricted Subsidiaries (including any premium) incurred in connection with such extension, renewal, refinancing, refunding or replacement; or</w:t>
      </w:r>
    </w:p>
    <w:p>
      <w:pPr>
        <w:spacing w:after="0" w:line="44" w:lineRule="exact"/>
        <w:rPr>
          <w:rFonts w:ascii="Times New Roman" w:cs="Times New Roman" w:eastAsia="Times New Roman" w:hAnsi="Times New Roman"/>
          <w:sz w:val="18"/>
          <w:szCs w:val="18"/>
          <w:color w:val="auto"/>
        </w:rPr>
      </w:pPr>
    </w:p>
    <w:p>
      <w:pPr>
        <w:ind w:left="660" w:right="580" w:hanging="206"/>
        <w:spacing w:after="0" w:line="275"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resulting from the deposit of moneys or evidence of indebtedness in trust for the purpose of defeasing our debt or debt of any Restricted Subsidiary.</w:t>
      </w:r>
    </w:p>
    <w:p>
      <w:pPr>
        <w:spacing w:after="0" w:line="106"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Indenture), that is not excepted above without securing the Notes, provided that the aggregate principal amount of all debt then outstanding secured by such lien and all other liens not excepted above, together with all Attributable Indebtedness from Sale-leaseback Transactions, excluding Sale-leaseback Transactions permitted in the first paragraph under “—Limitations on Sale-leasebacks,” does not exceed 10% of Consolidated Net Tangible Assets.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400"/>
          </w:cols>
          <w:pgMar w:left="240" w:top="45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Sale-Leasebacks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not, and will not permit any Subsidiary to, engage in a Sale-leaseback Transaction, unless:</w:t>
      </w:r>
    </w:p>
    <w:p>
      <w:pPr>
        <w:spacing w:after="0" w:line="77" w:lineRule="exact"/>
        <w:rPr>
          <w:sz w:val="20"/>
          <w:szCs w:val="20"/>
          <w:color w:val="auto"/>
        </w:rPr>
      </w:pPr>
    </w:p>
    <w:p>
      <w:pPr>
        <w:ind w:left="660" w:right="240" w:hanging="206"/>
        <w:spacing w:after="0" w:line="26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3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Sale-leaseback Transaction involves a lease for a period, including renewals, of not more than three years;</w:t>
      </w:r>
    </w:p>
    <w:p>
      <w:pPr>
        <w:spacing w:after="0" w:line="103" w:lineRule="exact"/>
        <w:rPr>
          <w:rFonts w:ascii="Times New Roman" w:cs="Times New Roman" w:eastAsia="Times New Roman" w:hAnsi="Times New Roman"/>
          <w:sz w:val="18"/>
          <w:szCs w:val="18"/>
          <w:color w:val="auto"/>
        </w:rPr>
      </w:pPr>
    </w:p>
    <w:p>
      <w:pPr>
        <w:ind w:left="660" w:right="180" w:hanging="206"/>
        <w:spacing w:after="0" w:line="275"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w:t>
      </w:r>
    </w:p>
    <w:p>
      <w:pPr>
        <w:spacing w:after="0" w:line="25" w:lineRule="exact"/>
        <w:rPr>
          <w:rFonts w:ascii="Times New Roman" w:cs="Times New Roman" w:eastAsia="Times New Roman" w:hAnsi="Times New Roman"/>
          <w:sz w:val="18"/>
          <w:szCs w:val="18"/>
          <w:color w:val="auto"/>
        </w:rPr>
      </w:pPr>
    </w:p>
    <w:p>
      <w:pPr>
        <w:ind w:left="660" w:hanging="206"/>
        <w:spacing w:after="0" w:line="25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w:t>
      </w:r>
    </w:p>
    <w:p>
      <w:pPr>
        <w:spacing w:after="0" w:line="123"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Notwithstanding the preceding, we may, and may permit any Subsidiary of Plains All American Pipeline to, effect any Sale-leaseback Transaction that is not excepted above, provided that the Attributable Indebtedness from such Sale-leaseback Transaction, together with the aggregate principal amount of then outstanding debt (other than debt securities issued under the Indenture) secured by liens upon Principal Properties not excepted in the first paragraph under “— Limitations on Liens,” do not exceed 10% of Consolidated Net 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 Reports</w:t>
      </w:r>
    </w:p>
    <w:p>
      <w:pPr>
        <w:spacing w:after="0" w:line="7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Regardless of whether Plains All American Pipeline is required to remain subject to the reporting requirements of Section 13 or 15(d) of the Exchange Act, it will electronically file with the SEC, so long as the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w:t>
      </w:r>
    </w:p>
    <w:p>
      <w:pPr>
        <w:spacing w:after="0" w:line="125"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If such filings are not then permitted by the SEC, or such filings are not generally available on the Internet free of charge, we will provide the trustee with, and the trustee will mail to any holder of Notes requesting in writing to the trustee copies of, such annual, quarterly and other periodic reports specified in Sections 13 and 15(d) of the Exchange Act within 15 days after its Required Filing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and Discharge</w:t>
      </w:r>
    </w:p>
    <w:p>
      <w:pPr>
        <w:spacing w:after="0" w:line="79" w:lineRule="exact"/>
        <w:rPr>
          <w:sz w:val="20"/>
          <w:szCs w:val="20"/>
          <w:color w:val="auto"/>
        </w:rPr>
      </w:pPr>
    </w:p>
    <w:p>
      <w:pPr>
        <w:jc w:val="both"/>
        <w:ind w:right="240" w:firstLine="456"/>
        <w:spacing w:after="0" w:line="262" w:lineRule="auto"/>
        <w:rPr>
          <w:sz w:val="20"/>
          <w:szCs w:val="20"/>
          <w:color w:val="auto"/>
        </w:rPr>
      </w:pPr>
      <w:r>
        <w:rPr>
          <w:rFonts w:ascii="Times New Roman" w:cs="Times New Roman" w:eastAsia="Times New Roman" w:hAnsi="Times New Roman"/>
          <w:sz w:val="18"/>
          <w:szCs w:val="18"/>
          <w:color w:val="auto"/>
        </w:rPr>
        <w:t>At any time we may terminate all our obligations under the Indenture (“legal defeasance”), except for certain obligations, including those respecting the defeasance trust and timely payments therefrom and obligations to register the transfer of or exchange the Notes, to replace mutilated, destroyed, lost or stolen Notes and to maintain a registrar and paying agent for the Notes.</w:t>
      </w:r>
    </w:p>
    <w:p>
      <w:pPr>
        <w:spacing w:after="0" w:line="119"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Also, at any time we may terminate our obligations under covenants described in the first paragraph of “—Possible Future Guarantees,” under “— Covenants” and under “—SEC Reports” (“covenant defeasance”), and thereafter our failure to comply with any of such covenants would not constitute an Event of Default.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380"/>
          </w:cols>
          <w:pgMar w:left="240" w:top="455" w:right="2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We may exercise our legal defeasance option notwithstanding our prior exercise of our covenant defeasance option. If we exercise our legal defeasance option, any guarantee obligation with respect to the Notes will be deemed to have been discharged.</w:t>
      </w:r>
    </w:p>
    <w:p>
      <w:pPr>
        <w:spacing w:after="0" w:line="106"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In order to exercise either defeasance option, we must irrevocably deposit in trust (the “defeasance trust”) with the trustee money, U.S. Government Obligations (as defined in the Indenture) or a combination thereof for the payment of principal, premium, if any, and interest on the defeased Notes to redemption or stated maturity, as the case may be, and must comply with certain other conditions, including delivery to the trustee of an opinion of counsel to the effect that holders of such Notes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other change in applicable federal income tax law.</w:t>
      </w:r>
    </w:p>
    <w:p>
      <w:pPr>
        <w:spacing w:after="0" w:line="97"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In the event of any legal defeasance, holders of the defeased Notes would be entitled to look only to the trust for payment of principal of and any premium and interest on their Notes until maturity.</w:t>
      </w:r>
    </w:p>
    <w:p>
      <w:pPr>
        <w:spacing w:after="0" w:line="10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Although the amount of money and U.S. Government Obligations on deposit with the trustee would be intended to be sufficient to pay amounts due on the defeased Notes at the time of their stated maturity, if we exercise our covenant defeasance option for the Notes and the Notes are declared due and payable because of the occurrence of an Event of Default, such amount may not be sufficient to pay amounts due on the Notes at the time of the acceleration resulting from such Event of Default. We would remain liable for such payments, however.</w:t>
      </w:r>
    </w:p>
    <w:p>
      <w:pPr>
        <w:spacing w:after="0" w:line="123"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In addition, we may satisfy and discharge all our obligations under the Indenture, other than certain obligations to the trustee and our obligation to register the transfer of or exchange the Notes, provided that we either:</w:t>
      </w:r>
    </w:p>
    <w:p>
      <w:pPr>
        <w:spacing w:after="0" w:line="25" w:lineRule="exact"/>
        <w:rPr>
          <w:sz w:val="20"/>
          <w:szCs w:val="20"/>
          <w:color w:val="auto"/>
        </w:rPr>
      </w:pPr>
    </w:p>
    <w:p>
      <w:pPr>
        <w:ind w:left="660" w:hanging="20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all outstanding Notes to the trustee for cancellation; or</w:t>
      </w:r>
    </w:p>
    <w:p>
      <w:pPr>
        <w:spacing w:after="0" w:line="103" w:lineRule="exact"/>
        <w:rPr>
          <w:rFonts w:ascii="Times New Roman" w:cs="Times New Roman" w:eastAsia="Times New Roman" w:hAnsi="Times New Roman"/>
          <w:sz w:val="18"/>
          <w:szCs w:val="18"/>
          <w:color w:val="auto"/>
        </w:rPr>
      </w:pPr>
    </w:p>
    <w:p>
      <w:pPr>
        <w:ind w:left="660" w:right="40" w:hanging="206"/>
        <w:spacing w:after="0" w:line="258"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 sufficient to pay the entire indebtedness of the Notes, including interest and premium, if any, to the stated maturity or applicable redemption date;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comply with the other requirements of the Indenture in relation to satisfaction and discharge.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77"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Attributable Indebtedness</w:t>
      </w:r>
      <w:r>
        <w:rPr>
          <w:rFonts w:ascii="Times New Roman" w:cs="Times New Roman" w:eastAsia="Times New Roman" w:hAnsi="Times New Roman"/>
          <w:sz w:val="18"/>
          <w:szCs w:val="18"/>
          <w:color w:val="auto"/>
        </w:rPr>
        <w:t>,”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1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380"/>
          </w:cols>
          <w:pgMar w:left="240" w:top="455" w:right="2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140" w:firstLine="456"/>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w:t>
      </w:r>
    </w:p>
    <w:p>
      <w:pPr>
        <w:spacing w:after="0" w:line="114" w:lineRule="exact"/>
        <w:rPr>
          <w:sz w:val="20"/>
          <w:szCs w:val="20"/>
          <w:color w:val="auto"/>
        </w:rPr>
      </w:pPr>
    </w:p>
    <w:p>
      <w:pPr>
        <w:jc w:val="both"/>
        <w:ind w:right="120" w:firstLine="456"/>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Interests</w:t>
      </w:r>
      <w:r>
        <w:rPr>
          <w:rFonts w:ascii="Times New Roman" w:cs="Times New Roman" w:eastAsia="Times New Roman" w:hAnsi="Times New Roman"/>
          <w:sz w:val="18"/>
          <w:szCs w:val="18"/>
          <w:color w:val="auto"/>
        </w:rPr>
        <w:t>”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Tangible Assets</w:t>
      </w:r>
      <w:r>
        <w:rPr>
          <w:rFonts w:ascii="Times New Roman" w:cs="Times New Roman" w:eastAsia="Times New Roman" w:hAnsi="Times New Roman"/>
          <w:sz w:val="18"/>
          <w:szCs w:val="18"/>
          <w:color w:val="auto"/>
        </w:rPr>
        <w:t>” means, at any date of determination, the total amount of assets after deducting therefrom:</w:t>
      </w:r>
    </w:p>
    <w:p>
      <w:pPr>
        <w:spacing w:after="0" w:line="79" w:lineRule="exact"/>
        <w:rPr>
          <w:sz w:val="20"/>
          <w:szCs w:val="20"/>
          <w:color w:val="auto"/>
        </w:rPr>
      </w:pPr>
    </w:p>
    <w:p>
      <w:pPr>
        <w:ind w:left="1160" w:hanging="257"/>
        <w:spacing w:after="0"/>
        <w:tabs>
          <w:tab w:leader="none" w:pos="1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liabilities excluding:</w:t>
      </w:r>
    </w:p>
    <w:p>
      <w:pPr>
        <w:spacing w:after="0" w:line="76" w:lineRule="exact"/>
        <w:rPr>
          <w:rFonts w:ascii="Times New Roman" w:cs="Times New Roman" w:eastAsia="Times New Roman" w:hAnsi="Times New Roman"/>
          <w:sz w:val="18"/>
          <w:szCs w:val="18"/>
          <w:color w:val="auto"/>
        </w:rPr>
      </w:pPr>
    </w:p>
    <w:p>
      <w:pPr>
        <w:ind w:left="920" w:right="340" w:firstLine="421"/>
        <w:spacing w:after="0" w:line="275" w:lineRule="auto"/>
        <w:tabs>
          <w:tab w:leader="none" w:pos="157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current liabilities that by their terms are extendible or renewable at the option of the obligor thereon to a time more than 12 months after the time as of which the amount thereof is being computed; and</w:t>
      </w:r>
    </w:p>
    <w:p>
      <w:pPr>
        <w:spacing w:after="0" w:line="25"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maturities of long-term debt; and</w:t>
      </w:r>
    </w:p>
    <w:p>
      <w:pPr>
        <w:spacing w:after="0" w:line="76"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net of any applicable reserves, of all goodwill, trade names, trademarks, patents and other like intangible assets,</w:t>
      </w:r>
    </w:p>
    <w:p>
      <w:pPr>
        <w:spacing w:after="0" w:line="158"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all as set forth on the consolidated balance sheet of Plains All American Pipeline for its most recently completed fiscal quarter, prepared in accordance with generally accepted accounting principles.</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58" w:lineRule="exact"/>
        <w:rPr>
          <w:sz w:val="20"/>
          <w:szCs w:val="20"/>
          <w:color w:val="auto"/>
        </w:rPr>
      </w:pPr>
    </w:p>
    <w:p>
      <w:pPr>
        <w:ind w:firstLine="456"/>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Funded Debt</w:t>
      </w:r>
      <w:r>
        <w:rPr>
          <w:rFonts w:ascii="Times New Roman" w:cs="Times New Roman" w:eastAsia="Times New Roman" w:hAnsi="Times New Roman"/>
          <w:sz w:val="18"/>
          <w:szCs w:val="18"/>
          <w:color w:val="auto"/>
        </w:rPr>
        <w: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 Date</w:t>
      </w:r>
      <w:r>
        <w:rPr>
          <w:rFonts w:ascii="Times New Roman" w:cs="Times New Roman" w:eastAsia="Times New Roman" w:hAnsi="Times New Roman"/>
          <w:sz w:val="18"/>
          <w:szCs w:val="18"/>
          <w:color w:val="auto"/>
        </w:rPr>
        <w:t>” means the date on which the Notes are initially issued.</w:t>
      </w:r>
    </w:p>
    <w:p>
      <w:pPr>
        <w:spacing w:after="0" w:line="158"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Managing General Partner</w:t>
      </w:r>
      <w:r>
        <w:rPr>
          <w:rFonts w:ascii="Times New Roman" w:cs="Times New Roman" w:eastAsia="Times New Roman" w:hAnsi="Times New Roman"/>
          <w:sz w:val="18"/>
          <w:szCs w:val="18"/>
          <w:color w:val="auto"/>
        </w:rPr>
        <w:t>” means (i) Plains All American GP LLC, a Delaware limited liability company (and its successors and permitted assigns), as general partner of Plains AAP, L.P., a Delaware limited partnership (and its successors and permitted assigns), as sole member of PAA GP LLC (and its successors and permitted assigns), as general partner of Plains All American Pipeline or (ii) the business entity with the ultimate authority to manage the business and operations of Plains All American Pipeline.</w:t>
      </w:r>
    </w:p>
    <w:p>
      <w:pPr>
        <w:spacing w:after="0" w:line="119" w:lineRule="exact"/>
        <w:rPr>
          <w:sz w:val="20"/>
          <w:szCs w:val="20"/>
          <w:color w:val="auto"/>
        </w:rPr>
      </w:pPr>
    </w:p>
    <w:p>
      <w:pPr>
        <w:ind w:right="120" w:firstLine="456"/>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Pari Passu Debt</w:t>
      </w:r>
      <w:r>
        <w:rPr>
          <w:rFonts w:ascii="Times New Roman" w:cs="Times New Roman" w:eastAsia="Times New Roman" w:hAnsi="Times New Roman"/>
          <w:sz w:val="18"/>
          <w:szCs w:val="18"/>
          <w:color w:val="auto"/>
        </w:rPr>
        <w:t>” means any of our Funded Debt,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Liens</w:t>
      </w:r>
      <w:r>
        <w:rPr>
          <w:rFonts w:ascii="Times New Roman" w:cs="Times New Roman" w:eastAsia="Times New Roman" w:hAnsi="Times New Roman"/>
          <w:sz w:val="18"/>
          <w:szCs w:val="18"/>
          <w:color w:val="auto"/>
        </w:rPr>
        <w:t>” means:</w:t>
      </w:r>
    </w:p>
    <w:p>
      <w:pPr>
        <w:spacing w:after="0" w:line="79" w:lineRule="exact"/>
        <w:rPr>
          <w:sz w:val="20"/>
          <w:szCs w:val="20"/>
          <w:color w:val="auto"/>
        </w:rPr>
      </w:pPr>
    </w:p>
    <w:p>
      <w:pPr>
        <w:ind w:left="1160" w:hanging="257"/>
        <w:spacing w:after="0"/>
        <w:tabs>
          <w:tab w:leader="none" w:pos="1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upon rights-of-way for pipeline purposes;</w:t>
      </w:r>
    </w:p>
    <w:p>
      <w:pPr>
        <w:spacing w:after="0" w:line="76" w:lineRule="exact"/>
        <w:rPr>
          <w:rFonts w:ascii="Times New Roman" w:cs="Times New Roman" w:eastAsia="Times New Roman" w:hAnsi="Times New Roman"/>
          <w:sz w:val="18"/>
          <w:szCs w:val="18"/>
          <w:color w:val="auto"/>
        </w:rPr>
      </w:pPr>
    </w:p>
    <w:p>
      <w:pPr>
        <w:ind w:left="460" w:right="320" w:firstLine="443"/>
        <w:spacing w:after="0" w:line="262" w:lineRule="auto"/>
        <w:tabs>
          <w:tab w:leader="none" w:pos="114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20" w:firstLine="443"/>
        <w:spacing w:after="0" w:line="275" w:lineRule="auto"/>
        <w:tabs>
          <w:tab w:leader="none" w:pos="114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reserved to, or vested in, any municipality or public authority by the terms of any right, power, franchise, grant, license, permit or by any provision of law, to purchase or recapture or to designate a purchaser of any property;</w:t>
      </w:r>
    </w:p>
    <w:p>
      <w:pPr>
        <w:spacing w:after="0" w:line="25" w:lineRule="exact"/>
        <w:rPr>
          <w:rFonts w:ascii="Times New Roman" w:cs="Times New Roman" w:eastAsia="Times New Roman" w:hAnsi="Times New Roman"/>
          <w:sz w:val="18"/>
          <w:szCs w:val="18"/>
          <w:color w:val="auto"/>
        </w:rPr>
      </w:pPr>
    </w:p>
    <w:p>
      <w:pPr>
        <w:ind w:left="460" w:right="80" w:firstLine="443"/>
        <w:spacing w:after="0" w:line="275" w:lineRule="auto"/>
        <w:tabs>
          <w:tab w:leader="none" w:pos="114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taxes and assessments which are: (a) for the then current year, (b) not at the time delinquent, or (c) delinquent but the validity of which is being contested at the time by us or any Restricted Subsidiary in good faith;</w:t>
      </w:r>
    </w:p>
    <w:p>
      <w:pPr>
        <w:spacing w:after="0" w:line="25"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or to secure performance of, leases, other than capital leases;</w:t>
      </w:r>
    </w:p>
    <w:p>
      <w:pPr>
        <w:spacing w:after="0" w:line="76" w:lineRule="exact"/>
        <w:rPr>
          <w:rFonts w:ascii="Times New Roman" w:cs="Times New Roman" w:eastAsia="Times New Roman" w:hAnsi="Times New Roman"/>
          <w:sz w:val="18"/>
          <w:szCs w:val="18"/>
          <w:color w:val="auto"/>
        </w:rPr>
      </w:pPr>
    </w:p>
    <w:p>
      <w:pPr>
        <w:ind w:left="460" w:right="20" w:firstLine="443"/>
        <w:spacing w:after="0" w:line="275" w:lineRule="auto"/>
        <w:tabs>
          <w:tab w:leader="none" w:pos="114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or deposits of, any assets in favor of any surety company or clerk of court for the purpose of obtaining indemnity or stay of judicial proceedings;</w:t>
      </w:r>
    </w:p>
    <w:p>
      <w:pPr>
        <w:spacing w:after="0" w:line="25" w:lineRule="exact"/>
        <w:rPr>
          <w:rFonts w:ascii="Times New Roman" w:cs="Times New Roman" w:eastAsia="Times New Roman" w:hAnsi="Times New Roman"/>
          <w:sz w:val="18"/>
          <w:szCs w:val="18"/>
          <w:color w:val="auto"/>
        </w:rPr>
      </w:pPr>
    </w:p>
    <w:p>
      <w:pPr>
        <w:ind w:left="460" w:right="560" w:firstLine="443"/>
        <w:spacing w:after="0" w:line="275" w:lineRule="auto"/>
        <w:tabs>
          <w:tab w:leader="none" w:pos="114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property or assets acquired or sold by us or any Restricted Subsidiary resulting from the exercise of any rights arising out of defaults on receivables;</w:t>
      </w:r>
    </w:p>
    <w:p>
      <w:pPr>
        <w:spacing w:after="0" w:line="25" w:lineRule="exact"/>
        <w:rPr>
          <w:rFonts w:ascii="Times New Roman" w:cs="Times New Roman" w:eastAsia="Times New Roman" w:hAnsi="Times New Roman"/>
          <w:sz w:val="18"/>
          <w:szCs w:val="18"/>
          <w:color w:val="auto"/>
        </w:rPr>
      </w:pPr>
    </w:p>
    <w:p>
      <w:pPr>
        <w:ind w:left="460" w:right="240" w:firstLine="443"/>
        <w:spacing w:after="0" w:line="275" w:lineRule="auto"/>
        <w:tabs>
          <w:tab w:leader="none" w:pos="114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25"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 favor of us or any Restricted Subsidiary;</w:t>
      </w:r>
    </w:p>
    <w:p>
      <w:pPr>
        <w:spacing w:after="0" w:line="76" w:lineRule="exact"/>
        <w:rPr>
          <w:rFonts w:ascii="Times New Roman" w:cs="Times New Roman" w:eastAsia="Times New Roman" w:hAnsi="Times New Roman"/>
          <w:sz w:val="18"/>
          <w:szCs w:val="18"/>
          <w:color w:val="auto"/>
        </w:rPr>
      </w:pPr>
    </w:p>
    <w:p>
      <w:pPr>
        <w:ind w:left="460" w:firstLine="443"/>
        <w:spacing w:after="0" w:line="258" w:lineRule="auto"/>
        <w:tabs>
          <w:tab w:leader="none" w:pos="12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us or any Restricted Subsidiary for the purpose of financing all or any part of the purchase price of, or the cost of constructing, developing, repairing or improving, the property or assets subject to such lien;</w:t>
      </w:r>
    </w:p>
    <w:p>
      <w:pPr>
        <w:spacing w:after="0" w:line="41" w:lineRule="exact"/>
        <w:rPr>
          <w:rFonts w:ascii="Times New Roman" w:cs="Times New Roman" w:eastAsia="Times New Roman" w:hAnsi="Times New Roman"/>
          <w:sz w:val="18"/>
          <w:szCs w:val="18"/>
          <w:color w:val="auto"/>
        </w:rPr>
      </w:pPr>
    </w:p>
    <w:p>
      <w:pPr>
        <w:ind w:left="1240" w:hanging="337"/>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securing industrial development, pollution control or similar revenue bonds;</w:t>
      </w:r>
    </w:p>
    <w:p>
      <w:pPr>
        <w:spacing w:after="0" w:line="76" w:lineRule="exact"/>
        <w:rPr>
          <w:rFonts w:ascii="Times New Roman" w:cs="Times New Roman" w:eastAsia="Times New Roman" w:hAnsi="Times New Roman"/>
          <w:sz w:val="18"/>
          <w:szCs w:val="18"/>
          <w:color w:val="auto"/>
        </w:rPr>
      </w:pPr>
    </w:p>
    <w:p>
      <w:pPr>
        <w:ind w:left="460" w:firstLine="443"/>
        <w:spacing w:after="0" w:line="255" w:lineRule="auto"/>
        <w:tabs>
          <w:tab w:leader="none" w:pos="12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securing our debt or debt of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under the Indenture (including the Notes) in connection with such refunding, refinancing or repurchase, and the required corresponding durations thereof), to refinance, refund or repurchase all outstanding debt securities under the Indenture (including the Notes), including the amount of all accrued interest thereon and reasonable fees and expenses and premium, if any, incurred by us or any Restricted Subsidiary in connection therewith;</w:t>
      </w:r>
    </w:p>
    <w:p>
      <w:pPr>
        <w:spacing w:after="0" w:line="44" w:lineRule="exact"/>
        <w:rPr>
          <w:rFonts w:ascii="Times New Roman" w:cs="Times New Roman" w:eastAsia="Times New Roman" w:hAnsi="Times New Roman"/>
          <w:sz w:val="18"/>
          <w:szCs w:val="18"/>
          <w:color w:val="auto"/>
        </w:rPr>
      </w:pPr>
    </w:p>
    <w:p>
      <w:pPr>
        <w:ind w:left="460" w:right="460" w:firstLine="443"/>
        <w:spacing w:after="0" w:line="275" w:lineRule="auto"/>
        <w:tabs>
          <w:tab w:leader="none" w:pos="12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any Person to secure obligations under the provisions of any letters of credit, bank guarantees, bonds or surety obligations required or requested by any governmental authority in connection with any contract or statute;</w:t>
      </w:r>
    </w:p>
    <w:p>
      <w:pPr>
        <w:spacing w:after="0" w:line="25" w:lineRule="exact"/>
        <w:rPr>
          <w:rFonts w:ascii="Times New Roman" w:cs="Times New Roman" w:eastAsia="Times New Roman" w:hAnsi="Times New Roman"/>
          <w:sz w:val="18"/>
          <w:szCs w:val="18"/>
          <w:color w:val="auto"/>
        </w:rPr>
      </w:pPr>
    </w:p>
    <w:p>
      <w:pPr>
        <w:ind w:left="1240" w:hanging="337"/>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or deposits of any assets to secure performance of bids, trade contracts, leases or statutory obligations;</w:t>
      </w:r>
    </w:p>
    <w:p>
      <w:pPr>
        <w:spacing w:after="0" w:line="76" w:lineRule="exact"/>
        <w:rPr>
          <w:rFonts w:ascii="Times New Roman" w:cs="Times New Roman" w:eastAsia="Times New Roman" w:hAnsi="Times New Roman"/>
          <w:sz w:val="18"/>
          <w:szCs w:val="18"/>
          <w:color w:val="auto"/>
        </w:rPr>
      </w:pPr>
    </w:p>
    <w:p>
      <w:pPr>
        <w:ind w:left="460" w:right="20" w:firstLine="443"/>
        <w:spacing w:after="0" w:line="258" w:lineRule="auto"/>
        <w:tabs>
          <w:tab w:leader="none" w:pos="12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41" w:lineRule="exact"/>
        <w:rPr>
          <w:rFonts w:ascii="Times New Roman" w:cs="Times New Roman" w:eastAsia="Times New Roman" w:hAnsi="Times New Roman"/>
          <w:sz w:val="18"/>
          <w:szCs w:val="18"/>
          <w:color w:val="auto"/>
        </w:rPr>
      </w:pPr>
    </w:p>
    <w:p>
      <w:pPr>
        <w:ind w:left="460" w:right="160" w:firstLine="443"/>
        <w:spacing w:after="0" w:line="258" w:lineRule="auto"/>
        <w:tabs>
          <w:tab w:leader="none" w:pos="12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Plains All American Pipeline and its Subsidiaries, taken as a whole;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left="460" w:right="240" w:firstLine="443"/>
        <w:spacing w:after="0" w:line="301" w:lineRule="auto"/>
        <w:tabs>
          <w:tab w:leader="none" w:pos="1235"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w:t>
      </w:r>
    </w:p>
    <w:p>
      <w:pPr>
        <w:spacing w:after="0" w:line="8" w:lineRule="exact"/>
        <w:rPr>
          <w:rFonts w:ascii="Times New Roman" w:cs="Times New Roman" w:eastAsia="Times New Roman" w:hAnsi="Times New Roman"/>
          <w:sz w:val="16"/>
          <w:szCs w:val="16"/>
          <w:color w:val="auto"/>
        </w:rPr>
      </w:pPr>
    </w:p>
    <w:p>
      <w:pPr>
        <w:ind w:left="460" w:right="60" w:firstLine="443"/>
        <w:spacing w:after="0" w:line="275" w:lineRule="auto"/>
        <w:tabs>
          <w:tab w:leader="none" w:pos="12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obligations or duties to any municipality or public authority with respect to any lease, easement, right-of-way, license, franchise, privilege, permit or grant.</w:t>
      </w:r>
    </w:p>
    <w:p>
      <w:pPr>
        <w:spacing w:after="0" w:line="104" w:lineRule="exact"/>
        <w:rPr>
          <w:sz w:val="20"/>
          <w:szCs w:val="20"/>
          <w:color w:val="auto"/>
        </w:rPr>
      </w:pPr>
    </w:p>
    <w:p>
      <w:pPr>
        <w:ind w:right="360" w:firstLine="456"/>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limited liability company, association, joint stock company, trust, other entity, unincorporated organization or government or any agency or political subdivision thereof.</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Property</w:t>
      </w:r>
      <w:r>
        <w:rPr>
          <w:rFonts w:ascii="Times New Roman" w:cs="Times New Roman" w:eastAsia="Times New Roman" w:hAnsi="Times New Roman"/>
          <w:sz w:val="18"/>
          <w:szCs w:val="18"/>
          <w:color w:val="auto"/>
        </w:rPr>
        <w:t>” means, whether owned or leased on the Issue Date or thereafter acquired:</w:t>
      </w:r>
    </w:p>
    <w:p>
      <w:pPr>
        <w:spacing w:after="0" w:line="79" w:lineRule="exact"/>
        <w:rPr>
          <w:sz w:val="20"/>
          <w:szCs w:val="20"/>
          <w:color w:val="auto"/>
        </w:rPr>
      </w:pPr>
    </w:p>
    <w:p>
      <w:pPr>
        <w:ind w:left="460" w:firstLine="443"/>
        <w:spacing w:after="0" w:line="262" w:lineRule="auto"/>
        <w:tabs>
          <w:tab w:leader="none" w:pos="114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pipeline assets of Plains All American Pipeline or the pipeline assets of any Subsidiary of Plains All American Pipeline,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37" w:lineRule="exact"/>
        <w:rPr>
          <w:rFonts w:ascii="Times New Roman" w:cs="Times New Roman" w:eastAsia="Times New Roman" w:hAnsi="Times New Roman"/>
          <w:sz w:val="18"/>
          <w:szCs w:val="18"/>
          <w:color w:val="auto"/>
        </w:rPr>
      </w:pPr>
    </w:p>
    <w:p>
      <w:pPr>
        <w:ind w:left="460" w:right="200" w:firstLine="443"/>
        <w:spacing w:after="0" w:line="256" w:lineRule="auto"/>
        <w:tabs>
          <w:tab w:leader="none" w:pos="114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processing or manufacturing plant or terminal owned or leased by Plains All American Pipeline or any Subsidiary of Plains All American Pipeline; except, in either case above: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Plains All American Pipeline or the activities of Plains All American Pipeline and its Subsidiaries, taken as a whole.</w:t>
      </w:r>
    </w:p>
    <w:p>
      <w:pPr>
        <w:spacing w:after="0" w:line="123" w:lineRule="exact"/>
        <w:rPr>
          <w:sz w:val="20"/>
          <w:szCs w:val="20"/>
          <w:color w:val="auto"/>
        </w:rPr>
      </w:pPr>
    </w:p>
    <w:p>
      <w:pPr>
        <w:ind w:right="380" w:firstLine="456"/>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Subsidiary</w:t>
      </w:r>
      <w:r>
        <w:rPr>
          <w:rFonts w:ascii="Times New Roman" w:cs="Times New Roman" w:eastAsia="Times New Roman" w:hAnsi="Times New Roman"/>
          <w:sz w:val="18"/>
          <w:szCs w:val="18"/>
          <w:color w:val="auto"/>
        </w:rPr>
        <w:t>” means any Subsidiary of Plains All American Pipeline owning or leasing, directly or indirectly through ownership in another Subsidiary, any Principal Property.</w:t>
      </w:r>
    </w:p>
    <w:p>
      <w:pPr>
        <w:spacing w:after="0" w:line="103" w:lineRule="exact"/>
        <w:rPr>
          <w:sz w:val="20"/>
          <w:szCs w:val="20"/>
          <w:color w:val="auto"/>
        </w:rPr>
      </w:pPr>
    </w:p>
    <w:p>
      <w:pPr>
        <w:ind w:right="60" w:firstLine="456"/>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Sale-leaseback Transaction</w:t>
      </w:r>
      <w:r>
        <w:rPr>
          <w:rFonts w:ascii="Times New Roman" w:cs="Times New Roman" w:eastAsia="Times New Roman" w:hAnsi="Times New Roman"/>
          <w:sz w:val="18"/>
          <w:szCs w:val="18"/>
          <w:color w:val="auto"/>
        </w:rPr>
        <w:t>”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with respect to any Person:</w:t>
      </w:r>
    </w:p>
    <w:p>
      <w:pPr>
        <w:spacing w:after="0" w:line="79" w:lineRule="exact"/>
        <w:rPr>
          <w:sz w:val="20"/>
          <w:szCs w:val="20"/>
          <w:color w:val="auto"/>
        </w:rPr>
      </w:pPr>
    </w:p>
    <w:p>
      <w:pPr>
        <w:ind w:left="460" w:right="40" w:firstLine="443"/>
        <w:spacing w:after="0" w:line="262" w:lineRule="auto"/>
        <w:tabs>
          <w:tab w:leader="none" w:pos="114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w:t>
      </w:r>
    </w:p>
    <w:p>
      <w:pPr>
        <w:spacing w:after="0" w:line="37" w:lineRule="exact"/>
        <w:rPr>
          <w:rFonts w:ascii="Times New Roman" w:cs="Times New Roman" w:eastAsia="Times New Roman" w:hAnsi="Times New Roman"/>
          <w:sz w:val="18"/>
          <w:szCs w:val="18"/>
          <w:color w:val="auto"/>
        </w:rPr>
      </w:pPr>
    </w:p>
    <w:p>
      <w:pPr>
        <w:ind w:left="460" w:right="40" w:firstLine="443"/>
        <w:spacing w:after="0" w:line="275" w:lineRule="auto"/>
        <w:tabs>
          <w:tab w:leader="none" w:pos="114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320"/>
          </w:cols>
          <w:pgMar w:left="240" w:top="455" w:right="3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BOOK ENTRY, DELIVERY AND FORM</w:t>
      </w:r>
    </w:p>
    <w:p>
      <w:pPr>
        <w:spacing w:after="0" w:line="16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will issue the Notes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or DTC, in the United States and by Euroclear Bank S.A./N.V., or the Euroclear Operator, as an operator of the Euroclear System, or Euroclear, and Clearstream Banking, société anonyme, or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Notes. Electronic notes and payment transfer, processing, depositary and custodial links have been established among these systems and others, either directly or indirectly, which enable Global Notes to be issued, held and transferred among these clearing systems through these links.</w:t>
      </w:r>
    </w:p>
    <w:p>
      <w:pPr>
        <w:spacing w:after="0" w:line="13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12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Notes in the form of one or more Global Notes will be registered in the name of DTC or a nominee of DTC. Where appropriate, links will be established among DTC, Euroclear and Clearstream to facilitate the initial issuance of any Notes sold outside the United States and cross-market transfers of the Notes associated with secondary market trading. Although the following information concerning DTC, Euroclear and Clearstream and their respective book-entry systems has been obtained from sources that we believe to be reliable, we take no responsibility for the accuracy of that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Depository Procedures</w:t>
      </w:r>
    </w:p>
    <w:p>
      <w:pPr>
        <w:spacing w:after="0" w:line="79" w:lineRule="exact"/>
        <w:rPr>
          <w:sz w:val="20"/>
          <w:szCs w:val="20"/>
          <w:color w:val="auto"/>
        </w:rPr>
      </w:pPr>
    </w:p>
    <w:p>
      <w:pPr>
        <w:ind w:right="60" w:firstLine="456"/>
        <w:spacing w:after="0" w:line="252" w:lineRule="auto"/>
        <w:rPr>
          <w:sz w:val="20"/>
          <w:szCs w:val="20"/>
          <w:color w:val="auto"/>
        </w:rPr>
      </w:pPr>
      <w:r>
        <w:rPr>
          <w:rFonts w:ascii="Times New Roman" w:cs="Times New Roman" w:eastAsia="Times New Roman" w:hAnsi="Times New Roman"/>
          <w:sz w:val="18"/>
          <w:szCs w:val="18"/>
          <w:color w:val="auto"/>
        </w:rPr>
        <w:t>DTC has advised us that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securities transactions in those securities between the Participants through electronic book-entry changes in accounts of the Participants thereby eliminating the need for physical movement of securities certificates. The Participants include securities brokers and dealers (including the underwriters), banks, trust companies, clearing corporations and certain other organizations. DTC is owned by a number of its Participants and by the New York Stock Exchange, Inc., the NYSE Alternext LLC and the Financial Regulatory Authority, Inc.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or Indirect Participants may beneficially own securities held by or on behalf of DTC only through the Participants or the Indirect Participants. The ownership interest and transfer of ownership interest of each actual purchaser of each security held by or on behalf of DTC is recorded on the records of the Participants and the Indirect Participants.</w:t>
      </w:r>
    </w:p>
    <w:p>
      <w:pPr>
        <w:spacing w:after="0" w:line="134"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DTC has also advised us that pursuant to procedures established by it, (a) upon deposit of the Global Notes, DTC will credit the accounts of Participants designated by the underwriters with portions of the principal amount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of the Global Notes and (b) ownership of such interests in the Global Notes will be shown on, and the transfer of ownership thereof will be effected only through, records maintained by DTC (with respect to the Participants) or by the Participants and the Indirect Participants (with respect to other owners of beneficial interests in the Global Notes).</w:t>
      </w:r>
    </w:p>
    <w:p>
      <w:pPr>
        <w:spacing w:after="0" w:line="11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Investors in the Global Notes may hold their interests therein directly through DTC, if they are Participants in such system, or indirectly through organizations (including Euroclear and Clearstream) which are Participants in such system. Euroclear and Clearstream will hold any interests in the Global Notes on behalf of their participants through their respective depositories, which in turn will hold such interests on the books of DTC. All interests in a Global Note, including any held through Euroclear or Clearstream, may be subject to the procedures and requirements of DTC. Any interests held through Euroclear or Clearstream may also be subject to the procedures and requirements of such system.</w:t>
      </w:r>
    </w:p>
    <w:p>
      <w:pPr>
        <w:spacing w:after="0" w:line="125" w:lineRule="exact"/>
        <w:rPr>
          <w:sz w:val="20"/>
          <w:szCs w:val="20"/>
          <w:color w:val="auto"/>
        </w:rPr>
      </w:pPr>
    </w:p>
    <w:p>
      <w:pPr>
        <w:ind w:right="280" w:firstLine="456"/>
        <w:spacing w:after="0" w:line="255" w:lineRule="auto"/>
        <w:rPr>
          <w:sz w:val="20"/>
          <w:szCs w:val="20"/>
          <w:color w:val="auto"/>
        </w:rPr>
      </w:pPr>
      <w:r>
        <w:rPr>
          <w:rFonts w:ascii="Times New Roman" w:cs="Times New Roman" w:eastAsia="Times New Roman" w:hAnsi="Times New Roman"/>
          <w:sz w:val="18"/>
          <w:szCs w:val="18"/>
          <w:color w:val="auto"/>
        </w:rPr>
        <w:t>The laws of some jurisdictions may require that certain persons take physical delivery in definitive form of securities that they own. Consequently, the ability to transfer beneficial interests in a Global Note to such persons may be limited to that extent. Because DTC can act only on behalf of the Participants, which in turn act on behalf of the Indirect Participants and certain banks, the ability of a person having beneficial interests in a Global Note to pledge such interests to persons or entities that do not participate in the DTC system, or otherwise take actions in respect of such interests, may be affected by the lack of a physical certificate evidencing such interests. For certain other restrictions on the transferability of the Notes, see “—Exchange of Book Entry Notes for Certificated Notes.”</w:t>
      </w:r>
    </w:p>
    <w:p>
      <w:pPr>
        <w:spacing w:after="0" w:line="124" w:lineRule="exact"/>
        <w:rPr>
          <w:sz w:val="20"/>
          <w:szCs w:val="20"/>
          <w:color w:val="auto"/>
        </w:rPr>
      </w:pPr>
    </w:p>
    <w:p>
      <w:pPr>
        <w:ind w:right="12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105" w:lineRule="exact"/>
        <w:rPr>
          <w:sz w:val="20"/>
          <w:szCs w:val="20"/>
          <w:color w:val="auto"/>
        </w:rPr>
      </w:pPr>
    </w:p>
    <w:p>
      <w:pPr>
        <w:ind w:firstLine="456"/>
        <w:spacing w:after="0" w:line="285" w:lineRule="auto"/>
        <w:rPr>
          <w:sz w:val="20"/>
          <w:szCs w:val="20"/>
          <w:color w:val="auto"/>
        </w:rPr>
      </w:pPr>
      <w:r>
        <w:rPr>
          <w:rFonts w:ascii="Times New Roman" w:cs="Times New Roman" w:eastAsia="Times New Roman" w:hAnsi="Times New Roman"/>
          <w:sz w:val="16"/>
          <w:szCs w:val="16"/>
          <w:color w:val="auto"/>
        </w:rPr>
        <w:t>Payments in respect of the principal of (and premium, if any) and interest on a Global Note registered in the name of DTC or its nominee will be payable to DTC or its nominee in its capacity as the registered holder under the Indenture. Under the terms of the Indenture, we and the trustee will treat the persons in whose names the Notes, including the Global Notes, are registered as the owners thereof for the purpose of receiving such payments and for any and all other purposes whatsoever. Consequently, neither we nor the underwriters, the trustee nor any of our or their agents has or will have any responsibility or liability for</w:t>
      </w:r>
    </w:p>
    <w:p>
      <w:pPr>
        <w:spacing w:after="0" w:line="3" w:lineRule="exact"/>
        <w:rPr>
          <w:sz w:val="20"/>
          <w:szCs w:val="20"/>
          <w:color w:val="auto"/>
        </w:rPr>
      </w:pPr>
    </w:p>
    <w:p>
      <w:pPr>
        <w:ind w:right="460" w:firstLine="8"/>
        <w:spacing w:after="0" w:line="261" w:lineRule="auto"/>
        <w:tabs>
          <w:tab w:leader="none" w:pos="24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aspect or accuracy of DTC’s records or any Participant’s or Indirect Participant’s records relating to the beneficial ownership or (2) any other matter relating to the actions and practices of DTC or any of the Participants or the Indirect Participants.</w:t>
      </w:r>
    </w:p>
    <w:p>
      <w:pPr>
        <w:spacing w:after="0" w:line="118"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DTC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interests in the principal amount of the relevant security as shown on the records of DTC. Payments by the Participants and the Indirect Participants to the beneficial owners of Notes will be governed by standing instructions and customary practices and will not be the responsibility of DTC, the trustee or us. Neither we nor the trustee will be liable for any delay by DTC or any of the Participants in identifying the beneficial owners of the Notes, and we and the trustee may conclusively rely on and will be protected in relying on instructions from DTC or its nominee as the registered owner of the Global Notes for all purposes.</w:t>
      </w:r>
    </w:p>
    <w:p>
      <w:pPr>
        <w:spacing w:after="0" w:line="124" w:lineRule="exact"/>
        <w:rPr>
          <w:sz w:val="20"/>
          <w:szCs w:val="20"/>
          <w:color w:val="auto"/>
        </w:rPr>
      </w:pPr>
    </w:p>
    <w:p>
      <w:pPr>
        <w:jc w:val="both"/>
        <w:ind w:right="18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Except for trades involving only Euroclear and Clearstream participants, secondary market trading activity in interests in the Global Notes will settle in same-day funds, subject in all cases to the rules and procedures of DTC and the Participants. Transfers between accountholders in Euroclear and Clearstream will be effected in the ordinary way in accordance with their respective rules and operating procedures.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Cross-market transfers between the accountholders in DTC, on the one hand, and directly or indirectly through Euroclear or Clearstream accountholders, on the other hand, will be effected through DTC in accordance with DTC’s rules on behalf of Euroclear or Clearstream, as the case may be, by its depository;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depository to take action to effect final settlement on its behalf by delivering or receiving interests in the relevant Global Note in DTC, and making or receiving payment in accordance with normal procedures for same-day funds settlement applicable to DTC. Euroclear and Clearstream accountholders may not deliver instructions directly to the depositories for Euroclear or Clearstream.</w:t>
      </w:r>
    </w:p>
    <w:p>
      <w:pPr>
        <w:spacing w:after="0" w:line="100"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Because of time zone differences, the securities account of a Euroclear or Clearstream accountholder purchasing an interest in a Global Note from an accountholder in DTC will be credited, and any such crediting will be reported to the relevant Euroclear or Clearstream participant, during the securities settlement processing day (which must be a business day for Euroclear or Clearstream) immediately following the settlement date of DTC. Cash received in Euroclear or Clearstream as a result of sales of interests in a Global Note by or through a Euroclear or Clearstream accountholder to a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26" w:lineRule="exact"/>
        <w:rPr>
          <w:sz w:val="20"/>
          <w:szCs w:val="20"/>
          <w:color w:val="auto"/>
        </w:rPr>
      </w:pPr>
    </w:p>
    <w:p>
      <w:pPr>
        <w:ind w:right="160" w:firstLine="456"/>
        <w:spacing w:after="0" w:line="301" w:lineRule="auto"/>
        <w:rPr>
          <w:sz w:val="20"/>
          <w:szCs w:val="20"/>
          <w:color w:val="auto"/>
        </w:rPr>
      </w:pPr>
      <w:r>
        <w:rPr>
          <w:rFonts w:ascii="Times New Roman" w:cs="Times New Roman" w:eastAsia="Times New Roman" w:hAnsi="Times New Roman"/>
          <w:sz w:val="16"/>
          <w:szCs w:val="16"/>
          <w:color w:val="auto"/>
        </w:rPr>
        <w:t>DTC has advised us that it will take any action permitted to be taken by a holder of Notes only at the direction of one or more Participants to whose account with DTC interests in the Global Notes are credited and only in respect of such portion of the aggregate principal amount of the Notes as to which such Participant or Participants has or have given such direction. However, if any of the events described under “—Exchange of Book Entry Notes for Certificated Notes” occurs, DTC reserves the right to exchange the Global Notes for Notes in certificated form and to distribute such Notes to its Participants.</w:t>
      </w:r>
    </w:p>
    <w:p>
      <w:pPr>
        <w:spacing w:after="0" w:line="90"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Neither we, the underwriters, the trustee nor any of our respective agents will have any responsibility for the performance by DTC, Euroclear or Clearstream or their respective participants, indirect participants or accountholders of their respective obligations under the rules and procedures governing their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of Book Entry Notes for Certificated Notes</w:t>
      </w:r>
    </w:p>
    <w:p>
      <w:pPr>
        <w:spacing w:after="0" w:line="7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 Global Note is exchangeable for definitive notes in registered certificated form if (1) DTC (a) notifies us that it is unwilling or unable to continue as depository for the Global Note or (b) has ceased to be a clearing agency registered under the Exchange Act, and (2) we fail to appoint a successor depository within 90 days. In all cases, certificated notes delivered in exchange for any Global Note or beneficial interests therein will be registered in the names, and issued in any approved denominations, requested by or on behalf of DTC (in accordance with its customary procedures).</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380"/>
          </w:cols>
          <w:pgMar w:left="240" w:top="455" w:right="2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60"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that may be relevant to the purchase, ownership and disposition of the Notes. The discussion is based on the Internal Revenue Code of 1986, as amended (the “Code”), Treasury Regulations issued thereunder, and judicial decisions and administrative interpretations now in effect, all of which are subject to change, possibly on a retroactive basis, or are subject to different interpretations. There can be no assurance that the Internal Revenue Service (the “IRS”) will take a similar view of such consequences, and we have not obtained, nor do we intend to obtain, a ruling from the IRS with respect to the U.S. federal income tax consequences of the purchase, ownership or disposition of the Notes. This discussion is limited to initial beneficial owners who purchase the Notes for cash at their issue price (the first price at which a substantial amount of the Notes is sold to investors, not including bond houses, brokers or similar persons or organizations acting in the capacity of underwriters, placement agents or wholesalers) and who hold the Notes as capital assets (generally property held for investment).</w:t>
      </w:r>
    </w:p>
    <w:p>
      <w:pPr>
        <w:spacing w:after="0" w:line="125" w:lineRule="exact"/>
        <w:rPr>
          <w:sz w:val="20"/>
          <w:szCs w:val="20"/>
          <w:color w:val="auto"/>
        </w:rPr>
      </w:pPr>
    </w:p>
    <w:p>
      <w:pPr>
        <w:ind w:right="860" w:firstLine="456"/>
        <w:spacing w:after="0" w:line="275" w:lineRule="auto"/>
        <w:rPr>
          <w:sz w:val="20"/>
          <w:szCs w:val="20"/>
          <w:color w:val="auto"/>
        </w:rPr>
      </w:pPr>
      <w:r>
        <w:rPr>
          <w:rFonts w:ascii="Times New Roman" w:cs="Times New Roman" w:eastAsia="Times New Roman" w:hAnsi="Times New Roman"/>
          <w:sz w:val="18"/>
          <w:szCs w:val="18"/>
          <w:color w:val="auto"/>
        </w:rPr>
        <w:t>In this discussion, we do not purport to address all tax considerations that may be important to a particular holder in light of the holder’s special circumstances, or to certain categories of holders that may be subject to special rules, such as:</w:t>
      </w:r>
    </w:p>
    <w:p>
      <w:pPr>
        <w:spacing w:after="0" w:line="25" w:lineRule="exact"/>
        <w:rPr>
          <w:sz w:val="20"/>
          <w:szCs w:val="20"/>
          <w:color w:val="auto"/>
        </w:rPr>
      </w:pPr>
    </w:p>
    <w:p>
      <w:pPr>
        <w:ind w:left="660" w:hanging="206"/>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 or currencies;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or other financial institutions;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citizens or long-term residents of the United States;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subject to the alternative minimum tax;</w:t>
      </w:r>
    </w:p>
    <w:p>
      <w:pPr>
        <w:spacing w:after="0" w:line="103" w:lineRule="exact"/>
        <w:rPr>
          <w:rFonts w:ascii="Times New Roman" w:cs="Times New Roman" w:eastAsia="Times New Roman" w:hAnsi="Times New Roman"/>
          <w:sz w:val="18"/>
          <w:szCs w:val="18"/>
          <w:color w:val="auto"/>
        </w:rPr>
      </w:pPr>
    </w:p>
    <w:p>
      <w:pPr>
        <w:ind w:left="660" w:right="840" w:hanging="206"/>
        <w:spacing w:after="0" w:line="275"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Notes as part of a straddle transaction, hedging transaction, conversion transaction or other “synthetic security” or integrated transaction;</w:t>
      </w:r>
    </w:p>
    <w:p>
      <w:pPr>
        <w:spacing w:after="0" w:line="25"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the Notes under constructive sale provisions of the Code; and</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and other pass-through entities and holders of interests therein.</w:t>
      </w:r>
    </w:p>
    <w:p>
      <w:pPr>
        <w:spacing w:after="0" w:line="185"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In addition, the discussion does not consider the effect of U.S. federal estate tax laws or gift tax laws or of any applicable foreign, state, local or other tax laws or income tax treaties.</w:t>
      </w:r>
    </w:p>
    <w:p>
      <w:pPr>
        <w:spacing w:after="0" w:line="106"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is a beneficial owner of Notes, the U.S. federal income tax treatment of a partner in the partnership will generally depend upon the status of the partner and upon the activities of the partnership. Partners in partnerships acquiring Notes should consult their tax advisors about the U.S. federal income tax consequences of acquiring, owning and disposing of the Notes.</w:t>
      </w:r>
    </w:p>
    <w:p>
      <w:pPr>
        <w:spacing w:after="0" w:line="119"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PROSPECTIVE INVESTORS ARE ADVISED TO CONSULT THEIR OWN TAX ADVISORS WITH REGARD TO THE APPLICATION OF THE TAX CONSEQUENCES DISCUSSED BELOW TO THEIR PARTICULAR SITUATIONS, AS WELL AS THE APPLICATION OF U.S. FEDERAL ESTATE OR GIFT TAX LAWS OR OF ANY STATE, LOCAL, FOREIGN OR OTHER TAX LAWS OR INCOME TAX TREATIES.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Additional Payments</w:t>
      </w:r>
    </w:p>
    <w:p>
      <w:pPr>
        <w:spacing w:after="0" w:line="79" w:lineRule="exact"/>
        <w:rPr>
          <w:sz w:val="20"/>
          <w:szCs w:val="20"/>
          <w:color w:val="auto"/>
        </w:rPr>
      </w:pPr>
    </w:p>
    <w:p>
      <w:pPr>
        <w:ind w:right="160" w:firstLine="456"/>
        <w:spacing w:after="0" w:line="296" w:lineRule="auto"/>
        <w:rPr>
          <w:sz w:val="20"/>
          <w:szCs w:val="20"/>
          <w:color w:val="auto"/>
        </w:rPr>
      </w:pPr>
      <w:r>
        <w:rPr>
          <w:rFonts w:ascii="Times New Roman" w:cs="Times New Roman" w:eastAsia="Times New Roman" w:hAnsi="Times New Roman"/>
          <w:sz w:val="16"/>
          <w:szCs w:val="16"/>
          <w:color w:val="auto"/>
        </w:rPr>
        <w:t>In certain circumstances (see “Description of Notes—Optional Redemption”), we may pay amounts in excess of the stated interest and principal on the Notes. We intend to take the position that the possibility that such additional amounts will be paid does not cause the Notes to be treated as contingent payment debt instruments. It is possible that the IRS might take a different position, in which case, the timing, character and amount of taxable income in respect of the Notes may be different from that described herein. The remainder of this discussion assumes that the Notes are not contingent payment debt instruments. Prospective investors should consult their own tax advisors regarding the possible application of the contingent payment debt instrument rules to the Notes.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Taxation of U.S. Holders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used herein, a “U.S. Holder” means a beneficial owner of a Note that is:</w:t>
      </w:r>
    </w:p>
    <w:p>
      <w:pPr>
        <w:spacing w:after="0" w:line="77" w:lineRule="exact"/>
        <w:rPr>
          <w:sz w:val="20"/>
          <w:szCs w:val="20"/>
          <w:color w:val="auto"/>
        </w:rPr>
      </w:pPr>
    </w:p>
    <w:p>
      <w:pPr>
        <w:ind w:left="660" w:hanging="206"/>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alien of the United States;</w:t>
      </w:r>
    </w:p>
    <w:p>
      <w:pPr>
        <w:spacing w:after="0" w:line="103" w:lineRule="exact"/>
        <w:rPr>
          <w:rFonts w:ascii="Times New Roman" w:cs="Times New Roman" w:eastAsia="Times New Roman" w:hAnsi="Times New Roman"/>
          <w:sz w:val="18"/>
          <w:szCs w:val="18"/>
          <w:color w:val="auto"/>
        </w:rPr>
      </w:pPr>
    </w:p>
    <w:p>
      <w:pPr>
        <w:ind w:left="660" w:right="40" w:hanging="206"/>
        <w:spacing w:after="0" w:line="275"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or any political subdivision thereof;</w:t>
      </w:r>
    </w:p>
    <w:p>
      <w:pPr>
        <w:spacing w:after="0" w:line="25"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03" w:lineRule="exact"/>
        <w:rPr>
          <w:rFonts w:ascii="Times New Roman" w:cs="Times New Roman" w:eastAsia="Times New Roman" w:hAnsi="Times New Roman"/>
          <w:sz w:val="18"/>
          <w:szCs w:val="18"/>
          <w:color w:val="auto"/>
        </w:rPr>
      </w:pPr>
    </w:p>
    <w:p>
      <w:pPr>
        <w:ind w:left="660" w:right="180" w:hanging="206"/>
        <w:spacing w:after="0" w:line="26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Interest on the Notes</w:t>
      </w:r>
    </w:p>
    <w:p>
      <w:pPr>
        <w:spacing w:after="0" w:line="81"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Interest on a Note generally will be taxable to a U.S. Holder as ordinary income at the time it accrues or is received in accordance with the U.S. Holder’s regular method of accounting for U.S. federal income tax purposes.</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Disposition of Notes</w:t>
      </w:r>
    </w:p>
    <w:p>
      <w:pPr>
        <w:spacing w:after="0" w:line="8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Upon the sale, exchange, retirement, redemption or other taxable disposition of a Note, a U.S. Holder will generally recognize capital gain or loss equal to the difference between proceeds received on the disposition (excluding any proceeds attributable to accrued but unpaid interest which is taxable as ordinary interest income to the extent not previously included in income) and such holder’s adjusted tax basis in the Note. The amount realized by a U.S. Holder will include the amount of any cash and the fair market value of any other property received for the Note. A U.S. Holder’s adjusted tax basis in a Note will generally equal the purchase price paid by such holder for the Note.</w:t>
      </w:r>
    </w:p>
    <w:p>
      <w:pPr>
        <w:spacing w:after="0" w:line="125"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In general, any gain or loss realized on the sale, exchange, retirement, redemption or other taxable disposition of a Note by a U.S. Holder will be long-term capital gain or loss if, at the time of disposition, the U.S. Holder has held the Note for more than one year. The long-term capital gains of individuals, estates and trusts currently are subject to a reduced rate of U.S. federal income tax. The deductibility of capital losses is subject to certain limitations.</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81"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Information reporting will generally apply to payments of interest on, and the proceeds of the sale, exchange, retirement, redemption or other disposition of, Notes held by a U.S. Holder, and backup withholding may apply unless the U.S. Holder provides the applicable withholding agent with a taxpayer identification</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360"/>
          </w:cols>
          <w:pgMar w:left="240" w:top="455" w:right="29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number, certified under penalties of perjury, as well as certain other information or otherwise establishes an exemption from backup withholding. Any amount withheld under the backup withholding rules is allowable as a credit against the U.S. Holder’s U.S. federal income tax liability, if any, and a refund may be obtained if the amounts withheld exceed the U.S. Holder’s actual U.S. federal income tax liability and the U.S. Holder timely provides the required information or appropriate claim form to the IRS.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Additional Tax on Net Investment Income</w:t>
      </w:r>
    </w:p>
    <w:p>
      <w:pPr>
        <w:spacing w:after="0" w:line="8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An additional 3.8% tax is imposed on the “net investment income” of certain U.S. citizens and resident aliens, and on the undistributed “net investment income” of certain estates and trusts. Among other items, “net investment income” would generally include gross income from interest and net gain from the sale, exchange, retirement, redemption or other taxable disposition of a Note, less certain deductions. Prospective investors should consult their own tax advisors with respect to the imposition of this additional tax.</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Taxation of Non-U.S. Holders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used herein, a “Non-U.S. Holder” means a beneficial owner of a Note that is an individual, corporation, estate or trust that is not a U.S. Holder.</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Interest on the Notes</w:t>
      </w:r>
    </w:p>
    <w:p>
      <w:pPr>
        <w:spacing w:after="0" w:line="81" w:lineRule="exact"/>
        <w:rPr>
          <w:sz w:val="20"/>
          <w:szCs w:val="20"/>
          <w:color w:val="auto"/>
        </w:rPr>
      </w:pPr>
    </w:p>
    <w:p>
      <w:pPr>
        <w:ind w:right="480" w:firstLine="456"/>
        <w:spacing w:after="0" w:line="262" w:lineRule="auto"/>
        <w:rPr>
          <w:sz w:val="20"/>
          <w:szCs w:val="20"/>
          <w:color w:val="auto"/>
        </w:rPr>
      </w:pPr>
      <w:r>
        <w:rPr>
          <w:rFonts w:ascii="Times New Roman" w:cs="Times New Roman" w:eastAsia="Times New Roman" w:hAnsi="Times New Roman"/>
          <w:sz w:val="18"/>
          <w:szCs w:val="18"/>
          <w:color w:val="auto"/>
        </w:rPr>
        <w:t>The payment to a Non-U.S. Holder of interest on a Note generally will be exempt from U.S. federal withholding tax under the “portfolio interest” exemption provided that interest on the Note is not effectively connected with a U.S. trade or business conducted by the Non-U.S. Holder and the Non-U.S. Holder:</w:t>
      </w:r>
    </w:p>
    <w:p>
      <w:pPr>
        <w:spacing w:after="0" w:line="38" w:lineRule="exact"/>
        <w:rPr>
          <w:sz w:val="20"/>
          <w:szCs w:val="20"/>
          <w:color w:val="auto"/>
        </w:rPr>
      </w:pPr>
    </w:p>
    <w:p>
      <w:pPr>
        <w:ind w:left="660" w:hanging="206"/>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actually or constructively own 10% or more of our capital or profits interests;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controlled foreign corporation for U.S. federal income tax purposes that is actually or constructively related to us; and</w:t>
      </w:r>
    </w:p>
    <w:p>
      <w:pPr>
        <w:spacing w:after="0" w:line="103" w:lineRule="exact"/>
        <w:rPr>
          <w:rFonts w:ascii="Times New Roman" w:cs="Times New Roman" w:eastAsia="Times New Roman" w:hAnsi="Times New Roman"/>
          <w:sz w:val="18"/>
          <w:szCs w:val="18"/>
          <w:color w:val="auto"/>
        </w:rPr>
      </w:pPr>
    </w:p>
    <w:p>
      <w:pPr>
        <w:ind w:left="660" w:right="340" w:hanging="206"/>
        <w:spacing w:after="0" w:line="275"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bank whose receipt of interest on the Note is in connection with an extension of credit made pursuant to a loan agreement entered into in the ordinary course of business; and</w:t>
      </w:r>
    </w:p>
    <w:p>
      <w:pPr>
        <w:spacing w:after="0" w:line="25"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Holder properly certifies as to his foreign status as described below.</w:t>
      </w:r>
    </w:p>
    <w:p>
      <w:pPr>
        <w:spacing w:after="0" w:line="18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portfolio interest exemption and several of the special rules for Non-U.S. Holders described below generally apply only if a Non-U.S. Holder appropriately certifies as to its foreign status. A Non-U.S. Holder can generally meet this certification requirement by providing a properly executed IRS Form W-8BEN (or applicable successor form) to the applicable withholding agent.</w:t>
      </w:r>
    </w:p>
    <w:p>
      <w:pPr>
        <w:spacing w:after="0" w:line="119"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If a Non-U.S. Holder holds a Note through a financial institution or other agent acting on its behalf, that Non-U.S. Holder may be required to provide appropriate certifications to the agent. That agent will then generally be required to provide appropriate certifications to the applicable withholding agent, either directly or through other intermediaries. Special rules apply to foreign partnerships, estates and trusts, and in certain circumstances certifications as to foreign status of partners, trust owners or beneficiaries may have to be provided to the applicable withholding agent. In addition, special rules apply to qualified intermediaries that enter into withholding agreements with the IRS.</w:t>
      </w:r>
    </w:p>
    <w:p>
      <w:pPr>
        <w:spacing w:after="0" w:line="125" w:lineRule="exact"/>
        <w:rPr>
          <w:sz w:val="20"/>
          <w:szCs w:val="20"/>
          <w:color w:val="auto"/>
        </w:rPr>
      </w:pPr>
    </w:p>
    <w:p>
      <w:pPr>
        <w:jc w:val="both"/>
        <w:ind w:right="340" w:firstLine="456"/>
        <w:spacing w:after="0" w:line="258" w:lineRule="auto"/>
        <w:rPr>
          <w:sz w:val="20"/>
          <w:szCs w:val="20"/>
          <w:color w:val="auto"/>
        </w:rPr>
      </w:pPr>
      <w:r>
        <w:rPr>
          <w:rFonts w:ascii="Times New Roman" w:cs="Times New Roman" w:eastAsia="Times New Roman" w:hAnsi="Times New Roman"/>
          <w:sz w:val="18"/>
          <w:szCs w:val="18"/>
          <w:color w:val="auto"/>
        </w:rPr>
        <w:t>If a Non-U.S. Holder cannot satisfy the requirements described in the preceding paragraphs, payments of interest made to the Non-U.S. Holder will be subject to a 30% U.S. federal withholding tax, unless the Non-U.S. Holder provides the applicable withholding agent with a properly executed IRS Form W-8BEN (or applicable successor form) claiming an exemption from or reduction of the rate of withholding under the benefit of an income tax treaty, or that the interest paid on the Note is effectively connected with the Non-U.S. Holder’s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conduct of a trade or business in the United States and the Non-U.S. Holder satisfies the certification requirements described below. See “—Income or Gain Effectively Connected with a U.S. Trade or Business.”</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Disposition of Notes</w:t>
      </w:r>
    </w:p>
    <w:p>
      <w:pPr>
        <w:spacing w:after="0" w:line="81"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Generally, a Non-U.S. Holder will not be subject to U.S. federal income tax with respect to gain realized on the sale, exchange, retirement, redemption or other disposition of a Note unless:</w:t>
      </w:r>
    </w:p>
    <w:p>
      <w:pPr>
        <w:spacing w:after="0" w:line="25" w:lineRule="exact"/>
        <w:rPr>
          <w:sz w:val="20"/>
          <w:szCs w:val="20"/>
          <w:color w:val="auto"/>
        </w:rPr>
      </w:pPr>
    </w:p>
    <w:p>
      <w:pPr>
        <w:ind w:left="660" w:hanging="206"/>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the Non-U.S. Holder of a trade or business in the United States; or</w:t>
      </w:r>
    </w:p>
    <w:p>
      <w:pPr>
        <w:spacing w:after="0" w:line="103" w:lineRule="exact"/>
        <w:rPr>
          <w:rFonts w:ascii="Times New Roman" w:cs="Times New Roman" w:eastAsia="Times New Roman" w:hAnsi="Times New Roman"/>
          <w:sz w:val="18"/>
          <w:szCs w:val="18"/>
          <w:color w:val="auto"/>
        </w:rPr>
      </w:pPr>
    </w:p>
    <w:p>
      <w:pPr>
        <w:ind w:left="660" w:hanging="206"/>
        <w:spacing w:after="0" w:line="275"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Non-U.S. Holder who is a nonresident alien individual, such individual is present in the United States for 183 days or more in the taxable year of disposition and certain other conditions are met.</w:t>
      </w:r>
    </w:p>
    <w:p>
      <w:pPr>
        <w:spacing w:after="0" w:line="106"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A Non-U.S. Holder whose gain is described in the first bullet point above generally will be subject to U.S. federal income tax in the manner described below under “—Income or Gain Effectively Connected with a U.S. Trade or Business”. A Non-U.S. Holder described in the second bullet point above generally will be subject to a flat 30% rate (or lower applicable treaty rate) of U.S. federal income tax on the gain derived from the sale or other disposition, which may be offset by U.S. source capital losses.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or Gain Effectively Connected with a U.S. Trade or Business</w:t>
      </w:r>
    </w:p>
    <w:p>
      <w:pPr>
        <w:spacing w:after="0" w:line="8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If a Non-U.S. Holder of a Note is engaged in a trade or business in the United States and interest on the Note is effectively connected with the conduct of such trade or business, then the income or gain from the Note will generally be subject to U.S. federal income tax at regular graduated rates in the same manner as if that Non-U.S. Holder were a U.S. Holder, unless the Non-U.S. Holder can claim an exemption under the benefits of an income tax treaty. If a Non-U.S. Holder is eligible for the benefits of an income tax treaty between the United States and his country of residence, any “effectively connected” income or gain will generally be subject to U.S. federal income tax only if it is also attributable to a permanent establishment maintained by that Non-U.S. Holder in the United States. In addition, if such Non-U.S. Holder is a foreign corporation, it may be subject to a branch profits tax equal to 30% (or lower applicable treaty rate) of its earnings and profits for the taxable year, subject to adjustments, that are effectively connected with its conduct of a trade or business in the United States. A Non-U.S. Holder can generally meet the certification requirements by providing a properly executed IRS Form W-8ECI (or IRS Form W-8BEN (or applicable successor form) claiming exemption under an applicable income tax treaty) to the applicable withholding agent.</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81"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Payments to a Non-U.S. Holder of interest on a Note, and amounts withheld from such payments, if any, generally will be required to be reported to the IRS and to the Non-U.S. Holder. Copies of these information returns may also be made available to the tax authorities of the country in which the Non-U.S. Holder resides or is established under the provisions of a specific treaty or agreement.</w:t>
      </w:r>
    </w:p>
    <w:p>
      <w:pPr>
        <w:spacing w:after="0" w:line="119"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United States backup withholding generally will not apply to payments of interest and principal on a Note to a Non-U.S. Holder if the statement described in “—Payments of Interest” is duly provided by the holder or the holder otherwise establishes an exemption, provided that the applicable withholding agent does not have actual knowledge or reason to know that the holder is a United States person.</w:t>
      </w:r>
    </w:p>
    <w:p>
      <w:pPr>
        <w:spacing w:after="0" w:line="11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Payment of the proceeds of a sale of a Note effected by the U.S. office of a U.S. or foreign broker will be subject to information reporting requirements and backup withholding unless the Non-U.S. Holder properly certifies under penalties of perjury as to its foreign status and certain other conditions are met or the Non-U.S. Holder otherwise establishes an exemption. Information reporting requirements and backup withholding generally will not apply to any payment of the proceeds of the sale of a Note effected outside the United States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by a foreign office of a broker. However, unless such a broker has documentary evidence in its records that the holder is a Non-U.S. Holder and certain other conditions are met, or the Non-U.S. Holder otherwise establishes an exemption, information reporting will apply to a payment of the proceeds of the sale of a Note effected outside the United States by such a broker if the broker is:</w:t>
      </w:r>
    </w:p>
    <w:p>
      <w:pPr>
        <w:spacing w:after="0" w:line="38" w:lineRule="exact"/>
        <w:rPr>
          <w:sz w:val="20"/>
          <w:szCs w:val="20"/>
          <w:color w:val="auto"/>
        </w:rPr>
      </w:pPr>
    </w:p>
    <w:p>
      <w:pPr>
        <w:ind w:left="660" w:hanging="206"/>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United States person;</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person that derives 50% or more of its gross income for certain periods from the conduct of a trade or business in the United States;</w:t>
      </w:r>
    </w:p>
    <w:p>
      <w:pPr>
        <w:spacing w:after="0" w:line="103"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controlled foreign corporation for U.S. federal income tax purposes; or</w:t>
      </w:r>
    </w:p>
    <w:p>
      <w:pPr>
        <w:spacing w:after="0" w:line="103" w:lineRule="exact"/>
        <w:rPr>
          <w:rFonts w:ascii="Times New Roman" w:cs="Times New Roman" w:eastAsia="Times New Roman" w:hAnsi="Times New Roman"/>
          <w:sz w:val="18"/>
          <w:szCs w:val="18"/>
          <w:color w:val="auto"/>
        </w:rPr>
      </w:pPr>
    </w:p>
    <w:p>
      <w:pPr>
        <w:ind w:left="660" w:right="40" w:hanging="206"/>
        <w:spacing w:after="0" w:line="275"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partnership that, at any time during its taxable year, has more than 50% of its income or capital interests owned by United States persons or is engaged in the conduct of a U.S. trade or business.</w:t>
      </w:r>
    </w:p>
    <w:p>
      <w:pPr>
        <w:spacing w:after="0" w:line="106"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Any amount withheld from payments to a Non-U.S. Holder under the backup withholding rules may be credited against such holder’s U.S. federal income tax liability, if any, and any excess may be refundable if the proper information is timely provided to the IRS.</w:t>
      </w:r>
    </w:p>
    <w:p>
      <w:pPr>
        <w:spacing w:after="0" w:line="10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PRECEDING DISCUSSION OF MATERIAL U.S. FEDERAL INCOME TAX CONSEQUENCES IS FOR GENERAL INFORMATION ONLY AND IS NOT TAX ADVICE. EACH PROSPECTIVE INVESTOR SHOULD CONSULT ITS OWN TAX ADVISOR REGARDING THE PARTICULAR U.S. FEDERAL, STATE, LOCAL AND FOREIGN TAX CONSEQUENCES OF PURCHASING, HOLDING AND DISPOSING OF THE NOTES, INCLUDING THE CONSEQUENCES OF ANY PROPOSED CHANGE IN APPLICABLE LAWS.</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320"/>
          </w:cols>
          <w:pgMar w:left="240" w:top="455" w:right="3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0" w:lineRule="exact"/>
        <w:rPr>
          <w:sz w:val="20"/>
          <w:szCs w:val="20"/>
          <w:color w:val="auto"/>
        </w:rPr>
      </w:pPr>
    </w:p>
    <w:p>
      <w:pPr>
        <w:jc w:val="both"/>
        <w:ind w:right="140" w:firstLine="456"/>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set forth in an underwriting agreement, dated the date of this prospectus supplement, between us and the underwriters named below, we have agreed to sell to each of the underwriters, for whom Citigroup Global Markets Inc., SunTrust Robinson Humphrey, Inc., UBS Securities LLC and Wells Fargo Securities, LLC are acting as representatives, and the underwriters have agreed, severally and not jointly, to purchase the principal amount of the Notes set forth opposite their respective names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948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0" w:type="dxa"/>
            <w:vAlign w:val="bottom"/>
          </w:tcPr>
          <w:p>
            <w:pPr>
              <w:spacing w:after="0"/>
              <w:rPr>
                <w:sz w:val="1"/>
                <w:szCs w:val="1"/>
                <w:color w:val="auto"/>
              </w:rPr>
            </w:pPr>
          </w:p>
        </w:tc>
      </w:tr>
      <w:tr>
        <w:trPr>
          <w:trHeight w:val="172"/>
        </w:trPr>
        <w:tc>
          <w:tcPr>
            <w:tcW w:w="780" w:type="dxa"/>
            <w:vAlign w:val="bottom"/>
            <w:tcBorders>
              <w:bottom w:val="single" w:sz="8" w:color="auto"/>
            </w:tcBorders>
            <w:vMerge w:val="continue"/>
          </w:tcPr>
          <w:p>
            <w:pPr>
              <w:spacing w:after="0"/>
              <w:rPr>
                <w:sz w:val="14"/>
                <w:szCs w:val="14"/>
                <w:color w:val="auto"/>
              </w:rPr>
            </w:pPr>
          </w:p>
        </w:tc>
        <w:tc>
          <w:tcPr>
            <w:tcW w:w="9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line="15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203"/>
        </w:trPr>
        <w:tc>
          <w:tcPr>
            <w:tcW w:w="102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Citigroup Global Markets Inc.</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105,000,000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0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SunTrust Robinson Humphrey, Inc.</w:t>
            </w:r>
          </w:p>
        </w:tc>
        <w:tc>
          <w:tcPr>
            <w:tcW w:w="1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105,000,000</w:t>
            </w:r>
          </w:p>
        </w:tc>
        <w:tc>
          <w:tcPr>
            <w:tcW w:w="0" w:type="dxa"/>
            <w:vAlign w:val="bottom"/>
          </w:tcPr>
          <w:p>
            <w:pPr>
              <w:spacing w:after="0"/>
              <w:rPr>
                <w:sz w:val="1"/>
                <w:szCs w:val="1"/>
                <w:color w:val="auto"/>
              </w:rPr>
            </w:pPr>
          </w:p>
        </w:tc>
      </w:tr>
      <w:tr>
        <w:trPr>
          <w:trHeight w:val="217"/>
        </w:trPr>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UBS Securities LLC</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105,000,000</w:t>
            </w: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105,000,000</w:t>
            </w:r>
          </w:p>
        </w:tc>
        <w:tc>
          <w:tcPr>
            <w:tcW w:w="0" w:type="dxa"/>
            <w:vAlign w:val="bottom"/>
          </w:tcPr>
          <w:p>
            <w:pPr>
              <w:spacing w:after="0"/>
              <w:rPr>
                <w:sz w:val="1"/>
                <w:szCs w:val="1"/>
                <w:color w:val="auto"/>
              </w:rPr>
            </w:pPr>
          </w:p>
        </w:tc>
      </w:tr>
      <w:tr>
        <w:trPr>
          <w:trHeight w:val="216"/>
        </w:trPr>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Mitsubishi UFJ Securities (USA), Inc.</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70,000,000</w:t>
            </w: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70,000,000</w:t>
            </w:r>
          </w:p>
        </w:tc>
        <w:tc>
          <w:tcPr>
            <w:tcW w:w="0" w:type="dxa"/>
            <w:vAlign w:val="bottom"/>
          </w:tcPr>
          <w:p>
            <w:pPr>
              <w:spacing w:after="0"/>
              <w:rPr>
                <w:sz w:val="1"/>
                <w:szCs w:val="1"/>
                <w:color w:val="auto"/>
              </w:rPr>
            </w:pPr>
          </w:p>
        </w:tc>
      </w:tr>
      <w:tr>
        <w:trPr>
          <w:trHeight w:val="216"/>
        </w:trPr>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BBVA Securities Inc.</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28,000,000</w:t>
            </w: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28,000,000</w:t>
            </w:r>
          </w:p>
        </w:tc>
        <w:tc>
          <w:tcPr>
            <w:tcW w:w="0" w:type="dxa"/>
            <w:vAlign w:val="bottom"/>
          </w:tcPr>
          <w:p>
            <w:pPr>
              <w:spacing w:after="0"/>
              <w:rPr>
                <w:sz w:val="1"/>
                <w:szCs w:val="1"/>
                <w:color w:val="auto"/>
              </w:rPr>
            </w:pPr>
          </w:p>
        </w:tc>
      </w:tr>
      <w:tr>
        <w:trPr>
          <w:trHeight w:val="216"/>
        </w:trPr>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CIBC World Markets Corp.</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14,000,000</w:t>
            </w: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Fifth Third Securities, Inc.</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14,000,000</w:t>
            </w:r>
          </w:p>
        </w:tc>
        <w:tc>
          <w:tcPr>
            <w:tcW w:w="0" w:type="dxa"/>
            <w:vAlign w:val="bottom"/>
          </w:tcPr>
          <w:p>
            <w:pPr>
              <w:spacing w:after="0"/>
              <w:rPr>
                <w:sz w:val="1"/>
                <w:szCs w:val="1"/>
                <w:color w:val="auto"/>
              </w:rPr>
            </w:pPr>
          </w:p>
        </w:tc>
      </w:tr>
      <w:tr>
        <w:trPr>
          <w:trHeight w:val="216"/>
        </w:trPr>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ING Bank N.V.</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14,000,000</w:t>
            </w: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14,000,000</w:t>
            </w:r>
          </w:p>
        </w:tc>
        <w:tc>
          <w:tcPr>
            <w:tcW w:w="0" w:type="dxa"/>
            <w:vAlign w:val="bottom"/>
          </w:tcPr>
          <w:p>
            <w:pPr>
              <w:spacing w:after="0"/>
              <w:rPr>
                <w:sz w:val="1"/>
                <w:szCs w:val="1"/>
                <w:color w:val="auto"/>
              </w:rPr>
            </w:pPr>
          </w:p>
        </w:tc>
      </w:tr>
      <w:tr>
        <w:trPr>
          <w:trHeight w:val="216"/>
        </w:trPr>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Regions Securities LLC</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14,000,000</w:t>
            </w:r>
          </w:p>
        </w:tc>
        <w:tc>
          <w:tcPr>
            <w:tcW w:w="0" w:type="dxa"/>
            <w:vAlign w:val="bottom"/>
          </w:tcPr>
          <w:p>
            <w:pPr>
              <w:spacing w:after="0"/>
              <w:rPr>
                <w:sz w:val="1"/>
                <w:szCs w:val="1"/>
                <w:color w:val="auto"/>
              </w:rPr>
            </w:pPr>
          </w:p>
        </w:tc>
      </w:tr>
      <w:tr>
        <w:trPr>
          <w:trHeight w:val="223"/>
        </w:trPr>
        <w:tc>
          <w:tcPr>
            <w:tcW w:w="10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700,000,000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several underwriters to purchase the Notes included in this offering are subject to approval of legal matters by counsel and to other conditions. Under the terms of the underwriting agreement, the underwriters are committed to purchase all of the Notes if any are purchased.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Discounts</w:t>
      </w:r>
    </w:p>
    <w:p>
      <w:pPr>
        <w:spacing w:after="0" w:line="7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underwriters propose initially to offer the Notes to the public at the public offering price set forth on the cover page of this prospectus supplement and may offer the Notes to certain dealers at such price less a concession not in excess of 0.50% of the principal amount of the Notes. The underwriters may allow a discount not in excess of 0.30% of the principal amount of the Notes, on sales to certain other brokers and dealers. After this initial public offering, the public offering price, concession and discount may be changed.</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compensation to be paid by us to the underwriters.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2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5"/>
              </w:rPr>
              <w:t>Underwriting</w:t>
            </w:r>
          </w:p>
        </w:tc>
        <w:tc>
          <w:tcPr>
            <w:tcW w:w="0" w:type="dxa"/>
            <w:vAlign w:val="bottom"/>
          </w:tcPr>
          <w:p>
            <w:pPr>
              <w:spacing w:after="0"/>
              <w:rPr>
                <w:sz w:val="1"/>
                <w:szCs w:val="1"/>
                <w:color w:val="auto"/>
              </w:rPr>
            </w:pPr>
          </w:p>
        </w:tc>
      </w:tr>
      <w:tr>
        <w:trPr>
          <w:trHeight w:val="165"/>
        </w:trPr>
        <w:tc>
          <w:tcPr>
            <w:tcW w:w="104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Note</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0.875%</w:t>
            </w:r>
          </w:p>
        </w:tc>
        <w:tc>
          <w:tcPr>
            <w:tcW w:w="0" w:type="dxa"/>
            <w:vAlign w:val="bottom"/>
          </w:tcPr>
          <w:p>
            <w:pPr>
              <w:spacing w:after="0"/>
              <w:rPr>
                <w:sz w:val="1"/>
                <w:szCs w:val="1"/>
                <w:color w:val="auto"/>
              </w:rPr>
            </w:pPr>
          </w:p>
        </w:tc>
      </w:tr>
      <w:tr>
        <w:trPr>
          <w:trHeight w:val="222"/>
        </w:trPr>
        <w:tc>
          <w:tcPr>
            <w:tcW w:w="10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6,125,000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We estimate that our share of the total expenses of the offering, excluding the underwriting discount, will be approximately $1.1 million.</w:t>
            </w: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4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4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S-30</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Issue of Notes</w:t>
      </w:r>
    </w:p>
    <w:p>
      <w:pPr>
        <w:spacing w:after="0" w:line="7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do not currently intend to apply for listing of the Notes on any securities exchange or have the Notes quoted on any automated quotation system. We have been advised by the underwriters that the underwriters intend to make a market in the Notes but are not obligated to do so and may discontinue market making at any time without notice. No assurance can be given as to whether or not a trading market for the Notes will develop or as to the liquidity of any trading market for the Notes which may develop.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Stabilization and Short Positions</w:t>
      </w:r>
    </w:p>
    <w:p>
      <w:pPr>
        <w:spacing w:after="0" w:line="79"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the offering of the Notes, the underwriters may engage in transactions that stabilize, maintain or otherwise affect the price of the Notes. Specifically, the underwriters may overallot in connection with the offering of the Notes, creating a syndicate short position. In addition, the underwriters may bid for, and purchase, Notes in the open market to cover syndicate short positions or to stabilize the price of the Notes.</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 Neither we nor the underwriters make any representation or prediction as to the direction or magnitude of any effect that the transactions described above may have on the price of the Notes. In addition, neither we nor the underwriters make any representation that the underwriters will engage in such transactions or that such transactions, once commenced, will not be discontinued without notice.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79"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We expect delivery of the Notes will be made against payment therefor on or about April 23, 2014, which is the fifth business day following the date of pricing of the Notes (such settlement being referred to as “T+5”). Under Rule 15c6-1 of the Exchange Act, trades in the secondary market generally are required to settle in three business days unless the parties to any such trade expressly agree otherwise. Accordingly, purchasers who wish to trade the Notes on the date of pricing of the Notes or the next succeeding business day will be required, by virtue of the fact that the Notes initially will settle in T+5, to specify an alternate settlement cycle at the time of any such trade to prevent failed settlement and should consult their own advisers.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8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base prospectus have not been approved by an authorised person for the purposes of section 21 of the Financial Services and Markets Act 2000 (“FSMA”) and are, accordingly, only being distributed in the United Kingdom to, and are only directed at (i) investment professionals falling within the description of persons in Article 19(5) of the Financial Services and Markets Act 2000 (Financial Promotion) Order 2005, as amended (the “Financial Promotion Order”); or (ii) high net worth companies and other persons falling within Article 49(2)(a) to (d) of the Financial Promotion Order; or (iii) to any other person to whom they may otherwise lawfully be communicated or made in accordance with the Financial Promotion Order (all such persons together being referred to as “relevant persons”).</w:t>
      </w:r>
    </w:p>
    <w:p>
      <w:pPr>
        <w:spacing w:after="0" w:line="126"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Notes are only available to, and any invitation, offer or agreement to subscribe, purchase or otherwise acquire such notes will be engaged in only with, relevant persons. Any person who is not a relevant person should not act or rely on this document or any of its contents.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An invitation or inducement to engage in investment activity (within the meaning of Section 21 of FSMA) in connection with the issue or sale of any Notes which are the subject of the offering contemplated by this prospectus will only be communicated or caused to be communicated in circumstances in which Section 21(1) of FSMA does not apply to the issuers of the Notes.</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81"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securities described in this prospectus supplement may not be made to the public in that relevant member state other than:</w:t>
      </w:r>
    </w:p>
    <w:p>
      <w:pPr>
        <w:spacing w:after="0" w:line="38" w:lineRule="exact"/>
        <w:rPr>
          <w:sz w:val="20"/>
          <w:szCs w:val="20"/>
          <w:color w:val="auto"/>
        </w:rPr>
      </w:pPr>
    </w:p>
    <w:p>
      <w:pPr>
        <w:ind w:left="660" w:hanging="206"/>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103" w:lineRule="exact"/>
        <w:rPr>
          <w:rFonts w:ascii="Times New Roman" w:cs="Times New Roman" w:eastAsia="Times New Roman" w:hAnsi="Times New Roman"/>
          <w:sz w:val="18"/>
          <w:szCs w:val="18"/>
          <w:color w:val="auto"/>
        </w:rPr>
      </w:pPr>
    </w:p>
    <w:p>
      <w:pPr>
        <w:ind w:left="660" w:hanging="206"/>
        <w:spacing w:after="0" w:line="26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the issuers of the Notes for any such offer; or</w:t>
      </w:r>
    </w:p>
    <w:p>
      <w:pPr>
        <w:spacing w:after="0" w:line="3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 no such offer of securities shall require us or any underwriter to publish a prospectus pursuant to Article 3 of the Prospectus Directive.</w:t>
      </w:r>
    </w:p>
    <w:p>
      <w:pPr>
        <w:spacing w:after="0" w:line="15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The expression “2010 PD Amending Directive” means Directive 2010/73/EU.</w:t>
      </w:r>
    </w:p>
    <w:p>
      <w:pPr>
        <w:spacing w:after="0" w:line="126" w:lineRule="exact"/>
        <w:rPr>
          <w:sz w:val="20"/>
          <w:szCs w:val="20"/>
          <w:color w:val="auto"/>
        </w:rPr>
      </w:pPr>
    </w:p>
    <w:p>
      <w:pPr>
        <w:jc w:val="both"/>
        <w:ind w:right="320" w:firstLine="456"/>
        <w:spacing w:after="0" w:line="262" w:lineRule="auto"/>
        <w:rPr>
          <w:sz w:val="20"/>
          <w:szCs w:val="20"/>
          <w:color w:val="auto"/>
        </w:rPr>
      </w:pPr>
      <w:r>
        <w:rPr>
          <w:rFonts w:ascii="Times New Roman" w:cs="Times New Roman" w:eastAsia="Times New Roman" w:hAnsi="Times New Roman"/>
          <w:sz w:val="18"/>
          <w:szCs w:val="18"/>
          <w:color w:val="auto"/>
        </w:rPr>
        <w:t>We have not authorized and do not authorize the making of any offer of securities through any financial intermediary on their behalf, other than offers made by the underwriters with a view to the final placement of the securities as contemplated in this prospectus supplement. Accordingly, no purchaser of the securities, other than the underwriters, is authorized to make any further offer of the securities on behalf of us or the underwriters.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79"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Affiliates of certain of the underwriters are dealers under our commercial paper program and may hold commercial paper notes thereunder. Accordingly, they may receive a portion of the net proceeds from this offering.</w:t>
      </w:r>
    </w:p>
    <w:p>
      <w:pPr>
        <w:spacing w:after="0" w:line="106"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Each of the underwriters and their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w:t>
      </w:r>
    </w:p>
    <w:p>
      <w:pPr>
        <w:spacing w:after="0" w:line="119" w:lineRule="exact"/>
        <w:rPr>
          <w:sz w:val="20"/>
          <w:szCs w:val="20"/>
          <w:color w:val="auto"/>
        </w:rPr>
      </w:pPr>
    </w:p>
    <w:p>
      <w:pPr>
        <w:jc w:val="both"/>
        <w:ind w:right="460" w:firstLine="456"/>
        <w:spacing w:after="0" w:line="262"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400"/>
          </w:cols>
          <w:pgMar w:left="240" w:top="455" w:right="2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any of the underwriters or their affiliates has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79"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0"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Certain legal matters in connection with the Notes being offered hereby will be passed upon for us by Vinson &amp; Elkins L.L.P., Houston, Texas and for the underwriters by Baker Botts L.L.P., Houston, Texas.</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0"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2013, have been incorporated in reliance on the report of PricewaterhouseCoopers LLP, an independent registered public accounting firm, given on the authority of said firm as experts in auditing and accounting.</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0"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are “incorporating by reference” into this prospectus supplement information we file with the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Exchange Act (excluding any information furnished and not filed pursuant to any Current Report on Form 8-K) until the offering and sale of the Notes contemplated by this prospectus supplement are complete:</w:t>
      </w:r>
    </w:p>
    <w:p>
      <w:pPr>
        <w:spacing w:after="0" w:line="45" w:lineRule="exact"/>
        <w:rPr>
          <w:sz w:val="20"/>
          <w:szCs w:val="20"/>
          <w:color w:val="auto"/>
        </w:rPr>
      </w:pPr>
    </w:p>
    <w:p>
      <w:pPr>
        <w:ind w:left="460"/>
        <w:spacing w:after="0"/>
        <w:tabs>
          <w:tab w:leader="none" w:pos="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Annual Report on Form 10-K for the fiscal year ended December 31, 2013.</w:t>
      </w:r>
    </w:p>
    <w:p>
      <w:pPr>
        <w:spacing w:after="0" w:line="185"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You may request a copy of these filings (other than any exhibits unless specifically incorporated by reference into this prospectus supplement and the accompanying base prospectus) at no cost by making written or telephone requests for copies to:</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Telephone: (713) 646-4100</w:t>
      </w:r>
    </w:p>
    <w:p>
      <w:pPr>
        <w:spacing w:after="0" w:line="145" w:lineRule="exact"/>
        <w:rPr>
          <w:sz w:val="20"/>
          <w:szCs w:val="20"/>
          <w:color w:val="auto"/>
        </w:rPr>
      </w:pPr>
    </w:p>
    <w:p>
      <w:pPr>
        <w:jc w:val="both"/>
        <w:ind w:firstLine="456"/>
        <w:spacing w:after="0" w:line="310" w:lineRule="auto"/>
        <w:rPr>
          <w:sz w:val="20"/>
          <w:szCs w:val="20"/>
          <w:color w:val="auto"/>
        </w:rPr>
      </w:pPr>
      <w:r>
        <w:rPr>
          <w:rFonts w:ascii="Times New Roman" w:cs="Times New Roman" w:eastAsia="Times New Roman" w:hAnsi="Times New Roman"/>
          <w:sz w:val="16"/>
          <w:szCs w:val="16"/>
          <w:color w:val="auto"/>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 website that contains reports, proxy and information statements, and other information regarding us. The SEC’s website address is </w:t>
      </w:r>
      <w:r>
        <w:rPr>
          <w:rFonts w:ascii="Times New Roman" w:cs="Times New Roman" w:eastAsia="Times New Roman" w:hAnsi="Times New Roman"/>
          <w:sz w:val="16"/>
          <w:szCs w:val="16"/>
          <w:i w:val="1"/>
          <w:iCs w:val="1"/>
          <w:color w:val="auto"/>
        </w:rPr>
        <w:t>www.sec.gov</w:t>
      </w:r>
      <w:r>
        <w:rPr>
          <w:rFonts w:ascii="Times New Roman" w:cs="Times New Roman" w:eastAsia="Times New Roman" w:hAnsi="Times New Roman"/>
          <w:sz w:val="16"/>
          <w:szCs w:val="16"/>
          <w:color w:val="auto"/>
        </w:rPr>
        <w:t>.</w:t>
      </w:r>
    </w:p>
    <w:p>
      <w:pPr>
        <w:spacing w:after="0" w:line="84" w:lineRule="exact"/>
        <w:rPr>
          <w:sz w:val="20"/>
          <w:szCs w:val="20"/>
          <w:color w:val="auto"/>
        </w:rPr>
      </w:pPr>
    </w:p>
    <w:p>
      <w:pPr>
        <w:ind w:right="300" w:firstLine="456"/>
        <w:spacing w:after="0" w:line="310" w:lineRule="auto"/>
        <w:rPr>
          <w:sz w:val="20"/>
          <w:szCs w:val="20"/>
          <w:color w:val="auto"/>
        </w:rPr>
      </w:pPr>
      <w:r>
        <w:rPr>
          <w:rFonts w:ascii="Times New Roman" w:cs="Times New Roman" w:eastAsia="Times New Roman" w:hAnsi="Times New Roman"/>
          <w:sz w:val="16"/>
          <w:szCs w:val="16"/>
          <w:color w:val="auto"/>
        </w:rPr>
        <w:t>You should rely only on the information incorporated by reference or provided in this prospectus supplement or the accompanying base prospectus. We have not, and the underwriters have not, authorized anyone else to provide you with any other information. You should not assume that the information incorporated by reference or provided in this prospectus supplement or the accompanying base prospectus is accurate as of any date other than its date.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Plains All American Pipeline, L.P.</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PAA Finance Corp.</w:t>
      </w:r>
    </w:p>
    <w:p>
      <w:pPr>
        <w:spacing w:after="0" w:line="11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Common Units</w:t>
      </w:r>
    </w:p>
    <w:p>
      <w:pPr>
        <w:spacing w:after="0" w:line="7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139065</wp:posOffset>
            </wp:positionV>
            <wp:extent cx="15176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0"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We may offer and sell the common units representing limited partner interests of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13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may offer and sell these securities to or through one or more underwriters, dealers and agents, or directly to purchasers, on a continuous or delayed basis. This prospectus describes the general terms of these common units and debt securities and the general manner in which we will offer the common units and debt securities. The specific terms of any common units and debt securities we offer will be included in a supplement to this prospectus. The prospectus supplement will also describe the specific manner in which we will offer the common units and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9" w:lineRule="exact"/>
        <w:rPr>
          <w:sz w:val="20"/>
          <w:szCs w:val="20"/>
          <w:color w:val="auto"/>
        </w:rPr>
      </w:pPr>
    </w:p>
    <w:p>
      <w:pPr>
        <w:ind w:right="40" w:firstLine="456"/>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Investing in our common units and the debt securities involves risks. Limited partnerships are inherently different from corporations. You should carefully consider the risk factors described under “</w:t>
      </w:r>
      <w:hyperlink w:anchor="page47">
        <w:r>
          <w:rPr>
            <w:rFonts w:ascii="Times New Roman" w:cs="Times New Roman" w:eastAsia="Times New Roman" w:hAnsi="Times New Roman"/>
            <w:sz w:val="18"/>
            <w:szCs w:val="18"/>
            <w:b w:val="1"/>
            <w:bCs w:val="1"/>
            <w:u w:val="single" w:color="auto"/>
            <w:color w:val="0000EE"/>
          </w:rPr>
          <w:t>Risk Factors</w:t>
        </w:r>
      </w:hyperlink>
      <w:r>
        <w:rPr>
          <w:rFonts w:ascii="Times New Roman" w:cs="Times New Roman" w:eastAsia="Times New Roman" w:hAnsi="Times New Roman"/>
          <w:sz w:val="18"/>
          <w:szCs w:val="18"/>
          <w:b w:val="1"/>
          <w:bCs w:val="1"/>
          <w:color w:val="auto"/>
        </w:rPr>
        <w:t>” beginning on page 2 of this prospectus before you make an investment in our securities.</w:t>
      </w:r>
    </w:p>
    <w:p>
      <w:pPr>
        <w:spacing w:after="0" w:line="129"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Our common units are traded on the New York Stock Exchange under the symbol “PAA.” We will provide information in the prospectus supplement for the trading market, if any, for any debt securities we may offer.</w:t>
      </w:r>
    </w:p>
    <w:p>
      <w:pPr>
        <w:spacing w:after="0" w:line="118" w:lineRule="exact"/>
        <w:rPr>
          <w:sz w:val="20"/>
          <w:szCs w:val="20"/>
          <w:color w:val="auto"/>
        </w:rPr>
      </w:pPr>
    </w:p>
    <w:p>
      <w:pPr>
        <w:ind w:right="2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84455</wp:posOffset>
            </wp:positionV>
            <wp:extent cx="15176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date of this prospectus is September 27, 2012.</w:t>
      </w:r>
    </w:p>
    <w:p>
      <w:pPr>
        <w:sectPr>
          <w:pgSz w:w="11900" w:h="16838" w:orient="portrait"/>
          <w:cols w:equalWidth="0" w:num="1">
            <w:col w:w="11380"/>
          </w:cols>
          <w:pgMar w:left="240" w:top="455" w:right="2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0" w:type="dxa"/>
            <w:vAlign w:val="bottom"/>
          </w:tcPr>
          <w:p>
            <w:pPr>
              <w:jc w:val="right"/>
              <w:ind w:right="4572"/>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80"/>
        </w:trPr>
        <w:tc>
          <w:tcPr>
            <w:tcW w:w="4120" w:type="dxa"/>
            <w:vAlign w:val="bottom"/>
            <w:gridSpan w:val="15"/>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About This Prospectus</w:t>
              </w:r>
            </w:hyperlink>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4120" w:type="dxa"/>
            <w:vAlign w:val="bottom"/>
            <w:gridSpan w:val="15"/>
          </w:tcPr>
          <w:p>
            <w:pPr>
              <w:spacing w:after="0" w:line="19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Where You Can Find More Information</w:t>
              </w:r>
            </w:hyperlink>
          </w:p>
        </w:tc>
        <w:tc>
          <w:tcPr>
            <w:tcW w:w="7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20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w:anchor="page44">
              <w:r>
                <w:rPr>
                  <w:rFonts w:ascii="Times New Roman" w:cs="Times New Roman" w:eastAsia="Times New Roman" w:hAnsi="Times New Roman"/>
                  <w:sz w:val="18"/>
                  <w:szCs w:val="18"/>
                  <w:color w:val="0000EE"/>
                  <w:w w:val="97"/>
                </w:rPr>
                <w:t>Forward-Looking Statements</w:t>
              </w:r>
            </w:hyperlink>
          </w:p>
        </w:tc>
        <w:tc>
          <w:tcPr>
            <w:tcW w:w="720" w:type="dxa"/>
            <w:vAlign w:val="bottom"/>
            <w:tcBorders>
              <w:top w:val="single" w:sz="8" w:color="0000EE"/>
            </w:tcBorders>
            <w:gridSpan w:val="3"/>
          </w:tcPr>
          <w:p>
            <w:pPr>
              <w:spacing w:after="0"/>
              <w:rPr>
                <w:sz w:val="17"/>
                <w:szCs w:val="17"/>
                <w:color w:val="auto"/>
              </w:rPr>
            </w:pPr>
          </w:p>
        </w:tc>
        <w:tc>
          <w:tcPr>
            <w:tcW w:w="1320" w:type="dxa"/>
            <w:vAlign w:val="bottom"/>
            <w:gridSpan w:val="3"/>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r>
      <w:tr>
        <w:trPr>
          <w:trHeight w:val="196"/>
        </w:trPr>
        <w:tc>
          <w:tcPr>
            <w:tcW w:w="4120" w:type="dxa"/>
            <w:vAlign w:val="bottom"/>
            <w:gridSpan w:val="15"/>
          </w:tcPr>
          <w:p>
            <w:pPr>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Who We Are</w:t>
              </w:r>
            </w:hyperlink>
          </w:p>
        </w:tc>
        <w:tc>
          <w:tcPr>
            <w:tcW w:w="7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47">
              <w:r>
                <w:rPr>
                  <w:rFonts w:ascii="Times New Roman" w:cs="Times New Roman" w:eastAsia="Times New Roman" w:hAnsi="Times New Roman"/>
                  <w:sz w:val="18"/>
                  <w:szCs w:val="18"/>
                  <w:color w:val="0000EE"/>
                  <w:w w:val="97"/>
                </w:rPr>
                <w:t>Risk Factors</w:t>
              </w:r>
            </w:hyperlink>
          </w:p>
        </w:tc>
        <w:tc>
          <w:tcPr>
            <w:tcW w:w="20" w:type="dxa"/>
            <w:vAlign w:val="bottom"/>
            <w:tcBorders>
              <w:top w:val="single" w:sz="8" w:color="0000EE"/>
            </w:tcBorders>
          </w:tcPr>
          <w:p>
            <w:pPr>
              <w:spacing w:after="0"/>
              <w:rPr>
                <w:sz w:val="17"/>
                <w:szCs w:val="17"/>
                <w:color w:val="auto"/>
              </w:rPr>
            </w:pPr>
          </w:p>
        </w:tc>
        <w:tc>
          <w:tcPr>
            <w:tcW w:w="3200" w:type="dxa"/>
            <w:vAlign w:val="bottom"/>
            <w:gridSpan w:val="12"/>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4120" w:type="dxa"/>
            <w:vAlign w:val="bottom"/>
            <w:gridSpan w:val="15"/>
          </w:tcPr>
          <w:p>
            <w:pPr>
              <w:spacing w:after="0" w:line="196"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Use Of Proceeds</w:t>
              </w:r>
            </w:hyperlink>
          </w:p>
        </w:tc>
        <w:tc>
          <w:tcPr>
            <w:tcW w:w="7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25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6"/>
              </w:rPr>
            </w:pPr>
            <w:hyperlink w:anchor="page49">
              <w:r>
                <w:rPr>
                  <w:rFonts w:ascii="Times New Roman" w:cs="Times New Roman" w:eastAsia="Times New Roman" w:hAnsi="Times New Roman"/>
                  <w:sz w:val="18"/>
                  <w:szCs w:val="18"/>
                  <w:color w:val="0000EE"/>
                  <w:w w:val="96"/>
                </w:rPr>
                <w:t>Ratio Of Earnings To Fixed Charges</w:t>
              </w:r>
            </w:hyperlink>
          </w:p>
        </w:tc>
        <w:tc>
          <w:tcPr>
            <w:tcW w:w="1540" w:type="dxa"/>
            <w:vAlign w:val="bottom"/>
            <w:gridSpan w:val="4"/>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4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w:anchor="page50">
              <w:r>
                <w:rPr>
                  <w:rFonts w:ascii="Times New Roman" w:cs="Times New Roman" w:eastAsia="Times New Roman" w:hAnsi="Times New Roman"/>
                  <w:sz w:val="18"/>
                  <w:szCs w:val="18"/>
                  <w:color w:val="0000EE"/>
                  <w:w w:val="97"/>
                </w:rPr>
                <w:t>Description of Our Debt Securities</w:t>
              </w:r>
            </w:hyperlink>
          </w:p>
        </w:tc>
        <w:tc>
          <w:tcPr>
            <w:tcW w:w="1660" w:type="dxa"/>
            <w:vAlign w:val="bottom"/>
            <w:gridSpan w:val="5"/>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24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w:anchor="page59">
              <w:r>
                <w:rPr>
                  <w:rFonts w:ascii="Times New Roman" w:cs="Times New Roman" w:eastAsia="Times New Roman" w:hAnsi="Times New Roman"/>
                  <w:sz w:val="18"/>
                  <w:szCs w:val="18"/>
                  <w:color w:val="0000EE"/>
                  <w:w w:val="97"/>
                </w:rPr>
                <w:t>Description of Our Common Units</w:t>
              </w:r>
            </w:hyperlink>
          </w:p>
        </w:tc>
        <w:tc>
          <w:tcPr>
            <w:tcW w:w="1660" w:type="dxa"/>
            <w:vAlign w:val="bottom"/>
            <w:gridSpan w:val="5"/>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4120" w:type="dxa"/>
            <w:vAlign w:val="bottom"/>
            <w:gridSpan w:val="15"/>
          </w:tcPr>
          <w:p>
            <w:pPr>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Cash Distribution Policy</w:t>
              </w:r>
            </w:hyperlink>
          </w:p>
        </w:tc>
        <w:tc>
          <w:tcPr>
            <w:tcW w:w="7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4120" w:type="dxa"/>
            <w:vAlign w:val="bottom"/>
            <w:gridSpan w:val="15"/>
          </w:tcPr>
          <w:p>
            <w:pPr>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Description of Our Partnership Agreement</w:t>
              </w:r>
            </w:hyperlink>
          </w:p>
        </w:tc>
        <w:tc>
          <w:tcPr>
            <w:tcW w:w="7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7"/>
              </w:rPr>
            </w:pPr>
            <w:hyperlink w:anchor="page68">
              <w:r>
                <w:rPr>
                  <w:rFonts w:ascii="Times New Roman" w:cs="Times New Roman" w:eastAsia="Times New Roman" w:hAnsi="Times New Roman"/>
                  <w:sz w:val="18"/>
                  <w:szCs w:val="18"/>
                  <w:color w:val="0000EE"/>
                  <w:w w:val="97"/>
                </w:rPr>
                <w:t>Material U.S. Federal Income Tax Consequences</w:t>
              </w:r>
            </w:hyperlink>
          </w:p>
        </w:tc>
        <w:tc>
          <w:tcPr>
            <w:tcW w:w="660" w:type="dxa"/>
            <w:vAlign w:val="bottom"/>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4120" w:type="dxa"/>
            <w:vAlign w:val="bottom"/>
            <w:gridSpan w:val="15"/>
          </w:tcPr>
          <w:p>
            <w:pPr>
              <w:spacing w:after="0" w:line="196"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Plan of Distribution</w:t>
              </w:r>
            </w:hyperlink>
          </w:p>
        </w:tc>
        <w:tc>
          <w:tcPr>
            <w:tcW w:w="7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140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Legal Matters</w:t>
              </w:r>
            </w:hyperlink>
          </w:p>
        </w:tc>
        <w:tc>
          <w:tcPr>
            <w:tcW w:w="2720" w:type="dxa"/>
            <w:vAlign w:val="bottom"/>
            <w:gridSpan w:val="9"/>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98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Experts</w:t>
              </w:r>
            </w:hyperlink>
          </w:p>
        </w:tc>
        <w:tc>
          <w:tcPr>
            <w:tcW w:w="3140" w:type="dxa"/>
            <w:vAlign w:val="bottom"/>
            <w:gridSpan w:val="11"/>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bl>
    <w:p>
      <w:pPr>
        <w:spacing w:after="0" w:line="173" w:lineRule="exact"/>
        <w:rPr>
          <w:sz w:val="20"/>
          <w:szCs w:val="20"/>
          <w:color w:val="auto"/>
        </w:rPr>
      </w:pPr>
    </w:p>
    <w:p>
      <w:pPr>
        <w:ind w:right="4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w:t>
      </w:r>
    </w:p>
    <w:p>
      <w:pPr>
        <w:spacing w:after="0" w:line="127"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This prospectus and any prospectus supplement are not an offer to sell, nor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the document incorporated by reference, regardless of the time of delivery of this prospectus or any sale of a security. Our business, financial condition, results of operations and prospects may have changed since those dates.</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3" w:lineRule="exact"/>
        <w:rPr>
          <w:sz w:val="20"/>
          <w:szCs w:val="20"/>
          <w:color w:val="auto"/>
        </w:rPr>
      </w:pPr>
    </w:p>
    <w:p>
      <w:pPr>
        <w:ind w:right="200" w:firstLine="456"/>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to, update or change information in this prospectus. Before you invest in our securities, you should carefully read this prospectus and any prospectus supplement and the additional information described under the heading “Where You Can Find More Information.” To the extent information in this prospectus is inconsistent with information contained in a prospectus supplement, you should rely on the information in the prospectus supplement. You should read both this prospectus and any prospectus supplement, together with additional information described under the heading “Where You Can Find More Information,” and any additional information you may need to make your investment decision.</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3"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have filed a registration statement with the SEC under the Securities Act of 1933, as amended (the “Securities Act”), that registers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w:t>
      </w:r>
    </w:p>
    <w:p>
      <w:pPr>
        <w:spacing w:after="0" w:line="132"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 xml:space="preserve">In addition, we file annual, quarterly and other reports and other information with the SEC. You may read and copy any document we file at the SEC’s public reference room at 100 F Street, N.E., Washington, D.C. 20549. Please call the SEC at 1-800-732-0330 for further information on the operation of the SEC’s public reference room. Our SEC filings are available on the SEC’s web 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We also make available free of charge on our website, at </w:t>
      </w:r>
      <w:r>
        <w:rPr>
          <w:rFonts w:ascii="Times New Roman" w:cs="Times New Roman" w:eastAsia="Times New Roman" w:hAnsi="Times New Roman"/>
          <w:sz w:val="18"/>
          <w:szCs w:val="18"/>
          <w:i w:val="1"/>
          <w:iCs w:val="1"/>
          <w:color w:val="auto"/>
        </w:rPr>
        <w:t>www.paalp.com</w:t>
      </w:r>
      <w:r>
        <w:rPr>
          <w:rFonts w:ascii="Times New Roman" w:cs="Times New Roman" w:eastAsia="Times New Roman" w:hAnsi="Times New Roman"/>
          <w:sz w:val="18"/>
          <w:szCs w:val="18"/>
          <w:color w:val="auto"/>
        </w:rPr>
        <w:t>, all materials that we file electronically with the SEC, including our Annual Report on Form 10-K, Quarterly Reports on Form 10-Q,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Reports on Form 8-K, Section 16 reports and amendments to these reports as soon as reasonably practicable after such materials are electronically filed with, or furnished to, the SEC.</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our financial condition and results of operations. The information incorporated by reference is an important part of this prospectus. Information that we file later with the SEC will automatically update and may replace information in this prospectus and information previously filed with the SEC. We incorporate by reference the documents listed below and any future filings made by Plains All American Pipeline, L.P. with the SEC under Sections 13(a), 13(c), 14 or 15(d) of the Securities Exchange Act of 1934, as amended (the “Exchange Act”), (excluding any information furnished and not filed with the SEC) until all offerings under this shelf registration statement are completed:</w:t>
      </w:r>
    </w:p>
    <w:p>
      <w:pPr>
        <w:spacing w:after="0" w:line="60" w:lineRule="exact"/>
        <w:rPr>
          <w:sz w:val="20"/>
          <w:szCs w:val="20"/>
          <w:color w:val="auto"/>
        </w:rPr>
      </w:pPr>
    </w:p>
    <w:p>
      <w:pPr>
        <w:ind w:left="440" w:hanging="324"/>
        <w:spacing w:after="0"/>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on Form 10-K for the fiscal year ended December 31, 2011;</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Reports on Form 10-Q for the quarterly periods ended March 31, 2012 and June 30, 2012;</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March 8, 2012 (documentation related to equity offering);</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March 19, 2012 (documentation related to debt offering);</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March 26, 2012 (documentation related to debt offering);</w:t>
      </w:r>
    </w:p>
    <w:p>
      <w:pPr>
        <w:spacing w:after="0" w:line="90" w:lineRule="exact"/>
        <w:rPr>
          <w:rFonts w:ascii="Times New Roman" w:cs="Times New Roman" w:eastAsia="Times New Roman" w:hAnsi="Times New Roman"/>
          <w:sz w:val="18"/>
          <w:szCs w:val="18"/>
          <w:color w:val="auto"/>
        </w:rPr>
      </w:pPr>
    </w:p>
    <w:p>
      <w:pPr>
        <w:ind w:left="440" w:right="500" w:hanging="324"/>
        <w:spacing w:after="0" w:line="275" w:lineRule="auto"/>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April 5, 2012 (completion of acquisition of BP Canada Energy Company; amendment of Limited Partnership Agreement of Plains All American Pipeline, L.P.);</w:t>
      </w:r>
    </w:p>
    <w:p>
      <w:pPr>
        <w:spacing w:after="0" w:line="38"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April 17, 2012 (announcement to withdraw offer to acquire SemGroup Corporation);</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May 9, 2012 (documentation related to equity distribution agreement);</w:t>
      </w:r>
    </w:p>
    <w:p>
      <w:pPr>
        <w:spacing w:after="0" w:line="90" w:lineRule="exact"/>
        <w:rPr>
          <w:rFonts w:ascii="Times New Roman" w:cs="Times New Roman" w:eastAsia="Times New Roman" w:hAnsi="Times New Roman"/>
          <w:sz w:val="18"/>
          <w:szCs w:val="18"/>
          <w:color w:val="auto"/>
        </w:rPr>
      </w:pPr>
    </w:p>
    <w:p>
      <w:pPr>
        <w:ind w:left="440" w:right="160" w:hanging="324"/>
        <w:spacing w:after="0" w:line="275" w:lineRule="auto"/>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May 23, 2012 (amendment and restatement of Limited Partnership Agreement of Plains All American Pipeline, L.P.);</w:t>
      </w:r>
    </w:p>
    <w:p>
      <w:pPr>
        <w:spacing w:after="0" w:line="38" w:lineRule="exact"/>
        <w:rPr>
          <w:rFonts w:ascii="Times New Roman" w:cs="Times New Roman" w:eastAsia="Times New Roman" w:hAnsi="Times New Roman"/>
          <w:sz w:val="18"/>
          <w:szCs w:val="18"/>
          <w:color w:val="auto"/>
        </w:rPr>
      </w:pPr>
    </w:p>
    <w:p>
      <w:pPr>
        <w:ind w:left="440" w:right="400" w:hanging="324"/>
        <w:spacing w:after="0" w:line="275" w:lineRule="auto"/>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8-K/A filed with the SEC on May 29, 2012 (financial statements and unaudited pro forma financial information related to the acquisition of BP Canada Energy Company);</w:t>
      </w:r>
    </w:p>
    <w:p>
      <w:pPr>
        <w:spacing w:after="0" w:line="38" w:lineRule="exact"/>
        <w:rPr>
          <w:rFonts w:ascii="Times New Roman" w:cs="Times New Roman" w:eastAsia="Times New Roman" w:hAnsi="Times New Roman"/>
          <w:sz w:val="18"/>
          <w:szCs w:val="18"/>
          <w:color w:val="auto"/>
        </w:rPr>
      </w:pPr>
    </w:p>
    <w:p>
      <w:pPr>
        <w:ind w:left="440" w:right="660" w:hanging="324"/>
        <w:spacing w:after="0" w:line="275" w:lineRule="auto"/>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July 3, 2012 (amendments to the senior secured hedged inventory facility and senior unsecured revolving credit facility);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40" w:hanging="324"/>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September 13, 2012 (documentation related to equity distribution agreement);</w:t>
      </w:r>
    </w:p>
    <w:p>
      <w:pPr>
        <w:spacing w:after="0" w:line="90" w:lineRule="exact"/>
        <w:rPr>
          <w:rFonts w:ascii="Times New Roman" w:cs="Times New Roman" w:eastAsia="Times New Roman" w:hAnsi="Times New Roman"/>
          <w:sz w:val="18"/>
          <w:szCs w:val="18"/>
          <w:color w:val="auto"/>
        </w:rPr>
      </w:pPr>
    </w:p>
    <w:p>
      <w:pPr>
        <w:ind w:left="440" w:hanging="324"/>
        <w:spacing w:after="0" w:line="275" w:lineRule="auto"/>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September 27, 2012 (unaudited pro forma financial information related to the acquisition of BP Canada Energy Company); and</w:t>
      </w:r>
    </w:p>
    <w:p>
      <w:pPr>
        <w:spacing w:after="0" w:line="38" w:lineRule="exact"/>
        <w:rPr>
          <w:rFonts w:ascii="Times New Roman" w:cs="Times New Roman" w:eastAsia="Times New Roman" w:hAnsi="Times New Roman"/>
          <w:sz w:val="18"/>
          <w:szCs w:val="18"/>
          <w:color w:val="auto"/>
        </w:rPr>
      </w:pPr>
    </w:p>
    <w:p>
      <w:pPr>
        <w:ind w:left="440" w:hanging="324"/>
        <w:spacing w:after="0" w:line="275" w:lineRule="auto"/>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units contained in our Form 8-A/A dated November 3, 1998 and any subsequent amendment thereto filed for the purpose of updating such description.</w:t>
      </w:r>
    </w:p>
    <w:p>
      <w:pPr>
        <w:spacing w:after="0" w:line="120"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You may obtain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document), at no cost, by visiting our internet website at www.paalp.com, or by writing or calling us at the following address:</w:t>
      </w:r>
    </w:p>
    <w:p>
      <w:pPr>
        <w:spacing w:after="0" w:line="97" w:lineRule="exact"/>
        <w:rPr>
          <w:sz w:val="20"/>
          <w:szCs w:val="20"/>
          <w:color w:val="auto"/>
        </w:rPr>
      </w:pPr>
    </w:p>
    <w:p>
      <w:pPr>
        <w:jc w:val="center"/>
        <w:ind w:left="320" w:right="540"/>
        <w:spacing w:after="0" w:line="447" w:lineRule="auto"/>
        <w:rPr>
          <w:sz w:val="20"/>
          <w:szCs w:val="20"/>
          <w:color w:val="auto"/>
        </w:rPr>
      </w:pPr>
      <w:r>
        <w:rPr>
          <w:rFonts w:ascii="Times New Roman" w:cs="Times New Roman" w:eastAsia="Times New Roman" w:hAnsi="Times New Roman"/>
          <w:sz w:val="18"/>
          <w:szCs w:val="18"/>
          <w:color w:val="auto"/>
        </w:rPr>
        <w:t>Plains All American Pipeline, L.P. 333 Clay Street, Suite 1600 Houston, Texas 77002 Attention: Corporate Secretary Telephone: (713) 646-4100 iii</w:t>
      </w:r>
    </w:p>
    <w:p>
      <w:pPr>
        <w:sectPr>
          <w:pgSz w:w="11900" w:h="16838" w:orient="portrait"/>
          <w:cols w:equalWidth="0" w:num="1">
            <w:col w:w="11340"/>
          </w:cols>
          <w:pgMar w:left="240" w:top="455" w:right="31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All statements included or incorporated by reference in this prospectus or the accompanying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These factors include, but are not limited to:</w:t>
      </w:r>
    </w:p>
    <w:p>
      <w:pPr>
        <w:spacing w:after="0" w:line="58" w:lineRule="exact"/>
        <w:rPr>
          <w:sz w:val="20"/>
          <w:szCs w:val="20"/>
          <w:color w:val="auto"/>
        </w:rPr>
      </w:pPr>
    </w:p>
    <w:p>
      <w:pPr>
        <w:ind w:left="900" w:right="60" w:hanging="325"/>
        <w:spacing w:after="0" w:line="275"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planned internal growth projects;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market structure, grade differentials and volatility (or lack thereof);</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credit rating and ability to receive open credit from our suppliers and trade counterparties;</w:t>
      </w:r>
    </w:p>
    <w:p>
      <w:pPr>
        <w:spacing w:after="0" w:line="90" w:lineRule="exact"/>
        <w:rPr>
          <w:rFonts w:ascii="Times New Roman" w:cs="Times New Roman" w:eastAsia="Times New Roman" w:hAnsi="Times New Roman"/>
          <w:sz w:val="18"/>
          <w:szCs w:val="18"/>
          <w:color w:val="auto"/>
        </w:rPr>
      </w:pPr>
    </w:p>
    <w:p>
      <w:pPr>
        <w:ind w:left="900" w:right="420" w:hanging="325"/>
        <w:spacing w:after="0" w:line="275"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creditworthiness of, and performance by, our counterparties, including financial institutions and trading companies with which we do business;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or events that are not covered by an indemnity, insurance or existing reserves;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abrupt or severe declines or interruptions in outer continental shelf production located offshore California and transported on our pipeline systems;</w:t>
      </w:r>
    </w:p>
    <w:p>
      <w:pPr>
        <w:spacing w:after="0" w:line="113"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90" w:lineRule="exact"/>
        <w:rPr>
          <w:rFonts w:ascii="Times New Roman" w:cs="Times New Roman" w:eastAsia="Times New Roman" w:hAnsi="Times New Roman"/>
          <w:sz w:val="18"/>
          <w:szCs w:val="18"/>
          <w:color w:val="auto"/>
        </w:rPr>
      </w:pPr>
    </w:p>
    <w:p>
      <w:pPr>
        <w:ind w:left="900" w:right="220" w:hanging="325"/>
        <w:spacing w:after="0" w:line="26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spacing w:after="0" w:line="51" w:lineRule="exact"/>
        <w:rPr>
          <w:rFonts w:ascii="Times New Roman" w:cs="Times New Roman" w:eastAsia="Times New Roman" w:hAnsi="Times New Roman"/>
          <w:sz w:val="18"/>
          <w:szCs w:val="18"/>
          <w:color w:val="auto"/>
        </w:rPr>
      </w:pPr>
    </w:p>
    <w:p>
      <w:pPr>
        <w:ind w:left="900" w:right="600" w:hanging="325"/>
        <w:spacing w:after="0" w:line="275"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acquisition or combination opportunities;</w:t>
      </w:r>
    </w:p>
    <w:p>
      <w:pPr>
        <w:spacing w:after="0" w:line="90" w:lineRule="exact"/>
        <w:rPr>
          <w:rFonts w:ascii="Times New Roman" w:cs="Times New Roman" w:eastAsia="Times New Roman" w:hAnsi="Times New Roman"/>
          <w:sz w:val="18"/>
          <w:szCs w:val="18"/>
          <w:color w:val="auto"/>
        </w:rPr>
      </w:pPr>
    </w:p>
    <w:p>
      <w:pPr>
        <w:ind w:left="900" w:right="180" w:hanging="325"/>
        <w:spacing w:after="0" w:line="275"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governmental regulations, accounting standards and statements, and related interpretations;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service on third-party pipelines;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natural gas storage facilities;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demand for natural gas and natural gas storage services and rates;</w:t>
      </w:r>
    </w:p>
    <w:p>
      <w:pPr>
        <w:spacing w:after="0" w:line="90" w:lineRule="exact"/>
        <w:rPr>
          <w:rFonts w:ascii="Times New Roman" w:cs="Times New Roman" w:eastAsia="Times New Roman" w:hAnsi="Times New Roman"/>
          <w:sz w:val="18"/>
          <w:szCs w:val="18"/>
          <w:color w:val="auto"/>
        </w:rPr>
      </w:pPr>
    </w:p>
    <w:p>
      <w:pPr>
        <w:ind w:left="900" w:right="240" w:hanging="325"/>
        <w:spacing w:after="0" w:line="275"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and the amplification of other risks caused by volatile financial markets, capital constraints and pervasive liquidity concerns; and</w:t>
      </w:r>
    </w:p>
    <w:p>
      <w:pPr>
        <w:spacing w:after="0" w:line="38" w:lineRule="exact"/>
        <w:rPr>
          <w:rFonts w:ascii="Times New Roman" w:cs="Times New Roman" w:eastAsia="Times New Roman" w:hAnsi="Times New Roman"/>
          <w:sz w:val="18"/>
          <w:szCs w:val="18"/>
          <w:color w:val="auto"/>
        </w:rPr>
      </w:pPr>
    </w:p>
    <w:p>
      <w:pPr>
        <w:ind w:left="900" w:right="60" w:hanging="325"/>
        <w:spacing w:after="0" w:line="275"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2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Other factors described herein or incorporated by reference, as well as factors that are unknown or unpredictable, could also have a material adverse effect on future results. Please read “Risk Factors” beginning on page 2 of this prospectus and in Item 1A. “Risk Factors” in our Annual Report on Form 10-K for the fiscal year ended December 31, 2011 (File No. 001-14569). Except as required by applicable securities laws, we do not intend to update these forward-looking statements and information.</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300"/>
          </w:cols>
          <w:pgMar w:left="240" w:top="455" w:right="3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7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are a Delaware limited partnership formed in 1998. Our operations are conducted directly and indirectly through our primary operating subsidiaries. 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also commonly referred to as liquefied petroleum gas. Through our general partner interest and majority equity ownership position in PAA Natural Gas Storage, L.P., we also own and operate natural gas storage facilities.</w:t>
      </w:r>
    </w:p>
    <w:p>
      <w:pPr>
        <w:spacing w:after="0" w:line="139" w:lineRule="exact"/>
        <w:rPr>
          <w:sz w:val="20"/>
          <w:szCs w:val="20"/>
          <w:color w:val="auto"/>
        </w:rPr>
      </w:pPr>
    </w:p>
    <w:p>
      <w:pPr>
        <w:jc w:val="both"/>
        <w:ind w:right="180" w:firstLine="456"/>
        <w:spacing w:after="0" w:line="262" w:lineRule="auto"/>
        <w:rPr>
          <w:sz w:val="20"/>
          <w:szCs w:val="20"/>
          <w:color w:val="auto"/>
        </w:rPr>
      </w:pPr>
      <w:r>
        <w:rPr>
          <w:rFonts w:ascii="Times New Roman" w:cs="Times New Roman" w:eastAsia="Times New Roman" w:hAnsi="Times New Roman"/>
          <w:sz w:val="18"/>
          <w:szCs w:val="18"/>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13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For purposes of this prospectus, unless the context clearly indicates otherwise, “we,” “us,” “our” and the “Partnership” refer to Plains All American Pipeline, L.P. and its subsidiaries. References to our “general partner,” as the context requires, include any or all of PAA GP LLC, Plains AAP, L.P. and Plains All American GP LLC.</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executive offices are located at 333 Clay Street, Suite 1600, Houston, Texas 77002 and our telephone number is (713) 646-4100.</w:t>
      </w:r>
    </w:p>
    <w:p>
      <w:pPr>
        <w:spacing w:after="0" w:line="171" w:lineRule="exact"/>
        <w:rPr>
          <w:sz w:val="20"/>
          <w:szCs w:val="20"/>
          <w:color w:val="auto"/>
        </w:rPr>
      </w:pPr>
    </w:p>
    <w:p>
      <w:pPr>
        <w:ind w:right="660" w:firstLine="456"/>
        <w:spacing w:after="0" w:line="275" w:lineRule="auto"/>
        <w:rPr>
          <w:sz w:val="20"/>
          <w:szCs w:val="20"/>
          <w:color w:val="auto"/>
        </w:rPr>
      </w:pPr>
      <w:r>
        <w:rPr>
          <w:rFonts w:ascii="Times New Roman" w:cs="Times New Roman" w:eastAsia="Times New Roman" w:hAnsi="Times New Roman"/>
          <w:sz w:val="18"/>
          <w:szCs w:val="18"/>
          <w:color w:val="auto"/>
        </w:rPr>
        <w:t>For additional information as to our business, properties and financial condition please refer to the documents cited in “Where You Can Find More Information.”</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You should carefully consider the risk factors and all of the other information included in, or incorporated by reference into, this prospectus, including those in Item 1A. “Risk Factors” in our Annual Report on Form 10-K for the fiscal year ended December 31, 2011, in evaluating an investment in our securities. If any of these risks were to occur, our business, financial condition or results of operations could be adversely affected. In that case, the trading price of our common units or value of our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60"/>
          </w:cols>
          <w:pgMar w:left="240" w:top="455" w:right="29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3"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Unless otherwise indicated to the contrary in an accompanying prospectus supplement, we will use the net proceeds from the sale of securities covered by this prospectus for general partnership purposes, which may include repayment of indebtedness, acquisitions, capital expenditures and additions to working capital.</w:t>
      </w:r>
    </w:p>
    <w:p>
      <w:pPr>
        <w:spacing w:after="0" w:line="132"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Any specific allocation of the net proceeds of an offering of securities to a specific purpose will be determined at the time of the offering and will be described in a prospectus supplement.</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80"/>
          </w:cols>
          <w:pgMar w:left="240" w:top="455" w:right="3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p>
      <w:pPr>
        <w:spacing w:after="0" w:line="173"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Six</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70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Months</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0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70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0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2012</w:t>
            </w:r>
          </w:p>
        </w:tc>
        <w:tc>
          <w:tcPr>
            <w:tcW w:w="300" w:type="dxa"/>
            <w:vAlign w:val="bottom"/>
          </w:tcPr>
          <w:p>
            <w:pPr>
              <w:spacing w:after="0"/>
              <w:rPr>
                <w:sz w:val="12"/>
                <w:szCs w:val="12"/>
                <w:color w:val="auto"/>
              </w:rPr>
            </w:pPr>
          </w:p>
        </w:tc>
        <w:tc>
          <w:tcPr>
            <w:tcW w:w="460" w:type="dxa"/>
            <w:vAlign w:val="bottom"/>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780" w:type="dxa"/>
            <w:vAlign w:val="bottom"/>
            <w:gridSpan w:val="2"/>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7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780" w:type="dxa"/>
            <w:vAlign w:val="bottom"/>
            <w:gridSpan w:val="2"/>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7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Pr>
          <w:p>
            <w:pPr>
              <w:spacing w:after="0"/>
              <w:rPr>
                <w:sz w:val="12"/>
                <w:szCs w:val="12"/>
                <w:color w:val="auto"/>
              </w:rPr>
            </w:pPr>
          </w:p>
        </w:tc>
      </w:t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Charges(1)</w:t>
            </w:r>
          </w:p>
        </w:tc>
        <w:tc>
          <w:tcPr>
            <w:tcW w:w="48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3"/>
              </w:rPr>
              <w:t>4.47x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3.00x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2.45x</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8" w:lineRule="exact"/>
        <w:rPr>
          <w:sz w:val="20"/>
          <w:szCs w:val="20"/>
          <w:color w:val="auto"/>
        </w:rPr>
      </w:pPr>
    </w:p>
    <w:p>
      <w:pPr>
        <w:ind w:left="460" w:right="20" w:hanging="452"/>
        <w:spacing w:after="0" w:line="275" w:lineRule="auto"/>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costs attributable to borrowings for hedged inventory purchases of $6 million for the six months ended June 30, 2012 and $20 million, $17 million, $11 million, $21 million and $44 million for the years ended December 31, 2011, 2010, 2009, 2008 and 2007, respectively.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OUR DEBT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debt securities will be:</w:t>
      </w:r>
    </w:p>
    <w:p>
      <w:pPr>
        <w:spacing w:after="0" w:line="90" w:lineRule="exact"/>
        <w:rPr>
          <w:sz w:val="20"/>
          <w:szCs w:val="20"/>
          <w:color w:val="auto"/>
        </w:rPr>
      </w:pPr>
    </w:p>
    <w:p>
      <w:pPr>
        <w:ind w:left="440" w:hanging="324"/>
        <w:spacing w:after="0"/>
        <w:tabs>
          <w:tab w:leader="none" w:pos="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general obligations;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senior debt securities or subordinated debt securities; and</w:t>
      </w:r>
    </w:p>
    <w:p>
      <w:pPr>
        <w:spacing w:after="0" w:line="90" w:lineRule="exact"/>
        <w:rPr>
          <w:rFonts w:ascii="Times New Roman" w:cs="Times New Roman" w:eastAsia="Times New Roman" w:hAnsi="Times New Roman"/>
          <w:sz w:val="18"/>
          <w:szCs w:val="18"/>
          <w:color w:val="auto"/>
        </w:rPr>
      </w:pPr>
    </w:p>
    <w:p>
      <w:pPr>
        <w:ind w:left="440" w:right="780" w:hanging="324"/>
        <w:spacing w:after="0" w:line="275" w:lineRule="auto"/>
        <w:tabs>
          <w:tab w:leader="none" w:pos="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under separate indentures (which may be existing indentures) among Plains All American Pipeline, PAA Finance and U.S. Bank National Association, as successor Trustee.</w:t>
      </w:r>
    </w:p>
    <w:p>
      <w:pPr>
        <w:spacing w:after="0" w:line="120"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 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3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Specific Terms of Each Series of Debt Securities in the Prospectus Supplement</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39" w:lineRule="exact"/>
        <w:rPr>
          <w:sz w:val="20"/>
          <w:szCs w:val="20"/>
          <w:color w:val="auto"/>
        </w:rPr>
      </w:pPr>
    </w:p>
    <w:p>
      <w:pPr>
        <w:ind w:left="440" w:hanging="324"/>
        <w:spacing w:after="0"/>
        <w:tabs>
          <w:tab w:leader="none" w:pos="4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PAA Finance will be a co-issuer of the debt securities;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senior or subordinated debt securities;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debt securities;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if any, that are pledged as security for the payment of the debt securities;</w:t>
      </w:r>
    </w:p>
    <w:p>
      <w:pPr>
        <w:spacing w:after="0" w:line="90" w:lineRule="exact"/>
        <w:rPr>
          <w:rFonts w:ascii="Times New Roman" w:cs="Times New Roman" w:eastAsia="Times New Roman" w:hAnsi="Times New Roman"/>
          <w:sz w:val="18"/>
          <w:szCs w:val="18"/>
          <w:color w:val="auto"/>
        </w:rPr>
      </w:pPr>
    </w:p>
    <w:p>
      <w:pPr>
        <w:ind w:left="440" w:right="540" w:hanging="324"/>
        <w:spacing w:after="0" w:line="275" w:lineRule="auto"/>
        <w:tabs>
          <w:tab w:leader="none" w:pos="4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38"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will issue the debt securities;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that will be payable if the maturity of the debt securities is accelerated;</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 in which the debt securities will be payable, if not U.S. dollars;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principal of the debt securities will be payable;</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that the debt securities will bear and the interest payment dates for the debt securities;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or exchange provisions;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optional redemption provisions;</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455" w:right="27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40" w:hanging="324"/>
        <w:spacing w:after="0"/>
        <w:tabs>
          <w:tab w:leader="none" w:pos="4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or other provisions that would obligate us to repurchase or otherwise redeem the debt securities;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or additional events of default or covenants; and</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w:t>
      </w:r>
    </w:p>
    <w:p>
      <w:pPr>
        <w:spacing w:after="0" w:line="17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Possible Future Guarantees</w:t>
      </w:r>
    </w:p>
    <w:p>
      <w:pPr>
        <w:spacing w:after="0" w:line="92"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13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139" w:lineRule="exact"/>
        <w:rPr>
          <w:sz w:val="20"/>
          <w:szCs w:val="20"/>
          <w:color w:val="auto"/>
        </w:rPr>
      </w:pPr>
    </w:p>
    <w:p>
      <w:pPr>
        <w:ind w:right="80" w:firstLine="456"/>
        <w:spacing w:after="0" w:line="339" w:lineRule="auto"/>
        <w:rPr>
          <w:sz w:val="20"/>
          <w:szCs w:val="20"/>
          <w:color w:val="auto"/>
        </w:rPr>
      </w:pPr>
      <w:r>
        <w:rPr>
          <w:rFonts w:ascii="Times New Roman" w:cs="Times New Roman" w:eastAsia="Times New Roman" w:hAnsi="Times New Roman"/>
          <w:sz w:val="16"/>
          <w:szCs w:val="16"/>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Asset Sale</w:t>
      </w:r>
    </w:p>
    <w:p>
      <w:pPr>
        <w:spacing w:after="0" w:line="9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36"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39" w:lineRule="exact"/>
        <w:rPr>
          <w:sz w:val="20"/>
          <w:szCs w:val="20"/>
          <w:color w:val="auto"/>
        </w:rPr>
      </w:pPr>
    </w:p>
    <w:p>
      <w:pPr>
        <w:ind w:left="440" w:right="200" w:hanging="324"/>
        <w:spacing w:after="0" w:line="262" w:lineRule="auto"/>
        <w:tabs>
          <w:tab w:leader="none" w:pos="4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51"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or acquiring entity must assume the issuer’s obligations under the indenture; and</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after giving effect to the transaction, no Default or Event of Default (as defined under “— Events of Default and Remedies” below) may exist.</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92" w:lineRule="exact"/>
        <w:rPr>
          <w:sz w:val="20"/>
          <w:szCs w:val="20"/>
          <w:color w:val="auto"/>
        </w:rPr>
      </w:pPr>
    </w:p>
    <w:p>
      <w:pPr>
        <w:ind w:right="80" w:firstLine="456"/>
        <w:spacing w:after="0" w:line="339" w:lineRule="auto"/>
        <w:rPr>
          <w:sz w:val="20"/>
          <w:szCs w:val="20"/>
          <w:color w:val="auto"/>
        </w:rPr>
      </w:pPr>
      <w:r>
        <w:rPr>
          <w:rFonts w:ascii="Times New Roman" w:cs="Times New Roman" w:eastAsia="Times New Roman" w:hAnsi="Times New Roman"/>
          <w:sz w:val="16"/>
          <w:szCs w:val="16"/>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Indentures</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58" w:lineRule="exact"/>
        <w:rPr>
          <w:sz w:val="20"/>
          <w:szCs w:val="20"/>
          <w:color w:val="auto"/>
        </w:rPr>
      </w:pPr>
    </w:p>
    <w:p>
      <w:pPr>
        <w:ind w:left="440" w:hanging="324"/>
        <w:spacing w:after="0"/>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debt securities whose holders must consent to an amendment, supplement or waiver;</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fixed maturity of any debt security;</w:t>
      </w:r>
    </w:p>
    <w:p>
      <w:pPr>
        <w:spacing w:after="0" w:line="90" w:lineRule="exact"/>
        <w:rPr>
          <w:rFonts w:ascii="Times New Roman" w:cs="Times New Roman" w:eastAsia="Times New Roman" w:hAnsi="Times New Roman"/>
          <w:sz w:val="18"/>
          <w:szCs w:val="18"/>
          <w:color w:val="auto"/>
        </w:rPr>
      </w:pPr>
    </w:p>
    <w:p>
      <w:pPr>
        <w:ind w:left="440" w:right="40" w:hanging="324"/>
        <w:spacing w:after="0" w:line="275" w:lineRule="auto"/>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38"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any debt security;</w:t>
      </w:r>
    </w:p>
    <w:p>
      <w:pPr>
        <w:spacing w:after="0" w:line="90" w:lineRule="exact"/>
        <w:rPr>
          <w:rFonts w:ascii="Times New Roman" w:cs="Times New Roman" w:eastAsia="Times New Roman" w:hAnsi="Times New Roman"/>
          <w:sz w:val="18"/>
          <w:szCs w:val="18"/>
          <w:color w:val="auto"/>
        </w:rPr>
      </w:pPr>
    </w:p>
    <w:p>
      <w:pPr>
        <w:ind w:left="440" w:right="380" w:hanging="324"/>
        <w:spacing w:after="0" w:line="262" w:lineRule="auto"/>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51"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under the indenture, release any security that may have been granted with respect to the debt securities;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debt security payable in currency other than that stated in the debt securities;</w:t>
      </w:r>
    </w:p>
    <w:p>
      <w:pPr>
        <w:spacing w:after="0" w:line="90" w:lineRule="exact"/>
        <w:rPr>
          <w:rFonts w:ascii="Times New Roman" w:cs="Times New Roman" w:eastAsia="Times New Roman" w:hAnsi="Times New Roman"/>
          <w:sz w:val="18"/>
          <w:szCs w:val="18"/>
          <w:color w:val="auto"/>
        </w:rPr>
      </w:pPr>
    </w:p>
    <w:p>
      <w:pPr>
        <w:ind w:left="440" w:right="220" w:hanging="324"/>
        <w:spacing w:after="0" w:line="275" w:lineRule="auto"/>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subordinated debt security, make any change in the subordination provisions that adversely affects the rights of any holder under those provisions;</w:t>
      </w:r>
    </w:p>
    <w:p>
      <w:pPr>
        <w:spacing w:after="0" w:line="38" w:lineRule="exact"/>
        <w:rPr>
          <w:rFonts w:ascii="Times New Roman" w:cs="Times New Roman" w:eastAsia="Times New Roman" w:hAnsi="Times New Roman"/>
          <w:sz w:val="18"/>
          <w:szCs w:val="18"/>
          <w:color w:val="auto"/>
        </w:rPr>
      </w:pPr>
    </w:p>
    <w:p>
      <w:pPr>
        <w:ind w:left="440" w:right="320" w:hanging="324"/>
        <w:spacing w:after="0" w:line="275" w:lineRule="auto"/>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38"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 (except as may be permitted in the case of a particular series of debt securities);</w:t>
      </w:r>
    </w:p>
    <w:p>
      <w:pPr>
        <w:spacing w:after="0" w:line="90" w:lineRule="exact"/>
        <w:rPr>
          <w:rFonts w:ascii="Times New Roman" w:cs="Times New Roman" w:eastAsia="Times New Roman" w:hAnsi="Times New Roman"/>
          <w:sz w:val="18"/>
          <w:szCs w:val="18"/>
          <w:color w:val="auto"/>
        </w:rPr>
      </w:pPr>
    </w:p>
    <w:p>
      <w:pPr>
        <w:ind w:left="440" w:right="220" w:hanging="324"/>
        <w:spacing w:after="0" w:line="275" w:lineRule="auto"/>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38"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preceding amendment, supplement and waiver provisions (except to increase any percentage set forth therein).</w:t>
      </w: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455" w:right="27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may supplement or amend an indenture without the consent of any holders of the debt securities in certain circumstances, including:</w:t>
      </w:r>
    </w:p>
    <w:p>
      <w:pPr>
        <w:spacing w:after="0" w:line="90" w:lineRule="exact"/>
        <w:rPr>
          <w:sz w:val="20"/>
          <w:szCs w:val="20"/>
          <w:color w:val="auto"/>
        </w:rPr>
      </w:pPr>
    </w:p>
    <w:p>
      <w:pPr>
        <w:ind w:left="440" w:hanging="324"/>
        <w:spacing w:after="0"/>
        <w:tabs>
          <w:tab w:leader="none" w:pos="4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of terms of any series of debt securities;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certified notes;</w:t>
      </w:r>
    </w:p>
    <w:p>
      <w:pPr>
        <w:spacing w:after="0" w:line="90" w:lineRule="exact"/>
        <w:rPr>
          <w:rFonts w:ascii="Times New Roman" w:cs="Times New Roman" w:eastAsia="Times New Roman" w:hAnsi="Times New Roman"/>
          <w:sz w:val="18"/>
          <w:szCs w:val="18"/>
          <w:color w:val="auto"/>
        </w:rPr>
      </w:pPr>
    </w:p>
    <w:p>
      <w:pPr>
        <w:ind w:left="440" w:right="720" w:hanging="324"/>
        <w:spacing w:after="0" w:line="275" w:lineRule="auto"/>
        <w:tabs>
          <w:tab w:leader="none" w:pos="4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an issuer’s or any guarantor’s obligations to holders of debt securities in the case of a merger or consolidation or disposition of all or substantially all of such issuer’s or guarantor’s assets;</w:t>
      </w:r>
    </w:p>
    <w:p>
      <w:pPr>
        <w:spacing w:after="0" w:line="38" w:lineRule="exact"/>
        <w:rPr>
          <w:rFonts w:ascii="Times New Roman" w:cs="Times New Roman" w:eastAsia="Times New Roman" w:hAnsi="Times New Roman"/>
          <w:sz w:val="18"/>
          <w:szCs w:val="18"/>
          <w:color w:val="auto"/>
        </w:rPr>
      </w:pPr>
    </w:p>
    <w:p>
      <w:pPr>
        <w:ind w:left="440" w:right="260" w:hanging="324"/>
        <w:spacing w:after="0" w:line="275" w:lineRule="auto"/>
        <w:tabs>
          <w:tab w:leader="none" w:pos="4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38"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release any guarantors pursuant to the terms of the indenture;</w:t>
      </w:r>
    </w:p>
    <w:p>
      <w:pPr>
        <w:spacing w:after="0" w:line="90" w:lineRule="exact"/>
        <w:rPr>
          <w:rFonts w:ascii="Times New Roman" w:cs="Times New Roman" w:eastAsia="Times New Roman" w:hAnsi="Times New Roman"/>
          <w:sz w:val="18"/>
          <w:szCs w:val="18"/>
          <w:color w:val="auto"/>
        </w:rPr>
      </w:pPr>
    </w:p>
    <w:p>
      <w:pPr>
        <w:ind w:left="440" w:right="100" w:hanging="324"/>
        <w:spacing w:after="0" w:line="275" w:lineRule="auto"/>
        <w:tabs>
          <w:tab w:leader="none" w:pos="4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38"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or provide for the acceptance of appointment under the indenture of a successor Trustee;</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or</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debt securities and/or any guarantees.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and Remedies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“Event of Default,” when used in an indenture, will mean any of the following with respect to the debt securities of any series:</w:t>
      </w:r>
    </w:p>
    <w:p>
      <w:pPr>
        <w:spacing w:after="0" w:line="90" w:lineRule="exact"/>
        <w:rPr>
          <w:sz w:val="20"/>
          <w:szCs w:val="20"/>
          <w:color w:val="auto"/>
        </w:rPr>
      </w:pPr>
    </w:p>
    <w:p>
      <w:pPr>
        <w:ind w:left="440" w:hanging="324"/>
        <w:spacing w:after="0"/>
        <w:tabs>
          <w:tab w:leader="none" w:pos="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when due the principal of or any premium on any debt security of that series;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within 60 days of the due date, interest on any debt security of that series;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when due any sinking fund payment with respect to any debt securities of that series;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on the part of the issuers to comply with the covenant described under “— Consolidation, Merger or Asset Sale;”</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any other covenant in the indenture that continues for 30 days after written notice is given to the issuers;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of an issuer; or</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under the terms of the debt securities of that series.</w:t>
      </w:r>
    </w:p>
    <w:p>
      <w:pPr>
        <w:spacing w:after="0" w:line="17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13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40"/>
          </w:cols>
          <w:pgMar w:left="240" w:top="455" w:right="31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Limit on Amount of Debt Securities</w:t>
      </w:r>
    </w:p>
    <w:p>
      <w:pPr>
        <w:spacing w:after="0" w:line="92"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of Notes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issue debt securities of a series only in registered form, without coupons, unless otherwise indicated in the prospectus supplement.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Minimum Denominations</w:t>
      </w:r>
    </w:p>
    <w:p>
      <w:pPr>
        <w:spacing w:after="0" w:line="92"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Unless the prospectus supplement states otherwise, the debt securities will be issued only in principal amounts of $1,000 each or integral multiples of $1,000.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Transfer</w:t>
      </w:r>
    </w:p>
    <w:p>
      <w:pPr>
        <w:spacing w:after="0" w:line="92"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20"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w:t>
      </w:r>
    </w:p>
    <w:p>
      <w:pPr>
        <w:spacing w:after="0" w:line="13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Registration and Transfer</w:t>
      </w:r>
    </w:p>
    <w:p>
      <w:pPr>
        <w:spacing w:after="0" w:line="92"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60"/>
          </w:cols>
          <w:pgMar w:left="240" w:top="455" w:right="29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not be required to:</w:t>
      </w:r>
    </w:p>
    <w:p>
      <w:pPr>
        <w:spacing w:after="0" w:line="90" w:lineRule="exact"/>
        <w:rPr>
          <w:sz w:val="20"/>
          <w:szCs w:val="20"/>
          <w:color w:val="auto"/>
        </w:rPr>
      </w:pPr>
    </w:p>
    <w:p>
      <w:pPr>
        <w:ind w:left="440" w:right="360" w:hanging="324"/>
        <w:spacing w:after="0" w:line="262" w:lineRule="auto"/>
        <w:tabs>
          <w:tab w:leader="none" w:pos="4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51" w:lineRule="exact"/>
        <w:rPr>
          <w:rFonts w:ascii="Times New Roman" w:cs="Times New Roman" w:eastAsia="Times New Roman" w:hAnsi="Times New Roman"/>
          <w:sz w:val="18"/>
          <w:szCs w:val="18"/>
          <w:color w:val="auto"/>
        </w:rPr>
      </w:pPr>
    </w:p>
    <w:p>
      <w:pPr>
        <w:ind w:left="440" w:right="480" w:hanging="324"/>
        <w:spacing w:after="0" w:line="275" w:lineRule="auto"/>
        <w:tabs>
          <w:tab w:leader="none" w:pos="4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security called for redemption or repurchase, except the unredeemed portion of any debt security we are redeeming or repurchasing in part.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Relating only to the Senior Debt Securities</w:t>
      </w:r>
    </w:p>
    <w:p>
      <w:pPr>
        <w:spacing w:after="0" w:line="92"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Relating only to the Subordinated Debt Securities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Subordinated Debt Securities Subordinated to Senior Indebtedness</w:t>
      </w:r>
    </w:p>
    <w:p>
      <w:pPr>
        <w:spacing w:after="0" w:line="94"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Blockages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subordinated indenture will provide that no payment of principal, interest and any premium on the subordinated debt securities may be made in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w:t>
      </w:r>
    </w:p>
    <w:p>
      <w:pPr>
        <w:spacing w:after="0" w:line="78" w:lineRule="exact"/>
        <w:rPr>
          <w:sz w:val="20"/>
          <w:szCs w:val="20"/>
          <w:color w:val="auto"/>
        </w:rPr>
      </w:pPr>
    </w:p>
    <w:p>
      <w:pPr>
        <w:ind w:left="440" w:hanging="324"/>
        <w:spacing w:after="0"/>
        <w:tabs>
          <w:tab w:leader="none" w:pos="4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property is involved in any voluntary or involuntary liquidation or bankruptcy;</w:t>
      </w:r>
    </w:p>
    <w:p>
      <w:pPr>
        <w:spacing w:after="0" w:line="90" w:lineRule="exact"/>
        <w:rPr>
          <w:rFonts w:ascii="Times New Roman" w:cs="Times New Roman" w:eastAsia="Times New Roman" w:hAnsi="Times New Roman"/>
          <w:sz w:val="18"/>
          <w:szCs w:val="18"/>
          <w:color w:val="auto"/>
        </w:rPr>
      </w:pPr>
    </w:p>
    <w:p>
      <w:pPr>
        <w:ind w:left="440" w:right="60" w:hanging="324"/>
        <w:spacing w:after="0" w:line="262" w:lineRule="auto"/>
        <w:tabs>
          <w:tab w:leader="none" w:pos="4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51" w:lineRule="exact"/>
        <w:rPr>
          <w:rFonts w:ascii="Times New Roman" w:cs="Times New Roman" w:eastAsia="Times New Roman" w:hAnsi="Times New Roman"/>
          <w:sz w:val="18"/>
          <w:szCs w:val="18"/>
          <w:color w:val="auto"/>
        </w:rPr>
      </w:pPr>
    </w:p>
    <w:p>
      <w:pPr>
        <w:ind w:left="440" w:right="220" w:hanging="324"/>
        <w:spacing w:after="0" w:line="275" w:lineRule="auto"/>
        <w:tabs>
          <w:tab w:leader="none" w:pos="4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Limitation on Amount of Senior Debt</w:t>
      </w:r>
    </w:p>
    <w:p>
      <w:pPr>
        <w:spacing w:after="0" w:line="9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subordinated indenture will not limit the amount of Senior Indebtedness that Plains All American Pipeline may incur, unless otherwise indicated in the prospectus supplement.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 Entry, Delivery and Form</w:t>
      </w:r>
    </w:p>
    <w:p>
      <w:pPr>
        <w:spacing w:after="0" w:line="92"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The debt securities of a particular series may be issued in whole or in part in the form of one or more global certificates that will be deposited with the Trustee as custodian for The Depository Trust Company, New York,</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60"/>
          </w:cols>
          <w:pgMar w:left="240" w:top="455" w:right="29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36"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Beneficial interests in global debt securities will be shown on, and transfers of global debt securities will be made only through, records maintained by DTC and its participants.</w:t>
      </w:r>
    </w:p>
    <w:p>
      <w:pPr>
        <w:spacing w:after="0" w:line="12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39"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20"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DTC is owned by a number of its Direct Participants and by the New York Stock Exchange, Inc., The American Stock Exchange, Inc. and the Financial Industry Regulatory Authority (“FINRA”).</w:t>
      </w:r>
    </w:p>
    <w:p>
      <w:pPr>
        <w:spacing w:after="0" w:line="120"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132"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w:t>
      </w:r>
    </w:p>
    <w:p>
      <w:pPr>
        <w:spacing w:after="0" w:line="139"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Debt securities represented by a global debt security will be exchangeable for certificated debt securities with the same terms in authorized denominations only if:</w:t>
      </w:r>
    </w:p>
    <w:p>
      <w:pPr>
        <w:spacing w:after="0" w:line="39" w:lineRule="exact"/>
        <w:rPr>
          <w:sz w:val="20"/>
          <w:szCs w:val="20"/>
          <w:color w:val="auto"/>
        </w:rPr>
      </w:pPr>
    </w:p>
    <w:p>
      <w:pPr>
        <w:ind w:left="440" w:right="400" w:hanging="324"/>
        <w:spacing w:after="0" w:line="275" w:lineRule="auto"/>
        <w:tabs>
          <w:tab w:leader="none" w:pos="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38"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not to require all of the debt securities of a series to be represented by a global debt security.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indenture will be discharged and will cease to be of further effect as to all outstanding debt securities of any series issued thereunder, when:</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00" w:hanging="236"/>
        <w:spacing w:after="0"/>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71" w:lineRule="exact"/>
        <w:rPr>
          <w:rFonts w:ascii="Times New Roman" w:cs="Times New Roman" w:eastAsia="Times New Roman" w:hAnsi="Times New Roman"/>
          <w:sz w:val="18"/>
          <w:szCs w:val="18"/>
          <w:color w:val="auto"/>
        </w:rPr>
      </w:pPr>
    </w:p>
    <w:p>
      <w:pPr>
        <w:ind w:left="460" w:right="100" w:firstLine="443"/>
        <w:spacing w:after="0" w:line="262" w:lineRule="auto"/>
        <w:tabs>
          <w:tab w:leader="none" w:pos="114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132" w:lineRule="exact"/>
        <w:rPr>
          <w:rFonts w:ascii="Times New Roman" w:cs="Times New Roman" w:eastAsia="Times New Roman" w:hAnsi="Times New Roman"/>
          <w:sz w:val="18"/>
          <w:szCs w:val="18"/>
          <w:color w:val="auto"/>
        </w:rPr>
      </w:pPr>
    </w:p>
    <w:p>
      <w:pPr>
        <w:ind w:left="460" w:firstLine="443"/>
        <w:spacing w:after="0" w:line="254" w:lineRule="auto"/>
        <w:tabs>
          <w:tab w:leader="none" w:pos="114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14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by us under the indenture; and</w:t>
      </w:r>
    </w:p>
    <w:p>
      <w:pPr>
        <w:spacing w:after="0" w:line="171" w:lineRule="exact"/>
        <w:rPr>
          <w:rFonts w:ascii="Times New Roman" w:cs="Times New Roman" w:eastAsia="Times New Roman" w:hAnsi="Times New Roman"/>
          <w:sz w:val="18"/>
          <w:szCs w:val="18"/>
          <w:color w:val="auto"/>
        </w:rPr>
      </w:pPr>
    </w:p>
    <w:p>
      <w:pPr>
        <w:ind w:right="40" w:firstLine="464"/>
        <w:spacing w:after="0" w:line="275" w:lineRule="auto"/>
        <w:tabs>
          <w:tab w:leader="none" w:pos="6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an officers’ certificate and an opinion of counsel to the Trustee stating that all conditions precedent to satisfaction and discharge have been satisfied.</w:t>
      </w:r>
    </w:p>
    <w:p>
      <w:pPr>
        <w:spacing w:after="0" w:line="120"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debt securities of a particular series will be subject to legal or covenant defeasance to the extent, and upon the terms and conditions, set forth in the prospectus supplement.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92"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U.S. Bank National Association is the Trustee under the senior indenture and will be the initial Trustee under the subordinated indenture. We maintain a banking relationship in the ordinary course of business with U.S. Bank National Association and some of its affiliates.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Resignation or Removal of Trustee</w:t>
      </w:r>
    </w:p>
    <w:p>
      <w:pPr>
        <w:spacing w:after="0" w:line="9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w:t>
      </w:r>
    </w:p>
    <w:p>
      <w:pPr>
        <w:spacing w:after="0" w:line="132"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Trustee if it is a Creditor</w:t>
      </w:r>
    </w:p>
    <w:p>
      <w:pPr>
        <w:spacing w:after="0" w:line="94"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Certificates and Opinions to be Furnished to Trustee</w:t>
      </w:r>
    </w:p>
    <w:p>
      <w:pPr>
        <w:spacing w:after="0" w:line="94"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indenture and all of the debt securities will be governed by the laws of the State of New York.</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80"/>
          </w:cols>
          <w:pgMar w:left="240" w:top="455" w:right="47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OUR COMMON UNITS</w:t>
      </w:r>
    </w:p>
    <w:p>
      <w:pPr>
        <w:spacing w:after="0" w:line="173"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Our outstanding common units are listed on the NYSE under the symbol “PAA.” Any additional common units we issue will also be listed on the NYSE.</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transfer agent and registrar for our common units is American Stock Transfer &amp; Trust Company.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Meetings/Voting</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holder of common units is entitled to one vote for each common unit on all matters submitted to a vote of the unitholders.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as Limited Partner or Assignee</w:t>
      </w:r>
    </w:p>
    <w:p>
      <w:pPr>
        <w:spacing w:after="0" w:line="92"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Except as described below under “— Limited Liability,” the common units will be fully paid, and unitholders will not be required to make additional capital contributions to us.</w:t>
      </w:r>
    </w:p>
    <w:p>
      <w:pPr>
        <w:spacing w:after="0" w:line="120"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36" w:lineRule="exact"/>
        <w:rPr>
          <w:sz w:val="20"/>
          <w:szCs w:val="20"/>
          <w:color w:val="auto"/>
        </w:rPr>
      </w:pPr>
    </w:p>
    <w:p>
      <w:pPr>
        <w:ind w:right="100" w:firstLine="456"/>
        <w:spacing w:after="0" w:line="301" w:lineRule="auto"/>
        <w:rPr>
          <w:sz w:val="20"/>
          <w:szCs w:val="20"/>
          <w:color w:val="auto"/>
        </w:rPr>
      </w:pPr>
      <w:r>
        <w:rPr>
          <w:rFonts w:ascii="Times New Roman" w:cs="Times New Roman" w:eastAsia="Times New Roman" w:hAnsi="Times New Roman"/>
          <w:sz w:val="16"/>
          <w:szCs w:val="16"/>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Liability</w:t>
      </w:r>
    </w:p>
    <w:p>
      <w:pPr>
        <w:spacing w:after="0" w:line="92"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36"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Reports and Records</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3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w:t>
      </w:r>
    </w:p>
    <w:p>
      <w:pPr>
        <w:spacing w:after="0" w:line="136" w:lineRule="exact"/>
        <w:rPr>
          <w:sz w:val="20"/>
          <w:szCs w:val="20"/>
          <w:color w:val="auto"/>
        </w:rPr>
      </w:pPr>
    </w:p>
    <w:p>
      <w:pPr>
        <w:ind w:right="620" w:firstLine="456"/>
        <w:spacing w:after="0" w:line="275" w:lineRule="auto"/>
        <w:rPr>
          <w:sz w:val="20"/>
          <w:szCs w:val="20"/>
          <w:color w:val="auto"/>
        </w:rPr>
      </w:pPr>
      <w:r>
        <w:rPr>
          <w:rFonts w:ascii="Times New Roman" w:cs="Times New Roman" w:eastAsia="Times New Roman" w:hAnsi="Times New Roman"/>
          <w:sz w:val="18"/>
          <w:szCs w:val="18"/>
          <w:color w:val="auto"/>
        </w:rPr>
        <w:t>A limited partner can, for a purpose reasonably related to the limited partner’s interest as a limited partner, upon reasonable demand and at his own expense, have furnished to him:</w:t>
      </w:r>
    </w:p>
    <w:p>
      <w:pPr>
        <w:spacing w:after="0" w:line="39" w:lineRule="exact"/>
        <w:rPr>
          <w:sz w:val="20"/>
          <w:szCs w:val="20"/>
          <w:color w:val="auto"/>
        </w:rPr>
      </w:pPr>
    </w:p>
    <w:p>
      <w:pPr>
        <w:ind w:left="440" w:hanging="324"/>
        <w:spacing w:after="0"/>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 list of the name and last known address of each partner;</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our tax returns;</w:t>
      </w:r>
    </w:p>
    <w:p>
      <w:pPr>
        <w:spacing w:after="0" w:line="90" w:lineRule="exact"/>
        <w:rPr>
          <w:rFonts w:ascii="Times New Roman" w:cs="Times New Roman" w:eastAsia="Times New Roman" w:hAnsi="Times New Roman"/>
          <w:sz w:val="18"/>
          <w:szCs w:val="18"/>
          <w:color w:val="auto"/>
        </w:rPr>
      </w:pPr>
    </w:p>
    <w:p>
      <w:pPr>
        <w:ind w:left="440" w:right="120" w:hanging="324"/>
        <w:spacing w:after="0" w:line="275" w:lineRule="auto"/>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38" w:lineRule="exact"/>
        <w:rPr>
          <w:rFonts w:ascii="Times New Roman" w:cs="Times New Roman" w:eastAsia="Times New Roman" w:hAnsi="Times New Roman"/>
          <w:sz w:val="18"/>
          <w:szCs w:val="18"/>
          <w:color w:val="auto"/>
        </w:rPr>
      </w:pPr>
    </w:p>
    <w:p>
      <w:pPr>
        <w:ind w:left="440" w:right="80" w:hanging="324"/>
        <w:spacing w:after="0" w:line="275" w:lineRule="auto"/>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our partnership agreement, our certificate of limited partnership, amendments to either of them and powers of attorney which have been executed under our partnership agreement;</w:t>
      </w:r>
    </w:p>
    <w:p>
      <w:pPr>
        <w:spacing w:after="0" w:line="38"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the status of our business and financial condition; and</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our affairs as is just and reasonable.</w:t>
      </w:r>
    </w:p>
    <w:p>
      <w:pPr>
        <w:spacing w:after="0" w:line="171"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CASH DISTRIBUTION POLICY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of Available Cash</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We will distribute to our unitholders, on a quarterly basis, all of our available cash in the manner described below.</w:t>
      </w:r>
    </w:p>
    <w:p>
      <w:pPr>
        <w:spacing w:after="0" w:line="171" w:lineRule="exact"/>
        <w:rPr>
          <w:sz w:val="20"/>
          <w:szCs w:val="20"/>
          <w:color w:val="auto"/>
        </w:rPr>
      </w:pPr>
    </w:p>
    <w:p>
      <w:pPr>
        <w:ind w:right="2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Definition of Available Cash</w:t>
      </w:r>
      <w:r>
        <w:rPr>
          <w:rFonts w:ascii="Times New Roman" w:cs="Times New Roman" w:eastAsia="Times New Roman" w:hAnsi="Times New Roman"/>
          <w:sz w:val="18"/>
          <w:szCs w:val="18"/>
          <w:color w:val="auto"/>
        </w:rPr>
        <w:t>. Available cash generally means, for any quarter ending prior to liquidation, all cash on hand at the end of that quarter 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cash reserves that are necessary or appropriate in the reasonable discretion of the general partner to:</w:t>
      </w:r>
    </w:p>
    <w:p>
      <w:pPr>
        <w:spacing w:after="0" w:line="37" w:lineRule="exact"/>
        <w:rPr>
          <w:sz w:val="20"/>
          <w:szCs w:val="20"/>
          <w:color w:val="auto"/>
        </w:rPr>
      </w:pPr>
    </w:p>
    <w:p>
      <w:pPr>
        <w:ind w:left="440" w:hanging="324"/>
        <w:spacing w:after="0"/>
        <w:tabs>
          <w:tab w:leader="none" w:pos="4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proper conduct of our business;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law or any partnership debt instrument or other agreement; or</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funds for distributions to unitholders and the general partner in respect of any one or more of the next four quarters.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Surplus and Capital Surplus</w:t>
      </w:r>
    </w:p>
    <w:p>
      <w:pPr>
        <w:spacing w:after="0" w:line="90" w:lineRule="exact"/>
        <w:rPr>
          <w:sz w:val="20"/>
          <w:szCs w:val="20"/>
          <w:color w:val="auto"/>
        </w:rPr>
      </w:pPr>
    </w:p>
    <w:p>
      <w:pPr>
        <w:ind w:right="58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Cash distributions to our unitholders will be characterized as either operating surplus or capital surplus. We distribute available cash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surplus differently than available cash from capital surplus. See “— Quarterly Distributions of Available Cash.”</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Definition of Operating Surplus</w:t>
      </w:r>
      <w:r>
        <w:rPr>
          <w:rFonts w:ascii="Times New Roman" w:cs="Times New Roman" w:eastAsia="Times New Roman" w:hAnsi="Times New Roman"/>
          <w:sz w:val="18"/>
          <w:szCs w:val="18"/>
          <w:color w:val="auto"/>
        </w:rPr>
        <w:t>. Operating surplus refers generally to:</w:t>
      </w:r>
    </w:p>
    <w:p>
      <w:pPr>
        <w:spacing w:after="0" w:line="92" w:lineRule="exact"/>
        <w:rPr>
          <w:sz w:val="20"/>
          <w:szCs w:val="20"/>
          <w:color w:val="auto"/>
        </w:rPr>
      </w:pPr>
    </w:p>
    <w:p>
      <w:pPr>
        <w:ind w:left="440" w:hanging="324"/>
        <w:spacing w:after="0"/>
        <w:tabs>
          <w:tab w:leader="none" w:pos="4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balances on the closing date of our initial public offering; plus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plus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cash receipts from operations, excluding cash that is capital surplus; less</w:t>
      </w:r>
    </w:p>
    <w:p>
      <w:pPr>
        <w:spacing w:after="0" w:line="90" w:lineRule="exact"/>
        <w:rPr>
          <w:rFonts w:ascii="Times New Roman" w:cs="Times New Roman" w:eastAsia="Times New Roman" w:hAnsi="Times New Roman"/>
          <w:sz w:val="18"/>
          <w:szCs w:val="18"/>
          <w:color w:val="auto"/>
        </w:rPr>
      </w:pPr>
    </w:p>
    <w:p>
      <w:pPr>
        <w:ind w:left="440" w:right="220" w:hanging="324"/>
        <w:spacing w:after="0" w:line="275" w:lineRule="auto"/>
        <w:tabs>
          <w:tab w:leader="none" w:pos="4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Definition of Capital Surplus</w:t>
      </w:r>
      <w:r>
        <w:rPr>
          <w:rFonts w:ascii="Times New Roman" w:cs="Times New Roman" w:eastAsia="Times New Roman" w:hAnsi="Times New Roman"/>
          <w:sz w:val="18"/>
          <w:szCs w:val="18"/>
          <w:color w:val="auto"/>
        </w:rPr>
        <w:t>. Capital surplus will generally be generated only by:</w:t>
      </w:r>
    </w:p>
    <w:p>
      <w:pPr>
        <w:spacing w:after="0" w:line="92" w:lineRule="exact"/>
        <w:rPr>
          <w:sz w:val="20"/>
          <w:szCs w:val="20"/>
          <w:color w:val="auto"/>
        </w:rPr>
      </w:pPr>
    </w:p>
    <w:p>
      <w:pPr>
        <w:ind w:left="440" w:hanging="324"/>
        <w:spacing w:after="0"/>
        <w:tabs>
          <w:tab w:leader="none" w:pos="4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other than working capital borrowings;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debt and equity securities; and</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other dispositions of assets for cash, other than inventory, accounts receivable and other assets in the ordinary course of business.</w:t>
      </w:r>
    </w:p>
    <w:p>
      <w:pPr>
        <w:spacing w:after="0" w:line="17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w:t>
      </w:r>
    </w:p>
    <w:p>
      <w:pPr>
        <w:spacing w:after="0" w:line="13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Incentive Distribution Rights</w:t>
      </w:r>
    </w:p>
    <w:p>
      <w:pPr>
        <w:spacing w:after="0" w:line="9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incentive distribution rights represent the right to receive an increasing percentage of quarterly distributions of available cash from operating surplus after the minimum quarterly distribution and the target</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60"/>
          </w:cols>
          <w:pgMar w:left="240" w:top="455" w:right="29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distribution levels have been achieved. The target distribution levels are based on the amounts of available cash from operating surplus distributed above the payments made under the minimum quarterly distribution, if any, and the related 2% distribution to the general partner.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Issuance of Additional Units</w:t>
      </w:r>
    </w:p>
    <w:p>
      <w:pPr>
        <w:spacing w:after="0" w:line="92" w:lineRule="exact"/>
        <w:rPr>
          <w:sz w:val="20"/>
          <w:szCs w:val="20"/>
          <w:color w:val="auto"/>
        </w:rPr>
      </w:pPr>
    </w:p>
    <w:p>
      <w:pPr>
        <w:ind w:right="60" w:firstLine="456"/>
        <w:spacing w:after="0" w:line="339" w:lineRule="auto"/>
        <w:rPr>
          <w:sz w:val="20"/>
          <w:szCs w:val="20"/>
          <w:color w:val="auto"/>
        </w:rPr>
      </w:pPr>
      <w:r>
        <w:rPr>
          <w:rFonts w:ascii="Times New Roman" w:cs="Times New Roman" w:eastAsia="Times New Roman" w:hAnsi="Times New Roman"/>
          <w:sz w:val="16"/>
          <w:szCs w:val="16"/>
          <w:color w:val="auto"/>
        </w:rPr>
        <w:t>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w:t>
      </w:r>
    </w:p>
    <w:p>
      <w:pPr>
        <w:spacing w:after="0" w:line="74"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Distributions of Available Cash</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will make quarterly distributions to our partners prior to our liquidation in an amount equal to 100% of our available cash for that quarter. We expect to make distributions of all available cash within 45 days after the end of each quarter to holders of record on the applicable record date. The minimum quarterly distribution and the target distribution levels are also subject to certain other adjustments as described below under “— Distributions from Capital Surplus” and “— Adjustment to the Minimum Quarterly Distribution and Target Distribution Levels.”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From Operating Surplus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make distributions of available cash from operating surplus in the following manner:</w:t>
      </w:r>
    </w:p>
    <w:p>
      <w:pPr>
        <w:spacing w:after="0" w:line="90" w:lineRule="exact"/>
        <w:rPr>
          <w:sz w:val="20"/>
          <w:szCs w:val="20"/>
          <w:color w:val="auto"/>
        </w:rPr>
      </w:pPr>
    </w:p>
    <w:p>
      <w:pPr>
        <w:ind w:left="440" w:right="20" w:hanging="324"/>
        <w:spacing w:after="0" w:line="275" w:lineRule="auto"/>
        <w:tabs>
          <w:tab w:leader="none" w:pos="4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98% to all unitholders, pro rata, and 2% to the general partner, until we distribute for each unit an amount equal to the minimum quarterly distribution for that quarter; and</w:t>
      </w:r>
    </w:p>
    <w:p>
      <w:pPr>
        <w:spacing w:after="0" w:line="38"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in the manner described in “— Incentive Distribution Rights” below.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Incentive Distribution Rights</w:t>
      </w:r>
    </w:p>
    <w:p>
      <w:pPr>
        <w:spacing w:after="0" w:line="9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w:t>
      </w:r>
    </w:p>
    <w:p>
      <w:pPr>
        <w:spacing w:after="0" w:line="51" w:lineRule="exact"/>
        <w:rPr>
          <w:sz w:val="20"/>
          <w:szCs w:val="20"/>
          <w:color w:val="auto"/>
        </w:rPr>
      </w:pPr>
    </w:p>
    <w:p>
      <w:pPr>
        <w:ind w:left="440" w:right="200" w:hanging="324"/>
        <w:spacing w:after="0" w:line="275" w:lineRule="auto"/>
        <w:tabs>
          <w:tab w:leader="none" w:pos="4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85% to all unitholders, pro rata, and 15% to the general partner, until each unitholder receives a total of $0.495 for that quarter for each outstanding unit (the “first target distribution”);</w:t>
      </w:r>
    </w:p>
    <w:p>
      <w:pPr>
        <w:spacing w:after="0" w:line="38" w:lineRule="exact"/>
        <w:rPr>
          <w:rFonts w:ascii="Times New Roman" w:cs="Times New Roman" w:eastAsia="Times New Roman" w:hAnsi="Times New Roman"/>
          <w:sz w:val="18"/>
          <w:szCs w:val="18"/>
          <w:color w:val="auto"/>
        </w:rPr>
      </w:pPr>
    </w:p>
    <w:p>
      <w:pPr>
        <w:ind w:left="440" w:hanging="324"/>
        <w:spacing w:after="0" w:line="275" w:lineRule="auto"/>
        <w:tabs>
          <w:tab w:leader="none" w:pos="4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75% to all unitholders, pro rata, and 25% to the general partner, until each unitholder receives a total of $0.675 for that quarter for each outstanding unit (the “second target distribution”); and</w:t>
      </w:r>
    </w:p>
    <w:p>
      <w:pPr>
        <w:spacing w:after="0" w:line="38"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50% to all unitholders, pro rata, and 50% to the general partner.</w:t>
      </w:r>
    </w:p>
    <w:p>
      <w:pPr>
        <w:spacing w:after="0" w:line="171"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Adjustments to Incentive Distribution Rights</w:t>
      </w:r>
    </w:p>
    <w:p>
      <w:pPr>
        <w:spacing w:after="0" w:line="92"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In connection with acquisitions or similar transactions, we have and may in the future modify the incentive distribution rights to, among other reasons, accelerate the accretion or other benefits of the transaction to limited partners.</w:t>
      </w:r>
    </w:p>
    <w:p>
      <w:pPr>
        <w:spacing w:after="0" w:line="120"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our acquisition of BP Canada Energy Company in April 2012 (the “BP NGL Acquisition”), our general partner agreed to reduce the amounts due it as incentive distributions by $3,750,000 per quarter for eight quarters beginning with the first distribution paid after closing, and $2,500,000 per quarter thereafter.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from Capital Surplus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How Distributions from Capital Surplus Will Be Made. </w:t>
      </w:r>
      <w:r>
        <w:rPr>
          <w:rFonts w:ascii="Times New Roman" w:cs="Times New Roman" w:eastAsia="Times New Roman" w:hAnsi="Times New Roman"/>
          <w:sz w:val="18"/>
          <w:szCs w:val="18"/>
          <w:color w:val="auto"/>
        </w:rPr>
        <w:t>We will make distributions of available cash from capital surplus in the following manner:</w:t>
      </w:r>
    </w:p>
    <w:p>
      <w:pPr>
        <w:spacing w:after="0" w:line="92" w:lineRule="exact"/>
        <w:rPr>
          <w:sz w:val="20"/>
          <w:szCs w:val="20"/>
          <w:color w:val="auto"/>
        </w:rPr>
      </w:pPr>
    </w:p>
    <w:p>
      <w:pPr>
        <w:ind w:left="440" w:right="160" w:hanging="324"/>
        <w:spacing w:after="0" w:line="275" w:lineRule="auto"/>
        <w:tabs>
          <w:tab w:leader="none" w:pos="4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98% to all unitholders, pro rata, and 2% to the general partner, until we distribute, for each common unit issued in this offering, available cash from capital surplus in an aggregate amount per common unit equal to the initial public offering price; and</w:t>
      </w:r>
    </w:p>
    <w:p>
      <w:pPr>
        <w:spacing w:after="0" w:line="38"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we will make all distributions of available cash from capital surplus as if they were from operating surplus.</w:t>
      </w:r>
    </w:p>
    <w:p>
      <w:pPr>
        <w:spacing w:after="0" w:line="169" w:lineRule="exact"/>
        <w:rPr>
          <w:sz w:val="20"/>
          <w:szCs w:val="20"/>
          <w:color w:val="auto"/>
        </w:rPr>
      </w:pPr>
    </w:p>
    <w:p>
      <w:pPr>
        <w:jc w:val="both"/>
        <w:ind w:right="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Effect of a Distribution from Capital Surplus</w:t>
      </w:r>
      <w:r>
        <w:rPr>
          <w:rFonts w:ascii="Times New Roman" w:cs="Times New Roman" w:eastAsia="Times New Roman" w:hAnsi="Times New Roman"/>
          <w:sz w:val="18"/>
          <w:szCs w:val="18"/>
          <w:color w:val="auto"/>
        </w:rPr>
        <w:t>. Our partnership agreement treats a distribution of available cash from capital surplus as the repayment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When Payback Occurs</w:t>
      </w:r>
      <w:r>
        <w:rPr>
          <w:rFonts w:ascii="Times New Roman" w:cs="Times New Roman" w:eastAsia="Times New Roman" w:hAnsi="Times New Roman"/>
          <w:sz w:val="16"/>
          <w:szCs w:val="16"/>
          <w:color w:val="auto"/>
        </w:rPr>
        <w:t>. When “payback” of the reduced initial unit price has occurred, i.e., when the unrecovered capital of the common units is zero, then</w:t>
      </w:r>
    </w:p>
    <w:p>
      <w:pPr>
        <w:spacing w:after="0" w:line="115" w:lineRule="exact"/>
        <w:rPr>
          <w:sz w:val="20"/>
          <w:szCs w:val="20"/>
          <w:color w:val="auto"/>
        </w:rPr>
      </w:pPr>
    </w:p>
    <w:p>
      <w:pPr>
        <w:ind w:left="440" w:hanging="324"/>
        <w:spacing w:after="0"/>
        <w:tabs>
          <w:tab w:leader="none" w:pos="4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quarterly distribution and the target distribution levels will be reduced to zero for subsequent quarters;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distributions of available cash will be treated as operating surplus; and</w:t>
      </w:r>
    </w:p>
    <w:p>
      <w:pPr>
        <w:spacing w:after="0" w:line="90" w:lineRule="exact"/>
        <w:rPr>
          <w:rFonts w:ascii="Times New Roman" w:cs="Times New Roman" w:eastAsia="Times New Roman" w:hAnsi="Times New Roman"/>
          <w:sz w:val="18"/>
          <w:szCs w:val="18"/>
          <w:color w:val="auto"/>
        </w:rPr>
      </w:pPr>
    </w:p>
    <w:p>
      <w:pPr>
        <w:ind w:left="440" w:right="560" w:hanging="324"/>
        <w:spacing w:after="0" w:line="275" w:lineRule="auto"/>
        <w:tabs>
          <w:tab w:leader="none" w:pos="4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will be entitled to receive 50% of distributions of available cash in its capacities as general partner and as holder of the incentive distribution rights.</w:t>
      </w:r>
    </w:p>
    <w:p>
      <w:pPr>
        <w:spacing w:after="0" w:line="120"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Distributions of available cash from capital surplus will not reduce the minimum quarterly distribution or target distribution levels for the quarter in which they are distributed.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to the Minimum Quarterly Distribution and Target Distribution Levels</w:t>
      </w:r>
    </w:p>
    <w:p>
      <w:pPr>
        <w:spacing w:after="0" w:line="90" w:lineRule="exact"/>
        <w:rPr>
          <w:sz w:val="20"/>
          <w:szCs w:val="20"/>
          <w:color w:val="auto"/>
        </w:rPr>
      </w:pPr>
    </w:p>
    <w:p>
      <w:pPr>
        <w:jc w:val="both"/>
        <w:ind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How We Adjust the Minimum Quarterly Distribution and Target Distribution Levels</w:t>
      </w:r>
      <w:r>
        <w:rPr>
          <w:rFonts w:ascii="Times New Roman" w:cs="Times New Roman" w:eastAsia="Times New Roman" w:hAnsi="Times New Roman"/>
          <w:sz w:val="18"/>
          <w:szCs w:val="18"/>
          <w:color w:val="auto"/>
        </w:rPr>
        <w:t>. In addition to adjusting the minimum quarterly distribution and target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levels to reflect a distribution of capital surplus, if we combine our units into fewer units or subdivide our units into a greater number of units (but not if we issue additional common units for cash or property), we will proportionately adjust:</w:t>
      </w:r>
    </w:p>
    <w:p>
      <w:pPr>
        <w:spacing w:after="0" w:line="48" w:lineRule="exact"/>
        <w:rPr>
          <w:sz w:val="20"/>
          <w:szCs w:val="20"/>
          <w:color w:val="auto"/>
        </w:rPr>
      </w:pPr>
    </w:p>
    <w:p>
      <w:pPr>
        <w:ind w:left="440" w:hanging="324"/>
        <w:spacing w:after="0"/>
        <w:tabs>
          <w:tab w:leader="none" w:pos="4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quarterly distribution;</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distribution levels;</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unrecovered capital; and</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amounts calculated on a per unit basis.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455" w:right="27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For example, in the event of a two-for-one split of the common units (assuming no prior adjustments), the minimum quarterly distribution, each of the target distribution levels and the unrecovered capital of the common units would each be reduced to 50% of its initial level.</w:t>
      </w:r>
    </w:p>
    <w:p>
      <w:pPr>
        <w:spacing w:after="0" w:line="118" w:lineRule="exact"/>
        <w:rPr>
          <w:sz w:val="20"/>
          <w:szCs w:val="20"/>
          <w:color w:val="auto"/>
        </w:rPr>
      </w:pPr>
    </w:p>
    <w:p>
      <w:pPr>
        <w:ind w:right="8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If We Became Subject to Taxation</w:t>
      </w:r>
      <w:r>
        <w:rPr>
          <w:rFonts w:ascii="Times New Roman" w:cs="Times New Roman" w:eastAsia="Times New Roman" w:hAnsi="Times New Roman"/>
          <w:sz w:val="18"/>
          <w:szCs w:val="18"/>
          <w:color w:val="auto"/>
        </w:rPr>
        <w:t>. If legislation is enacted or if existing law is modified or interpreted by the relevant governmental authority so that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w:t>
      </w:r>
    </w:p>
    <w:p>
      <w:pPr>
        <w:spacing w:after="0" w:line="48" w:lineRule="exact"/>
        <w:rPr>
          <w:sz w:val="20"/>
          <w:szCs w:val="20"/>
          <w:color w:val="auto"/>
        </w:rPr>
      </w:pPr>
    </w:p>
    <w:p>
      <w:pPr>
        <w:ind w:left="440" w:right="140" w:hanging="324"/>
        <w:spacing w:after="0" w:line="262" w:lineRule="auto"/>
        <w:tabs>
          <w:tab w:leader="none" w:pos="4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w:t>
      </w:r>
    </w:p>
    <w:p>
      <w:pPr>
        <w:spacing w:after="0" w:line="13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of Cash Upon Liquidation</w:t>
      </w:r>
    </w:p>
    <w:p>
      <w:pPr>
        <w:spacing w:after="0" w:line="90" w:lineRule="exact"/>
        <w:rPr>
          <w:sz w:val="20"/>
          <w:szCs w:val="20"/>
          <w:color w:val="auto"/>
        </w:rPr>
      </w:pPr>
    </w:p>
    <w:p>
      <w:pPr>
        <w:jc w:val="both"/>
        <w:ind w:right="120" w:firstLine="456"/>
        <w:spacing w:after="0" w:line="312" w:lineRule="auto"/>
        <w:rPr>
          <w:sz w:val="20"/>
          <w:szCs w:val="20"/>
          <w:color w:val="auto"/>
        </w:rPr>
      </w:pPr>
      <w:r>
        <w:rPr>
          <w:rFonts w:ascii="Times New Roman" w:cs="Times New Roman" w:eastAsia="Times New Roman" w:hAnsi="Times New Roman"/>
          <w:sz w:val="16"/>
          <w:szCs w:val="16"/>
          <w:i w:val="1"/>
          <w:iCs w:val="1"/>
          <w:color w:val="auto"/>
        </w:rPr>
        <w:t>General</w:t>
      </w:r>
      <w:r>
        <w:rPr>
          <w:rFonts w:ascii="Times New Roman" w:cs="Times New Roman" w:eastAsia="Times New Roman" w:hAnsi="Times New Roman"/>
          <w:sz w:val="16"/>
          <w:szCs w:val="16"/>
          <w:color w:val="auto"/>
        </w:rPr>
        <w:t>. If we dissolve and liquidate, we will sell our assets or otherwise dispose of our assets and we will adjust the partners’ capital account balances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Manner of Adjustment</w:t>
      </w:r>
      <w:r>
        <w:rPr>
          <w:rFonts w:ascii="Times New Roman" w:cs="Times New Roman" w:eastAsia="Times New Roman" w:hAnsi="Times New Roman"/>
          <w:sz w:val="18"/>
          <w:szCs w:val="18"/>
          <w:color w:val="auto"/>
        </w:rPr>
        <w:t>. If we liquidate, we would allocate any loss to the general partner and each unitholder as follows:</w:t>
      </w:r>
    </w:p>
    <w:p>
      <w:pPr>
        <w:spacing w:after="0" w:line="92" w:lineRule="exact"/>
        <w:rPr>
          <w:sz w:val="20"/>
          <w:szCs w:val="20"/>
          <w:color w:val="auto"/>
        </w:rPr>
      </w:pPr>
    </w:p>
    <w:p>
      <w:pPr>
        <w:ind w:left="440" w:right="500" w:hanging="324"/>
        <w:spacing w:after="0" w:line="275" w:lineRule="auto"/>
        <w:tabs>
          <w:tab w:leader="none" w:pos="4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98% to the holders of common units who have positive balances in their capital accounts in proportion to those positive balances and 2% to the general partner, until the capital accounts of the common unitholders have been reduced to zero; and</w:t>
      </w:r>
    </w:p>
    <w:p>
      <w:pPr>
        <w:spacing w:after="0" w:line="38"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100% to the general partner.</w:t>
      </w:r>
    </w:p>
    <w:p>
      <w:pPr>
        <w:spacing w:after="0" w:line="16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Interim Adjustments to Capital Accounts</w:t>
      </w:r>
      <w:r>
        <w:rPr>
          <w:rFonts w:ascii="Times New Roman" w:cs="Times New Roman" w:eastAsia="Times New Roman" w:hAnsi="Times New Roman"/>
          <w:sz w:val="18"/>
          <w:szCs w:val="18"/>
          <w:color w:val="auto"/>
        </w:rPr>
        <w:t>. If we issued additional security interests or made distributions of property, interim adjustments to capital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OUR PARTNERSHIP AGREEMENT</w:t>
      </w:r>
    </w:p>
    <w:p>
      <w:pPr>
        <w:spacing w:after="0" w:line="173" w:lineRule="exact"/>
        <w:rPr>
          <w:sz w:val="20"/>
          <w:szCs w:val="20"/>
          <w:color w:val="auto"/>
        </w:rPr>
      </w:pPr>
    </w:p>
    <w:p>
      <w:pPr>
        <w:ind w:right="840" w:firstLine="456"/>
        <w:spacing w:after="0" w:line="275" w:lineRule="auto"/>
        <w:rPr>
          <w:sz w:val="20"/>
          <w:szCs w:val="20"/>
          <w:color w:val="auto"/>
        </w:rPr>
      </w:pPr>
      <w:r>
        <w:rPr>
          <w:rFonts w:ascii="Times New Roman" w:cs="Times New Roman" w:eastAsia="Times New Roman" w:hAnsi="Times New Roman"/>
          <w:sz w:val="18"/>
          <w:szCs w:val="18"/>
          <w:color w:val="auto"/>
        </w:rPr>
        <w:t>The following is a summary of the material provisions of our partnership agreement. The following provisions of our partnership agreement are summarized elsewhere in this prospectus:</w:t>
      </w:r>
    </w:p>
    <w:p>
      <w:pPr>
        <w:spacing w:after="0" w:line="39" w:lineRule="exact"/>
        <w:rPr>
          <w:sz w:val="20"/>
          <w:szCs w:val="20"/>
          <w:color w:val="auto"/>
        </w:rPr>
      </w:pPr>
    </w:p>
    <w:p>
      <w:pPr>
        <w:ind w:left="440" w:hanging="324"/>
        <w:spacing w:after="0"/>
        <w:tabs>
          <w:tab w:leader="none" w:pos="4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our available cash are described under “Cash Distribution Policy;”</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allocations of taxable income and other tax matters are described under “Material Income Tax Considerations;” and</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holders of common units are described under “Description of Our Common Units.”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92"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92"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Reimbursements of Our General Partner</w:t>
      </w:r>
    </w:p>
    <w:p>
      <w:pPr>
        <w:spacing w:after="0" w:line="9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Additional Securities</w:t>
      </w:r>
    </w:p>
    <w:p>
      <w:pPr>
        <w:spacing w:after="0" w:line="92"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32" w:lineRule="exact"/>
        <w:rPr>
          <w:sz w:val="20"/>
          <w:szCs w:val="20"/>
          <w:color w:val="auto"/>
        </w:rPr>
      </w:pPr>
    </w:p>
    <w:p>
      <w:pPr>
        <w:jc w:val="both"/>
        <w:ind w:right="320" w:firstLine="456"/>
        <w:spacing w:after="0" w:line="262" w:lineRule="auto"/>
        <w:rPr>
          <w:sz w:val="20"/>
          <w:szCs w:val="20"/>
          <w:color w:val="auto"/>
        </w:rPr>
      </w:pPr>
      <w:r>
        <w:rPr>
          <w:rFonts w:ascii="Times New Roman" w:cs="Times New Roman" w:eastAsia="Times New Roman" w:hAnsi="Times New Roman"/>
          <w:sz w:val="18"/>
          <w:szCs w:val="18"/>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32"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2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to Our Partnership Agreement</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or Removal of Our General Partner</w:t>
      </w:r>
    </w:p>
    <w:p>
      <w:pPr>
        <w:spacing w:after="0" w:line="92" w:lineRule="exact"/>
        <w:rPr>
          <w:sz w:val="20"/>
          <w:szCs w:val="20"/>
          <w:color w:val="auto"/>
        </w:rPr>
      </w:pPr>
    </w:p>
    <w:p>
      <w:pPr>
        <w:jc w:val="both"/>
        <w:ind w:right="140" w:firstLine="456"/>
        <w:spacing w:after="0" w:line="258" w:lineRule="auto"/>
        <w:rPr>
          <w:sz w:val="20"/>
          <w:szCs w:val="20"/>
          <w:color w:val="auto"/>
        </w:rPr>
      </w:pPr>
      <w:r>
        <w:rPr>
          <w:rFonts w:ascii="Times New Roman" w:cs="Times New Roman" w:eastAsia="Times New Roman" w:hAnsi="Times New Roman"/>
          <w:sz w:val="18"/>
          <w:szCs w:val="18"/>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136"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13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136"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w:t>
      </w:r>
    </w:p>
    <w:p>
      <w:pPr>
        <w:spacing w:after="0" w:line="120"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and Distribution of Proceeds</w:t>
      </w:r>
    </w:p>
    <w:p>
      <w:pPr>
        <w:spacing w:after="0" w:line="92"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51" w:lineRule="exact"/>
        <w:rPr>
          <w:sz w:val="20"/>
          <w:szCs w:val="20"/>
          <w:color w:val="auto"/>
        </w:rPr>
      </w:pPr>
    </w:p>
    <w:p>
      <w:pPr>
        <w:ind w:left="440" w:hanging="324"/>
        <w:spacing w:after="0"/>
        <w:tabs>
          <w:tab w:leader="none" w:pos="4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towards the payment of all of our creditors and the creation of a reserve for contingent liabilities; and</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then, to all partners in accordance with the positive balance in the respective capital accounts.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Under some circumstances and subject to some limitations, the liquidator may defer liquidation or distribution of our assets for a reasonable period of time.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the liquidator determines that a sale would be impractical or would cause a loss to our partners, our general partner may distribute assets in kind to our partners.</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455" w:right="27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Management Provisions</w:t>
      </w:r>
    </w:p>
    <w:p>
      <w:pPr>
        <w:spacing w:after="0" w:line="92"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39" w:lineRule="exact"/>
        <w:rPr>
          <w:sz w:val="20"/>
          <w:szCs w:val="20"/>
          <w:color w:val="auto"/>
        </w:rPr>
      </w:pPr>
    </w:p>
    <w:p>
      <w:pPr>
        <w:ind w:left="440" w:right="220" w:hanging="324"/>
        <w:spacing w:after="0" w:line="275" w:lineRule="auto"/>
        <w:tabs>
          <w:tab w:leader="none" w:pos="4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38" w:lineRule="exact"/>
        <w:rPr>
          <w:rFonts w:ascii="Times New Roman" w:cs="Times New Roman" w:eastAsia="Times New Roman" w:hAnsi="Times New Roman"/>
          <w:sz w:val="18"/>
          <w:szCs w:val="18"/>
          <w:color w:val="auto"/>
        </w:rPr>
      </w:pPr>
    </w:p>
    <w:p>
      <w:pPr>
        <w:ind w:left="440" w:right="560" w:hanging="324"/>
        <w:spacing w:after="0" w:line="275" w:lineRule="auto"/>
        <w:tabs>
          <w:tab w:leader="none" w:pos="4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Call Right</w:t>
      </w:r>
    </w:p>
    <w:p>
      <w:pPr>
        <w:spacing w:after="0" w:line="92" w:lineRule="exact"/>
        <w:rPr>
          <w:sz w:val="20"/>
          <w:szCs w:val="20"/>
          <w:color w:val="auto"/>
        </w:rPr>
      </w:pPr>
    </w:p>
    <w:p>
      <w:pPr>
        <w:ind w:firstLine="456"/>
        <w:spacing w:after="0" w:line="285" w:lineRule="auto"/>
        <w:rPr>
          <w:sz w:val="20"/>
          <w:szCs w:val="20"/>
          <w:color w:val="auto"/>
        </w:rPr>
      </w:pPr>
      <w:r>
        <w:rPr>
          <w:rFonts w:ascii="Times New Roman" w:cs="Times New Roman" w:eastAsia="Times New Roman" w:hAnsi="Times New Roman"/>
          <w:sz w:val="16"/>
          <w:szCs w:val="16"/>
          <w:color w:val="auto"/>
        </w:rPr>
        <w:t>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w:t>
      </w:r>
    </w:p>
    <w:p>
      <w:pPr>
        <w:ind w:firstLine="8"/>
        <w:spacing w:after="0" w:line="261" w:lineRule="auto"/>
        <w:tabs>
          <w:tab w:leader="none" w:pos="24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cash price paid by our general partner or any of its affiliates for any limited partner interest of the class purchased within the 90 days preceding the date our general partner mails notice of its election to purchase the units.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92"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139"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92" w:lineRule="exact"/>
        <w:rPr>
          <w:sz w:val="20"/>
          <w:szCs w:val="20"/>
          <w:color w:val="auto"/>
        </w:rPr>
      </w:pPr>
    </w:p>
    <w:p>
      <w:pPr>
        <w:jc w:val="both"/>
        <w:ind w:right="40" w:firstLine="456"/>
        <w:spacing w:after="0" w:line="310" w:lineRule="auto"/>
        <w:rPr>
          <w:sz w:val="20"/>
          <w:szCs w:val="20"/>
          <w:color w:val="auto"/>
        </w:rPr>
      </w:pPr>
      <w:r>
        <w:rPr>
          <w:rFonts w:ascii="Times New Roman" w:cs="Times New Roman" w:eastAsia="Times New Roman" w:hAnsi="Times New Roman"/>
          <w:sz w:val="16"/>
          <w:szCs w:val="16"/>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60"/>
          </w:cols>
          <w:pgMar w:left="240" w:top="455" w:right="29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73"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This section summarizes the material U.S. federal income tax consequences that may be relevant to prospective unitholders and is based upon current provisions of the U.S. Internal Revenue Code of 1986, as amended (the “Code”), existing and proposed U.S.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Unless the context otherwise requires, references in this section to “we” or “us” are references to the partnership and its subsidiaries.</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Legal conclusions contained in this section, unless otherwise noted, are the opinion of Vinson &amp; Elkins L.L.P. and are based on the accuracy of representations made by us to them for this purpose. However, this section does not address all federal income tax matters that affect us or our unitholders. Furthermore, this section focuses on unitholders who are individual citizens or residents of the United States (for federal income tax purposes), who have the U.S. dollar as their functional currency and who hold units as capital assets (generally, property that is held for investment). This section has limited applicability to corporations, partnerships (including entities treated as partnerships for U.S. federal income tax purposes), estates, trusts, non-resident aliens or other unitholders subject to specialized tax treatment, such as tax-exempt institutions, non-U.S. persons, individual retirement accounts (“IRAs”), employee benefit plans, real estate investment trusts or mutual funds. </w:t>
      </w:r>
      <w:r>
        <w:rPr>
          <w:rFonts w:ascii="Times New Roman" w:cs="Times New Roman" w:eastAsia="Times New Roman" w:hAnsi="Times New Roman"/>
          <w:sz w:val="18"/>
          <w:szCs w:val="18"/>
          <w:b w:val="1"/>
          <w:bCs w:val="1"/>
          <w:i w:val="1"/>
          <w:iCs w:val="1"/>
          <w:color w:val="auto"/>
        </w:rPr>
        <w:t>Accordingly, we encourage each unitholder to consult the unitholder’s own tax advisor in analyzing the federal, state,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local and non-U.S. tax consequences particular to that unitholder resulting from ownership or disposition of units.</w:t>
      </w:r>
    </w:p>
    <w:p>
      <w:pPr>
        <w:spacing w:after="0" w:line="13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are relying on opinions and advice of Vinson &amp; Elkins L.L.P. with respect to the matters described herein. An opinion of counsel represents only that counsel’s best legal judgment and does not bind the IRS or a court. Accordingly, the opinions and statements made herein may not be sustained by a court if contested by the IRS. Any such contest of the matters described herein may materially and adversely impact the market for our units and the prices at which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39"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For the reasons described below, Vinson &amp; Elkins L.L.P. has not rendered an opinion with respect to the following federal income tax issues: (1) the treatment of a unitholder whose units are the subject of a securities loan (e.g., a loan to a short seller to cover a short sale of units) (please read “— Tax Consequences of Unit Ownership — Treatment of Securities Loans”); (2) whether our monthly convention for allocating taxable income and losses is permitted by existing Treasury Regulations (please read “— Disposition of Units — Allocations Between Transferors and Transferees”); and (3) whether our method for taking into account Section 743 adjustments is sustainable in certain cases (please read “— Tax Consequences of Unit Ownership — Section 754 Election” and “— Uniformity of Units”).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the Partnership</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Partnership Status</w:t>
      </w:r>
    </w:p>
    <w:p>
      <w:pPr>
        <w:spacing w:after="0" w:line="94" w:lineRule="exact"/>
        <w:rPr>
          <w:sz w:val="20"/>
          <w:szCs w:val="20"/>
          <w:color w:val="auto"/>
        </w:rPr>
      </w:pPr>
    </w:p>
    <w:p>
      <w:pPr>
        <w:ind w:right="260" w:firstLine="456"/>
        <w:spacing w:after="0" w:line="256" w:lineRule="auto"/>
        <w:rPr>
          <w:sz w:val="20"/>
          <w:szCs w:val="20"/>
          <w:color w:val="auto"/>
        </w:rPr>
      </w:pPr>
      <w:r>
        <w:rPr>
          <w:rFonts w:ascii="Times New Roman" w:cs="Times New Roman" w:eastAsia="Times New Roman" w:hAnsi="Times New Roman"/>
          <w:sz w:val="18"/>
          <w:szCs w:val="18"/>
          <w:color w:val="auto"/>
        </w:rPr>
        <w:t>We expect to be treated as a partnership for U.S. federal income tax purposes and, therefore, generally will not be liable for such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generally will not give rise to income or gain taxable to such unitholder, unless the amount of cash distributed exceeds the unitholder’s adjusted tax basis in its units.</w:t>
      </w:r>
    </w:p>
    <w:p>
      <w:pPr>
        <w:spacing w:after="0" w:line="139"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Section 7704 of the Code generally provides that publicly-traded partnerships will be treated as corporations for federal income tax purposes. However, if 90% or more of a partnership’s gross income for every taxable year</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455" w:right="27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it is publicly-traded consists of “qualifying income,” the partnership may continue to be treated as a partnership for federal income tax purposes (the “Qualifying Income Exception”). Qualifying income includes (i) income and gains derived from processing, transportation, storage, terminalling, and marketing of any natural resource, including crude oil, natural gas, and products thereof, (ii) interest (other than from a financial business), (iii) dividends, (iv) gains from the sale of real property and (v) gains from the sale or other disposition of capital assets held for the production of qualifying income. We estimate that less than 5 percent of our current gross income is not qualifying income; however, this estimate could change from time to time.</w:t>
      </w:r>
    </w:p>
    <w:p>
      <w:pPr>
        <w:spacing w:after="0" w:line="13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Based upon factual representations made by us and our general partner regarding the composition of our income and the other representations set forth below, Vinson &amp; Elkins L.L.P. is of the opinion that we will be treated as a partnership for federal income tax purposes. In rendering its opinion, Vinson &amp; Elkins L.L.P. has relied on factual representations made by us and our general partner. The representations made by us and our general partner upon which Vinson &amp; Elkins L.L.P. has relied include, without limitation:</w:t>
      </w:r>
    </w:p>
    <w:p>
      <w:pPr>
        <w:spacing w:after="0" w:line="136" w:lineRule="exact"/>
        <w:rPr>
          <w:sz w:val="20"/>
          <w:szCs w:val="20"/>
          <w:color w:val="auto"/>
        </w:rPr>
      </w:pPr>
    </w:p>
    <w:p>
      <w:pPr>
        <w:ind w:left="700" w:hanging="236"/>
        <w:spacing w:after="0"/>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we nor any of our partnership or limited liability company subsidiaries has elected to be treated as a corporation for federal income tax</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purposes;</w:t>
      </w:r>
    </w:p>
    <w:p>
      <w:pPr>
        <w:spacing w:after="0" w:line="158" w:lineRule="exact"/>
        <w:rPr>
          <w:rFonts w:ascii="Times New Roman" w:cs="Times New Roman" w:eastAsia="Times New Roman" w:hAnsi="Times New Roman"/>
          <w:sz w:val="18"/>
          <w:szCs w:val="18"/>
          <w:color w:val="auto"/>
        </w:rPr>
      </w:pPr>
    </w:p>
    <w:p>
      <w:pPr>
        <w:ind w:right="220" w:firstLine="464"/>
        <w:spacing w:after="0" w:line="275" w:lineRule="auto"/>
        <w:tabs>
          <w:tab w:leader="none" w:pos="70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119" w:lineRule="exact"/>
        <w:rPr>
          <w:rFonts w:ascii="Times New Roman" w:cs="Times New Roman" w:eastAsia="Times New Roman" w:hAnsi="Times New Roman"/>
          <w:sz w:val="18"/>
          <w:szCs w:val="18"/>
          <w:color w:val="auto"/>
        </w:rPr>
      </w:pPr>
    </w:p>
    <w:p>
      <w:pPr>
        <w:ind w:right="120" w:firstLine="464"/>
        <w:spacing w:after="0" w:line="262" w:lineRule="auto"/>
        <w:tabs>
          <w:tab w:leader="none" w:pos="6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that these representations are true and will be true in the future.</w:t>
      </w:r>
    </w:p>
    <w:p>
      <w:pPr>
        <w:spacing w:after="0" w:line="17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liabilities, to a newly formed corporation, on the first day of the year in which we fail to meet the Qualifying Income Exception, in exchange for stock in that corporation and then as distributing that stock to our unitholders in liquidation. This deemed contribution and liquidation should not result in the recognition of taxable income by our unitholders or us so long as our liabilities do not exceed the tax basis of our assets. Thereafter, we would be treated as an association taxable as a corporation for federal income tax purposes.</w:t>
      </w:r>
    </w:p>
    <w:p>
      <w:pPr>
        <w:spacing w:after="0" w:line="13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we are treated as a corporation would be (i) a taxable dividend to the extent of our current or accumulated earnings and profits, then (ii) a nontaxable return of capital to the extent of the unitholder’s tax basis in its stock that was exchanged for units, and thereafter (iii) taxable capital gain.</w:t>
      </w:r>
    </w:p>
    <w:p>
      <w:pPr>
        <w:spacing w:after="0" w:line="139" w:lineRule="exact"/>
        <w:rPr>
          <w:sz w:val="20"/>
          <w:szCs w:val="20"/>
          <w:color w:val="auto"/>
        </w:rPr>
      </w:pPr>
    </w:p>
    <w:p>
      <w:pPr>
        <w:jc w:val="center"/>
        <w:ind w:left="300" w:right="400"/>
        <w:spacing w:after="0" w:line="447" w:lineRule="auto"/>
        <w:rPr>
          <w:sz w:val="20"/>
          <w:szCs w:val="20"/>
          <w:color w:val="auto"/>
        </w:rPr>
      </w:pPr>
      <w:r>
        <w:rPr>
          <w:rFonts w:ascii="Times New Roman" w:cs="Times New Roman" w:eastAsia="Times New Roman" w:hAnsi="Times New Roman"/>
          <w:sz w:val="18"/>
          <w:szCs w:val="18"/>
          <w:color w:val="auto"/>
        </w:rPr>
        <w:t>The remainder of this discussion is based on Vinson &amp; Elkins L.L.P.’s opinion that we will be treated as a partnership for federal income tax purposes. 24</w:t>
      </w:r>
    </w:p>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of Unit Ownership</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Limited Partner Status</w:t>
      </w:r>
    </w:p>
    <w:p>
      <w:pPr>
        <w:spacing w:after="0" w:line="94" w:lineRule="exact"/>
        <w:rPr>
          <w:sz w:val="20"/>
          <w:szCs w:val="20"/>
          <w:color w:val="auto"/>
        </w:rPr>
      </w:pPr>
    </w:p>
    <w:p>
      <w:pPr>
        <w:jc w:val="both"/>
        <w:ind w:right="220" w:firstLine="456"/>
        <w:spacing w:after="0" w:line="262" w:lineRule="auto"/>
        <w:rPr>
          <w:sz w:val="20"/>
          <w:szCs w:val="20"/>
          <w:color w:val="auto"/>
        </w:rPr>
      </w:pPr>
      <w:r>
        <w:rPr>
          <w:rFonts w:ascii="Times New Roman" w:cs="Times New Roman" w:eastAsia="Times New Roman" w:hAnsi="Times New Roman"/>
          <w:sz w:val="18"/>
          <w:szCs w:val="18"/>
          <w:color w:val="auto"/>
        </w:rPr>
        <w:t>Unitholders who are admitted as limited partners of the partnership, as well as unitholders whose units are held in street name or by a nominee and who have the right to direct the nominee in the exercise of all substantive rights attendant to the ownership of units, will be treated as partners of the partnership for federal income tax purposes. Also:</w:t>
      </w:r>
    </w:p>
    <w:p>
      <w:pPr>
        <w:spacing w:after="0" w:line="51" w:lineRule="exact"/>
        <w:rPr>
          <w:sz w:val="20"/>
          <w:szCs w:val="20"/>
          <w:color w:val="auto"/>
        </w:rPr>
      </w:pPr>
    </w:p>
    <w:p>
      <w:pPr>
        <w:ind w:left="440" w:hanging="324"/>
        <w:spacing w:after="0"/>
        <w:tabs>
          <w:tab w:leader="none" w:pos="4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assignees who have executed and delivered transfer applications, and are awaiting admission as limited partners, and</w:t>
      </w:r>
    </w:p>
    <w:p>
      <w:pPr>
        <w:spacing w:after="0" w:line="90" w:lineRule="exact"/>
        <w:rPr>
          <w:rFonts w:ascii="Times New Roman" w:cs="Times New Roman" w:eastAsia="Times New Roman" w:hAnsi="Times New Roman"/>
          <w:sz w:val="18"/>
          <w:szCs w:val="18"/>
          <w:color w:val="auto"/>
        </w:rPr>
      </w:pPr>
    </w:p>
    <w:p>
      <w:pPr>
        <w:ind w:left="440" w:right="320" w:hanging="324"/>
        <w:spacing w:after="0" w:line="275" w:lineRule="auto"/>
        <w:tabs>
          <w:tab w:leader="none" w:pos="4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unitholders whose common units are held in street name or by a nominee and who have the right to direct the nominee in the exercise of all substantive rights attendant to the ownership of their common units</w:t>
      </w:r>
    </w:p>
    <w:p>
      <w:pPr>
        <w:spacing w:after="0" w:line="1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will be treated as partners of the partnership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w:t>
      </w:r>
    </w:p>
    <w:p>
      <w:pPr>
        <w:spacing w:after="0" w:line="139"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For a discussion related to the risks of losing partner status as a result of securities loans, please read “— Tax Consequences of Unit Ownership — Treatment of Securities Loans.” Unitholders who are not treated as partners in us as described above are urged to consult their own tax advisors with respect to the tax consequences applicable to them under the circumstances.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Flow-Through of Taxable Income</w:t>
      </w:r>
    </w:p>
    <w:p>
      <w:pPr>
        <w:spacing w:after="0" w:line="94"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Subject to the discussion below under “— Entity-Level Collections of Unitholder Taxes” with respect to payments we may be required to make on behalf of our unitholders, and aside from any taxes paid by a corporate subsidiary, we will not pay any federal income tax. However, a portion of our operations and subsidiaries may also be subject to state and local taxes.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Units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 unitholder’s tax basis in its units initially will be the amount paid for those units plus the unitholder’s share of our liabilities. That basis generally will be</w:t>
      </w:r>
    </w:p>
    <w:p>
      <w:pPr>
        <w:spacing w:after="0" w:line="44" w:lineRule="exact"/>
        <w:rPr>
          <w:sz w:val="20"/>
          <w:szCs w:val="20"/>
          <w:color w:val="auto"/>
        </w:rPr>
      </w:pPr>
    </w:p>
    <w:p>
      <w:pPr>
        <w:ind w:right="140" w:firstLine="8"/>
        <w:spacing w:after="0" w:line="261" w:lineRule="auto"/>
        <w:tabs>
          <w:tab w:leader="none" w:pos="21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by the unitholder’s share of our income and any increases in such unitholder’s share of our liabilities, and (ii) decreased, but not below zero, by the amount of all distributions, the unitholder’s share of our losses, and any decreases in its share of our liabilities.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Distributions</w:t>
      </w:r>
    </w:p>
    <w:p>
      <w:pPr>
        <w:spacing w:after="0" w:line="94"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Distributions made by us to a unitholder generally will not be taxable to the unitholder, unless such distributions exceed the unitholder’s tax basis in its units, in which case the unitholder generally will recognize gain taxable in the manner described below under “— Disposition of Units.”</w:t>
      </w:r>
    </w:p>
    <w:p>
      <w:pPr>
        <w:spacing w:after="0" w:line="120" w:lineRule="exact"/>
        <w:rPr>
          <w:sz w:val="20"/>
          <w:szCs w:val="20"/>
          <w:color w:val="auto"/>
        </w:rPr>
      </w:pPr>
    </w:p>
    <w:p>
      <w:pPr>
        <w:ind w:right="660" w:firstLine="456"/>
        <w:spacing w:after="0" w:line="275" w:lineRule="auto"/>
        <w:rPr>
          <w:sz w:val="20"/>
          <w:szCs w:val="20"/>
          <w:color w:val="auto"/>
        </w:rPr>
      </w:pPr>
      <w:r>
        <w:rPr>
          <w:rFonts w:ascii="Times New Roman" w:cs="Times New Roman" w:eastAsia="Times New Roman" w:hAnsi="Times New Roman"/>
          <w:sz w:val="18"/>
          <w:szCs w:val="18"/>
          <w:color w:val="auto"/>
        </w:rPr>
        <w:t>Any reduction in a unitholder’s share of our liabilities will be treated as a distribution by us of cash to that unitholder. A decrease in a unitholder’s percentage interest in us because of our issuance of additional units may</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455" w:right="27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decrease the unitholder’s share of our liabilities. For purposes of the foregoing, a unitholder’s share of our nonrecourse liabilities (liabilities for which no partner bears the economic risk of loss) generally will be based upon that unitholder’s share of the unrealized appreciation (or depreciation) in our assets, to the extent thereof, with any excess liabilities allocated based on the unitholder’s share of our profits. Please read “Disposition of Units.”</w:t>
      </w:r>
    </w:p>
    <w:p>
      <w:pPr>
        <w:spacing w:after="0" w:line="132"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A non-pro rata distribution of money or property (including a deemed distribution as a result of a reallocation of our liabilities described above) may cause a unitholder to recognize ordinary income, if the distribution reduces the unitholder’s share of our “unrealized receivables,” including depreciation and depletion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generally will result in the unitholder’s recognition of ordinary income in an amount equal to the excess of (1) the non-pro rata portion of that distribution over (2) the unitholder’s tax basis (generally zero) in the Section 751 Assets deemed to be relinquished in the exchange.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Deductibility of Losses</w:t>
      </w:r>
    </w:p>
    <w:p>
      <w:pPr>
        <w:spacing w:after="0" w:line="94" w:lineRule="exact"/>
        <w:rPr>
          <w:sz w:val="20"/>
          <w:szCs w:val="20"/>
          <w:color w:val="auto"/>
        </w:rPr>
      </w:pPr>
    </w:p>
    <w:p>
      <w:pPr>
        <w:ind w:right="20" w:firstLine="456"/>
        <w:spacing w:after="0" w:line="290" w:lineRule="auto"/>
        <w:rPr>
          <w:sz w:val="20"/>
          <w:szCs w:val="20"/>
          <w:color w:val="auto"/>
        </w:rPr>
      </w:pPr>
      <w:r>
        <w:rPr>
          <w:rFonts w:ascii="Times New Roman" w:cs="Times New Roman" w:eastAsia="Times New Roman" w:hAnsi="Times New Roman"/>
          <w:sz w:val="16"/>
          <w:szCs w:val="16"/>
          <w:color w:val="auto"/>
        </w:rPr>
        <w:t>A unitholder may not be entitled to deduct the full amount of loss we allocate to it because its share of our losses will be limited to the lesser of (i) the unitholder’s tax basis in its units, and (ii) in the case of a unitholder that is an individual, estate, trust or certain types of closely-held corporations, the amount for which the unitholder is considered to be “at risk” with respect to our activities. In general, a unitholder will be at risk to the extent of its tax basis in its units, reduced by (1) any portion of that basis attributable to the unitholder’s share of our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1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Losses disallowed to a unitholder or recaptured as a result of basis or at risk limitations will carry forward and will be allowable as a deduction in a later year to the extent that the unitholder’s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w:t>
      </w:r>
    </w:p>
    <w:p>
      <w:pPr>
        <w:spacing w:after="0" w:line="13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addition to the basis and at risk limitations,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publicly-traded partnership. Consequently, any passive losses we generate will be available to offset only passive income generated by us, and will not be available to offset your income from other passive activities or investments, including your investments in other publicly traded partnerships (including PAA Natural Gas Storage, L.P.) or your salary, active business or other income. The application of the passive loss limitations to tiered partnerships is uncertain. However, we will take the position that any passive losses we generate that are reasonably allocable to our investment in any publicly-traded partnership (such as PAA Natural Gas Storage, L.P.) in which we own an interest are separate passive activities and will only be available to offset its separate passive income generated in the future, and will not be available to offset our income from any other passive activities.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40"/>
          </w:cols>
          <w:pgMar w:left="240" w:top="455" w:right="31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Interest Deductions</w:t>
      </w:r>
    </w:p>
    <w:p>
      <w:pPr>
        <w:spacing w:after="0" w:line="94" w:lineRule="exact"/>
        <w:rPr>
          <w:sz w:val="20"/>
          <w:szCs w:val="20"/>
          <w:color w:val="auto"/>
        </w:rPr>
      </w:pPr>
    </w:p>
    <w:p>
      <w:pPr>
        <w:ind w:right="620" w:firstLine="456"/>
        <w:spacing w:after="0" w:line="275" w:lineRule="auto"/>
        <w:rPr>
          <w:sz w:val="20"/>
          <w:szCs w:val="20"/>
          <w:color w:val="auto"/>
        </w:rPr>
      </w:pPr>
      <w:r>
        <w:rPr>
          <w:rFonts w:ascii="Times New Roman" w:cs="Times New Roman" w:eastAsia="Times New Roman" w:hAnsi="Times New Roman"/>
          <w:sz w:val="18"/>
          <w:szCs w:val="18"/>
          <w:color w:val="auto"/>
        </w:rPr>
        <w:t>The deductibility of a non-corporate taxpayer’s “investment interest expense” generally is limited to the amount of that taxpayer’s “net investment income.” Investment interest expense includes:</w:t>
      </w:r>
    </w:p>
    <w:p>
      <w:pPr>
        <w:spacing w:after="0" w:line="39" w:lineRule="exact"/>
        <w:rPr>
          <w:sz w:val="20"/>
          <w:szCs w:val="20"/>
          <w:color w:val="auto"/>
        </w:rPr>
      </w:pPr>
    </w:p>
    <w:p>
      <w:pPr>
        <w:ind w:left="440" w:hanging="324"/>
        <w:spacing w:after="0"/>
        <w:tabs>
          <w:tab w:leader="none" w:pos="4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indebtedness allocable to property held for investment;</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allocated against portfolio income; and</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interest expense incurred to purchase or carry an interest in a passive activity to the extent allocable against portfolio income.</w:t>
      </w:r>
    </w:p>
    <w:p>
      <w:pPr>
        <w:spacing w:after="0" w:line="17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generally does not include qualified dividend income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Entity-Level Collections of Unitholder Taxes</w:t>
      </w:r>
    </w:p>
    <w:p>
      <w:pPr>
        <w:spacing w:after="0" w:line="9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If we are required or elect under applicable law to pay any federal, state, local or non-U.S. tax on behalf of any current or former unitholder or our general partner, we are authorized to treat the payment as a distribution of cash to the relevant unitholder or general partner. Where the tax is payable on behalf of all the unitholders or we cannot determine the specific unitholder on whose behalf the tax is payable, we are authorized to treat the payment as a distribution to all current unitholders. Payments by us as described above could give rise to an overpayment of tax on behalf of a unitholder, in which event the unitholder may be entitled to claim a refund of the overpayment amount. Unitholders are urged to consult their tax advisors to determine the consequences to them of any tax payment we make on their behalf.</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Allocation of Income, Gain, Loss and Deduction</w:t>
      </w:r>
    </w:p>
    <w:p>
      <w:pPr>
        <w:spacing w:after="0" w:line="94"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In general, if we have a net profit, our items of income, gain, loss and deduction will be allocated among our unitholders in accordance with their percentage interests in us. If we have a net loss, our items of income, gain, loss and deduction will be allocated first among our unitholders in accordance with their percentage interests in us to the extent of their positive capital accounts and thereafter to our general partner. At any time that distributions are made with respect to common units or that incentive distributions are made to the general partner, gross income will be allocated to the recipients to the extent of such distributions.</w:t>
      </w:r>
    </w:p>
    <w:p>
      <w:pPr>
        <w:spacing w:after="0" w:line="13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Specified items of our income, gain, loss and deduction will be allocated under Section 704(c) of the Code to account for any difference between the tax basis and fair market value of our assets at the time such assets are contributed to us and at the time of any subsequent offering of our units (a “Book-Tax Disparity”). In addition, items of recapture income will be specially allocated to the extent possible to the unitholder who was allocated the deduction giving rise to that recapture income in order to minimize the recognition of ordinary income by other unitholders.</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Treatment of Securities Loans</w:t>
      </w:r>
    </w:p>
    <w:p>
      <w:pPr>
        <w:spacing w:after="0" w:line="94" w:lineRule="exact"/>
        <w:rPr>
          <w:sz w:val="20"/>
          <w:szCs w:val="20"/>
          <w:color w:val="auto"/>
        </w:rPr>
      </w:pPr>
    </w:p>
    <w:p>
      <w:pPr>
        <w:jc w:val="both"/>
        <w:ind w:right="120" w:firstLine="456"/>
        <w:spacing w:after="0" w:line="258" w:lineRule="auto"/>
        <w:rPr>
          <w:sz w:val="20"/>
          <w:szCs w:val="20"/>
          <w:color w:val="auto"/>
        </w:rPr>
      </w:pPr>
      <w:r>
        <w:rPr>
          <w:rFonts w:ascii="Times New Roman" w:cs="Times New Roman" w:eastAsia="Times New Roman" w:hAnsi="Times New Roman"/>
          <w:sz w:val="18"/>
          <w:szCs w:val="18"/>
          <w:color w:val="auto"/>
        </w:rPr>
        <w:t>A unitholder whose units are loaned (for example, to a “short seller” to cover a short sale of units) may be treated as having disposed of those units. If so, such unitholder would no longer be treated for tax purposes as a partner with respect to those units during the period of the loan and may recognize gain or loss from the disposition. As a result, during this period (i) any of our income, gain, loss or deduction allocated to those units would not be reportable by the lending unitholder, and (ii) any cash distributions received by the unitholder as to those units may be treated as ordinary income.</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60"/>
          </w:cols>
          <w:pgMar w:left="240" w:top="455" w:right="29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firstLine="456"/>
        <w:spacing w:after="0" w:line="301" w:lineRule="auto"/>
        <w:rPr>
          <w:sz w:val="20"/>
          <w:szCs w:val="20"/>
          <w:color w:val="auto"/>
        </w:rPr>
      </w:pPr>
      <w:r>
        <w:rPr>
          <w:rFonts w:ascii="Times New Roman" w:cs="Times New Roman" w:eastAsia="Times New Roman" w:hAnsi="Times New Roman"/>
          <w:sz w:val="16"/>
          <w:szCs w:val="16"/>
          <w:color w:val="auto"/>
        </w:rPr>
        <w:t>Due to a lack of controlling authority, Vinson &amp; Elkins L.L.P. has not rendered an opinion regarding the tax treatment of a unitholder that enters into a securities loan with respect to its units. Unitholders desiring to assure their status as partners and avoid the risk of income recognition from a loan of their units are urged to modify any applicable brokerage account agreements to prohibit their brokers from borrowing and lending their units. The IRS has announced that it is studying issues relating to the tax treatment of short sales of partnership interests. Please read “— Disposition of Units — Recognition of Gain or Loss.”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 Rates</w:t>
      </w:r>
    </w:p>
    <w:p>
      <w:pPr>
        <w:spacing w:after="0" w:line="9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Under current law, the highest marginal federal income tax rates for individuals applicable to ordinary income and long-term capital gains (generally, gains from the sale or exchange of certain investment assets held for more than one year) are 35% and 15%, respectively. However, absent new legislation extending the current rates, beginning January 1, 2013, the highest marginal federal income tax rate applicable to ordinary income and long-term capital gains of individuals will increase to 39.6% and 20%, respectively. These rates are subject to change by new legislation at any time.</w:t>
      </w:r>
    </w:p>
    <w:p>
      <w:pPr>
        <w:spacing w:after="0" w:line="136"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A 3.8% Medicare tax on certain investment income earned by individuals, estates, and trusts will apply for taxable years beginning after December 31, 2012. For these purposes,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married filing separately) or $200,000 (if the unitholder is unmarried). In the case of an estate or trust, the tax will be imposed on the lesser of (i) undistributed net investment income, or (ii) the excess adjusted gross income over the dollar amount at which the highest income tax bracket applicable to an estate or trust begins.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Section 754 Election</w:t>
      </w:r>
    </w:p>
    <w:p>
      <w:pPr>
        <w:spacing w:after="0" w:line="9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have made the election permitted by Section 754 of the Code that permits us to adjust the tax bases in our assets as to specific purchasers of our units under Section 743(b) of the Code. The Section 743(b) adjustment separately applies to each purchaser of units based upon the values and bases of our assets at the time of the relevant purchase, and the adjustment will reflect the purchase price paid. The Section 743(b) adjustment does not apply to a person who purchases units directly from us.</w:t>
      </w:r>
    </w:p>
    <w:p>
      <w:pPr>
        <w:spacing w:after="0" w:line="13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IRS may challenge the positions we adopt with respect to depreciating or amortizing the Section 743(b) adjustment we take to preserve the uniformity of units due to lack of controlling authority. Because a unitholder’s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 Disposition of Units — Recognition of Gain or Loss.” If a challenge to such treatment were sustained, the gain from the sale of units may be increased without the benefit of additional deductions.</w:t>
      </w:r>
    </w:p>
    <w:p>
      <w:pPr>
        <w:spacing w:after="0" w:line="13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calculations involved in the Section 754 election are complex and will be made on the basis of assumptions as to the value of our assets and other matters. The IRS could seek to reallocate some or all of any Section 743(b) adjustment we allocated to our assets subject to depreciation to goodwill or nondepreciable assets. Goodwill, as an intangible asset, is generally nonamortizable or amortizable over a longer period of time or under a less accelerated method than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Treatment of Operations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Accounting Method and Taxable Year</w:t>
      </w:r>
    </w:p>
    <w:p>
      <w:pPr>
        <w:spacing w:after="0" w:line="9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use the year ending December 31 as our taxable year and the accrual method of accounting for federal income tax purposes. Each unitholder will be required to include in income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one year of our income, gain, loss and deduction. Please read “— Disposition of Units — Allocations Between Transferors and Transferees.”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 Basis, Depreciation and Amortization</w:t>
      </w:r>
    </w:p>
    <w:p>
      <w:pPr>
        <w:spacing w:after="0" w:line="9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an offering generally will be borne by our partners holding interests in us prior to this offering. Please read “— Tax Consequences of Unit Ownership — Allocation of Income, Gain, Loss and Deduction.”</w:t>
      </w:r>
    </w:p>
    <w:p>
      <w:pPr>
        <w:spacing w:after="0" w:line="13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If we dispose of depreciable property by sale, foreclosure or otherwise, all or a portion of any gain, determined by reference to the amount of depreciation and depletion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 Tax Consequences of Unit Ownership — Allocation of Income, Gain, Loss and Deduction” and “— Disposition of Units — Recognition of Gain or Loss.”</w:t>
      </w:r>
    </w:p>
    <w:p>
      <w:pPr>
        <w:spacing w:after="0" w:line="139" w:lineRule="exact"/>
        <w:rPr>
          <w:sz w:val="20"/>
          <w:szCs w:val="20"/>
          <w:color w:val="auto"/>
        </w:rPr>
      </w:pPr>
    </w:p>
    <w:p>
      <w:pPr>
        <w:jc w:val="both"/>
        <w:ind w:right="180" w:firstLine="456"/>
        <w:spacing w:after="0" w:line="262" w:lineRule="auto"/>
        <w:rPr>
          <w:sz w:val="20"/>
          <w:szCs w:val="20"/>
          <w:color w:val="auto"/>
        </w:rPr>
      </w:pPr>
      <w:r>
        <w:rPr>
          <w:rFonts w:ascii="Times New Roman" w:cs="Times New Roman" w:eastAsia="Times New Roman" w:hAnsi="Times New Roman"/>
          <w:sz w:val="18"/>
          <w:szCs w:val="18"/>
          <w:color w:val="auto"/>
        </w:rPr>
        <w:t>The costs we incur in offering and selling our units (called “syndication expenses”) must be capitalized and cannot be deducted currently, ratably or upon our termination. While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Valuation and Tax Basis of Our Properties</w:t>
      </w:r>
    </w:p>
    <w:p>
      <w:pPr>
        <w:spacing w:after="0" w:line="9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basis are later found to be incorrect, the character and amount of items of income, gain, loss or deduction previously reported by unitholders could change, and unitholders could be required to adjust their tax liability for prior years and incur interest and penalties with respect to those adjustments.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 of Units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Recognition of Gain or Loss</w:t>
      </w:r>
    </w:p>
    <w:p>
      <w:pPr>
        <w:spacing w:after="0" w:line="94"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A unitholder will be required to recognize gain or loss on a sale of units equal to the difference between the unitholder’s amount realized and tax basis in the units sold. A unitholder’s amount realized generally will equal the sum of the cash or the fair market value of other property it receives plus its share of our liabilities with respect to such units. Because the amount realized includes a unitholder’s share of our liabilities, the gain recognized on the sale of units could result in a tax liability in excess of any cash received from the sale.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or depletion recapture. Ordinary income attributable to Section 751 Assets may exceed net taxable gain realized on the sale of a unit and may be recognized even if there is a net taxable loss realized on the sale of a unit. Thus, a unitholder may recognize both ordinary income and capital gain or loss upon a sale of units. Net capital loss may offset capital gains and, in the case of individuals, up to $3,000 of ordinary income per year.</w:t>
      </w:r>
    </w:p>
    <w:p>
      <w:pPr>
        <w:spacing w:after="0" w:line="139"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10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above, a unitholder will be unable to select high or low basis units to sell as would be the case with corporate stock, but, according to the Treasury Regulations, it may designate specific units sold for purposes of determining the holding period of units transferred. A unitholder electing to use the actual holding period of units transferred must consistently use that identification method for all subsequent sales or exchanges of our units. A unitholder considering the purchase of additional units or a sale of units purchased in separate transactions is urged to consult its tax advisor as to the possible consequences of this ruling and application of the Treasury Regulations.</w:t>
      </w:r>
    </w:p>
    <w:p>
      <w:pPr>
        <w:spacing w:after="0" w:line="139" w:lineRule="exact"/>
        <w:rPr>
          <w:sz w:val="20"/>
          <w:szCs w:val="20"/>
          <w:color w:val="auto"/>
        </w:rPr>
      </w:pPr>
    </w:p>
    <w:p>
      <w:pPr>
        <w:jc w:val="both"/>
        <w:ind w:right="480" w:firstLine="456"/>
        <w:spacing w:after="0" w:line="262" w:lineRule="auto"/>
        <w:rPr>
          <w:sz w:val="20"/>
          <w:szCs w:val="20"/>
          <w:color w:val="auto"/>
        </w:rPr>
      </w:pPr>
      <w:r>
        <w:rPr>
          <w:rFonts w:ascii="Times New Roman" w:cs="Times New Roman" w:eastAsia="Times New Roman" w:hAnsi="Times New Roman"/>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51" w:lineRule="exact"/>
        <w:rPr>
          <w:sz w:val="20"/>
          <w:szCs w:val="20"/>
          <w:color w:val="auto"/>
        </w:rPr>
      </w:pPr>
    </w:p>
    <w:p>
      <w:pPr>
        <w:ind w:left="440" w:hanging="324"/>
        <w:spacing w:after="0"/>
        <w:tabs>
          <w:tab w:leader="none" w:pos="4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 sale;</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offsetting notional principal contract; or</w:t>
      </w:r>
    </w:p>
    <w:p>
      <w:pPr>
        <w:spacing w:after="0" w:line="9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futures or forward contract with respect to the partnership interest or substantially identical property.</w:t>
      </w:r>
    </w:p>
    <w:p>
      <w:pPr>
        <w:spacing w:after="0" w:line="17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regulations that treat a taxpayer that enters into transactions or positions that have substantially the same effect as the preceding transactions as having constructively sold the financial position.</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Allocations Between Transferors and Transferee</w:t>
      </w:r>
    </w:p>
    <w:p>
      <w:pPr>
        <w:spacing w:after="0" w:line="94"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However,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Although simplifying conventions are contemplated by the Code and most publicly-traded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publicly-traded partnership may use a similar monthly simplifying convention to allocate tax items among transferor and transferee unitholders, although such tax items must be prorated on a daily basis. Nonetheless, the proposed regulations do not specifically authorize the use of the proration method we have adopted. Accordingly, Vinson &amp; Elkins L.L.P. is unable to opine on the validity of this method of allocating income and deductions between transferee and transferor unitholders. If this method is not allowed under the final Treasury Regulations, or only applies to transfers of less than all of the unitholder’s interest, our taxable income or losses could be reallocated among our unitholders. We are authorized to revise our method of allocation between transferee and transferor unitholders, as well as among unitholders whose interests vary during a taxable year, to conform to a method permitted under future Treasury Regulations.</w:t>
      </w:r>
    </w:p>
    <w:p>
      <w:pPr>
        <w:spacing w:after="0" w:line="143"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A unitholder who disposes of units prior to the record date set for a cash distribution for that quarter will be allocated items of our income, gain, loss and deduction attributable to the month of disposition but will not be entitled to receive a cash distribution for that period.</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Notification Requirements</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 unitholder who sells or purchases any of its units is generally required to notify us in writing of that transaction within 30 days after the transaction (or, if earlier, January 15 of the year following the transaction). Upon receiving such notifications, we are required to notify the IRS of that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through a broker who will satisfy such requirements.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Constructive Termination</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will be considered to have “constructively” terminated as a partnership for federal income tax purposes upon the sale or exchange of 50% or more of the total interests in our capital and profits within a twelve-month period. For such purposes, multiple sales of the same unit are counted only once. A constructive termination results in the closing of our taxable year for all unitholders. In the case of a unitholder reporting on a taxable year other than the calendar year, the closing of our taxable year may result in more than twelve months of our taxable income or loss being includable in such unitholder’s taxable income for the year of termination.</w:t>
      </w:r>
    </w:p>
    <w:p>
      <w:pPr>
        <w:spacing w:after="0" w:line="139"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A constructive termination occurring on a date other than December 31 generally would require that we file two tax returns for one fiscal year and the cost of the preparation of these returns will be borne by all unitholders. However, pursuant to an IRS relief procedure the IRS may allow, among other things, a constructively terminated partnership to provide a single Schedule K-1 for the calendar year in which a termination occurs. Following a constructive termination we would be required to make new tax elections, including a new election under Section 754 of the Code, and the termination would result in a deferral of our deductions for depreciation. A termination could also result in penalties if we were unable to determine that the termination had occurred. Moreover, a termination may either accelerate the application of, or subject us to, any tax legislation enacted before the termination that would not otherwise have been applied to us as a continuing as opposed to a terminating partnership.</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Uniformity of Units</w:t>
      </w:r>
    </w:p>
    <w:p>
      <w:pPr>
        <w:spacing w:after="0" w:line="94" w:lineRule="exact"/>
        <w:rPr>
          <w:sz w:val="20"/>
          <w:szCs w:val="20"/>
          <w:color w:val="auto"/>
        </w:rPr>
      </w:pPr>
    </w:p>
    <w:p>
      <w:pPr>
        <w:jc w:val="both"/>
        <w:ind w:right="160" w:firstLine="456"/>
        <w:spacing w:after="0" w:line="310" w:lineRule="auto"/>
        <w:rPr>
          <w:sz w:val="20"/>
          <w:szCs w:val="20"/>
          <w:color w:val="auto"/>
        </w:rPr>
      </w:pPr>
      <w:r>
        <w:rPr>
          <w:rFonts w:ascii="Times New Roman" w:cs="Times New Roman" w:eastAsia="Times New Roman" w:hAnsi="Times New Roman"/>
          <w:sz w:val="16"/>
          <w:szCs w:val="16"/>
          <w:color w:val="auto"/>
        </w:rPr>
        <w:t>Because we cannot match transferors and transferees of units and related reasons, we must maintain uniformity of the economic and tax characteristics of the units to a purchaser of these units. In the absence of uniformity, we may be unable to completely comply with a number of federal income tax requirements. Any non-uniformity could have a negative impact on the value of the units. Please read “— Tax Consequences of Unit Ownership — Section 754 Election.”</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455" w:right="2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00" w:firstLine="456"/>
        <w:spacing w:after="0" w:line="258" w:lineRule="auto"/>
        <w:rPr>
          <w:sz w:val="20"/>
          <w:szCs w:val="20"/>
          <w:color w:val="auto"/>
        </w:rPr>
      </w:pPr>
      <w:r>
        <w:rPr>
          <w:rFonts w:ascii="Times New Roman" w:cs="Times New Roman" w:eastAsia="Times New Roman" w:hAnsi="Times New Roman"/>
          <w:sz w:val="18"/>
          <w:szCs w:val="18"/>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validity of such filing positions.</w:t>
      </w:r>
    </w:p>
    <w:p>
      <w:pPr>
        <w:spacing w:after="0" w:line="13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 unitholder’s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 Disposition of Units — Recognition of Gain or Loss” above and “— Tax Consequences of Unit Ownership — Section 754 Election” above. The IRS may challenge one or more of any positions we take to preserve the uniformity of units. If such a challenge were sustained, the uniformity of units might be affected, and, under some circumstances, the gain from the sale of units might be increased without the benefit of additional deductions.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Tax-Exempt Organizations and Other Investors</w:t>
      </w:r>
    </w:p>
    <w:p>
      <w:pPr>
        <w:spacing w:after="0" w:line="94"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Ownership of units by employee benefit plans, other tax-exempt organizations, non-resident aliens, non-U.S. corporations and other non-U.S. persons raises issues unique to those investors and, as described below, may have substantially adverse tax consequences to them. Prospective unitholders that are tax-exempt entities or non-U.S. persons should consult their tax advisors before investing in our units. 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w:t>
      </w:r>
    </w:p>
    <w:p>
      <w:pPr>
        <w:spacing w:after="0" w:line="139" w:lineRule="exact"/>
        <w:rPr>
          <w:sz w:val="20"/>
          <w:szCs w:val="20"/>
          <w:color w:val="auto"/>
        </w:rPr>
      </w:pPr>
    </w:p>
    <w:p>
      <w:pPr>
        <w:ind w:right="20" w:firstLine="456"/>
        <w:spacing w:after="0" w:line="296" w:lineRule="auto"/>
        <w:rPr>
          <w:sz w:val="20"/>
          <w:szCs w:val="20"/>
          <w:color w:val="auto"/>
        </w:rPr>
      </w:pPr>
      <w:r>
        <w:rPr>
          <w:rFonts w:ascii="Times New Roman" w:cs="Times New Roman" w:eastAsia="Times New Roman" w:hAnsi="Times New Roman"/>
          <w:sz w:val="16"/>
          <w:szCs w:val="16"/>
          <w:color w:val="auto"/>
        </w:rPr>
        <w:t>Non-resident aliens and foreign corporations, trusts or estates that own units will be considered to be engaged in business in the United States because of their ownership of our units. Consequently, they will be required to file federal tax returns to report their share of our income, gain, loss or deduction and pay federal income tax at regular rates on their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applicable substitute form in order to obtain credit for these withholding taxes.</w:t>
      </w:r>
    </w:p>
    <w:p>
      <w:pPr>
        <w:spacing w:after="0" w:line="108"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addition, because a foreign corporation that owns units will be treated as engaged in a United States trade or business, that corporation may be subject to the U.S. branch profits tax at a rate of 30%, in addition to regular federal income tax, on its share of our income and gain, as adjusted for changes in the foreign corporation’s “U.S. net equity,” which is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39"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part or all of a non-U.S. unitholder’s gain may be treated as effectively connected with that unitholder’s indirect U.S. trade or business constituted by its investment in us. Moreover, under the Foreign Investment in Real Property Tax Act, a non-U.S. unitholder generally will be subject to federal income tax upon the sale or disposition of a unit if (i) it owned (directly or constructively applying certain attribution rules) more than 5% of our units at any time during the five-year period ending on the date of such disposition and (ii) 50% or more of the fair market value of all of our assets consisted of U.S. real property interests at any time during the shorter of the period during which such unitholder held the units or the 5-year period ending on the date of</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disposition. More than 50% of our assets may consist of U.S. real property interests. Therefore, non-U.S. unitholders may be subject to federal income tax on gain from the sale or disposition of their units.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Matters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Returns and Audit Procedures</w:t>
      </w:r>
    </w:p>
    <w:p>
      <w:pPr>
        <w:spacing w:after="0" w:line="9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3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the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136"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Publicly traded partnerships generally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w:t>
      </w:r>
    </w:p>
    <w:p>
      <w:pPr>
        <w:spacing w:after="0" w:line="13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may go forward, and each unitholder with an interest in the outcome may participate in that action.</w:t>
      </w:r>
    </w:p>
    <w:p>
      <w:pPr>
        <w:spacing w:after="0" w:line="139" w:lineRule="exact"/>
        <w:rPr>
          <w:sz w:val="20"/>
          <w:szCs w:val="20"/>
          <w:color w:val="auto"/>
        </w:rPr>
      </w:pPr>
    </w:p>
    <w:p>
      <w:pPr>
        <w:ind w:right="640" w:firstLine="456"/>
        <w:spacing w:after="0" w:line="339" w:lineRule="auto"/>
        <w:rPr>
          <w:sz w:val="20"/>
          <w:szCs w:val="20"/>
          <w:color w:val="auto"/>
        </w:rPr>
      </w:pPr>
      <w:r>
        <w:rPr>
          <w:rFonts w:ascii="Times New Roman" w:cs="Times New Roman" w:eastAsia="Times New Roman" w:hAnsi="Times New Roman"/>
          <w:sz w:val="16"/>
          <w:szCs w:val="16"/>
          <w:color w:val="auto"/>
        </w:rPr>
        <w:t>A unitholder must file a statement with the IRS identifying the treatment of any item on its federal income tax return that is not consistent with the treatment of the item on our return. Intentional or negligent disregard of this consistency requirement may subject a unitholder to substantial penalties.</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Nominee Reporting</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who hold an interest in us as a nominee for another person are required to furnish to us:</w:t>
      </w:r>
    </w:p>
    <w:p>
      <w:pPr>
        <w:spacing w:after="0" w:line="171" w:lineRule="exact"/>
        <w:rPr>
          <w:sz w:val="20"/>
          <w:szCs w:val="20"/>
          <w:color w:val="auto"/>
        </w:rPr>
      </w:pPr>
    </w:p>
    <w:p>
      <w:pPr>
        <w:ind w:left="720" w:hanging="256"/>
        <w:spacing w:after="0"/>
        <w:tabs>
          <w:tab w:leader="none" w:pos="7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address and taxpayer identification number of the beneficial owner and the nominee;</w:t>
      </w:r>
    </w:p>
    <w:p>
      <w:pPr>
        <w:spacing w:after="0" w:line="17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regarding whether the beneficial owner is:</w:t>
      </w:r>
    </w:p>
    <w:p>
      <w:pPr>
        <w:spacing w:after="0" w:line="171" w:lineRule="exact"/>
        <w:rPr>
          <w:rFonts w:ascii="Times New Roman" w:cs="Times New Roman" w:eastAsia="Times New Roman" w:hAnsi="Times New Roman"/>
          <w:sz w:val="18"/>
          <w:szCs w:val="18"/>
          <w:color w:val="auto"/>
        </w:rPr>
      </w:pPr>
    </w:p>
    <w:p>
      <w:pPr>
        <w:ind w:left="1140" w:hanging="237"/>
        <w:spacing w:after="0"/>
        <w:tabs>
          <w:tab w:leader="none" w:pos="11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person;</w:t>
      </w:r>
    </w:p>
    <w:p>
      <w:pPr>
        <w:spacing w:after="0" w:line="171"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government, an international organization or any wholly owned agency or instrumentality of either of the foregoing; or</w:t>
      </w:r>
    </w:p>
    <w:p>
      <w:pPr>
        <w:spacing w:after="0" w:line="157"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455" w:right="2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140" w:hanging="237"/>
        <w:spacing w:after="0"/>
        <w:tabs>
          <w:tab w:leader="none" w:pos="11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w:t>
      </w:r>
    </w:p>
    <w:p>
      <w:pPr>
        <w:spacing w:after="0" w:line="17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description of units held, acquired or transferred for the beneficial owner; and</w:t>
      </w:r>
    </w:p>
    <w:p>
      <w:pPr>
        <w:spacing w:after="0" w:line="171" w:lineRule="exact"/>
        <w:rPr>
          <w:rFonts w:ascii="Times New Roman" w:cs="Times New Roman" w:eastAsia="Times New Roman" w:hAnsi="Times New Roman"/>
          <w:sz w:val="18"/>
          <w:szCs w:val="18"/>
          <w:color w:val="auto"/>
        </w:rPr>
      </w:pPr>
    </w:p>
    <w:p>
      <w:pPr>
        <w:ind w:right="60" w:firstLine="464"/>
        <w:spacing w:after="0" w:line="275" w:lineRule="auto"/>
        <w:tabs>
          <w:tab w:leader="none" w:pos="70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information including the dates of acquisitions and transfers, means of acquisitions and transfers, and acquisition cost for purchases, as well as the amount of net proceeds from sales.</w:t>
      </w:r>
    </w:p>
    <w:p>
      <w:pPr>
        <w:spacing w:after="0" w:line="120"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Brokers and financial institutions are required to furnish additional information, including whether they are U.S. persons and specific information on units they acquire, hold or transfer for their own account. A penalty of $100 per failure, up to a maximum of $1.5 million per calendar year, is imposed by the Code for failure to report that information to us. The nominee is required to supply the beneficial owner of the units with the information furnished to us.</w:t>
      </w:r>
    </w:p>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Accuracy-Related Penalties</w:t>
      </w:r>
    </w:p>
    <w:p>
      <w:pPr>
        <w:spacing w:after="0" w:line="94"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An additional tax equal to 20% of the amount of any portion of an underpayment of tax that is attributable to one or more specified causes, including negligence or disregard of rules or regulations, substantial understatements of income tax and substantial valuation misstatements, is imposed by the Code. No penalty will be imposed, however, for any portion of an underpayment if it is shown that there was a reasonable cause for the underpayment of that portion and that the taxpayer acted in good faith regarding the underpayment of that portion.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Local and Other Tax Considerations</w:t>
      </w:r>
    </w:p>
    <w:p>
      <w:pPr>
        <w:spacing w:after="0" w:line="94"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currently conduct business or own property in a number of states in the United States. Most of these states impose a personal income tax and an income tax on corporations and other entities. Moreover, we may also own property or do business in other states in the future that impose income or similar taxes on nonresident individuals. Although an analysis of those various taxes is not presented here, each prospective unitholder should consider their potential impact on its investment in us.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of Ownership of Debt Securities</w:t>
      </w:r>
    </w:p>
    <w:p>
      <w:pPr>
        <w:spacing w:after="0" w:line="9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118"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It is the responsibility of each unitholder to investigate the legal and tax consequences, under the laws of pertinent states and localities, of its investment in us. Vinson &amp; Elkins L.L.P. has not rendered an opinion on the state, local, or non-U.S. tax consequences of an investment in us. We strongly recommend that each prospective unitholder consult, and depend on, its own tax counsel or other advisor with regard to those matters. It is the responsibility of each unitholder to file all tax returns that may be required of it.</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80"/>
          </w:cols>
          <w:pgMar w:left="240" w:top="455" w:right="27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Under this prospectus, we intend to offer our securities to the public:</w:t>
      </w:r>
    </w:p>
    <w:p>
      <w:pPr>
        <w:spacing w:after="0" w:line="90" w:lineRule="exact"/>
        <w:rPr>
          <w:sz w:val="20"/>
          <w:szCs w:val="20"/>
          <w:color w:val="auto"/>
        </w:rPr>
      </w:pPr>
    </w:p>
    <w:p>
      <w:pPr>
        <w:ind w:left="900" w:hanging="325"/>
        <w:spacing w:after="0"/>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broker-dealers;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investors.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fix a price or prices of our securities at:</w:t>
      </w:r>
    </w:p>
    <w:p>
      <w:pPr>
        <w:spacing w:after="0" w:line="90" w:lineRule="exact"/>
        <w:rPr>
          <w:sz w:val="20"/>
          <w:szCs w:val="20"/>
          <w:color w:val="auto"/>
        </w:rPr>
      </w:pPr>
    </w:p>
    <w:p>
      <w:pPr>
        <w:ind w:left="900" w:hanging="325"/>
        <w:spacing w:after="0"/>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any sale under this registration statement;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market prices;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may change the price of the securities offered from time to time.</w:t>
      </w:r>
    </w:p>
    <w:p>
      <w:pPr>
        <w:spacing w:after="0" w:line="171"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We will pay or allow distributors’ or sellers’ commissions that will not exceed those customary in the types of transactions involved. Broker-dealers may act as agent or may purchase securities as principal and thereafter resell the securities from time to time:</w:t>
      </w:r>
    </w:p>
    <w:p>
      <w:pPr>
        <w:spacing w:after="0" w:line="39" w:lineRule="exact"/>
        <w:rPr>
          <w:sz w:val="20"/>
          <w:szCs w:val="20"/>
          <w:color w:val="auto"/>
        </w:rPr>
      </w:pPr>
    </w:p>
    <w:p>
      <w:pPr>
        <w:ind w:left="900" w:hanging="325"/>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 through one or more transactions (which may involve crosses and block transactions) or distributions;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New York Stock Exchange;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 transactions.</w:t>
      </w:r>
    </w:p>
    <w:p>
      <w:pPr>
        <w:spacing w:after="0" w:line="17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36" w:lineRule="exact"/>
        <w:rPr>
          <w:sz w:val="20"/>
          <w:szCs w:val="20"/>
          <w:color w:val="auto"/>
        </w:rPr>
      </w:pPr>
    </w:p>
    <w:p>
      <w:pPr>
        <w:ind w:right="40" w:firstLine="456"/>
        <w:spacing w:after="0" w:line="296" w:lineRule="auto"/>
        <w:rPr>
          <w:sz w:val="20"/>
          <w:szCs w:val="20"/>
          <w:color w:val="auto"/>
        </w:rPr>
      </w:pPr>
      <w:r>
        <w:rPr>
          <w:rFonts w:ascii="Times New Roman" w:cs="Times New Roman" w:eastAsia="Times New Roman" w:hAnsi="Times New Roman"/>
          <w:sz w:val="16"/>
          <w:szCs w:val="16"/>
          <w:color w:val="auto"/>
        </w:rPr>
        <w:t>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108"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32"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455" w:right="2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120"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120"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120"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3"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validity of the securities offered in this prospectus will be passed upon for us by Vinson &amp; Elkins L.L.P., Houston, Texas. Vinson &amp; Elkins L.L.P. will also render an opinion on the material federal income tax considerations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3"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2011, have been incorporated in reliance on the report of PricewaterhouseCoopers LLP, an independent registered public accounting firm, given on the authority of said firm as experts in auditing and accounting.</w:t>
      </w:r>
    </w:p>
    <w:p>
      <w:pPr>
        <w:spacing w:after="0" w:line="13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audited consolidated financial statements of Project Argyle, a business owned by BP p.l.c. and affiliates, as of December 31, 2011 and for the years ended December 31, 2010 and 2011, incorporated by reference into this prospectus from our Current Report on Form 8-K/A filed with the SEC on May 29, 2012, have been so incorporated by reference in reliance upon the report of Ernst &amp; Young, LLP, independent registered public accountants, given upon the authority of said firm as experts in accounting and auditing in giving said report.</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455" w:right="279" w:bottom="1440" w:gutter="0" w:footer="0" w:header="0"/>
        </w:sectPr>
      </w:pPr>
    </w:p>
    <w:bookmarkStart w:id="82" w:name="page83"/>
    <w:bookmarkEnd w:id="8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283845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464185</wp:posOffset>
            </wp:positionV>
            <wp:extent cx="1697990" cy="5403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97990" cy="540385"/>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32"/>
          <w:szCs w:val="32"/>
          <w:b w:val="1"/>
          <w:bCs w:val="1"/>
          <w:color w:val="auto"/>
        </w:rPr>
        <w:t>$700,000,000 4.70% Senior Notes due 2044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165100</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5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April 15,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161925</wp:posOffset>
            </wp:positionV>
            <wp:extent cx="728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i w:val="1"/>
          <w:iCs w:val="1"/>
          <w:color w:val="auto"/>
        </w:rPr>
        <w:t>Joint Book-Running Managers</w:t>
      </w:r>
    </w:p>
    <w:p>
      <w:pPr>
        <w:spacing w:after="0" w:line="11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43"/>
          <w:szCs w:val="43"/>
          <w:b w:val="1"/>
          <w:bCs w:val="1"/>
          <w:color w:val="auto"/>
        </w:rPr>
        <w:t>Citigroup</w:t>
      </w:r>
    </w:p>
    <w:p>
      <w:pPr>
        <w:spacing w:after="0" w:line="6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43"/>
          <w:szCs w:val="43"/>
          <w:b w:val="1"/>
          <w:bCs w:val="1"/>
          <w:color w:val="auto"/>
        </w:rPr>
        <w:t>SunTrust Robinson Humphrey</w:t>
      </w:r>
    </w:p>
    <w:p>
      <w:pPr>
        <w:spacing w:after="0" w:line="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43"/>
          <w:szCs w:val="43"/>
          <w:b w:val="1"/>
          <w:bCs w:val="1"/>
          <w:color w:val="auto"/>
        </w:rPr>
        <w:t>UBS Investment Bank</w:t>
      </w:r>
    </w:p>
    <w:p>
      <w:pPr>
        <w:spacing w:after="0" w:line="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43"/>
          <w:szCs w:val="43"/>
          <w:b w:val="1"/>
          <w:bCs w:val="1"/>
          <w:color w:val="auto"/>
        </w:rPr>
        <w:t>Wells Fargo Securities</w:t>
      </w:r>
    </w:p>
    <w:p>
      <w:pPr>
        <w:spacing w:after="0" w:line="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43"/>
          <w:szCs w:val="43"/>
          <w:b w:val="1"/>
          <w:bCs w:val="1"/>
          <w:color w:val="auto"/>
        </w:rPr>
        <w:t>Mitsubishi UFJ Securities</w:t>
      </w:r>
    </w:p>
    <w:p>
      <w:pPr>
        <w:spacing w:after="0" w:line="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43"/>
          <w:szCs w:val="43"/>
          <w:b w:val="1"/>
          <w:bCs w:val="1"/>
          <w:color w:val="auto"/>
        </w:rPr>
        <w:t>Scotiabank</w:t>
      </w:r>
    </w:p>
    <w:p>
      <w:pPr>
        <w:spacing w:after="0" w:line="11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i w:val="1"/>
          <w:iCs w:val="1"/>
          <w:color w:val="auto"/>
        </w:rPr>
        <w:t>Co-Managers</w:t>
      </w:r>
    </w:p>
    <w:p>
      <w:pPr>
        <w:spacing w:after="0" w:line="12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32"/>
          <w:szCs w:val="32"/>
          <w:b w:val="1"/>
          <w:bCs w:val="1"/>
          <w:color w:val="auto"/>
        </w:rPr>
        <w:t>BBVA</w:t>
      </w:r>
    </w:p>
    <w:p>
      <w:pPr>
        <w:spacing w:after="0" w:line="3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32"/>
          <w:szCs w:val="32"/>
          <w:b w:val="1"/>
          <w:bCs w:val="1"/>
          <w:color w:val="auto"/>
        </w:rPr>
        <w:t>SMBC Nikko</w:t>
      </w:r>
    </w:p>
    <w:p>
      <w:pPr>
        <w:jc w:val="center"/>
        <w:ind w:right="-1200"/>
        <w:spacing w:after="0" w:line="237" w:lineRule="auto"/>
        <w:rPr>
          <w:sz w:val="20"/>
          <w:szCs w:val="20"/>
          <w:color w:val="auto"/>
        </w:rPr>
      </w:pPr>
      <w:r>
        <w:rPr>
          <w:rFonts w:ascii="Times New Roman" w:cs="Times New Roman" w:eastAsia="Times New Roman" w:hAnsi="Times New Roman"/>
          <w:sz w:val="32"/>
          <w:szCs w:val="32"/>
          <w:b w:val="1"/>
          <w:bCs w:val="1"/>
          <w:color w:val="auto"/>
        </w:rPr>
        <w:t>CIBC</w:t>
      </w:r>
    </w:p>
    <w:p>
      <w:pPr>
        <w:jc w:val="center"/>
        <w:ind w:right="-1200"/>
        <w:spacing w:after="0" w:line="238" w:lineRule="auto"/>
        <w:rPr>
          <w:sz w:val="20"/>
          <w:szCs w:val="20"/>
          <w:color w:val="auto"/>
        </w:rPr>
      </w:pPr>
      <w:r>
        <w:rPr>
          <w:rFonts w:ascii="Times New Roman" w:cs="Times New Roman" w:eastAsia="Times New Roman" w:hAnsi="Times New Roman"/>
          <w:sz w:val="32"/>
          <w:szCs w:val="32"/>
          <w:b w:val="1"/>
          <w:bCs w:val="1"/>
          <w:color w:val="auto"/>
        </w:rPr>
        <w:t>Fifth Third Securities</w:t>
      </w:r>
    </w:p>
    <w:p>
      <w:pPr>
        <w:jc w:val="center"/>
        <w:ind w:right="-1200"/>
        <w:spacing w:after="0" w:line="238" w:lineRule="auto"/>
        <w:rPr>
          <w:sz w:val="20"/>
          <w:szCs w:val="20"/>
          <w:color w:val="auto"/>
        </w:rPr>
      </w:pPr>
      <w:r>
        <w:rPr>
          <w:rFonts w:ascii="Times New Roman" w:cs="Times New Roman" w:eastAsia="Times New Roman" w:hAnsi="Times New Roman"/>
          <w:sz w:val="32"/>
          <w:szCs w:val="32"/>
          <w:b w:val="1"/>
          <w:bCs w:val="1"/>
          <w:color w:val="auto"/>
        </w:rPr>
        <w:t>ING</w:t>
      </w:r>
    </w:p>
    <w:p>
      <w:pPr>
        <w:jc w:val="center"/>
        <w:ind w:right="-1200"/>
        <w:spacing w:after="0" w:line="238" w:lineRule="auto"/>
        <w:rPr>
          <w:sz w:val="20"/>
          <w:szCs w:val="20"/>
          <w:color w:val="auto"/>
        </w:rPr>
      </w:pPr>
      <w:r>
        <w:rPr>
          <w:rFonts w:ascii="Times New Roman" w:cs="Times New Roman" w:eastAsia="Times New Roman" w:hAnsi="Times New Roman"/>
          <w:sz w:val="32"/>
          <w:szCs w:val="32"/>
          <w:b w:val="1"/>
          <w:bCs w:val="1"/>
          <w:color w:val="auto"/>
        </w:rPr>
        <w:t>PNC Capital Markets LLC</w:t>
      </w:r>
    </w:p>
    <w:p>
      <w:pPr>
        <w:jc w:val="center"/>
        <w:ind w:right="-1200"/>
        <w:spacing w:after="0" w:line="238" w:lineRule="auto"/>
        <w:rPr>
          <w:sz w:val="20"/>
          <w:szCs w:val="20"/>
          <w:color w:val="auto"/>
        </w:rPr>
      </w:pPr>
      <w:r>
        <w:rPr>
          <w:rFonts w:ascii="Times New Roman" w:cs="Times New Roman" w:eastAsia="Times New Roman" w:hAnsi="Times New Roman"/>
          <w:sz w:val="32"/>
          <w:szCs w:val="32"/>
          <w:b w:val="1"/>
          <w:bCs w:val="1"/>
          <w:color w:val="auto"/>
        </w:rPr>
        <w:t>Regions Securities LLC</w:t>
      </w:r>
    </w:p>
    <w:p>
      <w:pPr>
        <w:jc w:val="center"/>
        <w:ind w:right="-1200"/>
        <w:spacing w:after="0"/>
        <w:rPr>
          <w:sz w:val="20"/>
          <w:szCs w:val="20"/>
          <w:color w:val="auto"/>
        </w:rPr>
      </w:pPr>
      <w:r>
        <w:rPr>
          <w:rFonts w:ascii="Times New Roman" w:cs="Times New Roman" w:eastAsia="Times New Roman" w:hAnsi="Times New Roman"/>
          <w:sz w:val="32"/>
          <w:szCs w:val="32"/>
          <w:b w:val="1"/>
          <w:bCs w:val="1"/>
          <w:color w:val="auto"/>
        </w:rPr>
        <w:t>US Bancorp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724C67E"/>
    <w:multiLevelType w:val="hybridMultilevel"/>
    <w:lvl w:ilvl="0">
      <w:lvlJc w:val="left"/>
      <w:lvlText w:val="(%1)"/>
      <w:numFmt w:val="decimal"/>
      <w:start w:val="1"/>
    </w:lvl>
  </w:abstractNum>
  <w:abstractNum w:abstractNumId="1">
    <w:nsid w:val="5C482A97"/>
    <w:multiLevelType w:val="hybridMultilevel"/>
    <w:lvl w:ilvl="0">
      <w:lvlJc w:val="left"/>
      <w:lvlText w:val="(%1)"/>
      <w:numFmt w:val="decimal"/>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1)"/>
      <w:numFmt w:val="decimal"/>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1)"/>
      <w:numFmt w:val="decimal"/>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lvl w:ilvl="1">
      <w:lvlJc w:val="left"/>
      <w:lvlText w:val="•"/>
      <w:numFmt w:val="bullet"/>
      <w:start w:val="1"/>
    </w:lvl>
  </w:abstractNum>
  <w:abstractNum w:abstractNumId="13">
    <w:nsid w:val="725A06FB"/>
    <w:multiLevelType w:val="hybridMultilevel"/>
    <w:lvl w:ilvl="0">
      <w:lvlJc w:val="left"/>
      <w:lvlText w:val="•"/>
      <w:numFmt w:val="bullet"/>
      <w:start w:val="1"/>
    </w:lvl>
    <w:lvl w:ilvl="1">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1)"/>
      <w:numFmt w:val="decimal"/>
      <w:start w:val="1"/>
    </w:lvl>
    <w:lvl w:ilvl="1">
      <w:lvlJc w:val="left"/>
      <w:lvlText w:val="(%2)"/>
      <w:numFmt w:val="lowerLetter"/>
      <w:start w:val="1"/>
    </w:lvl>
  </w:abstractNum>
  <w:abstractNum w:abstractNumId="20">
    <w:nsid w:val="38437FDB"/>
    <w:multiLevelType w:val="hybridMultilevel"/>
    <w:lvl w:ilvl="0">
      <w:lvlJc w:val="left"/>
      <w:lvlText w:val="(%1)"/>
      <w:numFmt w:val="decimal"/>
      <w:start w:val="1"/>
    </w:lvl>
  </w:abstractNum>
  <w:abstractNum w:abstractNumId="21">
    <w:nsid w:val="7644A45C"/>
    <w:multiLevelType w:val="hybridMultilevel"/>
    <w:lvl w:ilvl="0">
      <w:lvlJc w:val="left"/>
      <w:lvlText w:val="(%1)"/>
      <w:numFmt w:val="decimal"/>
      <w:start w:val="3"/>
    </w:lvl>
  </w:abstractNum>
  <w:abstractNum w:abstractNumId="22">
    <w:nsid w:val="32FFF902"/>
    <w:multiLevelType w:val="hybridMultilevel"/>
    <w:lvl w:ilvl="0">
      <w:lvlJc w:val="left"/>
      <w:lvlText w:val="(%1)"/>
      <w:numFmt w:val="decimal"/>
      <w:start w:val="17"/>
    </w:lvl>
  </w:abstractNum>
  <w:abstractNum w:abstractNumId="23">
    <w:nsid w:val="684A481A"/>
    <w:multiLevelType w:val="hybridMultilevel"/>
    <w:lvl w:ilvl="0">
      <w:lvlJc w:val="left"/>
      <w:lvlText w:val="(%1)"/>
      <w:numFmt w:val="decimal"/>
      <w:start w:val="1"/>
    </w:lvl>
  </w:abstractNum>
  <w:abstractNum w:abstractNumId="24">
    <w:nsid w:val="579478FE"/>
    <w:multiLevelType w:val="hybridMultilevel"/>
    <w:lvl w:ilvl="0">
      <w:lvlJc w:val="left"/>
      <w:lvlText w:val="(%1)"/>
      <w:numFmt w:val="decimal"/>
      <w:start w:val="1"/>
    </w:lvl>
  </w:abstractNum>
  <w:abstractNum w:abstractNumId="25">
    <w:nsid w:val="749ABB43"/>
    <w:multiLevelType w:val="hybridMultilevel"/>
    <w:lvl w:ilvl="0">
      <w:lvlJc w:val="left"/>
      <w:lvlText w:val="(%1)"/>
      <w:numFmt w:val="decimal"/>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1)"/>
      <w:numFmt w:val="decimal"/>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1)"/>
      <w:numFmt w:val="lowerLetter"/>
      <w:start w:val="1"/>
    </w:lvl>
    <w:lvl w:ilvl="1">
      <w:lvlJc w:val="left"/>
      <w:lvlText w:val="(%2)"/>
      <w:numFmt w:val="decimal"/>
      <w:start w:val="1"/>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
      <w:numFmt w:val="bullet"/>
      <w:start w:val="1"/>
    </w:lvl>
  </w:abstractNum>
  <w:abstractNum w:abstractNumId="53">
    <w:nsid w:val="310C50B3"/>
    <w:multiLevelType w:val="hybridMultilevel"/>
    <w:lvl w:ilvl="0">
      <w:lvlJc w:val="left"/>
      <w:lvlText w:val="•"/>
      <w:numFmt w:val="bullet"/>
      <w:start w:val="1"/>
    </w:lvl>
  </w:abstractNum>
  <w:abstractNum w:abstractNumId="54">
    <w:nsid w:val="5FF87E05"/>
    <w:multiLevelType w:val="hybridMultilevel"/>
    <w:lvl w:ilvl="0">
      <w:lvlJc w:val="left"/>
      <w:lvlText w:val="•"/>
      <w:numFmt w:val="bullet"/>
      <w:start w:val="1"/>
    </w:lvl>
  </w:abstractNum>
  <w:abstractNum w:abstractNumId="55">
    <w:nsid w:val="2F305DEF"/>
    <w:multiLevelType w:val="hybridMultilevel"/>
    <w:lvl w:ilvl="0">
      <w:lvlJc w:val="left"/>
      <w:lvlText w:val="•"/>
      <w:numFmt w:val="bullet"/>
      <w:start w:val="1"/>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
      <w:numFmt w:val="bullet"/>
      <w:start w:val="1"/>
    </w:lvl>
  </w:abstractNum>
  <w:abstractNum w:abstractNumId="61">
    <w:nsid w:val="5DB70AE5"/>
    <w:multiLevelType w:val="hybridMultilevel"/>
    <w:lvl w:ilvl="0">
      <w:lvlJc w:val="left"/>
      <w:lvlText w:val="•"/>
      <w:numFmt w:val="bullet"/>
      <w:start w:val="1"/>
    </w:lvl>
  </w:abstractNum>
  <w:abstractNum w:abstractNumId="62">
    <w:nsid w:val="100F8FCA"/>
    <w:multiLevelType w:val="hybridMultilevel"/>
    <w:lvl w:ilvl="0">
      <w:lvlJc w:val="left"/>
      <w:lvlText w:val="(%1)"/>
      <w:numFmt w:val="decimal"/>
      <w:start w:val="2"/>
    </w:lvl>
  </w:abstractNum>
  <w:abstractNum w:abstractNumId="63">
    <w:nsid w:val="6590700B"/>
    <w:multiLevelType w:val="hybridMultilevel"/>
    <w:lvl w:ilvl="0">
      <w:lvlJc w:val="left"/>
      <w:lvlText w:val="(%1)"/>
      <w:numFmt w:val="lowerLetter"/>
      <w:start w:val="1"/>
    </w:lvl>
  </w:abstractNum>
  <w:abstractNum w:abstractNumId="64">
    <w:nsid w:val="15014ACB"/>
    <w:multiLevelType w:val="hybridMultilevel"/>
    <w:lvl w:ilvl="0">
      <w:lvlJc w:val="left"/>
      <w:lvlText w:val="•"/>
      <w:numFmt w:val="bullet"/>
      <w:start w:val="1"/>
    </w:lvl>
  </w:abstractNum>
  <w:abstractNum w:abstractNumId="65">
    <w:nsid w:val="5F5E7FD0"/>
    <w:multiLevelType w:val="hybridMultilevel"/>
    <w:lvl w:ilvl="0">
      <w:lvlJc w:val="left"/>
      <w:lvlText w:val="(%1)"/>
      <w:numFmt w:val="lowerRoman"/>
      <w:start w:val="1"/>
    </w:lvl>
  </w:abstractNum>
  <w:abstractNum w:abstractNumId="66">
    <w:nsid w:val="98A3148"/>
    <w:multiLevelType w:val="hybridMultilevel"/>
    <w:lvl w:ilvl="0">
      <w:lvlJc w:val="left"/>
      <w:lvlText w:val="•"/>
      <w:numFmt w:val="bullet"/>
      <w:start w:val="1"/>
    </w:lvl>
  </w:abstractNum>
  <w:abstractNum w:abstractNumId="67">
    <w:nsid w:val="799D0247"/>
    <w:multiLevelType w:val="hybridMultilevel"/>
    <w:lvl w:ilvl="0">
      <w:lvlJc w:val="left"/>
      <w:lvlText w:val="•"/>
      <w:numFmt w:val="bullet"/>
      <w:start w:val="1"/>
    </w:lvl>
  </w:abstractNum>
  <w:abstractNum w:abstractNumId="68">
    <w:nsid w:val="6B94764"/>
    <w:multiLevelType w:val="hybridMultilevel"/>
    <w:lvl w:ilvl="0">
      <w:lvlJc w:val="left"/>
      <w:lvlText w:val="(%1)"/>
      <w:numFmt w:val="decimal"/>
      <w:start w:val="1"/>
    </w:lvl>
    <w:lvl w:ilvl="1">
      <w:lvlJc w:val="left"/>
      <w:lvlText w:val="(%2)"/>
      <w:numFmt w:val="lowerLetter"/>
      <w:start w:val="1"/>
    </w:lvl>
  </w:abstractNum>
  <w:abstractNum w:abstractNumId="69">
    <w:nsid w:val="42C296BD"/>
    <w:multiLevelType w:val="hybridMultilevel"/>
    <w:lvl w:ilvl="0">
      <w:lvlJc w:val="left"/>
      <w:lvlText w:val="%1"/>
      <w:numFmt w:val="decimal"/>
      <w:start w:val="1"/>
    </w:lvl>
    <w:lvl w:ilvl="1">
      <w:lvlJc w:val="left"/>
      <w:lvlText w:val="(%2)"/>
      <w:numFmt w:val="lowerLetter"/>
      <w:start w:val="3"/>
    </w:lvl>
  </w:abstractNum>
  <w:abstractNum w:abstractNumId="70">
    <w:nsid w:val="168E121F"/>
    <w:multiLevelType w:val="hybridMultilevel"/>
    <w:lvl w:ilvl="0">
      <w:lvlJc w:val="left"/>
      <w:lvlText w:val="(%1)"/>
      <w:numFmt w:val="decimal"/>
      <w:start w:val="3"/>
    </w:lvl>
    <w:lvl w:ilvl="1">
      <w:lvlJc w:val="left"/>
      <w:lvlText w:val="%2"/>
      <w:numFmt w:val="lowerLetter"/>
      <w:start w:val="1"/>
    </w:lvl>
  </w:abstractNum>
  <w:abstractNum w:abstractNumId="71">
    <w:nsid w:val="1EBA5D23"/>
    <w:multiLevelType w:val="hybridMultilevel"/>
    <w:lvl w:ilvl="0">
      <w:lvlJc w:val="left"/>
      <w:lvlText w:val="•"/>
      <w:numFmt w:val="bullet"/>
      <w:start w:val="1"/>
    </w:lvl>
  </w:abstractNum>
  <w:abstractNum w:abstractNumId="72">
    <w:nsid w:val="661E3F1E"/>
    <w:multiLevelType w:val="hybridMultilevel"/>
    <w:lvl w:ilvl="0">
      <w:lvlJc w:val="left"/>
      <w:lvlText w:val="•"/>
      <w:numFmt w:val="bullet"/>
      <w:start w:val="1"/>
    </w:lvl>
  </w:abstractNum>
  <w:abstractNum w:abstractNumId="73">
    <w:nsid w:val="5DC79E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2020-01-27T00:51:33Z</dcterms:created>
  <dcterms:modified xsi:type="dcterms:W3CDTF">2020-01-27T00:51:33Z</dcterms:modified>
</cp:coreProperties>
</file>