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edgar.xml.htm"/>
      <w:bookmarkStart w:id="1" w:name="ksedgar"/>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PAA GP Holdings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STE. 1600</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PLAINS ALL AMERICAN PIPELINE LP</w:t>
              </w:r>
            </w:hyperlink>
            <w:r>
              <w:rPr/>
              <w:t xml:space="preserve"> [ </w:t>
            </w:r>
            <w:r>
              <w:rPr>
                <w:rFonts w:ascii="Times;serif" w:hAnsi="Times;serif"/>
                <w:color w:val="0000FF"/>
                <w:sz w:val="24"/>
                <w:highlight w:val="white"/>
              </w:rPr>
              <w:t>PAA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1"/>
              <w:gridCol w:w="1030"/>
              <w:gridCol w:w="441"/>
              <w:gridCol w:w="1030"/>
            </w:tblGrid>
            <w:tr>
              <w:trPr/>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05/29/2019</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063"/>
        <w:gridCol w:w="913"/>
        <w:gridCol w:w="784"/>
        <w:gridCol w:w="661"/>
        <w:gridCol w:w="286"/>
        <w:gridCol w:w="1149"/>
        <w:gridCol w:w="426"/>
        <w:gridCol w:w="592"/>
        <w:gridCol w:w="1443"/>
        <w:gridCol w:w="968"/>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4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6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28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1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59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44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68"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0"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06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Units (Limited Partner Interests)</w:t>
            </w:r>
          </w:p>
        </w:tc>
        <w:tc>
          <w:tcPr>
            <w:tcW w:w="91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05/29/2019</w:t>
            </w:r>
          </w:p>
        </w:tc>
        <w:tc>
          <w:tcPr>
            <w:tcW w:w="78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J</w:t>
            </w:r>
            <w:r>
              <w:rPr>
                <w:rFonts w:ascii="Times;serif" w:hAnsi="Times;serif"/>
                <w:color w:val="008000"/>
                <w:position w:val="7"/>
                <w:sz w:val="16"/>
                <w:sz w:val="20"/>
                <w:highlight w:val="white"/>
              </w:rPr>
              <w:t>(1)(2)</w:t>
            </w:r>
            <w:r>
              <w:rPr/>
              <w:t xml:space="preserve"> </w:t>
            </w:r>
          </w:p>
        </w:tc>
        <w:tc>
          <w:tcPr>
            <w:tcW w:w="28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4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8,179,284</w:t>
            </w:r>
          </w:p>
        </w:tc>
        <w:tc>
          <w:tcPr>
            <w:tcW w:w="42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59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rFonts w:ascii="Times;serif" w:hAnsi="Times;serif"/>
                <w:color w:val="008000"/>
                <w:position w:val="7"/>
                <w:sz w:val="16"/>
                <w:sz w:val="20"/>
                <w:highlight w:val="white"/>
              </w:rPr>
              <w:t>(1)(2)</w:t>
            </w:r>
            <w:r>
              <w:rPr/>
              <w:t xml:space="preserve"> </w:t>
            </w:r>
          </w:p>
        </w:tc>
        <w:tc>
          <w:tcPr>
            <w:tcW w:w="144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268,462,103</w:t>
            </w:r>
          </w:p>
        </w:tc>
        <w:tc>
          <w:tcPr>
            <w:tcW w:w="96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92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By Plains AAP, L.P.</w:t>
            </w:r>
            <w:r>
              <w:rPr>
                <w:rFonts w:ascii="Times;serif" w:hAnsi="Times;serif"/>
                <w:color w:val="008000"/>
                <w:position w:val="7"/>
                <w:sz w:val="16"/>
                <w:sz w:val="20"/>
                <w:highlight w:val="white"/>
              </w:rPr>
              <w:t>(3)</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PAA GP Holdings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STE. 1600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Plains AAP,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SUITE 1600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7">
                    <w:r>
                      <w:rPr>
                        <w:rStyle w:val="InternetLink"/>
                      </w:rPr>
                      <w:t>Plains All American GP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SUITE 1600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8">
                    <w:r>
                      <w:rPr>
                        <w:rStyle w:val="InternetLink"/>
                      </w:rPr>
                      <w:t>PLAINS GP HOLDINGS LP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 SUITE 1600</w:t>
                  </w:r>
                </w:p>
              </w:tc>
            </w:tr>
            <w:tr>
              <w:trPr/>
              <w:tc>
                <w:tcPr>
                  <w:tcW w:w="3962"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Effective May 29, 2019, EMG Investment, LLC exercised the Redemption Right with respect to 8,179,284 AAP Class A units, resulting in the cancellation of such AAP Class A units and the distribution of 8,179,284 Common Units from AAP to the redeeming partner.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Ann F. Gullion, Assistant Secretary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05/30/2019</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ec.gov/cgi-bin/browse-edgar?action=getcompany&amp;CIK=0001581928" TargetMode="External"/><Relationship Id="rId4" Type="http://schemas.openxmlformats.org/officeDocument/2006/relationships/hyperlink" Target="http://www.sec.gov/cgi-bin/browse-edgar?action=getcompany&amp;CIK=0001070423" TargetMode="External"/><Relationship Id="rId5" Type="http://schemas.openxmlformats.org/officeDocument/2006/relationships/hyperlink" Target="http://www.sec.gov/cgi-bin/browse-edgar?action=getcompany&amp;CIK=0001581928" TargetMode="External"/><Relationship Id="rId6" Type="http://schemas.openxmlformats.org/officeDocument/2006/relationships/hyperlink" Target="http://www.sec.gov/cgi-bin/browse-edgar?action=getcompany&amp;CIK=0001490401" TargetMode="External"/><Relationship Id="rId7" Type="http://schemas.openxmlformats.org/officeDocument/2006/relationships/hyperlink" Target="http://www.sec.gov/cgi-bin/browse-edgar?action=getcompany&amp;CIK=0001490402" TargetMode="External"/><Relationship Id="rId8" Type="http://schemas.openxmlformats.org/officeDocument/2006/relationships/hyperlink" Target="http://www.sec.gov/cgi-bin/browse-edgar?action=getcompany&amp;CIK=0001581990"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860</Words>
  <CharactersWithSpaces>5279</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