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20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070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Nerbonne Daniel J</w:t>
        </w:r>
      </w:hyperlink>
    </w:p>
    <w:p>
      <w:pPr>
        <w:spacing w:after="0" w:line="319"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78"/>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0000FF"/>
              </w:rPr>
              <w:t>333 CLAY ST., STE. 1600</w:t>
            </w:r>
          </w:p>
        </w:tc>
        <w:tc>
          <w:tcPr>
            <w:tcW w:w="1580" w:type="dxa"/>
            <w:vAlign w:val="bottom"/>
          </w:tcPr>
          <w:p>
            <w:pPr>
              <w:spacing w:after="0"/>
              <w:rPr>
                <w:sz w:val="24"/>
                <w:szCs w:val="24"/>
                <w:color w:val="auto"/>
              </w:rPr>
            </w:pPr>
          </w:p>
        </w:tc>
      </w:tr>
      <w:tr>
        <w:trPr>
          <w:trHeight w:val="207"/>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8"/>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160" w:type="dxa"/>
            <w:vAlign w:val="bottom"/>
          </w:tcPr>
          <w:p>
            <w:pPr>
              <w:ind w:left="220"/>
              <w:spacing w:after="0"/>
              <w:rPr>
                <w:sz w:val="20"/>
                <w:szCs w:val="20"/>
                <w:color w:val="auto"/>
              </w:rPr>
            </w:pPr>
            <w:r>
              <w:rPr>
                <w:rFonts w:ascii="Arial" w:cs="Arial" w:eastAsia="Arial" w:hAnsi="Arial"/>
                <w:sz w:val="17"/>
                <w:szCs w:val="17"/>
                <w:color w:val="0000FF"/>
              </w:rPr>
              <w:t>TX</w:t>
            </w:r>
          </w:p>
        </w:tc>
        <w:tc>
          <w:tcPr>
            <w:tcW w:w="1580" w:type="dxa"/>
            <w:vAlign w:val="bottom"/>
          </w:tcPr>
          <w:p>
            <w:pPr>
              <w:ind w:left="3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900" w:type="dxa"/>
            <w:vAlign w:val="bottom"/>
            <w:gridSpan w:val="2"/>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tcPr>
          <w:p>
            <w:pPr>
              <w:ind w:left="120"/>
              <w:spacing w:after="0" w:line="134" w:lineRule="exact"/>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3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9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EVP - Operations &amp; Engineering</w:t>
            </w:r>
          </w:p>
        </w:tc>
        <w:tc>
          <w:tcPr>
            <w:tcW w:w="0" w:type="dxa"/>
            <w:vAlign w:val="bottom"/>
          </w:tcPr>
          <w:p>
            <w:pPr>
              <w:spacing w:after="0"/>
              <w:rPr>
                <w:sz w:val="1"/>
                <w:szCs w:val="1"/>
                <w:color w:val="auto"/>
              </w:rPr>
            </w:pPr>
          </w:p>
        </w:tc>
      </w:tr>
      <w:tr>
        <w:trPr>
          <w:trHeight w:val="114"/>
        </w:trPr>
        <w:tc>
          <w:tcPr>
            <w:tcW w:w="3740" w:type="dxa"/>
            <w:vAlign w:val="bottom"/>
            <w:gridSpan w:val="2"/>
            <w:vMerge w:val="restart"/>
          </w:tcPr>
          <w:p>
            <w:pPr>
              <w:ind w:left="60"/>
              <w:spacing w:after="0"/>
              <w:rPr>
                <w:sz w:val="20"/>
                <w:szCs w:val="20"/>
                <w:color w:val="auto"/>
              </w:rPr>
            </w:pPr>
            <w:r>
              <w:rPr>
                <w:rFonts w:ascii="Arial" w:cs="Arial" w:eastAsia="Arial" w:hAnsi="Arial"/>
                <w:sz w:val="17"/>
                <w:szCs w:val="17"/>
                <w:color w:val="0000FF"/>
              </w:rPr>
              <w:t>11/15/2016</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3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2"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rPr>
                <w:sz w:val="20"/>
                <w:szCs w:val="20"/>
                <w:color w:val="auto"/>
              </w:rPr>
            </w:pPr>
            <w:r>
              <w:rPr>
                <w:rFonts w:ascii="Arial" w:cs="Arial" w:eastAsia="Arial" w:hAnsi="Arial"/>
                <w:sz w:val="13"/>
                <w:szCs w:val="13"/>
                <w:color w:val="0000FF"/>
              </w:rPr>
              <w:t>Units in</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11/15/2016</w:t>
            </w:r>
          </w:p>
        </w:tc>
        <w:tc>
          <w:tcPr>
            <w:tcW w:w="1120" w:type="dxa"/>
            <w:vAlign w:val="bottom"/>
          </w:tcPr>
          <w:p>
            <w:pPr>
              <w:spacing w:after="0"/>
              <w:rPr>
                <w:sz w:val="18"/>
                <w:szCs w:val="18"/>
                <w:color w:val="auto"/>
              </w:rPr>
            </w:pPr>
          </w:p>
        </w:tc>
        <w:tc>
          <w:tcPr>
            <w:tcW w:w="820" w:type="dxa"/>
            <w:vAlign w:val="bottom"/>
          </w:tcPr>
          <w:p>
            <w:pPr>
              <w:ind w:left="60"/>
              <w:spacing w:after="0" w:line="209"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(1)(2)</w:t>
            </w:r>
          </w:p>
        </w:tc>
        <w:tc>
          <w:tcPr>
            <w:tcW w:w="520" w:type="dxa"/>
            <w:vAlign w:val="bottom"/>
          </w:tcPr>
          <w:p>
            <w:pPr>
              <w:jc w:val="right"/>
              <w:spacing w:after="0"/>
              <w:rPr>
                <w:sz w:val="20"/>
                <w:szCs w:val="20"/>
                <w:color w:val="auto"/>
              </w:rPr>
            </w:pPr>
            <w:r>
              <w:rPr>
                <w:rFonts w:ascii="Arial" w:cs="Arial" w:eastAsia="Arial" w:hAnsi="Arial"/>
                <w:sz w:val="13"/>
                <w:szCs w:val="13"/>
                <w:color w:val="0000FF"/>
              </w:rPr>
              <w:t>56,328</w:t>
            </w:r>
          </w:p>
        </w:tc>
        <w:tc>
          <w:tcPr>
            <w:tcW w:w="3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spacing w:after="0"/>
              <w:rPr>
                <w:sz w:val="20"/>
                <w:szCs w:val="20"/>
                <w:color w:val="auto"/>
              </w:rPr>
            </w:pPr>
            <w:r>
              <w:rPr>
                <w:rFonts w:ascii="Arial" w:cs="Arial" w:eastAsia="Arial" w:hAnsi="Arial"/>
                <w:sz w:val="17"/>
                <w:szCs w:val="17"/>
                <w:color w:val="0000FF"/>
                <w:w w:val="88"/>
              </w:rPr>
              <w:t>53,023</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40"/>
              <w:spacing w:after="0"/>
              <w:rPr>
                <w:sz w:val="20"/>
                <w:szCs w:val="20"/>
                <w:color w:val="auto"/>
              </w:rPr>
            </w:pPr>
            <w:r>
              <w:rPr>
                <w:rFonts w:ascii="Arial" w:cs="Arial" w:eastAsia="Arial" w:hAnsi="Arial"/>
                <w:sz w:val="13"/>
                <w:szCs w:val="13"/>
                <w:color w:val="0000FF"/>
              </w:rPr>
              <w:t>56,328</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820" w:type="dxa"/>
            <w:vAlign w:val="bottom"/>
          </w:tcPr>
          <w:p>
            <w:pPr>
              <w:ind w:left="60"/>
              <w:spacing w:after="0" w:line="85" w:lineRule="exact"/>
              <w:rPr>
                <w:sz w:val="20"/>
                <w:szCs w:val="20"/>
                <w:color w:val="auto"/>
              </w:rPr>
            </w:pPr>
            <w:r>
              <w:rPr>
                <w:rFonts w:ascii="Arial" w:cs="Arial" w:eastAsia="Arial" w:hAnsi="Arial"/>
                <w:sz w:val="9"/>
                <w:szCs w:val="9"/>
                <w:color w:val="0000FF"/>
              </w:rPr>
              <w:t>Plains AAP,</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ind w:left="200"/>
              <w:spacing w:after="0" w:line="85" w:lineRule="exact"/>
              <w:rPr>
                <w:sz w:val="20"/>
                <w:szCs w:val="20"/>
                <w:color w:val="auto"/>
              </w:rPr>
            </w:pPr>
            <w:r>
              <w:rPr>
                <w:rFonts w:ascii="Arial" w:cs="Arial" w:eastAsia="Arial" w:hAnsi="Arial"/>
                <w:sz w:val="9"/>
                <w:szCs w:val="9"/>
                <w:color w:val="0000FF"/>
              </w:rPr>
              <w:t>Units</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20" w:type="dxa"/>
            <w:vAlign w:val="bottom"/>
          </w:tcPr>
          <w:p>
            <w:pPr>
              <w:ind w:left="60"/>
              <w:spacing w:after="0"/>
              <w:rPr>
                <w:sz w:val="20"/>
                <w:szCs w:val="20"/>
                <w:color w:val="auto"/>
              </w:rPr>
            </w:pPr>
            <w:r>
              <w:rPr>
                <w:rFonts w:ascii="Arial" w:cs="Arial" w:eastAsia="Arial" w:hAnsi="Arial"/>
                <w:sz w:val="13"/>
                <w:szCs w:val="13"/>
                <w:color w:val="0000FF"/>
              </w:rPr>
              <w:t>L.P.</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8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8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w w:val="95"/>
              </w:rPr>
              <w:t>Shares/Class</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restart"/>
          </w:tcPr>
          <w:p>
            <w:pPr>
              <w:ind w:left="60"/>
              <w:spacing w:after="0" w:line="212"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(4)(5)</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33"/>
              <w:spacing w:after="0"/>
              <w:rPr>
                <w:sz w:val="20"/>
                <w:szCs w:val="20"/>
                <w:color w:val="auto"/>
              </w:rPr>
            </w:pPr>
            <w:r>
              <w:rPr>
                <w:rFonts w:ascii="Arial" w:cs="Arial" w:eastAsia="Arial" w:hAnsi="Arial"/>
                <w:sz w:val="17"/>
                <w:szCs w:val="17"/>
                <w:color w:val="0000FF"/>
                <w:w w:val="98"/>
              </w:rPr>
              <w:t>4,913</w:t>
            </w:r>
          </w:p>
        </w:tc>
        <w:tc>
          <w:tcPr>
            <w:tcW w:w="720" w:type="dxa"/>
            <w:vAlign w:val="bottom"/>
          </w:tcPr>
          <w:p>
            <w:pPr>
              <w:spacing w:after="0"/>
              <w:rPr>
                <w:sz w:val="5"/>
                <w:szCs w:val="5"/>
                <w:color w:val="auto"/>
              </w:rPr>
            </w:pPr>
          </w:p>
        </w:tc>
        <w:tc>
          <w:tcPr>
            <w:tcW w:w="960" w:type="dxa"/>
            <w:vAlign w:val="bottom"/>
            <w:vMerge w:val="restart"/>
          </w:tcPr>
          <w:p>
            <w:pPr>
              <w:jc w:val="center"/>
              <w:ind w:right="120"/>
              <w:spacing w:after="0" w:line="212" w:lineRule="exact"/>
              <w:rPr>
                <w:sz w:val="20"/>
                <w:szCs w:val="20"/>
                <w:color w:val="auto"/>
              </w:rPr>
            </w:pPr>
            <w:r>
              <w:rPr>
                <w:rFonts w:ascii="Arial" w:cs="Arial" w:eastAsia="Arial" w:hAnsi="Arial"/>
                <w:sz w:val="24"/>
                <w:szCs w:val="24"/>
                <w:color w:val="0000FF"/>
                <w:vertAlign w:val="subscript"/>
              </w:rPr>
              <w:t>4,913</w:t>
            </w:r>
            <w:r>
              <w:rPr>
                <w:rFonts w:ascii="Arial" w:cs="Arial" w:eastAsia="Arial" w:hAnsi="Arial"/>
                <w:sz w:val="11"/>
                <w:szCs w:val="11"/>
                <w:color w:val="008000"/>
              </w:rPr>
              <w:t>(4)(5)</w:t>
            </w:r>
          </w:p>
        </w:tc>
        <w:tc>
          <w:tcPr>
            <w:tcW w:w="7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20" w:type="dxa"/>
            <w:vAlign w:val="bottom"/>
            <w:vMerge w:val="continue"/>
          </w:tcPr>
          <w:p>
            <w:pPr>
              <w:spacing w:after="0"/>
              <w:rPr>
                <w:sz w:val="6"/>
                <w:szCs w:val="6"/>
                <w:color w:val="auto"/>
              </w:rPr>
            </w:pPr>
          </w:p>
        </w:tc>
        <w:tc>
          <w:tcPr>
            <w:tcW w:w="800" w:type="dxa"/>
            <w:vAlign w:val="bottom"/>
            <w:vMerge w:val="restart"/>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vMerge w:val="restart"/>
          </w:tcPr>
          <w:p>
            <w:pPr>
              <w:jc w:val="right"/>
              <w:ind w:right="198"/>
              <w:spacing w:after="0" w:line="146" w:lineRule="exact"/>
              <w:rPr>
                <w:sz w:val="20"/>
                <w:szCs w:val="20"/>
                <w:color w:val="auto"/>
              </w:rPr>
            </w:pPr>
            <w:r>
              <w:rPr>
                <w:rFonts w:ascii="Arial" w:cs="Arial" w:eastAsia="Arial" w:hAnsi="Arial"/>
                <w:sz w:val="13"/>
                <w:szCs w:val="13"/>
                <w:color w:val="0000FF"/>
              </w:rPr>
              <w:t>11/15/2016</w:t>
            </w: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20" w:type="dxa"/>
            <w:vAlign w:val="bottom"/>
            <w:vMerge w:val="restart"/>
          </w:tcPr>
          <w:p>
            <w:pPr>
              <w:jc w:val="right"/>
              <w:ind w:right="39"/>
              <w:spacing w:after="0" w:line="146" w:lineRule="exact"/>
              <w:rPr>
                <w:sz w:val="20"/>
                <w:szCs w:val="20"/>
                <w:color w:val="auto"/>
              </w:rPr>
            </w:pPr>
            <w:r>
              <w:rPr>
                <w:rFonts w:ascii="Arial" w:cs="Arial" w:eastAsia="Arial" w:hAnsi="Arial"/>
                <w:sz w:val="13"/>
                <w:szCs w:val="13"/>
                <w:color w:val="0000FF"/>
              </w:rPr>
              <w:t>4,913</w:t>
            </w:r>
          </w:p>
        </w:tc>
        <w:tc>
          <w:tcPr>
            <w:tcW w:w="3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continue"/>
          </w:tcPr>
          <w:p>
            <w:pPr>
              <w:spacing w:after="0"/>
              <w:rPr>
                <w:sz w:val="6"/>
                <w:szCs w:val="6"/>
                <w:color w:val="auto"/>
              </w:rPr>
            </w:pPr>
          </w:p>
        </w:tc>
        <w:tc>
          <w:tcPr>
            <w:tcW w:w="760" w:type="dxa"/>
            <w:vAlign w:val="bottom"/>
            <w:vMerge w:val="restart"/>
          </w:tcPr>
          <w:p>
            <w:pPr>
              <w:ind w:left="360"/>
              <w:spacing w:after="0" w:line="146" w:lineRule="exact"/>
              <w:rPr>
                <w:sz w:val="20"/>
                <w:szCs w:val="20"/>
                <w:color w:val="auto"/>
              </w:rPr>
            </w:pPr>
            <w:r>
              <w:rPr>
                <w:rFonts w:ascii="Arial" w:cs="Arial" w:eastAsia="Arial" w:hAnsi="Arial"/>
                <w:sz w:val="13"/>
                <w:szCs w:val="13"/>
                <w:color w:val="0000FF"/>
              </w:rPr>
              <w:t>I</w:t>
            </w:r>
          </w:p>
        </w:tc>
        <w:tc>
          <w:tcPr>
            <w:tcW w:w="76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66"/>
        </w:trPr>
        <w:tc>
          <w:tcPr>
            <w:tcW w:w="8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A Units/GP</w:t>
            </w: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restart"/>
          </w:tcPr>
          <w:p>
            <w:pPr>
              <w:ind w:left="200"/>
              <w:spacing w:after="0" w:line="146" w:lineRule="exact"/>
              <w:rPr>
                <w:sz w:val="20"/>
                <w:szCs w:val="20"/>
                <w:color w:val="auto"/>
              </w:rPr>
            </w:pPr>
            <w:r>
              <w:rPr>
                <w:rFonts w:ascii="Arial" w:cs="Arial" w:eastAsia="Arial" w:hAnsi="Arial"/>
                <w:sz w:val="13"/>
                <w:szCs w:val="13"/>
                <w:color w:val="0000FF"/>
              </w:rPr>
              <w:t>Units</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(4)(5)</w:t>
            </w:r>
          </w:p>
        </w:tc>
        <w:tc>
          <w:tcPr>
            <w:tcW w:w="0" w:type="dxa"/>
            <w:vAlign w:val="bottom"/>
          </w:tcPr>
          <w:p>
            <w:pPr>
              <w:spacing w:after="0"/>
              <w:rPr>
                <w:sz w:val="1"/>
                <w:szCs w:val="1"/>
                <w:color w:val="auto"/>
              </w:rPr>
            </w:pPr>
          </w:p>
        </w:tc>
      </w:tr>
      <w:tr>
        <w:trPr>
          <w:trHeight w:val="89"/>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("PAGP"), at a conversion ratio of approximately 0.941 Class A Units and Class B shares for each Class B Unit.</w:t>
      </w:r>
    </w:p>
    <w:p>
      <w:pPr>
        <w:spacing w:after="0" w:line="26" w:lineRule="exact"/>
        <w:rPr>
          <w:rFonts w:ascii="Arial" w:cs="Arial" w:eastAsia="Arial" w:hAnsi="Arial"/>
          <w:sz w:val="13"/>
          <w:szCs w:val="13"/>
          <w:color w:val="008000"/>
        </w:rPr>
      </w:pPr>
    </w:p>
    <w:p>
      <w:pPr>
        <w:ind w:left="40" w:right="320" w:firstLine="6"/>
        <w:spacing w:after="0" w:line="267"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limited partnership agreement of AAP was amended and restated on November 15, 2016 to provide that, among other things, each limited partner of AAP holding Class A Units, including the Reporting Person following conversion, will have the right, subject to certain limitations, to redeem its Class A Units for common units ("Common Units") of Plains All American Pipeline, L.P. (the "Issuer") on a one-for-one basis, by delivering such Class A Units to Plains AAP along with the associated Class B Shares and GP Units (the "GP Units") in PAA GP Holdings LLC (if applicable), to PAGP (the "Redemption Right"). Pursuant to the limited partnership agreement of AAP, prior to November 15, 2017, the Reporting Person may not exercise his Redemption Right if such exercise would result in the redemption (taken together with any previous redemptions by the Reporting Person) of more than 78% of the Class A Units held by the Reporting Person as of November 15, 2016.</w:t>
      </w:r>
    </w:p>
    <w:p>
      <w:pPr>
        <w:spacing w:after="0" w:line="16"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Redemption Right does not expire.</w:t>
      </w:r>
    </w:p>
    <w:p>
      <w:pPr>
        <w:spacing w:after="0" w:line="49" w:lineRule="exact"/>
        <w:rPr>
          <w:rFonts w:ascii="Arial" w:cs="Arial" w:eastAsia="Arial" w:hAnsi="Arial"/>
          <w:sz w:val="13"/>
          <w:szCs w:val="13"/>
          <w:color w:val="008000"/>
        </w:rPr>
      </w:pPr>
    </w:p>
    <w:p>
      <w:pPr>
        <w:jc w:val="both"/>
        <w:ind w:left="40" w:right="20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PAA Management, L.P. ("PAA Management") is also a limited partner of AAP and may from time to time exercise the Redemption Right with respect to its Class A Units. The Reporting Person is a member of PAA Management LLC, the general partner of PAA Management, and a limited partner of PAA Management. Therefore he may be deemed to be a beneficial owner of the interests held by PAA Management. The Reporting Person disclaims beneficial ownership of the securities held by PAA Management, except to the extent of his pecuniary interest therein.</w:t>
      </w:r>
    </w:p>
    <w:p>
      <w:pPr>
        <w:spacing w:after="0" w:line="26" w:lineRule="exact"/>
        <w:rPr>
          <w:rFonts w:ascii="Arial" w:cs="Arial" w:eastAsia="Arial" w:hAnsi="Arial"/>
          <w:sz w:val="13"/>
          <w:szCs w:val="13"/>
          <w:color w:val="008000"/>
        </w:rPr>
      </w:pPr>
    </w:p>
    <w:p>
      <w:pPr>
        <w:ind w:left="40" w:right="46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prior to November 15, 2017, PAA Management may not exercise its Redemption Right with respect to Class A Units attributable to the interest of the Reporting Person if such exercise would result in the redemption (taken together with any previous redemptions attributable to the interest of the Reporting Person) of more than 78% of the Class A Units attributable to the Reporting Person through PAA Management as of November 15, 2016.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Daniel J. Nerbonne</w:t>
            </w:r>
          </w:p>
        </w:tc>
        <w:tc>
          <w:tcPr>
            <w:tcW w:w="960" w:type="dxa"/>
            <w:vAlign w:val="bottom"/>
            <w:gridSpan w:val="3"/>
          </w:tcPr>
          <w:p>
            <w:pPr>
              <w:ind w:left="160"/>
              <w:spacing w:after="0"/>
              <w:rPr>
                <w:sz w:val="20"/>
                <w:szCs w:val="20"/>
                <w:color w:val="auto"/>
              </w:rPr>
            </w:pPr>
            <w:r>
              <w:rPr>
                <w:rFonts w:ascii="Arial" w:cs="Arial" w:eastAsia="Arial" w:hAnsi="Arial"/>
                <w:sz w:val="17"/>
                <w:szCs w:val="17"/>
                <w:color w:val="0000FF"/>
                <w:w w:val="91"/>
              </w:rPr>
              <w:t>11/17/2016</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699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2020-01-19T10:08:07Z</dcterms:created>
  <dcterms:modified xsi:type="dcterms:W3CDTF">2020-01-19T10:08:07Z</dcterms:modified>
</cp:coreProperties>
</file>