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21017d8k.htm"/>
      <w:bookmarkStart w:id="1" w:name="ksd321017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March 22,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43"/>
        <w:gridCol w:w="130"/>
        <w:gridCol w:w="2061"/>
        <w:gridCol w:w="463"/>
        <w:gridCol w:w="2143"/>
        <w:gridCol w:w="130"/>
        <w:gridCol w:w="2635"/>
      </w:tblGrid>
      <w:tr>
        <w:trPr/>
        <w:tc>
          <w:tcPr>
            <w:tcW w:w="264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635" w:type="dxa"/>
            <w:tcBorders/>
            <w:shd w:fill="auto" w:val="clear"/>
            <w:vAlign w:val="center"/>
          </w:tcPr>
          <w:p>
            <w:pPr>
              <w:pStyle w:val="TableContents"/>
              <w:spacing w:before="0" w:after="283"/>
              <w:rPr>
                <w:sz w:val="4"/>
                <w:szCs w:val="4"/>
              </w:rPr>
            </w:pPr>
            <w:r>
              <w:rPr>
                <w:sz w:val="4"/>
                <w:szCs w:val="4"/>
              </w:rPr>
            </w:r>
          </w:p>
        </w:tc>
      </w:tr>
      <w:tr>
        <w:trPr/>
        <w:tc>
          <w:tcPr>
            <w:tcW w:w="264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30" w:type="dxa"/>
            <w:tcBorders/>
            <w:shd w:fill="auto" w:val="clear"/>
            <w:vAlign w:val="bottom"/>
          </w:tcPr>
          <w:p>
            <w:pPr>
              <w:pStyle w:val="TableContents"/>
              <w:spacing w:before="0" w:after="283"/>
              <w:rPr/>
            </w:pPr>
            <w:r>
              <w:rPr/>
              <w:t> </w:t>
            </w:r>
          </w:p>
        </w:tc>
        <w:tc>
          <w:tcPr>
            <w:tcW w:w="466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30" w:type="dxa"/>
            <w:tcBorders/>
            <w:shd w:fill="auto" w:val="clear"/>
            <w:vAlign w:val="bottom"/>
          </w:tcPr>
          <w:p>
            <w:pPr>
              <w:pStyle w:val="TableContents"/>
              <w:spacing w:before="0" w:after="283"/>
              <w:rPr/>
            </w:pPr>
            <w:r>
              <w:rPr/>
              <w:t> </w:t>
            </w:r>
          </w:p>
        </w:tc>
        <w:tc>
          <w:tcPr>
            <w:tcW w:w="263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2643"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30" w:type="dxa"/>
            <w:tcBorders/>
            <w:shd w:fill="auto" w:val="clear"/>
            <w:vAlign w:val="bottom"/>
          </w:tcPr>
          <w:p>
            <w:pPr>
              <w:pStyle w:val="TableContents"/>
              <w:spacing w:before="0" w:after="283"/>
              <w:rPr/>
            </w:pPr>
            <w:r>
              <w:rPr/>
              <w:t> </w:t>
            </w:r>
          </w:p>
        </w:tc>
        <w:tc>
          <w:tcPr>
            <w:tcW w:w="4667" w:type="dxa"/>
            <w:gridSpan w:val="3"/>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30" w:type="dxa"/>
            <w:tcBorders/>
            <w:shd w:fill="auto" w:val="clear"/>
            <w:vAlign w:val="bottom"/>
          </w:tcPr>
          <w:p>
            <w:pPr>
              <w:pStyle w:val="TableContents"/>
              <w:spacing w:before="0" w:after="283"/>
              <w:rPr/>
            </w:pPr>
            <w:r>
              <w:rPr/>
              <w:t> </w:t>
            </w:r>
          </w:p>
        </w:tc>
        <w:tc>
          <w:tcPr>
            <w:tcW w:w="263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4834" w:type="dxa"/>
            <w:gridSpan w:val="3"/>
            <w:tcBorders/>
            <w:shd w:fill="auto" w:val="clear"/>
            <w:vAlign w:val="center"/>
          </w:tcPr>
          <w:p>
            <w:pPr>
              <w:pStyle w:val="TableContents"/>
              <w:spacing w:before="0" w:after="283"/>
              <w:rPr>
                <w:sz w:val="4"/>
                <w:szCs w:val="4"/>
              </w:rPr>
            </w:pPr>
            <w:r>
              <w:rPr>
                <w:sz w:val="4"/>
                <w:szCs w:val="4"/>
              </w:rPr>
            </w:r>
          </w:p>
        </w:tc>
        <w:tc>
          <w:tcPr>
            <w:tcW w:w="2606" w:type="dxa"/>
            <w:gridSpan w:val="2"/>
            <w:tcBorders/>
            <w:shd w:fill="auto" w:val="clear"/>
            <w:vAlign w:val="center"/>
          </w:tcPr>
          <w:p>
            <w:pPr>
              <w:pStyle w:val="TableContents"/>
              <w:spacing w:before="0" w:after="283"/>
              <w:rPr>
                <w:sz w:val="4"/>
                <w:szCs w:val="4"/>
              </w:rPr>
            </w:pPr>
            <w:r>
              <w:rPr>
                <w:sz w:val="4"/>
                <w:szCs w:val="4"/>
              </w:rPr>
            </w:r>
          </w:p>
        </w:tc>
        <w:tc>
          <w:tcPr>
            <w:tcW w:w="2765" w:type="dxa"/>
            <w:gridSpan w:val="2"/>
            <w:tcBorders/>
            <w:shd w:fill="auto" w:val="clear"/>
            <w:vAlign w:val="center"/>
          </w:tcPr>
          <w:p>
            <w:pPr>
              <w:pStyle w:val="TableContents"/>
              <w:spacing w:before="0" w:after="283"/>
              <w:rPr>
                <w:sz w:val="4"/>
                <w:szCs w:val="4"/>
              </w:rPr>
            </w:pPr>
            <w:r>
              <w:rPr>
                <w:sz w:val="4"/>
                <w:szCs w:val="4"/>
              </w:rPr>
            </w:r>
          </w:p>
        </w:tc>
      </w:tr>
      <w:tr>
        <w:trPr/>
        <w:tc>
          <w:tcPr>
            <w:tcW w:w="4834"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463"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263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4834"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463"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263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1.01     Entry into a Material Definitive Agreement </w:t>
      </w:r>
    </w:p>
    <w:p>
      <w:pPr>
        <w:pStyle w:val="TextBody"/>
        <w:spacing w:before="180" w:after="0"/>
        <w:rPr>
          <w:rFonts w:ascii="Times New Roman" w:hAnsi="Times New Roman"/>
          <w:sz w:val="20"/>
        </w:rPr>
      </w:pPr>
      <w:r>
        <w:rPr>
          <w:rFonts w:ascii="Times New Roman" w:hAnsi="Times New Roman"/>
          <w:sz w:val="20"/>
        </w:rPr>
        <w:t xml:space="preserve">On March 22, 2012 Plains All American Pipeline, L.P. (the Partnership) and PAA Finance Corp. (together with the Partnership, the Issuers) completed the public offering of $750 million aggregate principal amount of 3.65% Senior Notes due 2022 (the 2022 Notes) and $500 million aggregate principal amount of 5.15% Senior Notes due 2042 (the 2042 Notes, and together with the 2022 Notes, the Notes). </w:t>
      </w:r>
    </w:p>
    <w:p>
      <w:pPr>
        <w:pStyle w:val="TextBody"/>
        <w:pBdr/>
        <w:spacing w:before="180" w:after="0"/>
        <w:rPr/>
      </w:pPr>
      <w:r>
        <w:rPr>
          <w:rFonts w:ascii="Times New Roman" w:hAnsi="Times New Roman"/>
          <w:sz w:val="20"/>
        </w:rPr>
        <w:t>The terms of the Notes are governed by the indenture (the Base Indenture, and as amended and supplemented by the Supplemental Indentures (defined below), the Indenture) dated as of September 25, 2002 by and among the Issuers and U.S. Bank National Association, as trustee (the Trustee), as supplemented by the Twentieth Supplemental Indenture between the Issuers and the Trustee (the 20</w:t>
      </w:r>
      <w:r>
        <w:rPr>
          <w:rFonts w:ascii="Times New Roman" w:hAnsi="Times New Roman"/>
          <w:sz w:val="14"/>
        </w:rPr>
        <w:t>th</w:t>
      </w:r>
      <w:r>
        <w:rPr/>
        <w:t xml:space="preserve"> </w:t>
      </w:r>
      <w:r>
        <w:rPr>
          <w:rFonts w:ascii="Times New Roman" w:hAnsi="Times New Roman"/>
          <w:sz w:val="20"/>
        </w:rPr>
        <w:t>Supplemental Indenture) relating to the issuance of the 2022 Notes and the Twenty-First Supplemental Indenture between the Issuers and the Trustee (the 21</w:t>
      </w:r>
      <w:r>
        <w:rPr>
          <w:rFonts w:ascii="Times New Roman" w:hAnsi="Times New Roman"/>
          <w:sz w:val="14"/>
        </w:rPr>
        <w:t>st</w:t>
      </w:r>
      <w:r>
        <w:rPr/>
        <w:t xml:space="preserve"> </w:t>
      </w:r>
      <w:r>
        <w:rPr>
          <w:rFonts w:ascii="Times New Roman" w:hAnsi="Times New Roman"/>
          <w:sz w:val="20"/>
        </w:rPr>
        <w:t>Supplemental Indenture, and together with the 20</w:t>
      </w:r>
      <w:r>
        <w:rPr>
          <w:rFonts w:ascii="Times New Roman" w:hAnsi="Times New Roman"/>
          <w:sz w:val="14"/>
        </w:rPr>
        <w:t>th</w:t>
      </w:r>
      <w:r>
        <w:rPr/>
        <w:t xml:space="preserve"> </w:t>
      </w:r>
      <w:r>
        <w:rPr>
          <w:rFonts w:ascii="Times New Roman" w:hAnsi="Times New Roman"/>
          <w:sz w:val="20"/>
        </w:rPr>
        <w:t xml:space="preserve">Supplemental Indenture, the Supplemental Indentures) relating to the issuance of the 2042 Notes. </w:t>
      </w:r>
    </w:p>
    <w:p>
      <w:pPr>
        <w:pStyle w:val="TextBody"/>
        <w:spacing w:before="180" w:after="0"/>
        <w:rPr>
          <w:rFonts w:ascii="Times New Roman" w:hAnsi="Times New Roman"/>
          <w:sz w:val="20"/>
        </w:rPr>
      </w:pPr>
      <w:r>
        <w:rPr>
          <w:rFonts w:ascii="Times New Roman" w:hAnsi="Times New Roman"/>
          <w:sz w:val="20"/>
        </w:rPr>
        <w:t xml:space="preserve">The 2022 Notes will mature on June 1, 2022, and the 2042 Notes will mature on June 1, 2042. Interest is payable on the Notes on each June 1 and December 1, commencing on December 1, 2012. The Issuers may redeem some or all of the Notes at any time and from time to time prior to maturity at the redemption prices specified in the Indenture. In addition, if the Partnerships pending acquisition of all of the outstanding shares of BP Canada Energy Company, a wholly owned subsidiary of BP Corporation North America Inc. (the BP NGL Acquisition), does not close on or prior to June 1, 2012, or if the acquisition agreement relating thereto is earlier terminated, then the Issuers will have the right to redeem all, but not less than all, of either or both series of Notes. </w:t>
      </w:r>
    </w:p>
    <w:p>
      <w:pPr>
        <w:pStyle w:val="TextBody"/>
        <w:spacing w:before="180" w:after="0"/>
        <w:rPr>
          <w:rFonts w:ascii="Times New Roman" w:hAnsi="Times New Roman"/>
          <w:sz w:val="20"/>
        </w:rPr>
      </w:pPr>
      <w:r>
        <w:rPr>
          <w:rFonts w:ascii="Times New Roman" w:hAnsi="Times New Roman"/>
          <w:sz w:val="20"/>
        </w:rPr>
        <w:t xml:space="preserve">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 </w:t>
      </w:r>
    </w:p>
    <w:p>
      <w:pPr>
        <w:pStyle w:val="TextBody"/>
        <w:spacing w:before="180" w:after="0"/>
        <w:rPr>
          <w:rFonts w:ascii="Times New Roman" w:hAnsi="Times New Roman"/>
          <w:sz w:val="20"/>
        </w:rPr>
      </w:pPr>
      <w:r>
        <w:rPr>
          <w:rFonts w:ascii="Times New Roman" w:hAnsi="Times New Roman"/>
          <w:sz w:val="20"/>
        </w:rPr>
        <w:t xml:space="preserve">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 </w:t>
      </w:r>
    </w:p>
    <w:p>
      <w:pPr>
        <w:pStyle w:val="TextBody"/>
        <w:spacing w:before="180" w:after="0"/>
        <w:rPr>
          <w:rFonts w:ascii="Times New Roman" w:hAnsi="Times New Roman"/>
          <w:sz w:val="20"/>
        </w:rPr>
      </w:pPr>
      <w:r>
        <w:rPr>
          <w:rFonts w:ascii="Times New Roman" w:hAnsi="Times New Roman"/>
          <w:sz w:val="20"/>
        </w:rPr>
        <w:t xml:space="preserve">The Indenture contains customary events of default with respect to the Notes of either series,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any payment of interest on any Note of that series when due, continued for 60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the payment of principal of or premium, if any, on any Note of that series when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the Partnership to comply with its obligations under the Indenture, in certain cases subject to notice and grace periods;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payment defaults and accelerations with respect to other indebtedness of the Partnership and its Subsidiaries (as defined in the Indenture) in the aggregate principal amount of $25.0 million or more;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the Partnership or, if and so long as the Notes of that series are guaranteed by a subsidiary guarantor, by such subsidiary guarantor;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 </w:t>
      </w:r>
    </w:p>
    <w:p>
      <w:pPr>
        <w:pStyle w:val="TextBody"/>
        <w:pBdr/>
        <w:spacing w:before="180" w:after="0"/>
        <w:rPr/>
      </w:pPr>
      <w:r>
        <w:rPr>
          <w:rFonts w:ascii="Times New Roman" w:hAnsi="Times New Roman"/>
          <w:sz w:val="20"/>
        </w:rPr>
        <w:t>Other material terms of the Notes, the Base Indenture and the Supplemental Indentures are described in the prospectus supplement, dated March 13, 2012, as filed by the Partnership with the Commission on March 14, 2012. The foregoing descriptions of the Indenture and the Notes are qualified in their entirety by reference to such Indenture (including the forms of Notes attached thereto). Copies of the 20</w:t>
      </w:r>
      <w:r>
        <w:rPr>
          <w:rFonts w:ascii="Times New Roman" w:hAnsi="Times New Roman"/>
          <w:sz w:val="14"/>
        </w:rPr>
        <w:t>th</w:t>
      </w:r>
      <w:r>
        <w:rPr/>
        <w:t xml:space="preserve"> </w:t>
      </w:r>
      <w:r>
        <w:rPr>
          <w:rFonts w:ascii="Times New Roman" w:hAnsi="Times New Roman"/>
          <w:sz w:val="20"/>
        </w:rPr>
        <w:t>Supplemental Indenture and the 21</w:t>
      </w:r>
      <w:r>
        <w:rPr>
          <w:rFonts w:ascii="Times New Roman" w:hAnsi="Times New Roman"/>
          <w:sz w:val="14"/>
        </w:rPr>
        <w:t>st</w:t>
      </w:r>
      <w:r>
        <w:rPr/>
        <w:t xml:space="preserve"> </w:t>
      </w:r>
      <w:r>
        <w:rPr>
          <w:rFonts w:ascii="Times New Roman" w:hAnsi="Times New Roman"/>
          <w:sz w:val="20"/>
        </w:rPr>
        <w:t xml:space="preserve">Supplemental Indenture are filed herewith as Exhibits 4.1 and 4.3, respectively, and are incorporated herein by reference. </w:t>
      </w:r>
    </w:p>
    <w:p>
      <w:pPr>
        <w:pStyle w:val="TextBody"/>
        <w:spacing w:before="270" w:after="0"/>
        <w:rPr>
          <w:rFonts w:ascii="Times New Roman" w:hAnsi="Times New Roman"/>
          <w:b/>
          <w:sz w:val="20"/>
        </w:rPr>
      </w:pPr>
      <w:r>
        <w:rPr>
          <w:rFonts w:ascii="Times New Roman" w:hAnsi="Times New Roman"/>
          <w:b/>
          <w:sz w:val="20"/>
        </w:rPr>
        <w:t xml:space="preserve">ITEM 1.02     Termination of a Material Definitive Agreement </w:t>
      </w:r>
    </w:p>
    <w:p>
      <w:pPr>
        <w:pStyle w:val="TextBody"/>
        <w:spacing w:before="180" w:after="0"/>
        <w:rPr>
          <w:rFonts w:ascii="Times New Roman" w:hAnsi="Times New Roman"/>
          <w:sz w:val="20"/>
        </w:rPr>
      </w:pPr>
      <w:r>
        <w:rPr>
          <w:rFonts w:ascii="Times New Roman" w:hAnsi="Times New Roman"/>
          <w:sz w:val="20"/>
        </w:rPr>
        <w:t xml:space="preserve">Effective March 26, 2012, the Partnership terminated the 364-day credit agreement entered into on December 9, 2011 with DNB Bank ASA, as administrative agent, Bank of America, N.A. and JPMorgan Chase Bank, N.A., as co-syndication agents and the other lenders party thereto (the 364-Day Facility). The Partnership had previously planned to use borrowings under the 364-Day Facility, if necessary, to fund the BP NGL Acquisition. However, the 364-Day Facility was never activated and, following the completion of the offering of the Notes and the Partnerships recently completed equity offering, borrowings under the 364-Day Facility were not deemed necessary.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152"/>
        <w:gridCol w:w="9053"/>
      </w:tblGrid>
      <w:tr>
        <w:trPr/>
        <w:tc>
          <w:tcPr>
            <w:tcW w:w="115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    </w:t>
            </w:r>
          </w:p>
        </w:tc>
        <w:tc>
          <w:tcPr>
            <w:tcW w:w="905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8"/>
        <w:gridCol w:w="622"/>
        <w:gridCol w:w="9105"/>
      </w:tblGrid>
      <w:tr>
        <w:trPr/>
        <w:tc>
          <w:tcPr>
            <w:tcW w:w="47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bottom"/>
          </w:tcPr>
          <w:p>
            <w:pPr>
              <w:pStyle w:val="TableContents"/>
              <w:spacing w:before="0" w:after="283"/>
              <w:rPr>
                <w:sz w:val="4"/>
                <w:szCs w:val="4"/>
              </w:rPr>
            </w:pPr>
            <w:r>
              <w:rPr>
                <w:sz w:val="4"/>
                <w:szCs w:val="4"/>
              </w:rPr>
            </w:r>
          </w:p>
        </w:tc>
        <w:tc>
          <w:tcPr>
            <w:tcW w:w="9105" w:type="dxa"/>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622" w:type="dxa"/>
            <w:tcBorders/>
            <w:shd w:fill="auto" w:val="clear"/>
            <w:vAlign w:val="bottom"/>
          </w:tcPr>
          <w:p>
            <w:pPr>
              <w:pStyle w:val="TableContents"/>
              <w:spacing w:before="0" w:after="283"/>
              <w:rPr/>
            </w:pPr>
            <w:r>
              <w:rPr/>
              <w:t>  </w:t>
            </w:r>
          </w:p>
        </w:tc>
        <w:tc>
          <w:tcPr>
            <w:tcW w:w="9105"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Twentieth Supplemental Indenture, dated March 22, 2012, by and among Plains All American Pipeline, L.P., PAA Finance Corp., and U.S. Bank National Association, as trustee.</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Form of 3.65% Senior Notes due 2022 (included in Exhibit 4.1).</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4.3</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Twenty-First Supplemental Indenture, dated March 22, 2012, by and among Plains All American Pipeline, L.P., PAA Finance Corp., and U.S. Bank National Association, as trustee.</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4.4</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Form of 5.15% Senior Notes due 2042 (included in Exhibit 4.3).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1"/>
        <w:gridCol w:w="60"/>
        <w:gridCol w:w="3401"/>
      </w:tblGrid>
      <w:tr>
        <w:trPr/>
        <w:tc>
          <w:tcPr>
            <w:tcW w:w="6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4082" w:type="dxa"/>
            <w:gridSpan w:val="3"/>
            <w:tcBorders/>
            <w:shd w:fill="auto" w:val="clear"/>
          </w:tcPr>
          <w:p>
            <w:pPr>
              <w:pStyle w:val="TableContents"/>
              <w:spacing w:before="0" w:after="283"/>
              <w:rPr>
                <w:sz w:val="4"/>
                <w:szCs w:val="4"/>
              </w:rPr>
            </w:pPr>
            <w:r>
              <w:rPr>
                <w:sz w:val="4"/>
                <w:szCs w:val="4"/>
              </w:rPr>
            </w:r>
          </w:p>
        </w:tc>
      </w:tr>
      <w:tr>
        <w:trPr>
          <w:trHeight w:val="12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0"/>
              <w:rPr>
                <w:rFonts w:ascii="Times New Roman" w:hAnsi="Times New Roman"/>
                <w:sz w:val="20"/>
              </w:rPr>
            </w:pPr>
            <w:r>
              <w:rPr>
                <w:rFonts w:ascii="Times New Roman" w:hAnsi="Times New Roman"/>
                <w:sz w:val="20"/>
              </w:rPr>
              <w:t>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c>
          <w:tcPr>
            <w:tcW w:w="62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sz w:val="4"/>
                <w:szCs w:val="4"/>
              </w:rPr>
            </w:pPr>
            <w:r>
              <w:rPr>
                <w:sz w:val="4"/>
                <w:szCs w:val="4"/>
              </w:rPr>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0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K.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K.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90" w:after="0"/>
        <w:rPr>
          <w:rFonts w:ascii="Times New Roman" w:hAnsi="Times New Roman"/>
          <w:sz w:val="20"/>
        </w:rPr>
      </w:pPr>
      <w:r>
        <w:rPr>
          <w:rFonts w:ascii="Times New Roman" w:hAnsi="Times New Roman"/>
          <w:sz w:val="20"/>
        </w:rPr>
        <w:t xml:space="preserve">Date: March 26,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8"/>
        <w:gridCol w:w="622"/>
        <w:gridCol w:w="9105"/>
      </w:tblGrid>
      <w:tr>
        <w:trPr/>
        <w:tc>
          <w:tcPr>
            <w:tcW w:w="47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bottom"/>
          </w:tcPr>
          <w:p>
            <w:pPr>
              <w:pStyle w:val="TableContents"/>
              <w:spacing w:before="0" w:after="283"/>
              <w:rPr>
                <w:sz w:val="4"/>
                <w:szCs w:val="4"/>
              </w:rPr>
            </w:pPr>
            <w:r>
              <w:rPr>
                <w:sz w:val="4"/>
                <w:szCs w:val="4"/>
              </w:rPr>
            </w:r>
          </w:p>
        </w:tc>
        <w:tc>
          <w:tcPr>
            <w:tcW w:w="9105" w:type="dxa"/>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622" w:type="dxa"/>
            <w:tcBorders/>
            <w:shd w:fill="auto" w:val="clear"/>
            <w:vAlign w:val="bottom"/>
          </w:tcPr>
          <w:p>
            <w:pPr>
              <w:pStyle w:val="TableContents"/>
              <w:spacing w:before="0" w:after="283"/>
              <w:rPr/>
            </w:pPr>
            <w:r>
              <w:rPr/>
              <w:t>  </w:t>
            </w:r>
          </w:p>
        </w:tc>
        <w:tc>
          <w:tcPr>
            <w:tcW w:w="9105"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Twentieth Supplemental Indenture, dated March 22, 2012, by and among Plains All American Pipeline, L.P., PAA Finance Corp., and U.S. Bank National Association, as trustee.</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Form of 3.65% Senior Notes due 2022 (included in Exhibit 4.1).</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4.3</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Twenty-First Supplemental Indenture, dated March 22, 2012, by and among Plains All American Pipeline, L.P., PAA Finance Corp., and U.S. Bank National Association, as trustee.</w:t>
            </w:r>
          </w:p>
        </w:tc>
      </w:tr>
      <w:tr>
        <w:trPr>
          <w:trHeight w:val="120" w:hRule="atLeast"/>
        </w:trPr>
        <w:tc>
          <w:tcPr>
            <w:tcW w:w="478" w:type="dxa"/>
            <w:tcBorders/>
            <w:shd w:fill="auto" w:val="clear"/>
            <w:vAlign w:val="center"/>
          </w:tcPr>
          <w:p>
            <w:pPr>
              <w:pStyle w:val="TableContents"/>
              <w:spacing w:before="0" w:after="283"/>
              <w:rPr>
                <w:sz w:val="4"/>
                <w:szCs w:val="4"/>
              </w:rPr>
            </w:pPr>
            <w:r>
              <w:rPr>
                <w:sz w:val="4"/>
                <w:szCs w:val="4"/>
              </w:rPr>
            </w:r>
          </w:p>
        </w:tc>
        <w:tc>
          <w:tcPr>
            <w:tcW w:w="9727" w:type="dxa"/>
            <w:gridSpan w:val="2"/>
            <w:tcBorders/>
            <w:shd w:fill="auto" w:val="clear"/>
            <w:vAlign w:val="center"/>
          </w:tcPr>
          <w:p>
            <w:pPr>
              <w:pStyle w:val="TableContents"/>
              <w:spacing w:before="0" w:after="283"/>
              <w:rPr>
                <w:sz w:val="4"/>
                <w:szCs w:val="4"/>
              </w:rPr>
            </w:pPr>
            <w:r>
              <w:rPr>
                <w:sz w:val="4"/>
                <w:szCs w:val="4"/>
              </w:rPr>
            </w:r>
          </w:p>
        </w:tc>
      </w:tr>
      <w:tr>
        <w:trPr/>
        <w:tc>
          <w:tcPr>
            <w:tcW w:w="478" w:type="dxa"/>
            <w:tcBorders/>
            <w:shd w:fill="auto" w:val="clear"/>
          </w:tcPr>
          <w:p>
            <w:pPr>
              <w:pStyle w:val="TableContents"/>
              <w:spacing w:before="0" w:after="283"/>
              <w:rPr>
                <w:rFonts w:ascii="Times New Roman" w:hAnsi="Times New Roman"/>
                <w:sz w:val="20"/>
              </w:rPr>
            </w:pPr>
            <w:r>
              <w:rPr>
                <w:rFonts w:ascii="Times New Roman" w:hAnsi="Times New Roman"/>
                <w:sz w:val="20"/>
              </w:rPr>
              <w:t>4.4</w:t>
            </w:r>
          </w:p>
        </w:tc>
        <w:tc>
          <w:tcPr>
            <w:tcW w:w="622" w:type="dxa"/>
            <w:tcBorders/>
            <w:shd w:fill="auto" w:val="clear"/>
            <w:vAlign w:val="bottom"/>
          </w:tcPr>
          <w:p>
            <w:pPr>
              <w:pStyle w:val="TableContents"/>
              <w:spacing w:before="0" w:after="283"/>
              <w:rPr/>
            </w:pPr>
            <w:r>
              <w:rPr/>
              <w:t>  </w:t>
            </w:r>
          </w:p>
        </w:tc>
        <w:tc>
          <w:tcPr>
            <w:tcW w:w="9105" w:type="dxa"/>
            <w:tcBorders/>
            <w:shd w:fill="auto" w:val="clear"/>
          </w:tcPr>
          <w:p>
            <w:pPr>
              <w:pStyle w:val="TableContents"/>
              <w:spacing w:before="0" w:after="283"/>
              <w:rPr>
                <w:rFonts w:ascii="Times New Roman" w:hAnsi="Times New Roman"/>
                <w:sz w:val="20"/>
              </w:rPr>
            </w:pPr>
            <w:r>
              <w:rPr>
                <w:rFonts w:ascii="Times New Roman" w:hAnsi="Times New Roman"/>
                <w:sz w:val="20"/>
              </w:rPr>
              <w:t>Form of 5.15% Senior Notes due 2042 (included in Exhibit 4.3).</w:t>
            </w:r>
          </w:p>
        </w:tc>
      </w:tr>
    </w:tbl>
    <w:p>
      <w:pPr>
        <w:pStyle w:val="TextBody"/>
        <w:spacing w:before="0" w:after="0"/>
        <w:jc w:val="right"/>
        <w:rPr>
          <w:rFonts w:ascii="Times New Roman" w:hAnsi="Times New Roman"/>
          <w:b/>
          <w:sz w:val="20"/>
        </w:rPr>
      </w:pPr>
      <w:r>
        <w:br w:type="page"/>
      </w:r>
      <w:bookmarkStart w:id="2" w:name="d321017dex41.htm"/>
      <w:bookmarkStart w:id="3" w:name="ksd321017dex41"/>
      <w:bookmarkEnd w:id="2"/>
      <w:bookmarkEnd w:id="3"/>
      <w:r>
        <w:rPr>
          <w:rFonts w:ascii="Times New Roman" w:hAnsi="Times New Roman"/>
          <w:b/>
          <w:sz w:val="20"/>
        </w:rPr>
        <w:t xml:space="preserve">Exhibit 4.1 </w:t>
      </w:r>
    </w:p>
    <w:p>
      <w:pPr>
        <w:pStyle w:val="TextBody"/>
        <w:spacing w:before="18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0" w:after="0"/>
        <w:jc w:val="center"/>
        <w:rPr>
          <w:rFonts w:ascii="Times New Roman" w:hAnsi="Times New Roman"/>
          <w:sz w:val="20"/>
        </w:rPr>
      </w:pPr>
      <w:r>
        <w:rPr>
          <w:rFonts w:ascii="Times New Roman" w:hAnsi="Times New Roman"/>
          <w:sz w:val="20"/>
        </w:rPr>
        <w:t xml:space="preserve">as Issuers </w:t>
      </w:r>
    </w:p>
    <w:p>
      <w:pPr>
        <w:pStyle w:val="TextBody"/>
        <w:spacing w:before="0" w:after="0"/>
        <w:jc w:val="center"/>
        <w:rPr>
          <w:rFonts w:ascii="Times New Roman" w:hAnsi="Times New Roman"/>
          <w:sz w:val="20"/>
        </w:rPr>
      </w:pPr>
      <w:r>
        <w:rPr>
          <w:rFonts w:ascii="Times New Roman" w:hAnsi="Times New Roman"/>
          <w:sz w:val="20"/>
        </w:rPr>
        <w:t xml:space="preserve">$750,000,000 </w:t>
      </w:r>
    </w:p>
    <w:p>
      <w:pPr>
        <w:pStyle w:val="TextBody"/>
        <w:spacing w:before="180" w:after="0"/>
        <w:jc w:val="center"/>
        <w:rPr>
          <w:rFonts w:ascii="Times New Roman" w:hAnsi="Times New Roman"/>
          <w:sz w:val="20"/>
        </w:rPr>
      </w:pPr>
      <w:r>
        <w:rPr>
          <w:rFonts w:ascii="Times New Roman" w:hAnsi="Times New Roman"/>
          <w:sz w:val="20"/>
        </w:rPr>
        <w:t xml:space="preserve">3.65% SENIOR NOTES DUE 2022 </w:t>
      </w:r>
    </w:p>
    <w:p>
      <w:pPr>
        <w:pStyle w:val="TextBody"/>
        <w:spacing w:before="180" w:after="0"/>
        <w:jc w:val="center"/>
        <w:rPr>
          <w:rFonts w:ascii="Times New Roman" w:hAnsi="Times New Roman"/>
          <w:sz w:val="20"/>
        </w:rPr>
      </w:pPr>
      <w:r>
        <w:rPr>
          <w:rFonts w:ascii="Times New Roman" w:hAnsi="Times New Roman"/>
          <w:sz w:val="20"/>
        </w:rPr>
        <w:t xml:space="preserve">TWENTIETH </w:t>
      </w:r>
    </w:p>
    <w:p>
      <w:pPr>
        <w:pStyle w:val="TextBody"/>
        <w:spacing w:before="180" w:after="0"/>
        <w:jc w:val="center"/>
        <w:rPr>
          <w:rFonts w:ascii="Times New Roman" w:hAnsi="Times New Roman"/>
          <w:sz w:val="20"/>
        </w:rPr>
      </w:pPr>
      <w:r>
        <w:rPr>
          <w:rFonts w:ascii="Times New Roman" w:hAnsi="Times New Roman"/>
          <w:sz w:val="20"/>
        </w:rPr>
        <w:t xml:space="preserve">SUPPLEMENTAL </w:t>
      </w:r>
    </w:p>
    <w:p>
      <w:pPr>
        <w:pStyle w:val="TextBody"/>
        <w:spacing w:before="180" w:after="0"/>
        <w:jc w:val="center"/>
        <w:rPr>
          <w:rFonts w:ascii="Times New Roman" w:hAnsi="Times New Roman"/>
          <w:sz w:val="20"/>
        </w:rPr>
      </w:pPr>
      <w:r>
        <w:rPr>
          <w:rFonts w:ascii="Times New Roman" w:hAnsi="Times New Roman"/>
          <w:sz w:val="20"/>
        </w:rPr>
        <w:t xml:space="preserve">INDENTURE </w:t>
      </w:r>
    </w:p>
    <w:p>
      <w:pPr>
        <w:pStyle w:val="TextBody"/>
        <w:spacing w:before="180" w:after="0"/>
        <w:jc w:val="center"/>
        <w:rPr>
          <w:rFonts w:ascii="Times New Roman" w:hAnsi="Times New Roman"/>
          <w:sz w:val="20"/>
        </w:rPr>
      </w:pPr>
      <w:r>
        <w:rPr>
          <w:rFonts w:ascii="Times New Roman" w:hAnsi="Times New Roman"/>
          <w:sz w:val="20"/>
        </w:rPr>
        <w:t xml:space="preserve">Dated as of March 22, 2012 </w:t>
      </w:r>
    </w:p>
    <w:p>
      <w:pPr>
        <w:pStyle w:val="TextBody"/>
        <w:spacing w:before="180" w:after="0"/>
        <w:jc w:val="center"/>
        <w:rPr>
          <w:rFonts w:ascii="Times New Roman" w:hAnsi="Times New Roman"/>
          <w:sz w:val="20"/>
        </w:rPr>
      </w:pPr>
      <w:r>
        <w:rPr>
          <w:rFonts w:ascii="Times New Roman" w:hAnsi="Times New Roman"/>
          <w:sz w:val="20"/>
        </w:rPr>
        <w:t xml:space="preserve">U.S. BANK NATIONAL ASSOCIATION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97"/>
        <w:gridCol w:w="197"/>
        <w:gridCol w:w="60"/>
        <w:gridCol w:w="230"/>
        <w:gridCol w:w="121"/>
      </w:tblGrid>
      <w:tr>
        <w:trPr/>
        <w:tc>
          <w:tcPr>
            <w:tcW w:w="95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 1</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 Establishment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II DEFINITIONS AND INCORPORATION BY REFERENCE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 Definitions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 Other Definitions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III THE NOTES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 Form</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 Issuance of Additional Notes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 Global Security Legend</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IV REDEMPTION AND PREPAYMENT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 Optional Redemption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4.02 Special Optional Redemption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 COVENANTS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 Compliance Certificate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 Limitations on Liens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 Restriction of Sale-leaseback Transactions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 SEC Reports; Financial Statements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5.05.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 SUCCESSORS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 Consolidation and Mergers of the Issuers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 Rights and Duties of Successor</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 Supplemental Indenture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VII DEFAULTS AND REMEDIES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 Events of Default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VIII LEGAL DEFEASANCE AND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8.01. Option to Effect Legal Defeasance or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8.02. Legal Defeasance and Discharge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8.03.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8.04. Conditions to Legal or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8.05. Deposited Money and U.S. Government Obligations to be Held in Trust; Other Miscellaneous Provisions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8.06. Repayment to Issuers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8.07. Reinstatement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IX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9.01.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9.02. Limitation on Liability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596"/>
        <w:gridCol w:w="198"/>
        <w:gridCol w:w="60"/>
        <w:gridCol w:w="230"/>
        <w:gridCol w:w="121"/>
      </w:tblGrid>
      <w:tr>
        <w:trPr/>
        <w:tc>
          <w:tcPr>
            <w:tcW w:w="95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9.03. Successors and Assigns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9.04. No Waiver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9.05. Modification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 Execution of Supplemental Indenture for Future Subsidiary Guarantors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9.07. Release of Guarantee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ARTICLE X MISCELLANEOUS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10.01. Additional Amendments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10.02. Integral Part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10.03. Adoption, Ratification and Confirmation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10.04. Counterparts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10.05. Governing Law</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EXHIBIT A: Form of Note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EXHIBIT B: Form of Supplemental Indenture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TWENTIETH SUPPLEMENTAL INDENTURE dated as of March 22, 2012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180" w:after="0"/>
        <w:rPr>
          <w:rFonts w:ascii="Times New Roman" w:hAnsi="Times New Roman"/>
          <w:sz w:val="20"/>
        </w:rPr>
      </w:pPr>
      <w:r>
        <w:rPr>
          <w:rFonts w:ascii="Times New Roman" w:hAnsi="Times New Roman"/>
          <w:sz w:val="20"/>
        </w:rPr>
        <w:t xml:space="preserve">WHEREAS, the Original Indenture, as supplemented by this Supplemental Indenture, is herein called the Indenture; </w:t>
      </w:r>
    </w:p>
    <w:p>
      <w:pPr>
        <w:pStyle w:val="TextBody"/>
        <w:spacing w:before="180" w:after="0"/>
        <w:rPr>
          <w:rFonts w:ascii="Times New Roman" w:hAnsi="Times New Roman"/>
          <w:sz w:val="20"/>
        </w:rPr>
      </w:pPr>
      <w:r>
        <w:rPr>
          <w:rFonts w:ascii="Times New Roman" w:hAnsi="Times New Roman"/>
          <w:sz w:val="20"/>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180" w:after="0"/>
        <w:rPr>
          <w:rFonts w:ascii="Times New Roman" w:hAnsi="Times New Roman"/>
          <w:sz w:val="20"/>
        </w:rPr>
      </w:pPr>
      <w:r>
        <w:rPr>
          <w:rFonts w:ascii="Times New Roman" w:hAnsi="Times New Roman"/>
          <w:sz w:val="20"/>
        </w:rPr>
        <w:t xml:space="preserve">WHEREAS, the Issuers propose to create under the Indenture a new series of Debt Securities; </w:t>
      </w:r>
    </w:p>
    <w:p>
      <w:pPr>
        <w:pStyle w:val="TextBody"/>
        <w:spacing w:before="180" w:after="0"/>
        <w:rPr>
          <w:rFonts w:ascii="Times New Roman" w:hAnsi="Times New Roman"/>
          <w:sz w:val="20"/>
        </w:rPr>
      </w:pPr>
      <w:r>
        <w:rPr>
          <w:rFonts w:ascii="Times New Roman" w:hAnsi="Times New Roman"/>
          <w:sz w:val="20"/>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180" w:after="0"/>
        <w:rPr>
          <w:rFonts w:ascii="Times New Roman" w:hAnsi="Times New Roman"/>
          <w:sz w:val="20"/>
        </w:rPr>
      </w:pPr>
      <w:r>
        <w:rPr>
          <w:rFonts w:ascii="Times New Roman" w:hAnsi="Times New Roman"/>
          <w:sz w:val="20"/>
        </w:rPr>
        <w:t xml:space="preserve">WHEREAS, all conditions necessary to authorize the execution and delivery of this Supplemental Indenture and to make it a valid and binding obligation of the Issuers have been done or performed. </w:t>
      </w:r>
    </w:p>
    <w:p>
      <w:pPr>
        <w:pStyle w:val="TextBody"/>
        <w:spacing w:before="180" w:after="0"/>
        <w:rPr>
          <w:rFonts w:ascii="Times New Roman" w:hAnsi="Times New Roman"/>
          <w:sz w:val="20"/>
        </w:rPr>
      </w:pPr>
      <w:r>
        <w:rPr>
          <w:rFonts w:ascii="Times New Roman" w:hAnsi="Times New Roman"/>
          <w:sz w:val="20"/>
        </w:rPr>
        <w:t xml:space="preserve">NOW, THEREFORE, in consideration of the agreements and obligations set forth herein and for other good and valuable consideration, the sufficiency of which is hereby acknowledged, the parties hereto hereby agree as follows: </w:t>
      </w:r>
    </w:p>
    <w:p>
      <w:pPr>
        <w:pStyle w:val="TextBody"/>
        <w:spacing w:before="360" w:after="0"/>
        <w:jc w:val="center"/>
        <w:rPr>
          <w:rFonts w:ascii="Times New Roman" w:hAnsi="Times New Roman"/>
          <w:sz w:val="20"/>
        </w:rPr>
      </w:pPr>
      <w:r>
        <w:rPr>
          <w:rFonts w:ascii="Times New Roman" w:hAnsi="Times New Roman"/>
          <w:sz w:val="20"/>
        </w:rPr>
        <w:t xml:space="preserve">ARTICLE I </w:t>
      </w:r>
    </w:p>
    <w:p>
      <w:pPr>
        <w:pStyle w:val="TextBody"/>
        <w:spacing w:before="90" w:after="0"/>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Establishment</w:t>
      </w:r>
      <w:r>
        <w:rPr>
          <w:rFonts w:ascii="Times New Roman" w:hAnsi="Times New Roman"/>
          <w:sz w:val="20"/>
        </w:rPr>
        <w:t xml:space="preserve">. There is hereby established a new series of Debt Securities to be issued under the Indenture, to be designated as the Issuers 3.65% Senior Notes due 2022 (the Notes). Initially, there will be no Subsidiary Guarantors for the Notes. </w:t>
      </w:r>
    </w:p>
    <w:p>
      <w:pPr>
        <w:pStyle w:val="TextBody"/>
        <w:spacing w:before="90" w:after="0"/>
        <w:rPr>
          <w:rFonts w:ascii="Times New Roman" w:hAnsi="Times New Roman"/>
          <w:sz w:val="20"/>
        </w:rPr>
      </w:pPr>
      <w:r>
        <w:rPr>
          <w:rFonts w:ascii="Times New Roman" w:hAnsi="Times New Roman"/>
          <w:sz w:val="20"/>
        </w:rPr>
        <w:t xml:space="preserve">(a) There are to be authenticated and delivered $750,000,000 principal amount of Notes on the Issue Date, and from time to time thereafter there may be authenticated and delivered an unlimited principal amount of Additional Notes.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90" w:after="0"/>
        <w:rPr>
          <w:rFonts w:ascii="Times New Roman" w:hAnsi="Times New Roman"/>
          <w:sz w:val="20"/>
        </w:rPr>
      </w:pPr>
      <w:r>
        <w:rPr>
          <w:rFonts w:ascii="Times New Roman" w:hAnsi="Times New Roman"/>
          <w:sz w:val="20"/>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90" w:after="0"/>
        <w:rPr>
          <w:rFonts w:ascii="Times New Roman" w:hAnsi="Times New Roman"/>
          <w:sz w:val="20"/>
        </w:rPr>
      </w:pPr>
      <w:r>
        <w:rPr>
          <w:rFonts w:ascii="Times New Roman" w:hAnsi="Times New Roman"/>
          <w:sz w:val="20"/>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360" w:after="0"/>
        <w:jc w:val="center"/>
        <w:rPr>
          <w:rFonts w:ascii="Times New Roman" w:hAnsi="Times New Roman"/>
          <w:sz w:val="20"/>
        </w:rPr>
      </w:pPr>
      <w:r>
        <w:rPr>
          <w:rFonts w:ascii="Times New Roman" w:hAnsi="Times New Roman"/>
          <w:sz w:val="20"/>
        </w:rPr>
        <w:t xml:space="preserve">ARTICLE II </w:t>
      </w:r>
    </w:p>
    <w:p>
      <w:pPr>
        <w:pStyle w:val="TextBody"/>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Definitions.</w:t>
      </w:r>
      <w:r>
        <w:rPr>
          <w:rFonts w:ascii="Times New Roman" w:hAnsi="Times New Roman"/>
          <w:sz w:val="20"/>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180" w:after="0"/>
        <w:rPr>
          <w:rFonts w:ascii="Times New Roman" w:hAnsi="Times New Roman"/>
          <w:sz w:val="20"/>
        </w:rPr>
      </w:pP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180" w:after="0"/>
        <w:rPr>
          <w:rFonts w:ascii="Times New Roman" w:hAnsi="Times New Roman"/>
          <w:sz w:val="20"/>
        </w:rPr>
      </w:pPr>
      <w:r>
        <w:rPr>
          <w:rFonts w:ascii="Times New Roman" w:hAnsi="Times New Roman"/>
          <w:sz w:val="20"/>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80" w:after="0"/>
        <w:rPr>
          <w:rFonts w:ascii="Times New Roman" w:hAnsi="Times New Roman"/>
          <w:sz w:val="20"/>
        </w:rPr>
      </w:pPr>
      <w:r>
        <w:rPr>
          <w:rFonts w:ascii="Times New Roman" w:hAnsi="Times New Roman"/>
          <w:sz w:val="20"/>
        </w:rPr>
        <w:t xml:space="preserve">BP NGL Acquisition means purchase of certain interests by Plains Midstream Canada ULC pursuant to the BP NGL Acquisition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BP NGL Acquisition Agreement means that certain Share Purchase Agreement dated December 1, 2011 by and among Amoco Canada International Holdings B.V. and Plains Midstream Canada ULC. </w:t>
      </w:r>
    </w:p>
    <w:p>
      <w:pPr>
        <w:pStyle w:val="TextBody"/>
        <w:spacing w:before="180" w:after="0"/>
        <w:rPr>
          <w:rFonts w:ascii="Times New Roman" w:hAnsi="Times New Roman"/>
          <w:sz w:val="20"/>
        </w:rPr>
      </w:pPr>
      <w:r>
        <w:rPr>
          <w:rFonts w:ascii="Times New Roman" w:hAnsi="Times New Roman"/>
          <w:sz w:val="20"/>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80" w:after="0"/>
        <w:rPr>
          <w:rFonts w:ascii="Times New Roman" w:hAnsi="Times New Roman"/>
          <w:sz w:val="20"/>
        </w:rPr>
      </w:pPr>
      <w:r>
        <w:rPr>
          <w:rFonts w:ascii="Times New Roman" w:hAnsi="Times New Roman"/>
          <w:sz w:val="20"/>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180" w:after="0"/>
        <w:rPr>
          <w:rFonts w:ascii="Times New Roman" w:hAnsi="Times New Roman"/>
          <w:sz w:val="20"/>
        </w:rPr>
      </w:pPr>
      <w:r>
        <w:rPr>
          <w:rFonts w:ascii="Times New Roman" w:hAnsi="Times New Roman"/>
          <w:sz w:val="20"/>
        </w:rPr>
        <w:t xml:space="preserve">Debt means any obligation created or assumed by any Person for the repayment of money borrowed, any purchase money obligation created or assumed by such Person, and any guarantee of the foregoing. </w:t>
      </w:r>
    </w:p>
    <w:p>
      <w:pPr>
        <w:pStyle w:val="TextBody"/>
        <w:spacing w:before="180" w:after="0"/>
        <w:rPr>
          <w:rFonts w:ascii="Times New Roman" w:hAnsi="Times New Roman"/>
          <w:sz w:val="20"/>
        </w:rPr>
      </w:pPr>
      <w:r>
        <w:rPr>
          <w:rFonts w:ascii="Times New Roman" w:hAnsi="Times New Roman"/>
          <w:sz w:val="20"/>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80" w:after="0"/>
        <w:rPr>
          <w:rFonts w:ascii="Times New Roman" w:hAnsi="Times New Roman"/>
          <w:sz w:val="20"/>
        </w:rPr>
      </w:pPr>
      <w:r>
        <w:rPr>
          <w:rFonts w:ascii="Times New Roman" w:hAnsi="Times New Roman"/>
          <w:sz w:val="20"/>
        </w:rPr>
        <w:t xml:space="preserve">Guarantee means a guarantee of the Notes given by a Subsidiary Guarantor pursuant to the Indenture, including any future obligations under Article IX hereof. </w:t>
      </w:r>
    </w:p>
    <w:p>
      <w:pPr>
        <w:pStyle w:val="TextBody"/>
        <w:spacing w:before="180" w:after="0"/>
        <w:rPr>
          <w:rFonts w:ascii="Times New Roman" w:hAnsi="Times New Roman"/>
          <w:sz w:val="20"/>
        </w:rPr>
      </w:pPr>
      <w:r>
        <w:rPr>
          <w:rFonts w:ascii="Times New Roman" w:hAnsi="Times New Roman"/>
          <w:sz w:val="20"/>
        </w:rPr>
        <w:t xml:space="preserve">General Partner means PAA GP LLC, a Delaware limited liability company, and its successors and permitted assigns as general partner of the Partnership. </w:t>
      </w:r>
    </w:p>
    <w:p>
      <w:pPr>
        <w:pStyle w:val="TextBody"/>
        <w:spacing w:before="180" w:after="0"/>
        <w:rPr>
          <w:rFonts w:ascii="Times New Roman" w:hAnsi="Times New Roman"/>
          <w:sz w:val="20"/>
        </w:rPr>
      </w:pPr>
      <w:r>
        <w:rPr>
          <w:rFonts w:ascii="Times New Roman" w:hAnsi="Times New Roman"/>
          <w:sz w:val="20"/>
        </w:rPr>
        <w:t xml:space="preserve">Issue Date means, with respect to the Notes, the date on which the Notes are initially issued. </w:t>
      </w:r>
    </w:p>
    <w:p>
      <w:pPr>
        <w:pStyle w:val="TextBody"/>
        <w:spacing w:before="180" w:after="0"/>
        <w:rPr>
          <w:rFonts w:ascii="Times New Roman" w:hAnsi="Times New Roman"/>
          <w:sz w:val="20"/>
        </w:rPr>
      </w:pPr>
      <w:r>
        <w:rPr>
          <w:rFonts w:ascii="Times New Roman" w:hAnsi="Times New Roman"/>
          <w:sz w:val="20"/>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180" w:after="0"/>
        <w:rPr>
          <w:rFonts w:ascii="Times New Roman" w:hAnsi="Times New Roman"/>
          <w:sz w:val="20"/>
        </w:rPr>
      </w:pPr>
      <w:r>
        <w:rPr>
          <w:rFonts w:ascii="Times New Roman" w:hAnsi="Times New Roman"/>
          <w:sz w:val="20"/>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Obligations means any principal, interest, liquidated damages, penalties, fees, indemnifications, reimbursement obligations, damages and other liabilities payable under the documentation governing any Debt. </w:t>
      </w:r>
    </w:p>
    <w:p>
      <w:pPr>
        <w:pStyle w:val="TextBody"/>
        <w:spacing w:before="180" w:after="0"/>
        <w:rPr>
          <w:rFonts w:ascii="Times New Roman" w:hAnsi="Times New Roman"/>
          <w:sz w:val="20"/>
        </w:rPr>
      </w:pPr>
      <w:r>
        <w:rPr>
          <w:rFonts w:ascii="Times New Roman" w:hAnsi="Times New Roman"/>
          <w:sz w:val="20"/>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80" w:after="0"/>
        <w:rPr>
          <w:rFonts w:ascii="Times New Roman" w:hAnsi="Times New Roman"/>
          <w:sz w:val="20"/>
        </w:rPr>
      </w:pPr>
      <w:r>
        <w:rPr>
          <w:rFonts w:ascii="Times New Roman" w:hAnsi="Times New Roman"/>
          <w:sz w:val="20"/>
        </w:rPr>
        <w:t xml:space="preserve">Partnership Agreement means the Third Amended and Restated Agreement of Limited Partnership of Plains All American Pipeline, L.P., amended and restated effective as of June 27, 2001, as amended by Amendment No. 1 thereto dated as of April 15, 2004, Amendment No. 2 thereto dated as of November 15, 2006, Amendment No. 3 thereto dated as of August 16, 2007, Amendment No. 4 thereto dated April 14, 2008, to be effective as of January 1, 2007, Amendment No. 5 thereto dated as of May 28, 2008, Amendment No. 6 thereto dated as of September 3, 2009 and as such may be otherwise amended, modified or supplemented from time to time. </w:t>
      </w:r>
    </w:p>
    <w:p>
      <w:pPr>
        <w:pStyle w:val="TextBody"/>
        <w:spacing w:before="180" w:after="0"/>
        <w:rPr>
          <w:rFonts w:ascii="Times New Roman" w:hAnsi="Times New Roman"/>
          <w:sz w:val="20"/>
        </w:rPr>
      </w:pPr>
      <w:r>
        <w:rPr>
          <w:rFonts w:ascii="Times New Roman" w:hAnsi="Times New Roman"/>
          <w:sz w:val="20"/>
        </w:rPr>
        <w:t xml:space="preserve">Permitted Liens means: </w:t>
      </w:r>
    </w:p>
    <w:p>
      <w:pPr>
        <w:pStyle w:val="TextBody"/>
        <w:spacing w:before="9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9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9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9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9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9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90" w:after="0"/>
        <w:rPr>
          <w:rFonts w:ascii="Times New Roman" w:hAnsi="Times New Roman"/>
          <w:sz w:val="20"/>
        </w:rPr>
      </w:pPr>
      <w:r>
        <w:rPr>
          <w:rFonts w:ascii="Times New Roman" w:hAnsi="Times New Roman"/>
          <w:sz w:val="20"/>
        </w:rPr>
        <w:t xml:space="preserve">(7) any Lien upon property or assets acquired or sold by an Issuer or any Restricted Subsidiary resulting from the exercise of any rights arising out of defaults on receivables;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90" w:after="0"/>
        <w:rPr>
          <w:rFonts w:ascii="Times New Roman" w:hAnsi="Times New Roman"/>
          <w:sz w:val="20"/>
        </w:rPr>
      </w:pPr>
      <w:r>
        <w:rPr>
          <w:rFonts w:ascii="Times New Roman" w:hAnsi="Times New Roman"/>
          <w:sz w:val="20"/>
        </w:rPr>
        <w:t xml:space="preserve">(9) any Lien in favor of an Issuer or any Restricted Subsidiary; </w:t>
      </w:r>
    </w:p>
    <w:p>
      <w:pPr>
        <w:pStyle w:val="TextBody"/>
        <w:spacing w:before="9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9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90" w:after="0"/>
        <w:rPr>
          <w:rFonts w:ascii="Times New Roman" w:hAnsi="Times New Roman"/>
          <w:sz w:val="20"/>
        </w:rPr>
      </w:pPr>
      <w:r>
        <w:rPr>
          <w:rFonts w:ascii="Times New Roman" w:hAnsi="Times New Roman"/>
          <w:sz w:val="20"/>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9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9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9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90" w:after="0"/>
        <w:rPr>
          <w:rFonts w:ascii="Times New Roman" w:hAnsi="Times New Roman"/>
          <w:sz w:val="20"/>
        </w:rPr>
      </w:pPr>
      <w:r>
        <w:rPr>
          <w:rFonts w:ascii="Times New Roman" w:hAnsi="Times New Roman"/>
          <w:sz w:val="20"/>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9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80" w:after="0"/>
        <w:rPr>
          <w:rFonts w:ascii="Times New Roman" w:hAnsi="Times New Roman"/>
          <w:sz w:val="20"/>
        </w:rPr>
      </w:pPr>
      <w:r>
        <w:rPr>
          <w:rFonts w:ascii="Times New Roman" w:hAnsi="Times New Roman"/>
          <w:sz w:val="20"/>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180" w:after="0"/>
        <w:rPr>
          <w:rFonts w:ascii="Times New Roman" w:hAnsi="Times New Roman"/>
          <w:sz w:val="20"/>
        </w:rPr>
      </w:pPr>
      <w:r>
        <w:rPr>
          <w:rFonts w:ascii="Times New Roman" w:hAnsi="Times New Roman"/>
          <w:sz w:val="20"/>
        </w:rPr>
        <w:t xml:space="preserve">Restricted Subsidiary means any Subsidiary of the Partnership owning or leasing, directly or indirectly through ownership in another Subsidiary, any Principal Property. </w:t>
      </w:r>
    </w:p>
    <w:p>
      <w:pPr>
        <w:pStyle w:val="TextBody"/>
        <w:spacing w:before="180" w:after="0"/>
        <w:rPr>
          <w:rFonts w:ascii="Times New Roman" w:hAnsi="Times New Roman"/>
          <w:sz w:val="20"/>
        </w:rPr>
      </w:pPr>
      <w:r>
        <w:rPr>
          <w:rFonts w:ascii="Times New Roman" w:hAnsi="Times New Roman"/>
          <w:sz w:val="20"/>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180" w:after="0"/>
        <w:rPr>
          <w:rFonts w:ascii="Times New Roman" w:hAnsi="Times New Roman"/>
          <w:sz w:val="20"/>
        </w:rPr>
      </w:pPr>
      <w:r>
        <w:rPr>
          <w:rFonts w:ascii="Times New Roman" w:hAnsi="Times New Roman"/>
          <w:sz w:val="20"/>
        </w:rPr>
        <w:t xml:space="preserve">Special Optional Redemption Trigger Event means the earlier to occur of the following two events: </w:t>
      </w:r>
    </w:p>
    <w:p>
      <w:pPr>
        <w:pStyle w:val="TextBody"/>
        <w:spacing w:before="90" w:after="0"/>
        <w:rPr>
          <w:rFonts w:ascii="Times New Roman" w:hAnsi="Times New Roman"/>
          <w:sz w:val="20"/>
        </w:rPr>
      </w:pPr>
      <w:r>
        <w:rPr>
          <w:rFonts w:ascii="Times New Roman" w:hAnsi="Times New Roman"/>
          <w:sz w:val="20"/>
        </w:rPr>
        <w:t xml:space="preserve">(1) June 1, 2012, if the BP NGL Acquisition has not been consummated by such date; or </w:t>
      </w:r>
    </w:p>
    <w:p>
      <w:pPr>
        <w:pStyle w:val="TextBody"/>
        <w:spacing w:before="90" w:after="0"/>
        <w:rPr>
          <w:rFonts w:ascii="Times New Roman" w:hAnsi="Times New Roman"/>
          <w:sz w:val="20"/>
        </w:rPr>
      </w:pPr>
      <w:r>
        <w:rPr>
          <w:rFonts w:ascii="Times New Roman" w:hAnsi="Times New Roman"/>
          <w:sz w:val="20"/>
        </w:rPr>
        <w:t xml:space="preserve">(2) the termination of the BP NGL Acquisition Agreement. </w:t>
      </w:r>
    </w:p>
    <w:p>
      <w:pPr>
        <w:pStyle w:val="TextBody"/>
        <w:spacing w:before="180" w:after="0"/>
        <w:rPr>
          <w:rFonts w:ascii="Times New Roman" w:hAnsi="Times New Roman"/>
          <w:sz w:val="20"/>
        </w:rPr>
      </w:pPr>
      <w:r>
        <w:rPr>
          <w:rFonts w:ascii="Times New Roman" w:hAnsi="Times New Roman"/>
          <w:sz w:val="20"/>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180" w:after="0"/>
        <w:rPr>
          <w:rFonts w:ascii="Times New Roman" w:hAnsi="Times New Roman"/>
          <w:sz w:val="20"/>
        </w:rPr>
      </w:pPr>
      <w:r>
        <w:rPr>
          <w:rFonts w:ascii="Times New Roman" w:hAnsi="Times New Roman"/>
          <w:sz w:val="20"/>
        </w:rPr>
        <w:t xml:space="preserve">Subsidiary Guarantors means each of: </w:t>
      </w:r>
    </w:p>
    <w:p>
      <w:pPr>
        <w:pStyle w:val="TextBody"/>
        <w:spacing w:before="90" w:after="0"/>
        <w:rPr>
          <w:rFonts w:ascii="Times New Roman" w:hAnsi="Times New Roman"/>
          <w:sz w:val="20"/>
        </w:rPr>
      </w:pPr>
      <w:r>
        <w:rPr>
          <w:rFonts w:ascii="Times New Roman" w:hAnsi="Times New Roman"/>
          <w:sz w:val="20"/>
        </w:rPr>
        <w:t xml:space="preserve">(1) any Subsidiary that executes a supplemental Indenture to provide a Guarantee in accordance with the provisions of the Indenture; and </w:t>
      </w:r>
    </w:p>
    <w:p>
      <w:pPr>
        <w:pStyle w:val="TextBody"/>
        <w:spacing w:before="90" w:after="0"/>
        <w:rPr>
          <w:rFonts w:ascii="Times New Roman" w:hAnsi="Times New Roman"/>
          <w:sz w:val="20"/>
        </w:rPr>
      </w:pPr>
      <w:r>
        <w:rPr>
          <w:rFonts w:ascii="Times New Roman" w:hAnsi="Times New Roman"/>
          <w:sz w:val="20"/>
        </w:rPr>
        <w:t xml:space="preserve">(2) their respective successors and assigns. </w:t>
      </w:r>
    </w:p>
    <w:p>
      <w:pPr>
        <w:pStyle w:val="TextBody"/>
        <w:spacing w:before="180" w:after="0"/>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Other Definitions</w:t>
      </w:r>
      <w:r>
        <w:rPr>
          <w:rFonts w:ascii="Times New Roman" w:hAnsi="Times New Roman"/>
          <w:sz w:val="20"/>
        </w:rPr>
        <w:t xml:space="preserve">.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606"/>
        <w:gridCol w:w="588"/>
        <w:gridCol w:w="84"/>
        <w:gridCol w:w="538"/>
        <w:gridCol w:w="123"/>
      </w:tblGrid>
      <w:tr>
        <w:trPr/>
        <w:tc>
          <w:tcPr>
            <w:tcW w:w="560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60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Term</w:t>
            </w:r>
          </w:p>
        </w:tc>
        <w:tc>
          <w:tcPr>
            <w:tcW w:w="588" w:type="dxa"/>
            <w:tcBorders/>
            <w:shd w:fill="auto" w:val="clear"/>
            <w:vAlign w:val="bottom"/>
          </w:tcPr>
          <w:p>
            <w:pPr>
              <w:pStyle w:val="TableContents"/>
              <w:spacing w:before="0" w:after="283"/>
              <w:rPr/>
            </w:pPr>
            <w:r>
              <w:rPr/>
              <w:t>  </w:t>
            </w:r>
          </w:p>
        </w:tc>
        <w:tc>
          <w:tcPr>
            <w:tcW w:w="6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Defined in</w:t>
              <w:br/>
              <w:t>Section</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Notes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Covenant Defeasance</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8.03</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Event of Default</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Legal Defeasance</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Note Obligations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Payment Default</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Required Filing Dates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Special Optional Redemption</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Successor Company</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3" w:type="dxa"/>
            <w:tcBorders/>
            <w:shd w:fill="CCEEFF" w:val="clear"/>
            <w:vAlign w:val="bottom"/>
          </w:tcPr>
          <w:p>
            <w:pPr>
              <w:pStyle w:val="TableContents"/>
              <w:spacing w:before="0" w:after="283"/>
              <w:rPr/>
            </w:pPr>
            <w:r>
              <w:rPr/>
              <w:t>  </w:t>
            </w:r>
          </w:p>
        </w:tc>
      </w:tr>
    </w:tbl>
    <w:p>
      <w:pPr>
        <w:pStyle w:val="TextBody"/>
        <w:spacing w:before="360" w:after="0"/>
        <w:jc w:val="center"/>
        <w:rPr>
          <w:rFonts w:ascii="Times New Roman" w:hAnsi="Times New Roman"/>
          <w:sz w:val="20"/>
        </w:rPr>
      </w:pPr>
      <w:r>
        <w:rPr>
          <w:rFonts w:ascii="Times New Roman" w:hAnsi="Times New Roman"/>
          <w:sz w:val="20"/>
        </w:rPr>
        <w:t xml:space="preserve">ARTICLE III </w:t>
      </w:r>
    </w:p>
    <w:p>
      <w:pPr>
        <w:pStyle w:val="TextBody"/>
        <w:spacing w:before="0" w:after="0"/>
        <w:jc w:val="center"/>
        <w:rPr>
          <w:rFonts w:ascii="Times New Roman" w:hAnsi="Times New Roman"/>
          <w:sz w:val="20"/>
        </w:rPr>
      </w:pPr>
      <w:r>
        <w:rPr>
          <w:rFonts w:ascii="Times New Roman" w:hAnsi="Times New Roman"/>
          <w:sz w:val="20"/>
        </w:rPr>
        <w:t xml:space="preserve">THE NOTES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Form.</w:t>
      </w:r>
      <w:r>
        <w:rPr>
          <w:rFonts w:ascii="Times New Roman" w:hAnsi="Times New Roman"/>
          <w:sz w:val="20"/>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Issuance of Additional Notes.</w:t>
      </w:r>
      <w:r>
        <w:rPr>
          <w:rFonts w:ascii="Times New Roman" w:hAnsi="Times New Roman"/>
          <w:sz w:val="20"/>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$750,000,000. The Notes issued on the Issue Date and any Additional Notes subsequently issued shall be treated as a single series for all purposes under the Indenture, including waivers, amendments, redemptions and offers to purchase.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Global Security Legend</w:t>
      </w:r>
      <w:r>
        <w:rPr>
          <w:rFonts w:ascii="Times New Roman" w:hAnsi="Times New Roman"/>
          <w:sz w:val="20"/>
        </w:rPr>
        <w:t xml:space="preserve">. Each of the Global Securities shall bear a legend in substantially the following form: </w:t>
      </w:r>
    </w:p>
    <w:p>
      <w:pPr>
        <w:pStyle w:val="TextBody"/>
        <w:spacing w:before="180" w:after="0"/>
        <w:rPr>
          <w:rFonts w:ascii="Times New Roman" w:hAnsi="Times New Roman"/>
          <w:sz w:val="20"/>
        </w:rPr>
      </w:pPr>
      <w:r>
        <w:rPr>
          <w:rFonts w:ascii="Times New Roman" w:hAnsi="Times New Roman"/>
          <w:sz w:val="20"/>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360" w:after="0"/>
        <w:jc w:val="center"/>
        <w:rPr>
          <w:rFonts w:ascii="Times New Roman" w:hAnsi="Times New Roman"/>
          <w:sz w:val="20"/>
        </w:rPr>
      </w:pPr>
      <w:r>
        <w:rPr>
          <w:rFonts w:ascii="Times New Roman" w:hAnsi="Times New Roman"/>
          <w:sz w:val="20"/>
        </w:rPr>
        <w:t xml:space="preserve">ARTICLE IV </w:t>
      </w:r>
    </w:p>
    <w:p>
      <w:pPr>
        <w:pStyle w:val="TextBody"/>
        <w:spacing w:before="0" w:after="0"/>
        <w:jc w:val="center"/>
        <w:rPr>
          <w:rFonts w:ascii="Times New Roman" w:hAnsi="Times New Roman"/>
          <w:sz w:val="20"/>
        </w:rPr>
      </w:pPr>
      <w:r>
        <w:rPr>
          <w:rFonts w:ascii="Times New Roman" w:hAnsi="Times New Roman"/>
          <w:sz w:val="20"/>
        </w:rPr>
        <w:t xml:space="preserve">REDEMPTION AND PREPAYMENT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Optional Redemption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90" w:after="0"/>
        <w:rPr>
          <w:rFonts w:ascii="Times New Roman" w:hAnsi="Times New Roman"/>
          <w:sz w:val="20"/>
        </w:rPr>
      </w:pPr>
      <w:r>
        <w:rPr>
          <w:rFonts w:ascii="Times New Roman" w:hAnsi="Times New Roman"/>
          <w:sz w:val="20"/>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90" w:after="0"/>
        <w:rPr>
          <w:rFonts w:ascii="Times New Roman" w:hAnsi="Times New Roman"/>
          <w:sz w:val="20"/>
        </w:rPr>
      </w:pPr>
      <w:r>
        <w:rPr>
          <w:rFonts w:ascii="Times New Roman" w:hAnsi="Times New Roman"/>
          <w:sz w:val="20"/>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180" w:after="0"/>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Special Optional Redemption</w:t>
      </w:r>
      <w:r>
        <w:rPr>
          <w:rFonts w:ascii="Times New Roman" w:hAnsi="Times New Roman"/>
          <w:sz w:val="20"/>
        </w:rPr>
        <w:t xml:space="preserve">. Following the occurrence of a Special Optional Redemption Trigger Event, the Issuers shall have the option to redeem the Notes as a whole (the Special Optional Redemption), upon notice as provided in this Section 4.02, at a redemption price equal to 101% of the aggregate principal amount thereof plus accrued and unpaid interest thereon to the special optional redemption date. Notice of such Special Optional Redemption must be given within ten days of the date of the Special Optional Redemption Trigger Event by first-class mail, postage prepaid, mailed not less than 15 nor more than 30 days prior to the special optional redemption date, to the Trustee and to each Holder, and such notice shall state: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that the Special Optional Redemption Trigger Event has occurred and that the Issuers have elected to exercise the Special Optional Redemption; </w:t>
      </w:r>
    </w:p>
    <w:p>
      <w:pPr>
        <w:pStyle w:val="TextBody"/>
        <w:spacing w:before="90" w:after="0"/>
        <w:rPr>
          <w:rFonts w:ascii="Times New Roman" w:hAnsi="Times New Roman"/>
          <w:sz w:val="20"/>
        </w:rPr>
      </w:pPr>
      <w:r>
        <w:rPr>
          <w:rFonts w:ascii="Times New Roman" w:hAnsi="Times New Roman"/>
          <w:sz w:val="20"/>
        </w:rPr>
        <w:t xml:space="preserve">(b) the special optional redemption date, which shall be no earlier than 15 days nor later than 30 days from the date the notice is mailed; and </w:t>
      </w:r>
    </w:p>
    <w:p>
      <w:pPr>
        <w:pStyle w:val="TextBody"/>
        <w:spacing w:before="90" w:after="0"/>
        <w:rPr>
          <w:rFonts w:ascii="Times New Roman" w:hAnsi="Times New Roman"/>
          <w:sz w:val="20"/>
        </w:rPr>
      </w:pPr>
      <w:r>
        <w:rPr>
          <w:rFonts w:ascii="Times New Roman" w:hAnsi="Times New Roman"/>
          <w:sz w:val="20"/>
        </w:rPr>
        <w:t xml:space="preserve">(c) the other information required by Section 3.02 of the Original Indenture. </w:t>
      </w:r>
    </w:p>
    <w:p>
      <w:pPr>
        <w:pStyle w:val="TextBody"/>
        <w:spacing w:before="180" w:after="0"/>
        <w:rPr>
          <w:rFonts w:ascii="Times New Roman" w:hAnsi="Times New Roman"/>
          <w:sz w:val="20"/>
        </w:rPr>
      </w:pPr>
      <w:r>
        <w:rPr>
          <w:rFonts w:ascii="Times New Roman" w:hAnsi="Times New Roman"/>
          <w:sz w:val="20"/>
        </w:rPr>
        <w:t xml:space="preserve">Except to the extent any provision of this Section 4.02 conflicts with the provisions of Section 3.01 to 3.03 of the Original Indenture, any redemption shall otherwise be made pursuant to the provisions of Sections 3.01 to 3.03 of the Original Indenture. </w:t>
      </w:r>
    </w:p>
    <w:p>
      <w:pPr>
        <w:pStyle w:val="TextBody"/>
        <w:spacing w:before="360" w:after="0"/>
        <w:jc w:val="center"/>
        <w:rPr>
          <w:rFonts w:ascii="Times New Roman" w:hAnsi="Times New Roman"/>
          <w:sz w:val="20"/>
        </w:rPr>
      </w:pPr>
      <w:r>
        <w:rPr>
          <w:rFonts w:ascii="Times New Roman" w:hAnsi="Times New Roman"/>
          <w:sz w:val="20"/>
        </w:rPr>
        <w:t xml:space="preserve">ARTICLE V </w:t>
      </w:r>
    </w:p>
    <w:p>
      <w:pPr>
        <w:pStyle w:val="TextBody"/>
        <w:spacing w:before="0" w:after="0"/>
        <w:jc w:val="center"/>
        <w:rPr>
          <w:rFonts w:ascii="Times New Roman" w:hAnsi="Times New Roman"/>
          <w:sz w:val="20"/>
        </w:rPr>
      </w:pPr>
      <w:r>
        <w:rPr>
          <w:rFonts w:ascii="Times New Roman" w:hAnsi="Times New Roman"/>
          <w:sz w:val="20"/>
        </w:rPr>
        <w:t xml:space="preserve">COVENANTS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Compliance Certificate</w:t>
      </w:r>
      <w:r>
        <w:rPr>
          <w:rFonts w:ascii="Times New Roman" w:hAnsi="Times New Roman"/>
          <w:sz w:val="20"/>
        </w:rPr>
        <w:t xml:space="preserve">.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90" w:after="0"/>
        <w:rPr>
          <w:rFonts w:ascii="Times New Roman" w:hAnsi="Times New Roman"/>
          <w:sz w:val="20"/>
        </w:rPr>
      </w:pPr>
      <w:r>
        <w:rPr>
          <w:rFonts w:ascii="Times New Roman" w:hAnsi="Times New Roman"/>
          <w:sz w:val="20"/>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180" w:after="0"/>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Limitations on Liens</w:t>
      </w:r>
      <w:r>
        <w:rPr>
          <w:rFonts w:ascii="Times New Roman" w:hAnsi="Times New Roman"/>
          <w:sz w:val="20"/>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Permitted Liens; </w:t>
      </w:r>
    </w:p>
    <w:p>
      <w:pPr>
        <w:pStyle w:val="TextBody"/>
        <w:spacing w:before="90" w:after="0"/>
        <w:rPr>
          <w:rFonts w:ascii="Times New Roman" w:hAnsi="Times New Roman"/>
          <w:sz w:val="20"/>
        </w:rPr>
      </w:pPr>
      <w:r>
        <w:rPr>
          <w:rFonts w:ascii="Times New Roman" w:hAnsi="Times New Roman"/>
          <w:sz w:val="20"/>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90" w:after="0"/>
        <w:rPr>
          <w:rFonts w:ascii="Times New Roman" w:hAnsi="Times New Roman"/>
          <w:sz w:val="20"/>
        </w:rPr>
      </w:pPr>
      <w:r>
        <w:rPr>
          <w:rFonts w:ascii="Times New Roman" w:hAnsi="Times New Roman"/>
          <w:sz w:val="20"/>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90" w:after="0"/>
        <w:rPr>
          <w:rFonts w:ascii="Times New Roman" w:hAnsi="Times New Roman"/>
          <w:sz w:val="20"/>
        </w:rPr>
      </w:pPr>
      <w:r>
        <w:rPr>
          <w:rFonts w:ascii="Times New Roman" w:hAnsi="Times New Roman"/>
          <w:sz w:val="20"/>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90" w:after="0"/>
        <w:rPr>
          <w:rFonts w:ascii="Times New Roman" w:hAnsi="Times New Roman"/>
          <w:sz w:val="20"/>
        </w:rPr>
      </w:pPr>
      <w:r>
        <w:rPr>
          <w:rFonts w:ascii="Times New Roman" w:hAnsi="Times New Roman"/>
          <w:sz w:val="20"/>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90" w:after="0"/>
        <w:rPr>
          <w:rFonts w:ascii="Times New Roman" w:hAnsi="Times New Roman"/>
          <w:sz w:val="20"/>
        </w:rPr>
      </w:pPr>
      <w:r>
        <w:rPr>
          <w:rFonts w:ascii="Times New Roman" w:hAnsi="Times New Roman"/>
          <w:sz w:val="20"/>
        </w:rPr>
        <w:t xml:space="preserve">(f) any Lien upon any property or assets of an Issuer or any Restricted Subsidiary in existence on December 10, 2003 or provided for pursuant to agreements existing on December 10, 2003; </w:t>
      </w:r>
    </w:p>
    <w:p>
      <w:pPr>
        <w:pStyle w:val="TextBody"/>
        <w:spacing w:before="90" w:after="0"/>
        <w:rPr>
          <w:rFonts w:ascii="Times New Roman" w:hAnsi="Times New Roman"/>
          <w:sz w:val="20"/>
        </w:rPr>
      </w:pPr>
      <w:r>
        <w:rPr>
          <w:rFonts w:ascii="Times New Roman" w:hAnsi="Times New Roman"/>
          <w:sz w:val="20"/>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90" w:after="0"/>
        <w:rPr>
          <w:rFonts w:ascii="Times New Roman" w:hAnsi="Times New Roman"/>
          <w:sz w:val="20"/>
        </w:rPr>
      </w:pPr>
      <w:r>
        <w:rPr>
          <w:rFonts w:ascii="Times New Roman" w:hAnsi="Times New Roman"/>
          <w:sz w:val="20"/>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90" w:after="0"/>
        <w:rPr>
          <w:rFonts w:ascii="Times New Roman" w:hAnsi="Times New Roman"/>
          <w:sz w:val="20"/>
        </w:rPr>
      </w:pPr>
      <w:r>
        <w:rPr>
          <w:rFonts w:ascii="Times New Roman" w:hAnsi="Times New Roman"/>
          <w:sz w:val="20"/>
        </w:rPr>
        <w:t xml:space="preserve">(i) any Lien resulting from the deposit of moneys or evidence of indebtedness in trust for the purpose of defeasing Debt of an Issuer or any Restricted Subsidiary.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Restriction of Sale-leaseback Transactions</w:t>
      </w:r>
      <w:r>
        <w:rPr>
          <w:rFonts w:ascii="Times New Roman" w:hAnsi="Times New Roman"/>
          <w:sz w:val="20"/>
        </w:rPr>
        <w:t xml:space="preserve">. The Issuers will not, and will not permit any Subsidiary of the Partnership to, engage in a Sale-leaseback Transaction, unless: </w:t>
      </w:r>
    </w:p>
    <w:p>
      <w:pPr>
        <w:pStyle w:val="TextBody"/>
        <w:spacing w:before="90" w:after="0"/>
        <w:rPr>
          <w:rFonts w:ascii="Times New Roman" w:hAnsi="Times New Roman"/>
          <w:sz w:val="20"/>
        </w:rPr>
      </w:pPr>
      <w:r>
        <w:rPr>
          <w:rFonts w:ascii="Times New Roman" w:hAnsi="Times New Roman"/>
          <w:sz w:val="20"/>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90" w:after="0"/>
        <w:rPr>
          <w:rFonts w:ascii="Times New Roman" w:hAnsi="Times New Roman"/>
          <w:sz w:val="20"/>
        </w:rPr>
      </w:pPr>
      <w:r>
        <w:rPr>
          <w:rFonts w:ascii="Times New Roman" w:hAnsi="Times New Roman"/>
          <w:sz w:val="20"/>
        </w:rPr>
        <w:t xml:space="preserve">(b) the Sale-leaseback Transaction involves a lease for a period, including renewals, of not more than three years; </w:t>
      </w:r>
    </w:p>
    <w:p>
      <w:pPr>
        <w:pStyle w:val="TextBody"/>
        <w:spacing w:before="90" w:after="0"/>
        <w:rPr>
          <w:rFonts w:ascii="Times New Roman" w:hAnsi="Times New Roman"/>
          <w:sz w:val="20"/>
        </w:rPr>
      </w:pPr>
      <w:r>
        <w:rPr>
          <w:rFonts w:ascii="Times New Roman" w:hAnsi="Times New Roman"/>
          <w:sz w:val="20"/>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90" w:after="0"/>
        <w:rPr>
          <w:rFonts w:ascii="Times New Roman" w:hAnsi="Times New Roman"/>
          <w:sz w:val="20"/>
        </w:rPr>
      </w:pPr>
      <w:r>
        <w:rPr>
          <w:rFonts w:ascii="Times New Roman" w:hAnsi="Times New Roman"/>
          <w:sz w:val="20"/>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SEC Reports; Financial Statements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90" w:after="0"/>
        <w:rPr>
          <w:rFonts w:ascii="Times New Roman" w:hAnsi="Times New Roman"/>
          <w:sz w:val="20"/>
        </w:rPr>
      </w:pPr>
      <w:r>
        <w:rPr>
          <w:rFonts w:ascii="Times New Roman" w:hAnsi="Times New Roman"/>
          <w:sz w:val="20"/>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90" w:after="0"/>
        <w:rPr>
          <w:rFonts w:ascii="Times New Roman" w:hAnsi="Times New Roman"/>
          <w:sz w:val="20"/>
        </w:rPr>
      </w:pPr>
      <w:r>
        <w:rPr>
          <w:rFonts w:ascii="Times New Roman" w:hAnsi="Times New Roman"/>
          <w:sz w:val="20"/>
        </w:rPr>
        <w:t xml:space="preserve">(c) [Intentionally omitted.] </w:t>
      </w:r>
    </w:p>
    <w:p>
      <w:pPr>
        <w:pStyle w:val="TextBody"/>
        <w:spacing w:before="90" w:after="0"/>
        <w:rPr>
          <w:rFonts w:ascii="Times New Roman" w:hAnsi="Times New Roman"/>
          <w:sz w:val="20"/>
        </w:rPr>
      </w:pPr>
      <w:r>
        <w:rPr>
          <w:rFonts w:ascii="Times New Roman" w:hAnsi="Times New Roman"/>
          <w:sz w:val="20"/>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90" w:after="0"/>
        <w:rPr>
          <w:rFonts w:ascii="Times New Roman" w:hAnsi="Times New Roman"/>
          <w:sz w:val="20"/>
        </w:rPr>
      </w:pPr>
      <w:r>
        <w:rPr>
          <w:rFonts w:ascii="Times New Roman" w:hAnsi="Times New Roman"/>
          <w:sz w:val="20"/>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80" w:after="0"/>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Subsidiary Guarantees</w:t>
      </w:r>
      <w:r>
        <w:rPr>
          <w:rFonts w:ascii="Times New Roman" w:hAnsi="Times New Roman"/>
          <w:sz w:val="20"/>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360" w:after="0"/>
        <w:jc w:val="center"/>
        <w:rPr>
          <w:rFonts w:ascii="Times New Roman" w:hAnsi="Times New Roman"/>
          <w:sz w:val="20"/>
        </w:rPr>
      </w:pPr>
      <w:r>
        <w:rPr>
          <w:rFonts w:ascii="Times New Roman" w:hAnsi="Times New Roman"/>
          <w:sz w:val="20"/>
        </w:rPr>
        <w:t xml:space="preserve">ARTICLE VI </w:t>
      </w:r>
    </w:p>
    <w:p>
      <w:pPr>
        <w:pStyle w:val="TextBody"/>
        <w:spacing w:before="0" w:after="0"/>
        <w:jc w:val="center"/>
        <w:rPr>
          <w:rFonts w:ascii="Times New Roman" w:hAnsi="Times New Roman"/>
          <w:sz w:val="20"/>
        </w:rPr>
      </w:pPr>
      <w:r>
        <w:rPr>
          <w:rFonts w:ascii="Times New Roman" w:hAnsi="Times New Roman"/>
          <w:sz w:val="20"/>
        </w:rPr>
        <w:t xml:space="preserve">SUCCESSORS </w:t>
      </w:r>
    </w:p>
    <w:p>
      <w:pPr>
        <w:pStyle w:val="TextBody"/>
        <w:spacing w:before="180" w:after="0"/>
        <w:rPr>
          <w:rFonts w:ascii="Times New Roman" w:hAnsi="Times New Roman"/>
          <w:sz w:val="20"/>
        </w:rPr>
      </w:pPr>
      <w:r>
        <w:rPr>
          <w:rFonts w:ascii="Times New Roman" w:hAnsi="Times New Roman"/>
          <w:sz w:val="20"/>
        </w:rPr>
        <w:t xml:space="preserve">With respect to the Notes, the provisions of this Article VI shall preempt the provisions of Article X of the Original Indenture in their entirety.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Consolidation and Mergers of the Issuers</w:t>
      </w:r>
      <w:r>
        <w:rPr>
          <w:rFonts w:ascii="Times New Roman" w:hAnsi="Times New Roman"/>
          <w:sz w:val="20"/>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Rights and Duties of Successor</w:t>
      </w:r>
      <w:r>
        <w:rPr>
          <w:rFonts w:ascii="Times New Roman" w:hAnsi="Times New Roman"/>
          <w:sz w:val="20"/>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Supplemental Indenture</w:t>
      </w:r>
      <w:r>
        <w:rPr>
          <w:rFonts w:ascii="Times New Roman" w:hAnsi="Times New Roman"/>
          <w:sz w:val="20"/>
        </w:rPr>
        <w:t xml:space="preserve">. Section 9.01 of the Original Indenture is hereby amended, with respect to the Notes, by adding the words or the confirmation of a Subsidiary Guarantors immediately after the word Issuers in Section 9.01(c). </w:t>
      </w:r>
    </w:p>
    <w:p>
      <w:pPr>
        <w:pStyle w:val="TextBody"/>
        <w:spacing w:before="360" w:after="0"/>
        <w:jc w:val="center"/>
        <w:rPr>
          <w:rFonts w:ascii="Times New Roman" w:hAnsi="Times New Roman"/>
          <w:sz w:val="20"/>
        </w:rPr>
      </w:pPr>
      <w:r>
        <w:rPr>
          <w:rFonts w:ascii="Times New Roman" w:hAnsi="Times New Roman"/>
          <w:sz w:val="20"/>
        </w:rPr>
        <w:t xml:space="preserve">ARTICLE VII </w:t>
      </w:r>
    </w:p>
    <w:p>
      <w:pPr>
        <w:pStyle w:val="TextBody"/>
        <w:spacing w:before="0" w:after="0"/>
        <w:jc w:val="center"/>
        <w:rPr>
          <w:rFonts w:ascii="Times New Roman" w:hAnsi="Times New Roman"/>
          <w:sz w:val="20"/>
        </w:rPr>
      </w:pPr>
      <w:r>
        <w:rPr>
          <w:rFonts w:ascii="Times New Roman" w:hAnsi="Times New Roman"/>
          <w:sz w:val="20"/>
        </w:rPr>
        <w:t xml:space="preserve">DEFAULTS AND REMEDIES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With respect to the Notes, the provisions of this Section 7.01 shall preempt the provisions of the first and final paragraphs of Section 6.01 of the Original Indenture in their entirety. </w:t>
      </w:r>
    </w:p>
    <w:p>
      <w:pPr>
        <w:pStyle w:val="TextBody"/>
        <w:spacing w:before="90" w:after="0"/>
        <w:rPr>
          <w:rFonts w:ascii="Times New Roman" w:hAnsi="Times New Roman"/>
          <w:sz w:val="20"/>
        </w:rPr>
      </w:pPr>
      <w:r>
        <w:rPr>
          <w:rFonts w:ascii="Times New Roman" w:hAnsi="Times New Roman"/>
          <w:sz w:val="20"/>
        </w:rPr>
        <w:t xml:space="preserve">(a) An Event of Default occurs if: </w:t>
      </w:r>
    </w:p>
    <w:p>
      <w:pPr>
        <w:pStyle w:val="TextBody"/>
        <w:spacing w:before="90" w:after="0"/>
        <w:rPr>
          <w:rFonts w:ascii="Times New Roman" w:hAnsi="Times New Roman"/>
          <w:sz w:val="20"/>
        </w:rPr>
      </w:pPr>
      <w:r>
        <w:rPr>
          <w:rFonts w:ascii="Times New Roman" w:hAnsi="Times New Roman"/>
          <w:sz w:val="20"/>
        </w:rPr>
        <w:t xml:space="preserve">(i) the Issuers default for 60 days in the payment when due of interest on the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the Issuers default in the payment when due of principal of or premium, if any, on the Notes at maturity, upon redemption or otherwise; </w:t>
      </w:r>
    </w:p>
    <w:p>
      <w:pPr>
        <w:pStyle w:val="TextBody"/>
        <w:spacing w:before="90" w:after="0"/>
        <w:rPr>
          <w:rFonts w:ascii="Times New Roman" w:hAnsi="Times New Roman"/>
          <w:sz w:val="20"/>
        </w:rPr>
      </w:pPr>
      <w:r>
        <w:rPr>
          <w:rFonts w:ascii="Times New Roman" w:hAnsi="Times New Roman"/>
          <w:sz w:val="20"/>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20"/>
          <w:u w:val="single"/>
        </w:rPr>
        <w:t>provided</w:t>
      </w:r>
      <w:r>
        <w:rPr>
          <w:rFonts w:ascii="Times New Roman" w:hAnsi="Times New Roman"/>
          <w:sz w:val="20"/>
        </w:rPr>
        <w:t xml:space="preserve"> that notice need not be given, and an Event of Default shall occur, 90 days after any breach of the provisions of Section 6.01 hereof); </w:t>
      </w:r>
    </w:p>
    <w:p>
      <w:pPr>
        <w:pStyle w:val="TextBody"/>
        <w:spacing w:before="90" w:after="0"/>
        <w:rPr>
          <w:rFonts w:ascii="Times New Roman" w:hAnsi="Times New Roman"/>
          <w:sz w:val="20"/>
        </w:rPr>
      </w:pPr>
      <w:r>
        <w:rPr>
          <w:rFonts w:ascii="Times New Roman" w:hAnsi="Times New Roman"/>
          <w:sz w:val="20"/>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90" w:after="0"/>
        <w:rPr>
          <w:rFonts w:ascii="Times New Roman" w:hAnsi="Times New Roman"/>
          <w:sz w:val="20"/>
        </w:rPr>
      </w:pPr>
      <w:r>
        <w:rPr>
          <w:rFonts w:ascii="Times New Roman" w:hAnsi="Times New Roman"/>
          <w:sz w:val="20"/>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90" w:after="0"/>
        <w:rPr>
          <w:rFonts w:ascii="Times New Roman" w:hAnsi="Times New Roman"/>
          <w:sz w:val="20"/>
        </w:rPr>
      </w:pPr>
      <w:r>
        <w:rPr>
          <w:rFonts w:ascii="Times New Roman" w:hAnsi="Times New Roman"/>
          <w:sz w:val="20"/>
        </w:rPr>
        <w:t xml:space="preserve">(vi) an Issuer or any Subsidiary Guarantor pursuant to or within the meaning of any Bankruptcy Law: </w:t>
      </w:r>
    </w:p>
    <w:p>
      <w:pPr>
        <w:pStyle w:val="TextBody"/>
        <w:spacing w:before="90" w:after="0"/>
        <w:rPr>
          <w:rFonts w:ascii="Times New Roman" w:hAnsi="Times New Roman"/>
          <w:sz w:val="20"/>
        </w:rPr>
      </w:pPr>
      <w:r>
        <w:rPr>
          <w:rFonts w:ascii="Times New Roman" w:hAnsi="Times New Roman"/>
          <w:sz w:val="20"/>
        </w:rPr>
        <w:t xml:space="preserve">(A) commences a voluntary case, </w:t>
      </w:r>
    </w:p>
    <w:p>
      <w:pPr>
        <w:pStyle w:val="TextBody"/>
        <w:spacing w:before="90" w:after="0"/>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spacing w:before="90" w:after="0"/>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makes a general assignment for the benefit of its creditors, or </w:t>
      </w:r>
    </w:p>
    <w:p>
      <w:pPr>
        <w:pStyle w:val="TextBody"/>
        <w:spacing w:before="90" w:after="0"/>
        <w:rPr>
          <w:rFonts w:ascii="Times New Roman" w:hAnsi="Times New Roman"/>
          <w:sz w:val="20"/>
        </w:rPr>
      </w:pPr>
      <w:r>
        <w:rPr>
          <w:rFonts w:ascii="Times New Roman" w:hAnsi="Times New Roman"/>
          <w:sz w:val="20"/>
        </w:rPr>
        <w:t xml:space="preserve">(E) generally is not paying its debts as they become due; or </w:t>
      </w:r>
    </w:p>
    <w:p>
      <w:pPr>
        <w:pStyle w:val="TextBody"/>
        <w:spacing w:before="90" w:after="0"/>
        <w:rPr>
          <w:rFonts w:ascii="Times New Roman" w:hAnsi="Times New Roman"/>
          <w:sz w:val="20"/>
        </w:rPr>
      </w:pPr>
      <w:r>
        <w:rPr>
          <w:rFonts w:ascii="Times New Roman" w:hAnsi="Times New Roman"/>
          <w:sz w:val="20"/>
        </w:rPr>
        <w:t xml:space="preserve">(vii) a court of competent jurisdiction enters an order or decree under any Bankruptcy Law that: </w:t>
      </w:r>
    </w:p>
    <w:p>
      <w:pPr>
        <w:pStyle w:val="TextBody"/>
        <w:spacing w:before="90" w:after="0"/>
        <w:rPr>
          <w:rFonts w:ascii="Times New Roman" w:hAnsi="Times New Roman"/>
          <w:sz w:val="20"/>
        </w:rPr>
      </w:pPr>
      <w:r>
        <w:rPr>
          <w:rFonts w:ascii="Times New Roman" w:hAnsi="Times New Roman"/>
          <w:sz w:val="20"/>
        </w:rPr>
        <w:t xml:space="preserve">(A) is for relief against an Issuer or any Subsidiary Guarantor in an involuntary case; </w:t>
      </w:r>
    </w:p>
    <w:p>
      <w:pPr>
        <w:pStyle w:val="TextBody"/>
        <w:spacing w:before="90" w:after="0"/>
        <w:rPr>
          <w:rFonts w:ascii="Times New Roman" w:hAnsi="Times New Roman"/>
          <w:sz w:val="20"/>
        </w:rPr>
      </w:pPr>
      <w:r>
        <w:rPr>
          <w:rFonts w:ascii="Times New Roman" w:hAnsi="Times New Roman"/>
          <w:sz w:val="20"/>
        </w:rPr>
        <w:t xml:space="preserve">(B) appoints a custodian of an Issuer or any Subsidiary Guarantor or for all or substantially all of the property of an Issuer or any Subsidiary Guarantor; or </w:t>
      </w:r>
    </w:p>
    <w:p>
      <w:pPr>
        <w:pStyle w:val="TextBody"/>
        <w:spacing w:before="180" w:after="0"/>
        <w:rPr>
          <w:rFonts w:ascii="Times New Roman" w:hAnsi="Times New Roman"/>
          <w:sz w:val="20"/>
        </w:rPr>
      </w:pPr>
      <w:r>
        <w:rPr>
          <w:rFonts w:ascii="Times New Roman" w:hAnsi="Times New Roman"/>
          <w:sz w:val="20"/>
        </w:rPr>
        <w:t xml:space="preserve">(C) orders the liquidation of an Issuer or any Subsidiary Guarantor; </w:t>
      </w:r>
    </w:p>
    <w:p>
      <w:pPr>
        <w:pStyle w:val="TextBody"/>
        <w:spacing w:before="180" w:after="0"/>
        <w:rPr>
          <w:rFonts w:ascii="Times New Roman" w:hAnsi="Times New Roman"/>
          <w:sz w:val="20"/>
        </w:rPr>
      </w:pPr>
      <w:r>
        <w:rPr>
          <w:rFonts w:ascii="Times New Roman" w:hAnsi="Times New Roman"/>
          <w:sz w:val="20"/>
        </w:rPr>
        <w:t xml:space="preserve">and the order or decree remains unstayed and in effect for 60 consecutive days. </w:t>
      </w:r>
    </w:p>
    <w:p>
      <w:pPr>
        <w:pStyle w:val="TextBody"/>
        <w:spacing w:before="90" w:after="0"/>
        <w:rPr>
          <w:rFonts w:ascii="Times New Roman" w:hAnsi="Times New Roman"/>
          <w:sz w:val="20"/>
        </w:rPr>
      </w:pPr>
      <w:r>
        <w:rPr>
          <w:rFonts w:ascii="Times New Roman" w:hAnsi="Times New Roman"/>
          <w:sz w:val="20"/>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360" w:after="0"/>
        <w:jc w:val="center"/>
        <w:rPr>
          <w:rFonts w:ascii="Times New Roman" w:hAnsi="Times New Roman"/>
          <w:sz w:val="20"/>
        </w:rPr>
      </w:pPr>
      <w:r>
        <w:rPr>
          <w:rFonts w:ascii="Times New Roman" w:hAnsi="Times New Roman"/>
          <w:sz w:val="20"/>
        </w:rPr>
        <w:t xml:space="preserve">ARTICLE VIII </w:t>
      </w:r>
    </w:p>
    <w:p>
      <w:pPr>
        <w:pStyle w:val="TextBody"/>
        <w:spacing w:before="0" w:after="0"/>
        <w:jc w:val="center"/>
        <w:rPr>
          <w:rFonts w:ascii="Times New Roman" w:hAnsi="Times New Roman"/>
          <w:sz w:val="20"/>
        </w:rPr>
      </w:pPr>
      <w:r>
        <w:rPr>
          <w:rFonts w:ascii="Times New Roman" w:hAnsi="Times New Roman"/>
          <w:sz w:val="20"/>
        </w:rPr>
        <w:t xml:space="preserve">LEGAL DEFEASANCE AND COVENANT DEFEASANCE </w:t>
      </w:r>
    </w:p>
    <w:p>
      <w:pPr>
        <w:pStyle w:val="TextBody"/>
        <w:spacing w:before="180" w:after="0"/>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Option to Effect Legal Defeasance or Covenant Defeasance</w:t>
      </w:r>
      <w:r>
        <w:rPr>
          <w:rFonts w:ascii="Times New Roman" w:hAnsi="Times New Roman"/>
          <w:sz w:val="20"/>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80" w:after="0"/>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Legal Defeasance and Discharge</w:t>
      </w:r>
      <w:r>
        <w:rPr>
          <w:rFonts w:ascii="Times New Roman" w:hAnsi="Times New Roman"/>
          <w:sz w:val="20"/>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90" w:after="0"/>
        <w:rPr>
          <w:rFonts w:ascii="Times New Roman" w:hAnsi="Times New Roman"/>
          <w:sz w:val="20"/>
        </w:rPr>
      </w:pPr>
      <w:r>
        <w:rPr>
          <w:rFonts w:ascii="Times New Roman" w:hAnsi="Times New Roman"/>
          <w:sz w:val="20"/>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90" w:after="0"/>
        <w:rPr>
          <w:rFonts w:ascii="Times New Roman" w:hAnsi="Times New Roman"/>
          <w:sz w:val="20"/>
        </w:rPr>
      </w:pPr>
      <w:r>
        <w:rPr>
          <w:rFonts w:ascii="Times New Roman" w:hAnsi="Times New Roman"/>
          <w:sz w:val="20"/>
        </w:rPr>
        <w:t xml:space="preserve">(b) the Issuers obligations with respect to such Notes under Sections 2.07, 2.08, 2.09 and 4.02 of the Original Indenture, </w:t>
      </w:r>
    </w:p>
    <w:p>
      <w:pPr>
        <w:pStyle w:val="TextBody"/>
        <w:spacing w:before="90" w:after="0"/>
        <w:rPr>
          <w:rFonts w:ascii="Times New Roman" w:hAnsi="Times New Roman"/>
          <w:sz w:val="20"/>
        </w:rPr>
      </w:pPr>
      <w:r>
        <w:rPr>
          <w:rFonts w:ascii="Times New Roman" w:hAnsi="Times New Roman"/>
          <w:sz w:val="20"/>
        </w:rPr>
        <w:t xml:space="preserve">(c) the rights, powers, trusts, duties and immunities of the Trustee hereunder and the Issuers obligations in connection therewith, </w:t>
      </w:r>
    </w:p>
    <w:p>
      <w:pPr>
        <w:pStyle w:val="TextBody"/>
        <w:spacing w:before="90" w:after="0"/>
        <w:rPr>
          <w:rFonts w:ascii="Times New Roman" w:hAnsi="Times New Roman"/>
          <w:sz w:val="20"/>
        </w:rPr>
      </w:pPr>
      <w:r>
        <w:rPr>
          <w:rFonts w:ascii="Times New Roman" w:hAnsi="Times New Roman"/>
          <w:sz w:val="20"/>
        </w:rPr>
        <w:t xml:space="preserve">(d) this Article VIII, and </w:t>
      </w:r>
    </w:p>
    <w:p>
      <w:pPr>
        <w:pStyle w:val="TextBody"/>
        <w:spacing w:before="90" w:after="0"/>
        <w:rPr>
          <w:rFonts w:ascii="Times New Roman" w:hAnsi="Times New Roman"/>
          <w:sz w:val="20"/>
        </w:rPr>
      </w:pPr>
      <w:r>
        <w:rPr>
          <w:rFonts w:ascii="Times New Roman" w:hAnsi="Times New Roman"/>
          <w:sz w:val="20"/>
        </w:rPr>
        <w:t xml:space="preserve">(e) the Issuers rights of optional redemption under Section 4.01 hereof. </w:t>
      </w:r>
    </w:p>
    <w:p>
      <w:pPr>
        <w:pStyle w:val="TextBody"/>
        <w:spacing w:before="180" w:after="0"/>
        <w:rPr>
          <w:rFonts w:ascii="Times New Roman" w:hAnsi="Times New Roman"/>
          <w:sz w:val="20"/>
        </w:rPr>
      </w:pPr>
      <w:r>
        <w:rPr>
          <w:rFonts w:ascii="Times New Roman" w:hAnsi="Times New Roman"/>
          <w:sz w:val="20"/>
        </w:rPr>
        <w:t xml:space="preserve">Subject to compliance with this Article VIII, the Issuers may exercise their option under this Section 8.02 notwithstanding the prior exercise of their option under Section 8.03 hereof. </w:t>
      </w:r>
    </w:p>
    <w:p>
      <w:pPr>
        <w:pStyle w:val="TextBody"/>
        <w:spacing w:before="180" w:after="0"/>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Covenant Defeasance</w:t>
      </w:r>
      <w:r>
        <w:rPr>
          <w:rFonts w:ascii="Times New Roman" w:hAnsi="Times New Roman"/>
          <w:sz w:val="20"/>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Conditions to Legal or Covenant Defeasance</w:t>
      </w:r>
      <w:r>
        <w:rPr>
          <w:rFonts w:ascii="Times New Roman" w:hAnsi="Times New Roman"/>
          <w:sz w:val="20"/>
        </w:rPr>
        <w:t xml:space="preserve">. The following shall be the conditions to the application of either Section 8.02 or 8.03 hereof to the Outstanding Notes: </w:t>
      </w:r>
    </w:p>
    <w:p>
      <w:pPr>
        <w:pStyle w:val="TextBody"/>
        <w:spacing w:before="180" w:after="0"/>
        <w:rPr>
          <w:rFonts w:ascii="Times New Roman" w:hAnsi="Times New Roman"/>
          <w:sz w:val="20"/>
        </w:rPr>
      </w:pPr>
      <w:r>
        <w:rPr>
          <w:rFonts w:ascii="Times New Roman" w:hAnsi="Times New Roman"/>
          <w:sz w:val="20"/>
        </w:rPr>
        <w:t xml:space="preserve">In order to exercise either Legal Defeasance or Covenant Defeasance: </w:t>
      </w:r>
    </w:p>
    <w:p>
      <w:pPr>
        <w:pStyle w:val="TextBody"/>
        <w:spacing w:before="90" w:after="0"/>
        <w:rPr>
          <w:rFonts w:ascii="Times New Roman" w:hAnsi="Times New Roman"/>
          <w:sz w:val="20"/>
        </w:rPr>
      </w:pPr>
      <w:r>
        <w:rPr>
          <w:rFonts w:ascii="Times New Roman" w:hAnsi="Times New Roman"/>
          <w:sz w:val="20"/>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90" w:after="0"/>
        <w:rPr>
          <w:rFonts w:ascii="Times New Roman" w:hAnsi="Times New Roman"/>
          <w:sz w:val="20"/>
        </w:rPr>
      </w:pPr>
      <w:r>
        <w:rPr>
          <w:rFonts w:ascii="Times New Roman" w:hAnsi="Times New Roman"/>
          <w:sz w:val="20"/>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90" w:after="0"/>
        <w:rPr>
          <w:rFonts w:ascii="Times New Roman" w:hAnsi="Times New Roman"/>
          <w:sz w:val="20"/>
        </w:rPr>
      </w:pPr>
      <w:r>
        <w:rPr>
          <w:rFonts w:ascii="Times New Roman" w:hAnsi="Times New Roman"/>
          <w:sz w:val="20"/>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90" w:after="0"/>
        <w:rPr>
          <w:rFonts w:ascii="Times New Roman" w:hAnsi="Times New Roman"/>
          <w:sz w:val="20"/>
        </w:rPr>
      </w:pPr>
      <w:r>
        <w:rPr>
          <w:rFonts w:ascii="Times New Roman" w:hAnsi="Times New Roman"/>
          <w:sz w:val="20"/>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90" w:after="0"/>
        <w:rPr>
          <w:rFonts w:ascii="Times New Roman" w:hAnsi="Times New Roman"/>
          <w:sz w:val="20"/>
        </w:rPr>
      </w:pPr>
      <w:r>
        <w:rPr>
          <w:rFonts w:ascii="Times New Roman" w:hAnsi="Times New Roman"/>
          <w:sz w:val="20"/>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90" w:after="0"/>
        <w:rPr>
          <w:rFonts w:ascii="Times New Roman" w:hAnsi="Times New Roman"/>
          <w:sz w:val="20"/>
        </w:rPr>
      </w:pPr>
      <w:r>
        <w:rPr>
          <w:rFonts w:ascii="Times New Roman" w:hAnsi="Times New Roman"/>
          <w:sz w:val="20"/>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90" w:after="0"/>
        <w:rPr>
          <w:rFonts w:ascii="Times New Roman" w:hAnsi="Times New Roman"/>
          <w:sz w:val="20"/>
        </w:rPr>
      </w:pPr>
      <w:r>
        <w:rPr>
          <w:rFonts w:ascii="Times New Roman" w:hAnsi="Times New Roman"/>
          <w:sz w:val="20"/>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180" w:after="0"/>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180" w:after="0"/>
        <w:rPr>
          <w:rFonts w:ascii="Times New Roman" w:hAnsi="Times New Roman"/>
          <w:sz w:val="20"/>
        </w:rPr>
      </w:pPr>
      <w:r>
        <w:rPr>
          <w:rFonts w:ascii="Times New Roman" w:hAnsi="Times New Roman"/>
          <w:sz w:val="20"/>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180" w:after="0"/>
        <w:rPr>
          <w:rFonts w:ascii="Times New Roman" w:hAnsi="Times New Roman"/>
          <w:sz w:val="20"/>
        </w:rPr>
      </w:pPr>
      <w:r>
        <w:rPr>
          <w:rFonts w:ascii="Times New Roman" w:hAnsi="Times New Roman"/>
          <w:sz w:val="20"/>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180" w:after="0"/>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Repayment to Issuers</w:t>
      </w:r>
      <w:r>
        <w:rPr>
          <w:rFonts w:ascii="Times New Roman" w:hAnsi="Times New Roman"/>
          <w:sz w:val="20"/>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of the Issuers cause to be published once, in the </w:t>
      </w:r>
      <w:r>
        <w:rPr>
          <w:rFonts w:ascii="Times New Roman" w:hAnsi="Times New Roman"/>
          <w:i/>
          <w:sz w:val="20"/>
        </w:rPr>
        <w:t>New York Times</w:t>
      </w:r>
      <w:r>
        <w:rPr>
          <w:rFonts w:ascii="Times New Roman" w:hAnsi="Times New Roman"/>
          <w:sz w:val="20"/>
        </w:rPr>
        <w:t xml:space="preserve"> and </w:t>
      </w:r>
      <w:r>
        <w:rPr>
          <w:rFonts w:ascii="Times New Roman" w:hAnsi="Times New Roman"/>
          <w:i/>
          <w:sz w:val="20"/>
        </w:rPr>
        <w:t xml:space="preserve">The Wall Street Journal </w:t>
      </w:r>
      <w:r>
        <w:rPr>
          <w:rFonts w:ascii="Times New Roman" w:hAnsi="Times New Roman"/>
          <w:sz w:val="20"/>
        </w:rPr>
        <w:t xml:space="preserve">(national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Reinstatement</w:t>
      </w:r>
      <w:r>
        <w:rPr>
          <w:rFonts w:ascii="Times New Roman" w:hAnsi="Times New Roman"/>
          <w:sz w:val="20"/>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360" w:after="0"/>
        <w:jc w:val="center"/>
        <w:rPr>
          <w:rFonts w:ascii="Times New Roman" w:hAnsi="Times New Roman"/>
          <w:sz w:val="20"/>
        </w:rPr>
      </w:pPr>
      <w:r>
        <w:rPr>
          <w:rFonts w:ascii="Times New Roman" w:hAnsi="Times New Roman"/>
          <w:sz w:val="20"/>
        </w:rPr>
        <w:t xml:space="preserve">ARTICLE IX </w:t>
      </w:r>
    </w:p>
    <w:p>
      <w:pPr>
        <w:pStyle w:val="TextBody"/>
        <w:spacing w:before="0" w:after="0"/>
        <w:jc w:val="center"/>
        <w:rPr>
          <w:rFonts w:ascii="Times New Roman" w:hAnsi="Times New Roman"/>
          <w:sz w:val="20"/>
        </w:rPr>
      </w:pPr>
      <w:r>
        <w:rPr>
          <w:rFonts w:ascii="Times New Roman" w:hAnsi="Times New Roman"/>
          <w:sz w:val="20"/>
        </w:rPr>
        <w:t xml:space="preserve">SUBSIDIARY GUARANTEES </w:t>
      </w:r>
    </w:p>
    <w:p>
      <w:pPr>
        <w:pStyle w:val="TextBody"/>
        <w:spacing w:before="180" w:after="0"/>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Subsidiary Guarantees</w:t>
      </w:r>
      <w:r>
        <w:rPr>
          <w:rFonts w:ascii="Times New Roman" w:hAnsi="Times New Roman"/>
          <w:sz w:val="20"/>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90" w:after="0"/>
        <w:rPr>
          <w:rFonts w:ascii="Times New Roman" w:hAnsi="Times New Roman"/>
          <w:sz w:val="20"/>
        </w:rPr>
      </w:pPr>
      <w:r>
        <w:rPr>
          <w:rFonts w:ascii="Times New Roman" w:hAnsi="Times New Roman"/>
          <w:sz w:val="20"/>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90" w:after="0"/>
        <w:rPr>
          <w:rFonts w:ascii="Times New Roman" w:hAnsi="Times New Roman"/>
          <w:sz w:val="20"/>
        </w:rPr>
      </w:pPr>
      <w:r>
        <w:rPr>
          <w:rFonts w:ascii="Times New Roman" w:hAnsi="Times New Roman"/>
          <w:sz w:val="20"/>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90" w:after="0"/>
        <w:rPr>
          <w:rFonts w:ascii="Times New Roman" w:hAnsi="Times New Roman"/>
          <w:sz w:val="20"/>
        </w:rPr>
      </w:pPr>
      <w:r>
        <w:rPr>
          <w:rFonts w:ascii="Times New Roman" w:hAnsi="Times New Roman"/>
          <w:sz w:val="20"/>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90" w:after="0"/>
        <w:rPr>
          <w:rFonts w:ascii="Times New Roman" w:hAnsi="Times New Roman"/>
          <w:sz w:val="20"/>
        </w:rPr>
      </w:pPr>
      <w:r>
        <w:rPr>
          <w:rFonts w:ascii="Times New Roman" w:hAnsi="Times New Roman"/>
          <w:sz w:val="20"/>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90" w:after="0"/>
        <w:rPr>
          <w:rFonts w:ascii="Times New Roman" w:hAnsi="Times New Roman"/>
          <w:sz w:val="20"/>
        </w:rPr>
      </w:pPr>
      <w:r>
        <w:rPr>
          <w:rFonts w:ascii="Times New Roman" w:hAnsi="Times New Roman"/>
          <w:sz w:val="20"/>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 Each Subsidiary Guarantor also agrees to pay any and all costs and expenses (including reasonable attorneys fees) incurred by the Trustee or any Holder in enforcing any rights under this Section 9.01. </w:t>
      </w:r>
    </w:p>
    <w:p>
      <w:pPr>
        <w:pStyle w:val="TextBody"/>
        <w:spacing w:before="180" w:after="0"/>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Limitation on Liability</w:t>
      </w:r>
      <w:r>
        <w:rPr>
          <w:rFonts w:ascii="Times New Roman" w:hAnsi="Times New Roman"/>
          <w:sz w:val="20"/>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180" w:after="0"/>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Successors and Assigns</w:t>
      </w:r>
      <w:r>
        <w:rPr>
          <w:rFonts w:ascii="Times New Roman" w:hAnsi="Times New Roman"/>
          <w:sz w:val="20"/>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180" w:after="0"/>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No Waiver</w:t>
      </w:r>
      <w:r>
        <w:rPr>
          <w:rFonts w:ascii="Times New Roman" w:hAnsi="Times New Roman"/>
          <w:sz w:val="20"/>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180" w:after="0"/>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Modification</w:t>
      </w:r>
      <w:r>
        <w:rPr>
          <w:rFonts w:ascii="Times New Roman" w:hAnsi="Times New Roman"/>
          <w:sz w:val="20"/>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180" w:after="0"/>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Execution of Supplemental Indenture for Future Subsidiary Guarantors</w:t>
      </w:r>
      <w:r>
        <w:rPr>
          <w:rFonts w:ascii="Times New Roman" w:hAnsi="Times New Roman"/>
          <w:sz w:val="20"/>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180" w:after="0"/>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Release of Guarantee</w:t>
      </w:r>
      <w:r>
        <w:rPr>
          <w:rFonts w:ascii="Times New Roman" w:hAnsi="Times New Roman"/>
          <w:sz w:val="20"/>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90" w:after="0"/>
        <w:rPr>
          <w:rFonts w:ascii="Times New Roman" w:hAnsi="Times New Roman"/>
          <w:sz w:val="20"/>
        </w:rPr>
      </w:pPr>
      <w:r>
        <w:rPr>
          <w:rFonts w:ascii="Times New Roman" w:hAnsi="Times New Roman"/>
          <w:sz w:val="20"/>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90" w:after="0"/>
        <w:rPr>
          <w:rFonts w:ascii="Times New Roman" w:hAnsi="Times New Roman"/>
          <w:sz w:val="20"/>
        </w:rPr>
      </w:pPr>
      <w:r>
        <w:rPr>
          <w:rFonts w:ascii="Times New Roman" w:hAnsi="Times New Roman"/>
          <w:sz w:val="20"/>
        </w:rPr>
        <w:t xml:space="preserve">(b) upon any sale or other disposition of all of the Equity Interests of a Subsidiary Guarantor, to any Person that is not an Affiliate of either of the Issuers; or </w:t>
      </w:r>
    </w:p>
    <w:p>
      <w:pPr>
        <w:pStyle w:val="TextBody"/>
        <w:spacing w:before="90" w:after="0"/>
        <w:rPr>
          <w:rFonts w:ascii="Times New Roman" w:hAnsi="Times New Roman"/>
          <w:sz w:val="20"/>
        </w:rPr>
      </w:pPr>
      <w:r>
        <w:rPr>
          <w:rFonts w:ascii="Times New Roman" w:hAnsi="Times New Roman"/>
          <w:sz w:val="20"/>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360" w:after="0"/>
        <w:jc w:val="center"/>
        <w:rPr>
          <w:rFonts w:ascii="Times New Roman" w:hAnsi="Times New Roman"/>
          <w:sz w:val="20"/>
        </w:rPr>
      </w:pPr>
      <w:r>
        <w:rPr>
          <w:rFonts w:ascii="Times New Roman" w:hAnsi="Times New Roman"/>
          <w:sz w:val="20"/>
        </w:rPr>
        <w:t xml:space="preserve">ARTICLE X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Additional Amendments</w:t>
      </w:r>
      <w:r>
        <w:rPr>
          <w:rFonts w:ascii="Times New Roman" w:hAnsi="Times New Roman"/>
          <w:sz w:val="20"/>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180" w:after="0"/>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Integral Part</w:t>
      </w:r>
      <w:r>
        <w:rPr>
          <w:rFonts w:ascii="Times New Roman" w:hAnsi="Times New Roman"/>
          <w:sz w:val="20"/>
        </w:rPr>
        <w:t xml:space="preserve">. This Supplemental Indenture constitutes an integral part of the Indenture. </w:t>
      </w:r>
    </w:p>
    <w:p>
      <w:pPr>
        <w:pStyle w:val="TextBody"/>
        <w:spacing w:before="180" w:after="0"/>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Adoption, Ratification and Confirmation</w:t>
      </w:r>
      <w:r>
        <w:rPr>
          <w:rFonts w:ascii="Times New Roman" w:hAnsi="Times New Roman"/>
          <w:sz w:val="20"/>
        </w:rPr>
        <w:t xml:space="preserve">. The Original Indenture, as supplemented and amended by this Supplemental Indenture, is in all respects hereby adopted, ratified and confirmed. </w:t>
      </w:r>
    </w:p>
    <w:p>
      <w:pPr>
        <w:pStyle w:val="TextBody"/>
        <w:spacing w:before="180" w:after="0"/>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SUPPLEMENTAL INDENTURE AND THE NOTES SHALL BE GOVERNED BY AND CONSTRUED IN ACCORDANCE WITH THE LAWS OF THE STATE OF NEW YORK.</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24"/>
        <w:gridCol w:w="60"/>
        <w:gridCol w:w="309"/>
        <w:gridCol w:w="60"/>
        <w:gridCol w:w="600"/>
        <w:gridCol w:w="60"/>
        <w:gridCol w:w="2869"/>
      </w:tblGrid>
      <w:tr>
        <w:trPr/>
        <w:tc>
          <w:tcPr>
            <w:tcW w:w="1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ISSUERS</w:t>
            </w:r>
            <w:r>
              <w:rPr>
                <w:rFonts w:ascii="Times New Roman" w:hAnsi="Times New Roman"/>
                <w:b/>
                <w:sz w:val="20"/>
              </w:rPr>
              <w:t>:</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958" w:type="dxa"/>
            <w:gridSpan w:val="6"/>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3589" w:type="dxa"/>
            <w:gridSpan w:val="4"/>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2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PAA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3589" w:type="dxa"/>
            <w:gridSpan w:val="4"/>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29" w:type="dxa"/>
            <w:gridSpan w:val="3"/>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AAP, L.P.</w:t>
            </w:r>
          </w:p>
          <w:p>
            <w:pPr>
              <w:pStyle w:val="TableContents"/>
              <w:spacing w:before="0" w:after="15"/>
              <w:rPr>
                <w:rFonts w:ascii="Times New Roman" w:hAnsi="Times New Roman"/>
                <w:sz w:val="20"/>
              </w:rPr>
            </w:pPr>
            <w:r>
              <w:rPr>
                <w:rFonts w:ascii="Times New Roman" w:hAnsi="Times New Roman"/>
                <w:sz w:val="20"/>
              </w:rPr>
              <w:t>its Sole Member</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3589" w:type="dxa"/>
            <w:gridSpan w:val="4"/>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29" w:type="dxa"/>
            <w:gridSpan w:val="3"/>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660" w:type="dxa"/>
            <w:gridSpan w:val="2"/>
            <w:tcBorders/>
            <w:shd w:fill="auto" w:val="clear"/>
            <w:vAlign w:val="center"/>
          </w:tcPr>
          <w:p>
            <w:pPr>
              <w:pStyle w:val="TableContents"/>
              <w:spacing w:before="0" w:after="283"/>
              <w:rPr>
                <w:sz w:val="4"/>
                <w:szCs w:val="4"/>
              </w:rPr>
            </w:pPr>
            <w:r>
              <w:rPr>
                <w:sz w:val="4"/>
                <w:szCs w:val="4"/>
              </w:rPr>
            </w:r>
          </w:p>
        </w:tc>
        <w:tc>
          <w:tcPr>
            <w:tcW w:w="2929"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Treasurer</w:t>
            </w:r>
          </w:p>
        </w:tc>
      </w:tr>
      <w:tr>
        <w:trPr>
          <w:trHeight w:val="240" w:hRule="atLeast"/>
        </w:trPr>
        <w:tc>
          <w:tcPr>
            <w:tcW w:w="4082" w:type="dxa"/>
            <w:gridSpan w:val="7"/>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660" w:type="dxa"/>
            <w:gridSpan w:val="2"/>
            <w:tcBorders/>
            <w:shd w:fill="auto" w:val="clear"/>
            <w:vAlign w:val="center"/>
          </w:tcPr>
          <w:p>
            <w:pPr>
              <w:pStyle w:val="TableContents"/>
              <w:spacing w:before="0" w:after="283"/>
              <w:rPr>
                <w:sz w:val="4"/>
                <w:szCs w:val="4"/>
              </w:rPr>
            </w:pPr>
            <w:r>
              <w:rPr>
                <w:sz w:val="4"/>
                <w:szCs w:val="4"/>
              </w:rPr>
            </w:r>
          </w:p>
        </w:tc>
        <w:tc>
          <w:tcPr>
            <w:tcW w:w="2929"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Treasurer</w:t>
            </w:r>
          </w:p>
        </w:tc>
      </w:tr>
    </w:tbl>
    <w:p>
      <w:pPr>
        <w:pStyle w:val="TextBody"/>
        <w:spacing w:before="360" w:after="0"/>
        <w:jc w:val="center"/>
        <w:rPr>
          <w:rFonts w:ascii="Times New Roman" w:hAnsi="Times New Roman"/>
          <w:sz w:val="20"/>
        </w:rPr>
      </w:pPr>
      <w:r>
        <w:rPr>
          <w:rFonts w:ascii="Times New Roman" w:hAnsi="Times New Roman"/>
          <w:i/>
          <w:sz w:val="20"/>
        </w:rPr>
        <w:t>Signature Page to Twentieth Supplemental Indenture</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774"/>
        <w:gridCol w:w="168"/>
        <w:gridCol w:w="61"/>
        <w:gridCol w:w="168"/>
        <w:gridCol w:w="295"/>
        <w:gridCol w:w="221"/>
        <w:gridCol w:w="2395"/>
      </w:tblGrid>
      <w:tr>
        <w:trPr/>
        <w:tc>
          <w:tcPr>
            <w:tcW w:w="77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2395" w:type="dxa"/>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rFonts w:ascii="Times New Roman" w:hAnsi="Times New Roman"/>
                <w:sz w:val="20"/>
                <w:u w:val="single"/>
              </w:rPr>
            </w:pPr>
            <w:r>
              <w:rPr>
                <w:rFonts w:ascii="Times New Roman" w:hAnsi="Times New Roman"/>
                <w:b/>
                <w:sz w:val="20"/>
                <w:u w:val="single"/>
              </w:rPr>
              <w:t>TRUSTEE</w:t>
            </w:r>
            <w:r>
              <w:rPr>
                <w:rFonts w:ascii="Times New Roman" w:hAnsi="Times New Roman"/>
                <w:sz w:val="20"/>
                <w:u w:val="single"/>
              </w:rPr>
              <w:t>:</w:t>
            </w:r>
          </w:p>
        </w:tc>
      </w:tr>
      <w:tr>
        <w:trPr>
          <w:trHeight w:val="240" w:hRule="atLeast"/>
        </w:trPr>
        <w:tc>
          <w:tcPr>
            <w:tcW w:w="4082" w:type="dxa"/>
            <w:gridSpan w:val="7"/>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0"/>
              <w:rPr>
                <w:rFonts w:ascii="Times New Roman" w:hAnsi="Times New Roman"/>
                <w:sz w:val="20"/>
              </w:rPr>
            </w:pPr>
            <w:r>
              <w:rPr>
                <w:rFonts w:ascii="Times New Roman" w:hAnsi="Times New Roman"/>
                <w:sz w:val="20"/>
              </w:rPr>
              <w:t>U.S. BANK NATIONAL ASSOCIATION,</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774" w:type="dxa"/>
            <w:tcBorders/>
            <w:shd w:fill="auto" w:val="clear"/>
            <w:vAlign w:val="center"/>
          </w:tcPr>
          <w:p>
            <w:pPr>
              <w:pStyle w:val="TableContents"/>
              <w:spacing w:before="0" w:after="283"/>
              <w:rPr>
                <w:sz w:val="4"/>
                <w:szCs w:val="4"/>
              </w:rPr>
            </w:pPr>
            <w:r>
              <w:rPr>
                <w:sz w:val="4"/>
                <w:szCs w:val="4"/>
              </w:rPr>
            </w:r>
          </w:p>
        </w:tc>
        <w:tc>
          <w:tcPr>
            <w:tcW w:w="229" w:type="dxa"/>
            <w:gridSpan w:val="2"/>
            <w:tcBorders/>
            <w:shd w:fill="auto" w:val="clear"/>
            <w:vAlign w:val="center"/>
          </w:tcPr>
          <w:p>
            <w:pPr>
              <w:pStyle w:val="TableContents"/>
              <w:spacing w:before="0" w:after="283"/>
              <w:rPr>
                <w:sz w:val="4"/>
                <w:szCs w:val="4"/>
              </w:rPr>
            </w:pPr>
            <w:r>
              <w:rPr>
                <w:sz w:val="4"/>
                <w:szCs w:val="4"/>
              </w:rPr>
            </w:r>
          </w:p>
        </w:tc>
        <w:tc>
          <w:tcPr>
            <w:tcW w:w="3079" w:type="dxa"/>
            <w:gridSpan w:val="4"/>
            <w:tcBorders/>
            <w:shd w:fill="auto" w:val="clear"/>
            <w:vAlign w:val="center"/>
          </w:tcPr>
          <w:p>
            <w:pPr>
              <w:pStyle w:val="TableContents"/>
              <w:spacing w:before="0" w:after="283"/>
              <w:rPr>
                <w:sz w:val="4"/>
                <w:szCs w:val="4"/>
              </w:rPr>
            </w:pPr>
            <w:r>
              <w:rPr>
                <w:sz w:val="4"/>
                <w:szCs w:val="4"/>
              </w:rPr>
            </w:r>
          </w:p>
        </w:tc>
      </w:tr>
      <w:tr>
        <w:trPr/>
        <w:tc>
          <w:tcPr>
            <w:tcW w:w="77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2911" w:type="dxa"/>
            <w:gridSpan w:val="3"/>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Steven Finklea</w:t>
            </w:r>
          </w:p>
        </w:tc>
      </w:tr>
      <w:tr>
        <w:trPr/>
        <w:tc>
          <w:tcPr>
            <w:tcW w:w="774"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291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Steven Finklea</w:t>
            </w:r>
          </w:p>
        </w:tc>
      </w:tr>
      <w:tr>
        <w:trPr/>
        <w:tc>
          <w:tcPr>
            <w:tcW w:w="774"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291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360" w:after="0"/>
        <w:jc w:val="center"/>
        <w:rPr>
          <w:rFonts w:ascii="Times New Roman" w:hAnsi="Times New Roman"/>
          <w:sz w:val="20"/>
        </w:rPr>
      </w:pPr>
      <w:r>
        <w:rPr>
          <w:rFonts w:ascii="Times New Roman" w:hAnsi="Times New Roman"/>
          <w:i/>
          <w:sz w:val="20"/>
        </w:rPr>
        <w:t>Signature Page to Twentieth Supplemental Indenture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sz w:val="20"/>
          <w:u w:val="single"/>
        </w:rPr>
        <w:t>EXHIBIT A</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666"/>
        <w:gridCol w:w="328"/>
        <w:gridCol w:w="125"/>
        <w:gridCol w:w="963"/>
        <w:gridCol w:w="123"/>
      </w:tblGrid>
      <w:tr>
        <w:trPr/>
        <w:tc>
          <w:tcPr>
            <w:tcW w:w="866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666" w:type="dxa"/>
            <w:tcBorders/>
            <w:shd w:fill="auto" w:val="clear"/>
          </w:tcPr>
          <w:p>
            <w:pPr>
              <w:pStyle w:val="TableContents"/>
              <w:spacing w:before="0" w:after="283"/>
              <w:rPr>
                <w:rFonts w:ascii="Times New Roman" w:hAnsi="Times New Roman"/>
                <w:sz w:val="20"/>
              </w:rPr>
            </w:pPr>
            <w:r>
              <w:rPr>
                <w:rFonts w:ascii="Times New Roman" w:hAnsi="Times New Roman"/>
                <w:sz w:val="20"/>
              </w:rPr>
              <w:t>CUSIP 72650RAZ5</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        </w:t>
            </w:r>
          </w:p>
        </w:tc>
        <w:tc>
          <w:tcPr>
            <w:tcW w:w="123" w:type="dxa"/>
            <w:tcBorders/>
            <w:shd w:fill="auto" w:val="clear"/>
            <w:vAlign w:val="bottom"/>
          </w:tcPr>
          <w:p>
            <w:pPr>
              <w:pStyle w:val="TableContents"/>
              <w:spacing w:before="0" w:after="283"/>
              <w:rPr/>
            </w:pPr>
            <w:r>
              <w:rPr/>
              <w:t>  </w:t>
            </w:r>
          </w:p>
        </w:tc>
      </w:tr>
      <w:tr>
        <w:trPr/>
        <w:tc>
          <w:tcPr>
            <w:tcW w:w="8666" w:type="dxa"/>
            <w:tcBorders/>
            <w:shd w:fill="auto" w:val="clear"/>
          </w:tcPr>
          <w:p>
            <w:pPr>
              <w:pStyle w:val="TableContents"/>
              <w:spacing w:before="0" w:after="283"/>
              <w:rPr>
                <w:rFonts w:ascii="Times New Roman" w:hAnsi="Times New Roman"/>
                <w:sz w:val="20"/>
              </w:rPr>
            </w:pPr>
            <w:r>
              <w:rPr>
                <w:rFonts w:ascii="Times New Roman" w:hAnsi="Times New Roman"/>
                <w:sz w:val="20"/>
              </w:rPr>
              <w:t>ISIN US72650RAZ55</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bl>
    <w:p>
      <w:pPr>
        <w:pStyle w:val="TextBody"/>
        <w:spacing w:before="36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90" w:after="0"/>
        <w:jc w:val="center"/>
        <w:rPr>
          <w:rFonts w:ascii="Times New Roman" w:hAnsi="Times New Roman"/>
          <w:sz w:val="20"/>
        </w:rPr>
      </w:pPr>
      <w:r>
        <w:rPr>
          <w:rFonts w:ascii="Times New Roman" w:hAnsi="Times New Roman"/>
          <w:sz w:val="20"/>
        </w:rPr>
        <w:t xml:space="preserve">3.65% Senior Notes due 2022 </w:t>
      </w:r>
    </w:p>
    <w:p>
      <w:pPr>
        <w:pStyle w:val="TextBody"/>
        <w:pBdr/>
        <w:spacing w:before="180" w:after="0"/>
        <w:rPr/>
      </w:pPr>
      <w:r>
        <w:rPr>
          <w:rFonts w:ascii="Times New Roman" w:hAnsi="Times New Roman"/>
          <w:sz w:val="20"/>
        </w:rPr>
        <w:t>Plains All American Pipeline, L.P., a Delaware limited partnership, and PAA Finance Corp., a Delaware corporation, jointly and severally promise to pay to                     , or registered assigns, the principal sum of                      Dollars [or such greater or lesser amount as may be endorsed on the Schedule attached hereto]</w:t>
      </w:r>
      <w:r>
        <w:rPr>
          <w:rFonts w:ascii="Times New Roman" w:hAnsi="Times New Roman"/>
          <w:sz w:val="14"/>
        </w:rPr>
        <w:t>1</w:t>
      </w:r>
      <w:r>
        <w:rPr/>
        <w:t xml:space="preserve"> </w:t>
      </w:r>
      <w:r>
        <w:rPr>
          <w:rFonts w:ascii="Times New Roman" w:hAnsi="Times New Roman"/>
          <w:sz w:val="20"/>
        </w:rPr>
        <w:t xml:space="preserve">on June 1, 2022. </w:t>
      </w:r>
    </w:p>
    <w:p>
      <w:pPr>
        <w:pStyle w:val="TextBody"/>
        <w:spacing w:before="180" w:after="0"/>
        <w:rPr>
          <w:rFonts w:ascii="Times New Roman" w:hAnsi="Times New Roman"/>
          <w:sz w:val="20"/>
        </w:rPr>
      </w:pPr>
      <w:r>
        <w:rPr>
          <w:rFonts w:ascii="Times New Roman" w:hAnsi="Times New Roman"/>
          <w:sz w:val="20"/>
        </w:rPr>
        <w:t xml:space="preserve">Interest Payment Dates: June 1 and December 1 </w:t>
      </w:r>
    </w:p>
    <w:p>
      <w:pPr>
        <w:pStyle w:val="TextBody"/>
        <w:spacing w:before="0" w:after="0"/>
        <w:rPr>
          <w:rFonts w:ascii="Times New Roman" w:hAnsi="Times New Roman"/>
          <w:sz w:val="20"/>
        </w:rPr>
      </w:pPr>
      <w:r>
        <w:rPr>
          <w:rFonts w:ascii="Times New Roman" w:hAnsi="Times New Roman"/>
          <w:sz w:val="20"/>
        </w:rPr>
        <w:t xml:space="preserve">Record Dates: May 15 and November 15 </w:t>
      </w:r>
    </w:p>
    <w:p>
      <w:pPr>
        <w:pStyle w:val="TextBody"/>
        <w:spacing w:before="0" w:after="0"/>
        <w:rPr/>
      </w:pPr>
      <w:r>
        <w:rPr/>
        <w:t> </w:t>
      </w:r>
    </w:p>
    <w:tbl>
      <w:tblPr>
        <w:tblW w:w="4465" w:type="dxa"/>
        <w:jc w:val="right"/>
        <w:tblInd w:w="0" w:type="dxa"/>
        <w:tblCellMar>
          <w:top w:w="0" w:type="dxa"/>
          <w:left w:w="0" w:type="dxa"/>
          <w:bottom w:w="0" w:type="dxa"/>
          <w:right w:w="0" w:type="dxa"/>
        </w:tblCellMar>
      </w:tblPr>
      <w:tblGrid>
        <w:gridCol w:w="485"/>
        <w:gridCol w:w="60"/>
        <w:gridCol w:w="3192"/>
        <w:gridCol w:w="338"/>
        <w:gridCol w:w="129"/>
        <w:gridCol w:w="129"/>
        <w:gridCol w:w="132"/>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46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85" w:type="dxa"/>
            <w:tcBorders/>
            <w:shd w:fill="auto" w:val="clear"/>
            <w:vAlign w:val="center"/>
          </w:tcPr>
          <w:p>
            <w:pPr>
              <w:pStyle w:val="TableContents"/>
              <w:spacing w:before="0" w:after="283"/>
              <w:rPr>
                <w:sz w:val="4"/>
                <w:szCs w:val="4"/>
              </w:rPr>
            </w:pPr>
            <w:r>
              <w:rPr>
                <w:sz w:val="4"/>
                <w:szCs w:val="4"/>
              </w:rPr>
            </w:r>
          </w:p>
        </w:tc>
        <w:tc>
          <w:tcPr>
            <w:tcW w:w="3252" w:type="dxa"/>
            <w:gridSpan w:val="2"/>
            <w:tcBorders/>
            <w:shd w:fill="auto" w:val="clear"/>
            <w:vAlign w:val="center"/>
          </w:tcPr>
          <w:p>
            <w:pPr>
              <w:pStyle w:val="TableContents"/>
              <w:spacing w:before="0" w:after="283"/>
              <w:rPr>
                <w:sz w:val="4"/>
                <w:szCs w:val="4"/>
              </w:rPr>
            </w:pPr>
            <w:r>
              <w:rPr>
                <w:sz w:val="4"/>
                <w:szCs w:val="4"/>
              </w:rPr>
            </w:r>
          </w:p>
        </w:tc>
        <w:tc>
          <w:tcPr>
            <w:tcW w:w="728" w:type="dxa"/>
            <w:gridSpan w:val="4"/>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338" w:type="dxa"/>
            <w:tcBorders/>
            <w:shd w:fill="auto" w:val="clear"/>
            <w:vAlign w:val="bottom"/>
          </w:tcPr>
          <w:p>
            <w:pPr>
              <w:pStyle w:val="TableContents"/>
              <w:spacing w:before="0" w:after="283"/>
              <w:rPr/>
            </w:pPr>
            <w:r>
              <w:rPr/>
              <w:t> </w:t>
            </w:r>
          </w:p>
        </w:tc>
        <w:tc>
          <w:tcPr>
            <w:tcW w:w="390" w:type="dxa"/>
            <w:gridSpan w:val="3"/>
            <w:tcBorders/>
            <w:shd w:fill="auto" w:val="clear"/>
            <w:vAlign w:val="bottom"/>
          </w:tcPr>
          <w:p>
            <w:pPr>
              <w:pStyle w:val="TableContents"/>
              <w:pBdr>
                <w:bottom w:val="single" w:sz="2" w:space="1" w:color="000000"/>
              </w:pBdr>
              <w:spacing w:before="0" w:after="15"/>
              <w:jc w:val="center"/>
              <w:rPr/>
            </w:pPr>
            <w:r>
              <w:rPr/>
              <w:t> </w:t>
            </w:r>
          </w:p>
        </w:tc>
      </w:tr>
      <w:tr>
        <w:trPr/>
        <w:tc>
          <w:tcPr>
            <w:tcW w:w="4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338" w:type="dxa"/>
            <w:tcBorders/>
            <w:shd w:fill="auto" w:val="clear"/>
            <w:vAlign w:val="bottom"/>
          </w:tcPr>
          <w:p>
            <w:pPr>
              <w:pStyle w:val="TableContents"/>
              <w:spacing w:before="0" w:after="283"/>
              <w:rPr/>
            </w:pPr>
            <w:r>
              <w:rPr/>
              <w:t> </w:t>
            </w:r>
          </w:p>
        </w:tc>
        <w:tc>
          <w:tcPr>
            <w:tcW w:w="390" w:type="dxa"/>
            <w:gridSpan w:val="3"/>
            <w:tcBorders/>
            <w:shd w:fill="auto" w:val="clear"/>
            <w:vAlign w:val="bottom"/>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338" w:type="dxa"/>
            <w:tcBorders/>
            <w:shd w:fill="auto" w:val="clear"/>
            <w:vAlign w:val="bottom"/>
          </w:tcPr>
          <w:p>
            <w:pPr>
              <w:pStyle w:val="TableContents"/>
              <w:spacing w:before="0" w:after="283"/>
              <w:rPr/>
            </w:pPr>
            <w:r>
              <w:rPr/>
              <w:t> </w:t>
            </w:r>
          </w:p>
        </w:tc>
        <w:tc>
          <w:tcPr>
            <w:tcW w:w="390" w:type="dxa"/>
            <w:gridSpan w:val="3"/>
            <w:tcBorders/>
            <w:shd w:fill="auto" w:val="clear"/>
            <w:vAlign w:val="bottom"/>
          </w:tcPr>
          <w:p>
            <w:pPr>
              <w:pStyle w:val="TableContents"/>
              <w:spacing w:before="0" w:after="283"/>
              <w:rPr>
                <w:sz w:val="4"/>
                <w:szCs w:val="4"/>
              </w:rPr>
            </w:pPr>
            <w:r>
              <w:rPr>
                <w:sz w:val="4"/>
                <w:szCs w:val="4"/>
              </w:rPr>
            </w:r>
          </w:p>
        </w:tc>
      </w:tr>
      <w:tr>
        <w:trPr>
          <w:trHeight w:val="240" w:hRule="atLeast"/>
        </w:trPr>
        <w:tc>
          <w:tcPr>
            <w:tcW w:w="4465" w:type="dxa"/>
            <w:gridSpan w:val="7"/>
            <w:tcBorders/>
            <w:shd w:fill="auto" w:val="clear"/>
            <w:vAlign w:val="center"/>
          </w:tcPr>
          <w:p>
            <w:pPr>
              <w:pStyle w:val="TableContents"/>
              <w:spacing w:before="0" w:after="283"/>
              <w:rPr>
                <w:sz w:val="4"/>
                <w:szCs w:val="4"/>
              </w:rPr>
            </w:pPr>
            <w:r>
              <w:rPr>
                <w:sz w:val="4"/>
                <w:szCs w:val="4"/>
              </w:rPr>
            </w:r>
          </w:p>
        </w:tc>
      </w:tr>
      <w:tr>
        <w:trPr/>
        <w:tc>
          <w:tcPr>
            <w:tcW w:w="446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485" w:type="dxa"/>
            <w:tcBorders/>
            <w:shd w:fill="auto" w:val="clear"/>
            <w:vAlign w:val="center"/>
          </w:tcPr>
          <w:p>
            <w:pPr>
              <w:pStyle w:val="TableContents"/>
              <w:spacing w:before="0" w:after="283"/>
              <w:rPr>
                <w:sz w:val="4"/>
                <w:szCs w:val="4"/>
              </w:rPr>
            </w:pPr>
            <w:r>
              <w:rPr>
                <w:sz w:val="4"/>
                <w:szCs w:val="4"/>
              </w:rPr>
            </w:r>
          </w:p>
        </w:tc>
        <w:tc>
          <w:tcPr>
            <w:tcW w:w="3980" w:type="dxa"/>
            <w:gridSpan w:val="6"/>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vAlign w:val="bottom"/>
          </w:tcPr>
          <w:p>
            <w:pPr>
              <w:pStyle w:val="TableContents"/>
              <w:pBdr>
                <w:bottom w:val="single" w:sz="2" w:space="1" w:color="000000"/>
              </w:pBdr>
              <w:spacing w:before="0" w:after="15"/>
              <w:jc w:val="center"/>
              <w:rPr/>
            </w:pPr>
            <w:r>
              <w:rPr/>
              <w:t> </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vAlign w:val="bottom"/>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TRUSTEES CERTIFICATE OF </w:t>
      </w:r>
    </w:p>
    <w:p>
      <w:pPr>
        <w:pStyle w:val="TextBody"/>
        <w:spacing w:before="0" w:after="0"/>
        <w:rPr>
          <w:rFonts w:ascii="Times New Roman" w:hAnsi="Times New Roman"/>
          <w:sz w:val="20"/>
        </w:rPr>
      </w:pPr>
      <w:r>
        <w:rPr>
          <w:rFonts w:ascii="Times New Roman" w:hAnsi="Times New Roman"/>
          <w:sz w:val="20"/>
        </w:rPr>
        <w:t xml:space="preserve">AUTHENTICATION </w:t>
      </w:r>
    </w:p>
    <w:p>
      <w:pPr>
        <w:pStyle w:val="TextBody"/>
        <w:spacing w:before="180" w:after="0"/>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650"/>
        <w:gridCol w:w="60"/>
        <w:gridCol w:w="3372"/>
      </w:tblGrid>
      <w:tr>
        <w:trPr/>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7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U.S. BANK NATIONAL ASSOCIATION,</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650" w:type="dxa"/>
            <w:tcBorders/>
            <w:shd w:fill="auto" w:val="clear"/>
            <w:vAlign w:val="center"/>
          </w:tcPr>
          <w:p>
            <w:pPr>
              <w:pStyle w:val="TableContents"/>
              <w:spacing w:before="0" w:after="283"/>
              <w:rPr>
                <w:sz w:val="4"/>
                <w:szCs w:val="4"/>
              </w:rPr>
            </w:pPr>
            <w:r>
              <w:rPr>
                <w:sz w:val="4"/>
                <w:szCs w:val="4"/>
              </w:rPr>
            </w:r>
          </w:p>
        </w:tc>
        <w:tc>
          <w:tcPr>
            <w:tcW w:w="3432" w:type="dxa"/>
            <w:gridSpan w:val="2"/>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72" w:type="dxa"/>
            <w:tcBorders>
              <w:bottom w:val="single" w:sz="2" w:space="0" w:color="000000"/>
            </w:tcBorders>
            <w:shd w:fill="auto" w:val="clear"/>
            <w:tcMar>
              <w:bottom w:w="28" w:type="dxa"/>
            </w:tcMar>
          </w:tcPr>
          <w:p>
            <w:pPr>
              <w:pStyle w:val="TableContents"/>
              <w:spacing w:before="0" w:after="283"/>
              <w:rPr/>
            </w:pPr>
            <w:r>
              <w:rPr/>
              <w:t> </w:t>
            </w:r>
          </w:p>
        </w:tc>
      </w:tr>
      <w:tr>
        <w:trPr/>
        <w:tc>
          <w:tcPr>
            <w:tcW w:w="65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72" w:type="dxa"/>
            <w:tcBorders/>
            <w:shd w:fill="auto" w:val="clear"/>
            <w:vAlign w:val="bottom"/>
          </w:tcPr>
          <w:p>
            <w:pPr>
              <w:pStyle w:val="TableContents"/>
              <w:spacing w:before="0" w:after="283"/>
              <w:rPr/>
            </w:pPr>
            <w:r>
              <w:rPr/>
              <w:t>        </w:t>
            </w:r>
            <w:r>
              <w:rPr>
                <w:rFonts w:ascii="Times New Roman" w:hAnsi="Times New Roman"/>
                <w:sz w:val="20"/>
              </w:rPr>
              <w:t>Authorized Signatory</w:t>
            </w:r>
          </w:p>
        </w:tc>
      </w:tr>
      <w:tr>
        <w:trPr>
          <w:trHeight w:val="120" w:hRule="atLeast"/>
        </w:trPr>
        <w:tc>
          <w:tcPr>
            <w:tcW w:w="650" w:type="dxa"/>
            <w:tcBorders/>
            <w:shd w:fill="auto" w:val="clear"/>
            <w:vAlign w:val="center"/>
          </w:tcPr>
          <w:p>
            <w:pPr>
              <w:pStyle w:val="TableContents"/>
              <w:spacing w:before="0" w:after="283"/>
              <w:rPr>
                <w:sz w:val="4"/>
                <w:szCs w:val="4"/>
              </w:rPr>
            </w:pPr>
            <w:r>
              <w:rPr>
                <w:sz w:val="4"/>
                <w:szCs w:val="4"/>
              </w:rPr>
            </w:r>
          </w:p>
        </w:tc>
        <w:tc>
          <w:tcPr>
            <w:tcW w:w="3432" w:type="dxa"/>
            <w:gridSpan w:val="2"/>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tcPr>
          <w:p>
            <w:pPr>
              <w:pStyle w:val="TableContents"/>
              <w:spacing w:before="0" w:after="283"/>
              <w:rPr>
                <w:rFonts w:ascii="Times New Roman" w:hAnsi="Times New Roman"/>
                <w:sz w:val="20"/>
              </w:rPr>
            </w:pPr>
            <w:r>
              <w:rPr>
                <w:rFonts w:ascii="Times New Roman" w:hAnsi="Times New Roman"/>
                <w:sz w:val="20"/>
              </w:rPr>
              <w:t>Dated:</w:t>
            </w:r>
          </w:p>
        </w:tc>
        <w:tc>
          <w:tcPr>
            <w:tcW w:w="60" w:type="dxa"/>
            <w:tcBorders/>
            <w:shd w:fill="auto" w:val="clear"/>
            <w:vAlign w:val="bottom"/>
          </w:tcPr>
          <w:p>
            <w:pPr>
              <w:pStyle w:val="TableContents"/>
              <w:spacing w:before="0" w:after="283"/>
              <w:rPr/>
            </w:pPr>
            <w:r>
              <w:rPr/>
              <w:t> </w:t>
            </w:r>
          </w:p>
        </w:tc>
        <w:tc>
          <w:tcPr>
            <w:tcW w:w="3372" w:type="dxa"/>
            <w:tcBorders/>
            <w:shd w:fill="auto" w:val="clear"/>
            <w:vAlign w:val="bottom"/>
          </w:tcPr>
          <w:p>
            <w:pPr>
              <w:pStyle w:val="TableContents"/>
              <w:pBdr>
                <w:bottom w:val="single" w:sz="2" w:space="1" w:color="000000"/>
              </w:pBdr>
              <w:spacing w:before="0" w:after="15"/>
              <w:jc w:val="center"/>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(Form of Back of Note) </w:t>
      </w:r>
    </w:p>
    <w:p>
      <w:pPr>
        <w:pStyle w:val="TextBody"/>
        <w:spacing w:before="90" w:after="0"/>
        <w:jc w:val="center"/>
        <w:rPr>
          <w:rFonts w:ascii="Times New Roman" w:hAnsi="Times New Roman"/>
          <w:sz w:val="20"/>
        </w:rPr>
      </w:pPr>
      <w:r>
        <w:rPr>
          <w:rFonts w:ascii="Times New Roman" w:hAnsi="Times New Roman"/>
          <w:sz w:val="20"/>
        </w:rPr>
        <w:t xml:space="preserve">3.65% Senior Notes due 2022 </w:t>
      </w:r>
    </w:p>
    <w:p>
      <w:pPr>
        <w:pStyle w:val="TextBody"/>
        <w:pBdr/>
        <w:spacing w:before="180" w:after="0"/>
        <w:rPr>
          <w:rFonts w:ascii="Times New Roman" w:hAnsi="Times New Roman"/>
          <w:b/>
          <w:sz w:val="20"/>
        </w:rPr>
      </w:pPr>
      <w:r>
        <w:rPr>
          <w:rFonts w:ascii="Times New Roman" w:hAnsi="Times New Roman"/>
          <w:b/>
          <w:sz w:val="20"/>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b/>
          <w:sz w:val="14"/>
        </w:rPr>
        <w:t>2</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3.65% per annum from March 22, 2012 until maturity. The Issuers shall pay interest semi-annually on June 1 and December 1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December 1, 2012.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Issuers shall pay interest on the Notes (except defaulted interest) to the Persons who are registered Holders of Notes at the close of business on the May 15 or November 15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20"/>
          <w:u w:val="single"/>
        </w:rPr>
        <w:t>provided</w:t>
      </w:r>
      <w:r>
        <w:rPr>
          <w:rFonts w:ascii="Times New Roman" w:hAnsi="Times New Roman"/>
          <w:sz w:val="20"/>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xml:space="preserve">. The Issuers issued the Notes under an Indenture dated as of September 25, 2002 (the Original Indenture), as supplemented by the Twentieth Supplemental Indenture dated as of March 22, 2012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90" w:after="0"/>
        <w:rPr>
          <w:rFonts w:ascii="Times New Roman" w:hAnsi="Times New Roman"/>
          <w:sz w:val="20"/>
        </w:rPr>
      </w:pPr>
      <w:r>
        <w:rPr>
          <w:rFonts w:ascii="Times New Roman" w:hAnsi="Times New Roman"/>
          <w:sz w:val="20"/>
        </w:rPr>
        <w:t xml:space="preserve">(b) To redeem the Notes before March 1, 2022,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redeemed (not including any portion of those payments of interest accrued as of the date of redemption) discounted to the date of redemption on a semi-annual basis (assuming a 360-day year consisting of twelve 30-day months) at the Adjusted Treasury Rate (as defined below) plus 25 basis points, plus, in either case, accrued and unpaid interest to the date of redemption (subject to the right of Holders on the relevant record date to receive interest due on the relevant interest payment date). </w:t>
      </w:r>
    </w:p>
    <w:p>
      <w:pPr>
        <w:pStyle w:val="TextBody"/>
        <w:spacing w:before="90" w:after="0"/>
        <w:rPr>
          <w:rFonts w:ascii="Times New Roman" w:hAnsi="Times New Roman"/>
          <w:sz w:val="20"/>
        </w:rPr>
      </w:pPr>
      <w:r>
        <w:rPr>
          <w:rFonts w:ascii="Times New Roman" w:hAnsi="Times New Roman"/>
          <w:sz w:val="20"/>
        </w:rPr>
        <w:t xml:space="preserve">(c) To redeem the Notes on or after March 1, 2022,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For purposes of determining any redemption price, the following definitions shall apply: </w:t>
      </w:r>
    </w:p>
    <w:p>
      <w:pPr>
        <w:pStyle w:val="TextBody"/>
        <w:spacing w:before="180" w:after="0"/>
        <w:rPr>
          <w:rFonts w:ascii="Times New Roman" w:hAnsi="Times New Roman"/>
          <w:sz w:val="20"/>
        </w:rPr>
      </w:pPr>
      <w:r>
        <w:rPr>
          <w:rFonts w:ascii="Times New Roman" w:hAnsi="Times New Roman"/>
          <w:sz w:val="20"/>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80" w:after="0"/>
        <w:rPr>
          <w:rFonts w:ascii="Times New Roman" w:hAnsi="Times New Roman"/>
          <w:sz w:val="20"/>
        </w:rPr>
      </w:pPr>
      <w:r>
        <w:rPr>
          <w:rFonts w:ascii="Times New Roman" w:hAnsi="Times New Roman"/>
          <w:sz w:val="20"/>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180" w:after="0"/>
        <w:rPr>
          <w:rFonts w:ascii="Times New Roman" w:hAnsi="Times New Roman"/>
          <w:sz w:val="20"/>
        </w:rPr>
      </w:pPr>
      <w:r>
        <w:rPr>
          <w:rFonts w:ascii="Times New Roman" w:hAnsi="Times New Roman"/>
          <w:sz w:val="20"/>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80" w:after="0"/>
        <w:rPr>
          <w:rFonts w:ascii="Times New Roman" w:hAnsi="Times New Roman"/>
          <w:sz w:val="20"/>
        </w:rPr>
      </w:pPr>
      <w:r>
        <w:rPr>
          <w:rFonts w:ascii="Times New Roman" w:hAnsi="Times New Roman"/>
          <w:sz w:val="20"/>
        </w:rPr>
        <w:t xml:space="preserve">Quotation Agent means a Primary Treasury Dealer (as defined below) appointed by the Issuers. </w:t>
      </w:r>
    </w:p>
    <w:p>
      <w:pPr>
        <w:pStyle w:val="TextBody"/>
        <w:spacing w:before="180" w:after="0"/>
        <w:rPr>
          <w:rFonts w:ascii="Times New Roman" w:hAnsi="Times New Roman"/>
          <w:sz w:val="20"/>
        </w:rPr>
      </w:pPr>
      <w:r>
        <w:rPr>
          <w:rFonts w:ascii="Times New Roman" w:hAnsi="Times New Roman"/>
          <w:sz w:val="20"/>
        </w:rPr>
        <w:t xml:space="preserve">Reference Treasury Dealer means each of J.P. Morgan Securities LLC, Merrill Lynch, Pierce, Fenner &amp; Smith Incorporated, UBS Securities LLC and a Primary Treasury Dealer (as defined below) selected by Wells Fargo Securities, LLC, and each of their successors; provided, however, that if any of the foregoing shall cease to be a primary U.S. government securities dealer in the United States (a Primary Treasury Dealer), the Issuers shall substitute another Primary Treasury Dealer. </w:t>
      </w:r>
    </w:p>
    <w:p>
      <w:pPr>
        <w:pStyle w:val="TextBody"/>
        <w:spacing w:before="180" w:after="0"/>
        <w:rPr>
          <w:rFonts w:ascii="Times New Roman" w:hAnsi="Times New Roman"/>
          <w:sz w:val="20"/>
        </w:rPr>
      </w:pPr>
      <w:r>
        <w:rPr>
          <w:rFonts w:ascii="Times New Roman" w:hAnsi="Times New Roman"/>
          <w:sz w:val="20"/>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Special Optional Redemption</w:t>
      </w:r>
      <w:r>
        <w:rPr>
          <w:rFonts w:ascii="Times New Roman" w:hAnsi="Times New Roman"/>
          <w:sz w:val="20"/>
        </w:rPr>
        <w:t xml:space="preserve">. Following the occurrence of a Special Optional Redemption Trigger Event, the Issuers shall have the option to redeem the Notes as a whole (the Special Optional Redemption), upon notice as provided in this paragraph 6, at a redemption price equal to 101% of the aggregate principal amount thereof plus accrued and unpaid interest thereon to the special optional redemption date. Notice of such Special Optional Redemption must be given within ten days of the date of the Special Optional Redemption Trigger Event by first-class mail, postage prepaid, mailed not less than 15 nor more than 30 days prior to the special optional redemption date, to the Trustee and to each Holder, and such notice shall state: </w:t>
      </w:r>
    </w:p>
    <w:p>
      <w:pPr>
        <w:pStyle w:val="TextBody"/>
        <w:spacing w:before="90" w:after="0"/>
        <w:rPr>
          <w:rFonts w:ascii="Times New Roman" w:hAnsi="Times New Roman"/>
          <w:sz w:val="20"/>
        </w:rPr>
      </w:pPr>
      <w:r>
        <w:rPr>
          <w:rFonts w:ascii="Times New Roman" w:hAnsi="Times New Roman"/>
          <w:sz w:val="20"/>
        </w:rPr>
        <w:t xml:space="preserve">(a) that the Special Optional Redemption Trigger Event has occurred and that the Issuers have elected to exercise the Special Optional Redemption; </w:t>
      </w:r>
    </w:p>
    <w:p>
      <w:pPr>
        <w:pStyle w:val="TextBody"/>
        <w:spacing w:before="90" w:after="0"/>
        <w:rPr>
          <w:rFonts w:ascii="Times New Roman" w:hAnsi="Times New Roman"/>
          <w:sz w:val="20"/>
        </w:rPr>
      </w:pPr>
      <w:r>
        <w:rPr>
          <w:rFonts w:ascii="Times New Roman" w:hAnsi="Times New Roman"/>
          <w:sz w:val="20"/>
        </w:rPr>
        <w:t xml:space="preserve">(b) the special optional redemption date, which shall be no earlier than 15 days nor later than 30 days from the date the notice is mailed; and </w:t>
      </w:r>
    </w:p>
    <w:p>
      <w:pPr>
        <w:pStyle w:val="TextBody"/>
        <w:spacing w:before="90" w:after="0"/>
        <w:rPr>
          <w:rFonts w:ascii="Times New Roman" w:hAnsi="Times New Roman"/>
          <w:sz w:val="20"/>
        </w:rPr>
      </w:pPr>
      <w:r>
        <w:rPr>
          <w:rFonts w:ascii="Times New Roman" w:hAnsi="Times New Roman"/>
          <w:sz w:val="20"/>
        </w:rPr>
        <w:t xml:space="preserve">(c) the other information required by Section 3.02 of the Original Indenture. </w:t>
      </w:r>
    </w:p>
    <w:p>
      <w:pPr>
        <w:pStyle w:val="TextBody"/>
        <w:spacing w:before="90" w:after="0"/>
        <w:rPr>
          <w:rFonts w:ascii="Times New Roman" w:hAnsi="Times New Roman"/>
          <w:sz w:val="20"/>
        </w:rPr>
      </w:pPr>
      <w:r>
        <w:rPr>
          <w:rFonts w:ascii="Times New Roman" w:hAnsi="Times New Roman"/>
          <w:sz w:val="20"/>
        </w:rPr>
        <w:t xml:space="preserve">Except to the extent any provision of this paragraph 6 conflicts with the provisions of Section 3.01 to 3.03 of the Original Indenture, any redemption shall otherwise be made pursuant to the provisions of Sections 3.01 to 3.03 of the Original Indenture.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 of Redemption</w:t>
      </w:r>
      <w:r>
        <w:rPr>
          <w:rFonts w:ascii="Times New Roman" w:hAnsi="Times New Roman"/>
          <w:sz w:val="20"/>
        </w:rPr>
        <w:t xml:space="preserve">. Except as described in paragraph 6 above with respect to the Special Optional Redemption,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Persons Deemed Owners</w:t>
      </w:r>
      <w:r>
        <w:rPr>
          <w:rFonts w:ascii="Times New Roman" w:hAnsi="Times New Roman"/>
          <w:sz w:val="20"/>
        </w:rPr>
        <w:t xml:space="preserve">. The registered Holder of a Note shall be treated as its owner for all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Amendment, Supplement and Waiver</w:t>
      </w:r>
      <w:r>
        <w:rPr>
          <w:rFonts w:ascii="Times New Roman" w:hAnsi="Times New Roman"/>
          <w:sz w:val="20"/>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Defaults and Remedies</w:t>
      </w:r>
      <w:r>
        <w:rPr>
          <w:rFonts w:ascii="Times New Roman" w:hAnsi="Times New Roman"/>
          <w:sz w:val="20"/>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20"/>
          <w:u w:val="single"/>
        </w:rPr>
        <w:t xml:space="preserve">provided </w:t>
      </w:r>
      <w:r>
        <w:rPr>
          <w:rFonts w:ascii="Times New Roman" w:hAnsi="Times New Roman"/>
          <w:sz w:val="20"/>
        </w:rPr>
        <w:t xml:space="preserve">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Trustee Dealings with Issuers</w:t>
      </w:r>
      <w:r>
        <w:rPr>
          <w:rFonts w:ascii="Times New Roman" w:hAnsi="Times New Roman"/>
          <w:sz w:val="20"/>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No Recourse Against Others</w:t>
      </w:r>
      <w:r>
        <w:rPr>
          <w:rFonts w:ascii="Times New Roman" w:hAnsi="Times New Roman"/>
          <w:sz w:val="20"/>
        </w:rPr>
        <w:t xml:space="preserve">.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Authentication</w:t>
      </w:r>
      <w:r>
        <w:rPr>
          <w:rFonts w:ascii="Times New Roman" w:hAnsi="Times New Roman"/>
          <w:sz w:val="20"/>
        </w:rPr>
        <w:t xml:space="preserve">. This Note shall not be valid until authenticated by the manual signature of the Trustee or an authenticating agent.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CUSIP and ISIN Numbers</w:t>
      </w:r>
      <w:r>
        <w:rPr>
          <w:rFonts w:ascii="Times New Roman" w:hAnsi="Times New Roman"/>
          <w:sz w:val="20"/>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Issuers shall furnish to any Holder upon written request and without charge a copy of the Indenture. Requests may be made to: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rFonts w:ascii="Times New Roman" w:hAnsi="Times New Roman"/>
          <w:sz w:val="20"/>
        </w:rPr>
      </w:pPr>
      <w:r>
        <w:rPr>
          <w:rFonts w:ascii="Times New Roman" w:hAnsi="Times New Roman"/>
          <w:sz w:val="20"/>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180" w:after="0"/>
        <w:rPr>
          <w:rFonts w:ascii="Times New Roman" w:hAnsi="Times New Roman"/>
          <w:sz w:val="20"/>
        </w:rPr>
      </w:pPr>
      <w:r>
        <w:rPr>
          <w:rFonts w:ascii="Times New Roman" w:hAnsi="Times New Roman"/>
          <w:sz w:val="20"/>
        </w:rPr>
        <w:t xml:space="preserve">To assign this Note, fill in the form below: (I) or (we) assign and transfer this Note to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rFonts w:ascii="Times New Roman" w:hAnsi="Times New Roman"/>
          <w:sz w:val="20"/>
        </w:rPr>
      </w:pPr>
      <w:r>
        <w:rPr>
          <w:rFonts w:ascii="Times New Roman" w:hAnsi="Times New Roman"/>
          <w:sz w:val="20"/>
        </w:rPr>
        <w:t xml:space="preserve">(Print or type assignees name, address and zip code) </w:t>
      </w:r>
    </w:p>
    <w:p>
      <w:pPr>
        <w:pStyle w:val="TextBody"/>
        <w:spacing w:before="180" w:after="0"/>
        <w:rPr>
          <w:rFonts w:ascii="Times New Roman" w:hAnsi="Times New Roman"/>
          <w:sz w:val="20"/>
        </w:rPr>
      </w:pPr>
      <w:r>
        <w:rPr>
          <w:rFonts w:ascii="Times New Roman" w:hAnsi="Times New Roman"/>
          <w:sz w:val="20"/>
        </w:rPr>
        <w:t>and irrevocably appoint </w:t>
      </w:r>
      <w:r>
        <w:rPr>
          <w:rFonts w:ascii="Times New Roman" w:hAnsi="Times New Roman"/>
          <w:sz w:val="20"/>
          <w:u w:val="single"/>
        </w:rPr>
        <w:t>                                                                                                                                                                                                                        </w:t>
      </w:r>
      <w:r>
        <w:rPr>
          <w:rFonts w:ascii="Times New Roman" w:hAnsi="Times New Roman"/>
          <w:sz w:val="20"/>
        </w:rPr>
        <w:t xml:space="preserve"> </w:t>
      </w:r>
    </w:p>
    <w:p>
      <w:pPr>
        <w:pStyle w:val="TextBody"/>
        <w:spacing w:before="0" w:after="0"/>
        <w:rPr>
          <w:rFonts w:ascii="Times New Roman" w:hAnsi="Times New Roman"/>
          <w:sz w:val="20"/>
        </w:rPr>
      </w:pPr>
      <w:r>
        <w:rPr>
          <w:rFonts w:ascii="Times New Roman" w:hAnsi="Times New Roman"/>
          <w:sz w:val="20"/>
        </w:rPr>
        <w:t xml:space="preserve">agent to transfer this Note on the books of the Issuers. The agent may substitute another to act for him. </w:t>
      </w:r>
    </w:p>
    <w:p>
      <w:pPr>
        <w:pStyle w:val="TextBody"/>
        <w:spacing w:before="0" w:after="0"/>
        <w:rPr/>
      </w:pPr>
      <w:r>
        <w:rPr/>
        <w:t> </w:t>
      </w:r>
    </w:p>
    <w:p>
      <w:pPr>
        <w:pStyle w:val="TextBody"/>
        <w:spacing w:before="90" w:after="0"/>
        <w:rPr/>
      </w:pPr>
      <w:r>
        <w:rPr>
          <w:u w:val="single"/>
        </w:rPr>
        <w:t>                                                                                                                                                                                                                                                                       </w:t>
      </w:r>
      <w:r>
        <w:rPr/>
        <w:t xml:space="preserve"> </w:t>
      </w:r>
    </w:p>
    <w:p>
      <w:pPr>
        <w:pStyle w:val="TextBody"/>
        <w:spacing w:before="180" w:after="0"/>
        <w:rPr>
          <w:rFonts w:ascii="Times New Roman" w:hAnsi="Times New Roman"/>
          <w:sz w:val="20"/>
        </w:rPr>
      </w:pPr>
      <w:r>
        <w:rPr>
          <w:rFonts w:ascii="Times New Roman" w:hAnsi="Times New Roman"/>
          <w:sz w:val="20"/>
        </w:rPr>
        <w:t>Date: </w:t>
      </w:r>
      <w:r>
        <w:rPr>
          <w:rFonts w:ascii="Times New Roman" w:hAnsi="Times New Roman"/>
          <w:sz w:val="20"/>
          <w:u w:val="single"/>
        </w:rPr>
        <w:t>                                         </w:t>
      </w:r>
      <w:r>
        <w:rPr>
          <w:rFonts w:ascii="Times New Roman" w:hAnsi="Times New Roman"/>
          <w:sz w:val="20"/>
        </w:rPr>
        <w:t xml:space="preserve"> </w:t>
      </w:r>
    </w:p>
    <w:p>
      <w:pPr>
        <w:pStyle w:val="TextBody"/>
        <w:spacing w:before="0" w:after="0"/>
        <w:rPr/>
      </w:pPr>
      <w:r>
        <w:rPr/>
        <w:t> </w:t>
      </w:r>
    </w:p>
    <w:tbl>
      <w:tblPr>
        <w:tblW w:w="6100" w:type="dxa"/>
        <w:jc w:val="right"/>
        <w:tblInd w:w="0" w:type="dxa"/>
        <w:tblCellMar>
          <w:top w:w="0" w:type="dxa"/>
          <w:left w:w="0" w:type="dxa"/>
          <w:bottom w:w="0" w:type="dxa"/>
          <w:right w:w="0" w:type="dxa"/>
        </w:tblCellMar>
      </w:tblPr>
      <w:tblGrid>
        <w:gridCol w:w="1250"/>
        <w:gridCol w:w="60"/>
        <w:gridCol w:w="4790"/>
      </w:tblGrid>
      <w:tr>
        <w:trPr/>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79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1250" w:type="dxa"/>
            <w:tcBorders/>
            <w:shd w:fill="auto" w:val="clear"/>
            <w:vAlign w:val="center"/>
          </w:tcPr>
          <w:p>
            <w:pPr>
              <w:pStyle w:val="TableContents"/>
              <w:spacing w:before="0" w:after="283"/>
              <w:rPr>
                <w:sz w:val="4"/>
                <w:szCs w:val="4"/>
              </w:rPr>
            </w:pPr>
            <w:r>
              <w:rPr>
                <w:sz w:val="4"/>
                <w:szCs w:val="4"/>
              </w:rPr>
            </w:r>
          </w:p>
        </w:tc>
        <w:tc>
          <w:tcPr>
            <w:tcW w:w="4850" w:type="dxa"/>
            <w:gridSpan w:val="2"/>
            <w:tcBorders/>
            <w:shd w:fill="auto" w:val="clear"/>
            <w:vAlign w:val="center"/>
          </w:tcPr>
          <w:p>
            <w:pPr>
              <w:pStyle w:val="TableContents"/>
              <w:spacing w:before="0" w:after="283"/>
              <w:rPr>
                <w:sz w:val="4"/>
                <w:szCs w:val="4"/>
              </w:rPr>
            </w:pPr>
            <w:r>
              <w:rPr>
                <w:sz w:val="4"/>
                <w:szCs w:val="4"/>
              </w:rPr>
            </w:r>
          </w:p>
        </w:tc>
      </w:tr>
      <w:tr>
        <w:trPr/>
        <w:tc>
          <w:tcPr>
            <w:tcW w:w="1250" w:type="dxa"/>
            <w:tcBorders/>
            <w:shd w:fill="auto" w:val="clear"/>
          </w:tcPr>
          <w:p>
            <w:pPr>
              <w:pStyle w:val="TableContents"/>
              <w:spacing w:before="0" w:after="283"/>
              <w:rPr>
                <w:rFonts w:ascii="Times New Roman" w:hAnsi="Times New Roman"/>
                <w:sz w:val="20"/>
              </w:rPr>
            </w:pPr>
            <w:r>
              <w:rPr>
                <w:rFonts w:ascii="Times New Roman" w:hAnsi="Times New Roman"/>
                <w:sz w:val="20"/>
              </w:rPr>
              <w:t>Your Signature: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790" w:type="dxa"/>
            <w:tcBorders>
              <w:bottom w:val="single" w:sz="2" w:space="0" w:color="000000"/>
            </w:tcBorders>
            <w:shd w:fill="auto" w:val="clear"/>
            <w:tcMar>
              <w:bottom w:w="28" w:type="dxa"/>
            </w:tcMar>
          </w:tcPr>
          <w:p>
            <w:pPr>
              <w:pStyle w:val="TableContents"/>
              <w:spacing w:before="0" w:after="283"/>
              <w:rPr/>
            </w:pPr>
            <w:r>
              <w:rPr/>
              <w:t> </w:t>
            </w:r>
          </w:p>
        </w:tc>
      </w:tr>
      <w:tr>
        <w:trPr/>
        <w:tc>
          <w:tcPr>
            <w:tcW w:w="125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790" w:type="dxa"/>
            <w:tcBorders/>
            <w:shd w:fill="auto" w:val="clear"/>
          </w:tcPr>
          <w:p>
            <w:pPr>
              <w:pStyle w:val="TableContents"/>
              <w:spacing w:before="0" w:after="283"/>
              <w:rPr>
                <w:rFonts w:ascii="Times New Roman" w:hAnsi="Times New Roman"/>
                <w:sz w:val="20"/>
              </w:rPr>
            </w:pPr>
            <w:r>
              <w:rPr>
                <w:rFonts w:ascii="Times New Roman" w:hAnsi="Times New Roman"/>
                <w:sz w:val="20"/>
              </w:rPr>
              <w:t>(Sign exactly as your name appears on the face of this Note)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53"/>
        <w:gridCol w:w="107"/>
        <w:gridCol w:w="8345"/>
      </w:tblGrid>
      <w:tr>
        <w:trPr/>
        <w:tc>
          <w:tcPr>
            <w:tcW w:w="1753"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8345" w:type="dxa"/>
            <w:tcBorders/>
            <w:shd w:fill="auto" w:val="clear"/>
            <w:vAlign w:val="center"/>
          </w:tcPr>
          <w:p>
            <w:pPr>
              <w:pStyle w:val="TableContents"/>
              <w:spacing w:before="0" w:after="283"/>
              <w:rPr>
                <w:sz w:val="4"/>
                <w:szCs w:val="4"/>
              </w:rPr>
            </w:pPr>
            <w:r>
              <w:rPr>
                <w:sz w:val="4"/>
                <w:szCs w:val="4"/>
              </w:rPr>
            </w:r>
          </w:p>
        </w:tc>
      </w:tr>
      <w:tr>
        <w:trPr/>
        <w:tc>
          <w:tcPr>
            <w:tcW w:w="1753"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Guarantee:</w:t>
            </w:r>
          </w:p>
        </w:tc>
        <w:tc>
          <w:tcPr>
            <w:tcW w:w="107" w:type="dxa"/>
            <w:tcBorders/>
            <w:shd w:fill="auto" w:val="clear"/>
            <w:vAlign w:val="bottom"/>
          </w:tcPr>
          <w:p>
            <w:pPr>
              <w:pStyle w:val="TableContents"/>
              <w:spacing w:before="0" w:after="283"/>
              <w:rPr/>
            </w:pPr>
            <w:r>
              <w:rPr/>
              <w:t> </w:t>
            </w:r>
          </w:p>
        </w:tc>
        <w:tc>
          <w:tcPr>
            <w:tcW w:w="8345" w:type="dxa"/>
            <w:tcBorders/>
            <w:shd w:fill="auto" w:val="clear"/>
            <w:vAlign w:val="bottom"/>
          </w:tcPr>
          <w:p>
            <w:pPr>
              <w:pStyle w:val="TableContents"/>
              <w:pBdr>
                <w:bottom w:val="single" w:sz="2" w:space="1" w:color="000000"/>
              </w:pBdr>
              <w:spacing w:before="0" w:after="15"/>
              <w:rPr/>
            </w:pPr>
            <w:r>
              <w:rPr/>
              <w:t> </w:t>
            </w:r>
          </w:p>
        </w:tc>
      </w:tr>
      <w:tr>
        <w:trPr/>
        <w:tc>
          <w:tcPr>
            <w:tcW w:w="1753"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83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pBdr/>
        <w:spacing w:before="0" w:after="0"/>
        <w:jc w:val="center"/>
        <w:rPr>
          <w:rFonts w:ascii="Times New Roman" w:hAnsi="Times New Roman"/>
          <w:b/>
          <w:sz w:val="20"/>
        </w:rPr>
      </w:pPr>
      <w:r>
        <w:rPr>
          <w:rFonts w:ascii="Times New Roman" w:hAnsi="Times New Roman"/>
          <w:b/>
          <w:sz w:val="20"/>
        </w:rPr>
        <w:t>SCHEDULE OF INCREASES OR DECREASES IN THE GLOBAL NOTE</w:t>
      </w:r>
      <w:r>
        <w:rPr>
          <w:rFonts w:ascii="Times New Roman" w:hAnsi="Times New Roman"/>
          <w:b/>
          <w:sz w:val="14"/>
        </w:rPr>
        <w:t>3</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original principal amount of this Global Note is $                     .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20"/>
        <w:gridCol w:w="746"/>
        <w:gridCol w:w="1654"/>
        <w:gridCol w:w="745"/>
        <w:gridCol w:w="1738"/>
        <w:gridCol w:w="745"/>
        <w:gridCol w:w="995"/>
        <w:gridCol w:w="826"/>
        <w:gridCol w:w="936"/>
      </w:tblGrid>
      <w:tr>
        <w:trPr/>
        <w:tc>
          <w:tcPr>
            <w:tcW w:w="1820"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Date of</w:t>
              <w:br/>
              <w:t>Exchange</w:t>
            </w:r>
          </w:p>
        </w:tc>
        <w:tc>
          <w:tcPr>
            <w:tcW w:w="746" w:type="dxa"/>
            <w:tcBorders/>
            <w:shd w:fill="auto" w:val="clear"/>
            <w:vAlign w:val="bottom"/>
          </w:tcPr>
          <w:p>
            <w:pPr>
              <w:pStyle w:val="TableContents"/>
              <w:spacing w:before="0" w:after="283"/>
              <w:rPr/>
            </w:pPr>
            <w:r>
              <w:rPr/>
              <w:t> </w:t>
            </w:r>
          </w:p>
        </w:tc>
        <w:tc>
          <w:tcPr>
            <w:tcW w:w="1654"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br/>
              <w:t>decrease in</w:t>
              <w:br/>
              <w:t>Principal</w:t>
            </w:r>
          </w:p>
          <w:p>
            <w:pPr>
              <w:pStyle w:val="TableContents"/>
              <w:spacing w:before="0" w:after="15"/>
              <w:jc w:val="center"/>
              <w:rPr>
                <w:rFonts w:ascii="Times New Roman" w:hAnsi="Times New Roman"/>
                <w:b/>
                <w:sz w:val="14"/>
              </w:rPr>
            </w:pPr>
            <w:r>
              <w:rPr>
                <w:rFonts w:ascii="Times New Roman" w:hAnsi="Times New Roman"/>
                <w:b/>
                <w:sz w:val="14"/>
              </w:rPr>
              <w:t>Amount</w:t>
              <w:br/>
              <w:t>of</w:t>
              <w:br/>
              <w:t>this Global Note</w:t>
            </w:r>
          </w:p>
        </w:tc>
        <w:tc>
          <w:tcPr>
            <w:tcW w:w="745" w:type="dxa"/>
            <w:tcBorders/>
            <w:shd w:fill="auto" w:val="clear"/>
            <w:vAlign w:val="bottom"/>
          </w:tcPr>
          <w:p>
            <w:pPr>
              <w:pStyle w:val="TableContents"/>
              <w:spacing w:before="0" w:after="283"/>
              <w:rPr/>
            </w:pPr>
            <w:r>
              <w:rPr/>
              <w:t> </w:t>
            </w:r>
          </w:p>
        </w:tc>
        <w:tc>
          <w:tcPr>
            <w:tcW w:w="1738"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Amount of</w:t>
              <w:br/>
              <w:t>increase in</w:t>
              <w:br/>
              <w:t>Principal Amount</w:t>
              <w:br/>
              <w:t>of</w:t>
              <w:br/>
              <w:t>this Global Note</w:t>
            </w:r>
          </w:p>
        </w:tc>
        <w:tc>
          <w:tcPr>
            <w:tcW w:w="745" w:type="dxa"/>
            <w:tcBorders/>
            <w:shd w:fill="auto" w:val="cle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w:t>
              <w:br/>
              <w:t>Amount of</w:t>
              <w:br/>
              <w:t>this Global Note</w:t>
              <w:br/>
              <w:t>following such</w:t>
              <w:br/>
              <w:t>decrease</w:t>
              <w:br/>
              <w:t>(or increase)</w:t>
            </w:r>
          </w:p>
        </w:tc>
        <w:tc>
          <w:tcPr>
            <w:tcW w:w="826" w:type="dxa"/>
            <w:tcBorders/>
            <w:shd w:fill="auto" w:val="clear"/>
            <w:vAlign w:val="bottom"/>
          </w:tcPr>
          <w:p>
            <w:pPr>
              <w:pStyle w:val="TableContents"/>
              <w:spacing w:before="0" w:after="283"/>
              <w:rPr/>
            </w:pPr>
            <w:r>
              <w:rPr/>
              <w:t>  </w:t>
            </w:r>
          </w:p>
        </w:tc>
        <w:tc>
          <w:tcPr>
            <w:tcW w:w="9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Signature of</w:t>
              <w:br/>
              <w:t>authorized</w:t>
              <w:br/>
              <w:t>signatory of</w:t>
              <w:br/>
              <w:t>Trustee or Note</w:t>
              <w:br/>
              <w:t>Custodian</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spacing w:before="360" w:after="0"/>
        <w:jc w:val="center"/>
        <w:rPr>
          <w:rFonts w:ascii="Times New Roman" w:hAnsi="Times New Roman"/>
          <w:sz w:val="20"/>
        </w:rPr>
      </w:pPr>
      <w:r>
        <w:rPr>
          <w:rFonts w:ascii="Times New Roman" w:hAnsi="Times New Roman"/>
          <w:sz w:val="20"/>
        </w:rPr>
        <w:t xml:space="preserve">FORM OF SUPPLEMENTAL INDENTURE </w:t>
      </w:r>
    </w:p>
    <w:p>
      <w:pPr>
        <w:pStyle w:val="TextBody"/>
        <w:spacing w:before="180" w:after="0"/>
        <w:rPr>
          <w:rFonts w:ascii="Times New Roman" w:hAnsi="Times New Roman"/>
          <w:sz w:val="20"/>
        </w:rPr>
      </w:pPr>
      <w:r>
        <w:rPr>
          <w:rFonts w:ascii="Times New Roman" w:hAnsi="Times New Roman"/>
          <w:sz w:val="20"/>
        </w:rPr>
        <w:t xml:space="preserve">SUPPLEMENTAL INDENTURE (this Supplemental Indenture), dated as of                     , among Plains All American Pipeline, L.P., a Delaware limited partnership (the Partnership), PAA Finance Corp., a Delaware corporation (PAA Finance and, together with the Partnership, the Issuers),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executed and delivered to the Trustee an indenture (the Original Indenture), dated as of September 25, 2002, as supplemented by the Twentieth Supplemental Indenture (the Twentieth Supplemental Indenture and, together with the Original Indenture, the Indenture) dated as of March 22, 2012, among the Issuers and the Trustee, providing for the issuance of the Issuers 3.65% Senior Notes due 2022 (the Notes); </w:t>
      </w:r>
    </w:p>
    <w:p>
      <w:pPr>
        <w:pStyle w:val="TextBody"/>
        <w:spacing w:before="180" w:after="0"/>
        <w:rPr>
          <w:rFonts w:ascii="Times New Roman" w:hAnsi="Times New Roman"/>
          <w:sz w:val="20"/>
        </w:rPr>
      </w:pPr>
      <w:r>
        <w:rPr>
          <w:rFonts w:ascii="Times New Roman" w:hAnsi="Times New Roman"/>
          <w:sz w:val="20"/>
        </w:rPr>
        <w:t xml:space="preserve">WHEREAS, Section 5.05 of the Twentieth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180" w:after="0"/>
        <w:rPr>
          <w:rFonts w:ascii="Times New Roman" w:hAnsi="Times New Roman"/>
          <w:sz w:val="20"/>
        </w:rPr>
      </w:pPr>
      <w:r>
        <w:rPr>
          <w:rFonts w:ascii="Times New Roman" w:hAnsi="Times New Roman"/>
          <w:sz w:val="20"/>
        </w:rPr>
        <w:t xml:space="preserve">WHEREAS, pursuant to Section 9.01 of the Original Indenture, the Issuers and the Trustee are authorized to execute and deliver this Supplemental Indenture;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Capitalized terms used herein without definition shall have the meanings assigned to them in the Indenture. </w:t>
      </w:r>
    </w:p>
    <w:p>
      <w:pPr>
        <w:pStyle w:val="TextBody"/>
        <w:spacing w:before="90" w:after="0"/>
        <w:rPr>
          <w:rFonts w:ascii="Times New Roman" w:hAnsi="Times New Roman"/>
          <w:sz w:val="20"/>
        </w:rPr>
      </w:pPr>
      <w:r>
        <w:rPr>
          <w:rFonts w:ascii="Times New Roman" w:hAnsi="Times New Roman"/>
          <w:sz w:val="20"/>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Guarantee.</w:t>
      </w:r>
      <w:r>
        <w:rPr>
          <w:rFonts w:ascii="Times New Roman" w:hAnsi="Times New Roman"/>
          <w:sz w:val="20"/>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Twentieth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SUPPLEMENTAL INDENTURE SHALL BE DEEMED TO BE A NEW YORK CONTRACT, AND FOR ALL PURPOSES SHALL BE CONSTRUED IN ACCORDANCE WITH, THE LAWS OF THE STATE OF NEW YORK.</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Trustee Makes No Representation.</w:t>
      </w:r>
      <w:r>
        <w:rPr>
          <w:rFonts w:ascii="Times New Roman" w:hAnsi="Times New Roman"/>
          <w:sz w:val="20"/>
        </w:rPr>
        <w:t xml:space="preserve"> The Trustee makes no representation as to the validity or sufficiency of this Supplemental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The parties may sign any number of copies of this Supplemental Indenture. Each signed copy shall be an original, but all of them together represent the same agreement.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0"/>
        <w:gridCol w:w="60"/>
        <w:gridCol w:w="628"/>
        <w:gridCol w:w="60"/>
        <w:gridCol w:w="3014"/>
      </w:tblGrid>
      <w:tr>
        <w:trPr/>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14"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4"/>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4"/>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4"/>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Plains All American GP LLC, its General</w:t>
            </w:r>
          </w:p>
          <w:p>
            <w:pPr>
              <w:pStyle w:val="TableContents"/>
              <w:spacing w:before="0" w:after="15"/>
              <w:rPr>
                <w:rFonts w:ascii="Times New Roman" w:hAnsi="Times New Roman"/>
                <w:sz w:val="20"/>
              </w:rPr>
            </w:pPr>
            <w:r>
              <w:rPr>
                <w:rFonts w:ascii="Times New Roman" w:hAnsi="Times New Roman"/>
                <w:sz w:val="20"/>
              </w:rPr>
              <w:t>Partner</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688" w:type="dxa"/>
            <w:gridSpan w:val="2"/>
            <w:tcBorders/>
            <w:shd w:fill="auto" w:val="clear"/>
            <w:vAlign w:val="center"/>
          </w:tcPr>
          <w:p>
            <w:pPr>
              <w:pStyle w:val="TableContents"/>
              <w:spacing w:before="0" w:after="283"/>
              <w:rPr>
                <w:sz w:val="4"/>
                <w:szCs w:val="4"/>
              </w:rPr>
            </w:pPr>
            <w:r>
              <w:rPr>
                <w:sz w:val="4"/>
                <w:szCs w:val="4"/>
              </w:rPr>
            </w:r>
          </w:p>
        </w:tc>
        <w:tc>
          <w:tcPr>
            <w:tcW w:w="3074"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pBdr>
                <w:bottom w:val="single" w:sz="2" w:space="1" w:color="000000"/>
              </w:pBdr>
              <w:spacing w:before="0" w:after="15"/>
              <w:rPr/>
            </w:pPr>
            <w:r>
              <w:rPr/>
              <w:t> </w:t>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4"/>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2" w:type="dxa"/>
            <w:gridSpan w:val="3"/>
            <w:tcBorders/>
            <w:shd w:fill="auto" w:val="clear"/>
            <w:vAlign w:val="bottom"/>
          </w:tcPr>
          <w:p>
            <w:pPr>
              <w:pStyle w:val="TableContents"/>
              <w:pBdr>
                <w:bottom w:val="single" w:sz="2" w:space="1" w:color="000000"/>
              </w:pBdr>
              <w:spacing w:before="0" w:after="15"/>
              <w:rPr/>
            </w:pPr>
            <w:r>
              <w:rPr/>
              <w:t> </w:t>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4"/>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2" w:type="dxa"/>
            <w:gridSpan w:val="3"/>
            <w:tcBorders/>
            <w:shd w:fill="auto" w:val="clear"/>
            <w:vAlign w:val="bottom"/>
          </w:tcPr>
          <w:p>
            <w:pPr>
              <w:pStyle w:val="TableContents"/>
              <w:pBdr>
                <w:bottom w:val="single" w:sz="2" w:space="1" w:color="000000"/>
              </w:pBdr>
              <w:spacing w:before="0" w:after="15"/>
              <w:rPr/>
            </w:pPr>
            <w:r>
              <w:rPr/>
              <w:t> </w:t>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 as Trustee</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4"/>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2" w:type="dxa"/>
            <w:gridSpan w:val="3"/>
            <w:tcBorders/>
            <w:shd w:fill="auto" w:val="clear"/>
            <w:vAlign w:val="bottom"/>
          </w:tcPr>
          <w:p>
            <w:pPr>
              <w:pStyle w:val="TableContents"/>
              <w:pBdr>
                <w:bottom w:val="single" w:sz="2" w:space="1" w:color="000000"/>
              </w:pBdr>
              <w:spacing w:before="0" w:after="15"/>
              <w:rPr/>
            </w:pPr>
            <w:r>
              <w:rPr/>
              <w:t> </w:t>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014"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B-3 </w:t>
      </w:r>
      <w:r>
        <w:br w:type="page"/>
      </w:r>
    </w:p>
    <w:p>
      <w:pPr>
        <w:pStyle w:val="TextBody"/>
        <w:spacing w:before="0" w:after="0"/>
        <w:jc w:val="right"/>
        <w:rPr>
          <w:rFonts w:ascii="Times New Roman" w:hAnsi="Times New Roman"/>
          <w:b/>
          <w:sz w:val="20"/>
        </w:rPr>
      </w:pPr>
      <w:bookmarkStart w:id="4" w:name="d321017dex43.htm"/>
      <w:bookmarkStart w:id="5" w:name="ksd321017dex43"/>
      <w:bookmarkEnd w:id="4"/>
      <w:bookmarkEnd w:id="5"/>
      <w:r>
        <w:rPr>
          <w:rFonts w:ascii="Times New Roman" w:hAnsi="Times New Roman"/>
          <w:b/>
          <w:sz w:val="20"/>
        </w:rPr>
        <w:t xml:space="preserve">Exhibit 4.3 </w:t>
      </w:r>
    </w:p>
    <w:p>
      <w:pPr>
        <w:pStyle w:val="TextBody"/>
        <w:spacing w:before="18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0" w:after="0"/>
        <w:jc w:val="center"/>
        <w:rPr>
          <w:rFonts w:ascii="Times New Roman" w:hAnsi="Times New Roman"/>
          <w:sz w:val="20"/>
        </w:rPr>
      </w:pPr>
      <w:r>
        <w:rPr>
          <w:rFonts w:ascii="Times New Roman" w:hAnsi="Times New Roman"/>
          <w:sz w:val="20"/>
        </w:rPr>
        <w:t xml:space="preserve">as Issuers </w:t>
      </w:r>
    </w:p>
    <w:p>
      <w:pPr>
        <w:pStyle w:val="TextBody"/>
        <w:spacing w:before="0" w:after="0"/>
        <w:jc w:val="center"/>
        <w:rPr>
          <w:rFonts w:ascii="Times New Roman" w:hAnsi="Times New Roman"/>
          <w:sz w:val="20"/>
        </w:rPr>
      </w:pPr>
      <w:r>
        <w:rPr>
          <w:rFonts w:ascii="Times New Roman" w:hAnsi="Times New Roman"/>
          <w:sz w:val="20"/>
        </w:rPr>
        <w:t xml:space="preserve">$500,000,000 </w:t>
      </w:r>
    </w:p>
    <w:p>
      <w:pPr>
        <w:pStyle w:val="TextBody"/>
        <w:spacing w:before="180" w:after="0"/>
        <w:jc w:val="center"/>
        <w:rPr>
          <w:rFonts w:ascii="Times New Roman" w:hAnsi="Times New Roman"/>
          <w:sz w:val="20"/>
        </w:rPr>
      </w:pPr>
      <w:r>
        <w:rPr>
          <w:rFonts w:ascii="Times New Roman" w:hAnsi="Times New Roman"/>
          <w:sz w:val="20"/>
        </w:rPr>
        <w:t xml:space="preserve">5.15% SENIOR NOTES DUE 2042 </w:t>
      </w:r>
    </w:p>
    <w:p>
      <w:pPr>
        <w:pStyle w:val="TextBody"/>
        <w:spacing w:before="180" w:after="0"/>
        <w:jc w:val="center"/>
        <w:rPr>
          <w:rFonts w:ascii="Times New Roman" w:hAnsi="Times New Roman"/>
          <w:sz w:val="20"/>
        </w:rPr>
      </w:pPr>
      <w:r>
        <w:rPr>
          <w:rFonts w:ascii="Times New Roman" w:hAnsi="Times New Roman"/>
          <w:sz w:val="20"/>
        </w:rPr>
        <w:t xml:space="preserve">TWENTY-FIRST </w:t>
      </w:r>
    </w:p>
    <w:p>
      <w:pPr>
        <w:pStyle w:val="TextBody"/>
        <w:spacing w:before="180" w:after="0"/>
        <w:jc w:val="center"/>
        <w:rPr>
          <w:rFonts w:ascii="Times New Roman" w:hAnsi="Times New Roman"/>
          <w:sz w:val="20"/>
        </w:rPr>
      </w:pPr>
      <w:r>
        <w:rPr>
          <w:rFonts w:ascii="Times New Roman" w:hAnsi="Times New Roman"/>
          <w:sz w:val="20"/>
        </w:rPr>
        <w:t xml:space="preserve">SUPPLEMENTAL </w:t>
      </w:r>
    </w:p>
    <w:p>
      <w:pPr>
        <w:pStyle w:val="TextBody"/>
        <w:spacing w:before="180" w:after="0"/>
        <w:jc w:val="center"/>
        <w:rPr>
          <w:rFonts w:ascii="Times New Roman" w:hAnsi="Times New Roman"/>
          <w:sz w:val="20"/>
        </w:rPr>
      </w:pPr>
      <w:r>
        <w:rPr>
          <w:rFonts w:ascii="Times New Roman" w:hAnsi="Times New Roman"/>
          <w:sz w:val="20"/>
        </w:rPr>
        <w:t xml:space="preserve">INDENTURE </w:t>
      </w:r>
    </w:p>
    <w:p>
      <w:pPr>
        <w:pStyle w:val="TextBody"/>
        <w:spacing w:before="180" w:after="0"/>
        <w:jc w:val="center"/>
        <w:rPr>
          <w:rFonts w:ascii="Times New Roman" w:hAnsi="Times New Roman"/>
          <w:sz w:val="20"/>
        </w:rPr>
      </w:pPr>
      <w:r>
        <w:rPr>
          <w:rFonts w:ascii="Times New Roman" w:hAnsi="Times New Roman"/>
          <w:sz w:val="20"/>
        </w:rPr>
        <w:t xml:space="preserve">Dated as of March 22, 2012 </w:t>
      </w:r>
    </w:p>
    <w:p>
      <w:pPr>
        <w:pStyle w:val="TextBody"/>
        <w:spacing w:before="180" w:after="0"/>
        <w:jc w:val="center"/>
        <w:rPr>
          <w:rFonts w:ascii="Times New Roman" w:hAnsi="Times New Roman"/>
          <w:sz w:val="20"/>
        </w:rPr>
      </w:pPr>
      <w:r>
        <w:rPr>
          <w:rFonts w:ascii="Times New Roman" w:hAnsi="Times New Roman"/>
          <w:sz w:val="20"/>
        </w:rPr>
        <w:t xml:space="preserve">U.S. BANK NATIONAL ASSOCIATION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97"/>
        <w:gridCol w:w="197"/>
        <w:gridCol w:w="60"/>
        <w:gridCol w:w="230"/>
        <w:gridCol w:w="121"/>
      </w:tblGrid>
      <w:tr>
        <w:trPr/>
        <w:tc>
          <w:tcPr>
            <w:tcW w:w="95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 1</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 Establishment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II DEFINITIONS AND INCORPORATION BY REFERENCE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 Definitions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 Other Definitions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III THE NOTES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 Form</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 Issuance of Additional Notes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 Global Security Legend</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IV REDEMPTION AND PREPAYMENT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 Optional Redemption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4.02 Special Optional Redemption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 COVENANTS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 Compliance Certificate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 Limitations on Liens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 Restriction of Sale-leaseback Transactions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 SEC Reports; Financial Statements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5.05.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 SUCCESSORS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 Consolidation and Mergers of the Issuers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 Rights and Duties of Successor</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 Supplemental Indenture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VII DEFAULTS AND REMEDIES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 Events of Default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VIII LEGAL DEFEASANCE AND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8.01. Option to Effect Legal Defeasance or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8.02. Legal Defeasance and Discharge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8.03.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8.04. Conditions to Legal or Covenant Defeasance</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8.05. Deposited Money and U.S. Government Obligations to be Held in Trust; Other Miscellaneous Provisions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8.06. Repayment to Issuers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8.07. Reinstatement</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ARTICLE IX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9.01. Subsidiary Guarantees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1" w:type="dxa"/>
            <w:tcBorders/>
            <w:shd w:fill="auto" w:val="clear"/>
            <w:vAlign w:val="bottom"/>
          </w:tcPr>
          <w:p>
            <w:pPr>
              <w:pStyle w:val="TableContents"/>
              <w:spacing w:before="0" w:after="283"/>
              <w:rPr/>
            </w:pPr>
            <w:r>
              <w:rPr/>
              <w:t>  </w:t>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9.02. Limitation on Liability</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596"/>
        <w:gridCol w:w="198"/>
        <w:gridCol w:w="60"/>
        <w:gridCol w:w="230"/>
        <w:gridCol w:w="121"/>
      </w:tblGrid>
      <w:tr>
        <w:trPr/>
        <w:tc>
          <w:tcPr>
            <w:tcW w:w="95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9.03. Successors and Assigns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9.04. No Waiver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9.05. Modification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 Execution of Supplemental Indenture for Future Subsidiary Guarantors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9.07. Release of Guarantee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ARTICLE X MISCELLANEOUS 22</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10.01. Additional Amendments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10.02. Integral Part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10.03. Adoption, Ratification and Confirmation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10.04. Counterparts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10.05. Governing Law</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1" w:type="dxa"/>
            <w:tcBorders/>
            <w:shd w:fill="auto" w:val="clear"/>
            <w:vAlign w:val="bottom"/>
          </w:tcPr>
          <w:p>
            <w:pPr>
              <w:pStyle w:val="TableContents"/>
              <w:spacing w:before="0" w:after="283"/>
              <w:rPr/>
            </w:pPr>
            <w:r>
              <w:rPr/>
              <w:t>  </w:t>
            </w:r>
          </w:p>
        </w:tc>
      </w:tr>
      <w:tr>
        <w:trPr>
          <w:trHeight w:val="120" w:hRule="atLeast"/>
        </w:trPr>
        <w:tc>
          <w:tcPr>
            <w:tcW w:w="9596" w:type="dxa"/>
            <w:tcBorders/>
            <w:shd w:fill="auto" w:val="clear"/>
            <w:vAlign w:val="center"/>
          </w:tcPr>
          <w:p>
            <w:pPr>
              <w:pStyle w:val="TableContents"/>
              <w:spacing w:before="0" w:after="283"/>
              <w:rPr>
                <w:sz w:val="4"/>
                <w:szCs w:val="4"/>
              </w:rPr>
            </w:pPr>
            <w:r>
              <w:rPr>
                <w:sz w:val="4"/>
                <w:szCs w:val="4"/>
              </w:rPr>
            </w:r>
          </w:p>
        </w:tc>
        <w:tc>
          <w:tcPr>
            <w:tcW w:w="609" w:type="dxa"/>
            <w:gridSpan w:val="4"/>
            <w:tcBorders/>
            <w:shd w:fill="auto" w:val="clear"/>
            <w:vAlign w:val="center"/>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EXHIBIT A: Form of Note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c>
          <w:tcPr>
            <w:tcW w:w="9596" w:type="dxa"/>
            <w:tcBorders/>
            <w:shd w:fill="auto" w:val="clear"/>
          </w:tcPr>
          <w:p>
            <w:pPr>
              <w:pStyle w:val="TableContents"/>
              <w:spacing w:before="0" w:after="283"/>
              <w:rPr>
                <w:rFonts w:ascii="Times New Roman" w:hAnsi="Times New Roman"/>
                <w:sz w:val="20"/>
              </w:rPr>
            </w:pPr>
            <w:r>
              <w:rPr>
                <w:rFonts w:ascii="Times New Roman" w:hAnsi="Times New Roman"/>
                <w:sz w:val="20"/>
              </w:rPr>
              <w:t>EXHIBIT B: Form of Supplemental Indenture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TWENTY-FIRST SUPPLEMENTAL INDENTURE dated as of March 22, 2012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180" w:after="0"/>
        <w:rPr>
          <w:rFonts w:ascii="Times New Roman" w:hAnsi="Times New Roman"/>
          <w:sz w:val="20"/>
        </w:rPr>
      </w:pPr>
      <w:r>
        <w:rPr>
          <w:rFonts w:ascii="Times New Roman" w:hAnsi="Times New Roman"/>
          <w:sz w:val="20"/>
        </w:rPr>
        <w:t xml:space="preserve">WHEREAS, the Original Indenture, as supplemented by this Supplemental Indenture, is herein called the Indenture; </w:t>
      </w:r>
    </w:p>
    <w:p>
      <w:pPr>
        <w:pStyle w:val="TextBody"/>
        <w:spacing w:before="180" w:after="0"/>
        <w:rPr>
          <w:rFonts w:ascii="Times New Roman" w:hAnsi="Times New Roman"/>
          <w:sz w:val="20"/>
        </w:rPr>
      </w:pPr>
      <w:r>
        <w:rPr>
          <w:rFonts w:ascii="Times New Roman" w:hAnsi="Times New Roman"/>
          <w:sz w:val="20"/>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180" w:after="0"/>
        <w:rPr>
          <w:rFonts w:ascii="Times New Roman" w:hAnsi="Times New Roman"/>
          <w:sz w:val="20"/>
        </w:rPr>
      </w:pPr>
      <w:r>
        <w:rPr>
          <w:rFonts w:ascii="Times New Roman" w:hAnsi="Times New Roman"/>
          <w:sz w:val="20"/>
        </w:rPr>
        <w:t xml:space="preserve">WHEREAS, the Issuers propose to create under the Indenture a new series of Debt Securities; </w:t>
      </w:r>
    </w:p>
    <w:p>
      <w:pPr>
        <w:pStyle w:val="TextBody"/>
        <w:spacing w:before="180" w:after="0"/>
        <w:rPr>
          <w:rFonts w:ascii="Times New Roman" w:hAnsi="Times New Roman"/>
          <w:sz w:val="20"/>
        </w:rPr>
      </w:pPr>
      <w:r>
        <w:rPr>
          <w:rFonts w:ascii="Times New Roman" w:hAnsi="Times New Roman"/>
          <w:sz w:val="20"/>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180" w:after="0"/>
        <w:rPr>
          <w:rFonts w:ascii="Times New Roman" w:hAnsi="Times New Roman"/>
          <w:sz w:val="20"/>
        </w:rPr>
      </w:pPr>
      <w:r>
        <w:rPr>
          <w:rFonts w:ascii="Times New Roman" w:hAnsi="Times New Roman"/>
          <w:sz w:val="20"/>
        </w:rPr>
        <w:t xml:space="preserve">WHEREAS, all conditions necessary to authorize the execution and delivery of this Supplemental Indenture and to make it a valid and binding obligation of the Issuers have been done or performed. </w:t>
      </w:r>
    </w:p>
    <w:p>
      <w:pPr>
        <w:pStyle w:val="TextBody"/>
        <w:spacing w:before="180" w:after="0"/>
        <w:rPr>
          <w:rFonts w:ascii="Times New Roman" w:hAnsi="Times New Roman"/>
          <w:sz w:val="20"/>
        </w:rPr>
      </w:pPr>
      <w:r>
        <w:rPr>
          <w:rFonts w:ascii="Times New Roman" w:hAnsi="Times New Roman"/>
          <w:sz w:val="20"/>
        </w:rPr>
        <w:t xml:space="preserve">NOW, THEREFORE, in consideration of the agreements and obligations set forth herein and for other good and valuable consideration, the sufficiency of which is hereby acknowledged, the parties hereto hereby agree as follows: </w:t>
      </w:r>
    </w:p>
    <w:p>
      <w:pPr>
        <w:pStyle w:val="TextBody"/>
        <w:spacing w:before="360" w:after="0"/>
        <w:jc w:val="center"/>
        <w:rPr>
          <w:rFonts w:ascii="Times New Roman" w:hAnsi="Times New Roman"/>
          <w:sz w:val="20"/>
        </w:rPr>
      </w:pPr>
      <w:r>
        <w:rPr>
          <w:rFonts w:ascii="Times New Roman" w:hAnsi="Times New Roman"/>
          <w:sz w:val="20"/>
        </w:rPr>
        <w:t xml:space="preserve">ARTICLE I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Establishment</w:t>
      </w:r>
      <w:r>
        <w:rPr>
          <w:rFonts w:ascii="Times New Roman" w:hAnsi="Times New Roman"/>
          <w:sz w:val="20"/>
        </w:rPr>
        <w:t xml:space="preserve">. There is hereby established a new series of Debt Securities to be issued under the Indenture, to be designated as the Issuers 5.15% Senior Notes due 2042 (the Notes). Initially, there will be no Subsidiary Guarantors for the Notes. </w:t>
      </w:r>
    </w:p>
    <w:p>
      <w:pPr>
        <w:pStyle w:val="TextBody"/>
        <w:spacing w:before="90" w:after="0"/>
        <w:rPr>
          <w:rFonts w:ascii="Times New Roman" w:hAnsi="Times New Roman"/>
          <w:sz w:val="20"/>
        </w:rPr>
      </w:pPr>
      <w:r>
        <w:rPr>
          <w:rFonts w:ascii="Times New Roman" w:hAnsi="Times New Roman"/>
          <w:sz w:val="20"/>
        </w:rPr>
        <w:t xml:space="preserve">(a) There are to be authenticated and delivered $500,000,000 principal amount of Notes on the Issue Date, and from time to time thereafter there may be authenticated and delivered an unlimited principal amount of Additional Notes.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90" w:after="0"/>
        <w:rPr>
          <w:rFonts w:ascii="Times New Roman" w:hAnsi="Times New Roman"/>
          <w:sz w:val="20"/>
        </w:rPr>
      </w:pPr>
      <w:r>
        <w:rPr>
          <w:rFonts w:ascii="Times New Roman" w:hAnsi="Times New Roman"/>
          <w:sz w:val="20"/>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90" w:after="0"/>
        <w:rPr>
          <w:rFonts w:ascii="Times New Roman" w:hAnsi="Times New Roman"/>
          <w:sz w:val="20"/>
        </w:rPr>
      </w:pPr>
      <w:r>
        <w:rPr>
          <w:rFonts w:ascii="Times New Roman" w:hAnsi="Times New Roman"/>
          <w:sz w:val="20"/>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360" w:after="0"/>
        <w:jc w:val="center"/>
        <w:rPr>
          <w:rFonts w:ascii="Times New Roman" w:hAnsi="Times New Roman"/>
          <w:sz w:val="20"/>
        </w:rPr>
      </w:pPr>
      <w:r>
        <w:rPr>
          <w:rFonts w:ascii="Times New Roman" w:hAnsi="Times New Roman"/>
          <w:sz w:val="20"/>
        </w:rPr>
        <w:t xml:space="preserve">ARTICLE II </w:t>
      </w:r>
    </w:p>
    <w:p>
      <w:pPr>
        <w:pStyle w:val="TextBody"/>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Definitions</w:t>
      </w:r>
      <w:r>
        <w:rPr>
          <w:rFonts w:ascii="Times New Roman" w:hAnsi="Times New Roman"/>
          <w:sz w:val="20"/>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180" w:after="0"/>
        <w:rPr>
          <w:rFonts w:ascii="Times New Roman" w:hAnsi="Times New Roman"/>
          <w:sz w:val="20"/>
        </w:rPr>
      </w:pP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180" w:after="0"/>
        <w:rPr>
          <w:rFonts w:ascii="Times New Roman" w:hAnsi="Times New Roman"/>
          <w:sz w:val="20"/>
        </w:rPr>
      </w:pPr>
      <w:r>
        <w:rPr>
          <w:rFonts w:ascii="Times New Roman" w:hAnsi="Times New Roman"/>
          <w:sz w:val="20"/>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80" w:after="0"/>
        <w:rPr>
          <w:rFonts w:ascii="Times New Roman" w:hAnsi="Times New Roman"/>
          <w:sz w:val="20"/>
        </w:rPr>
      </w:pPr>
      <w:r>
        <w:rPr>
          <w:rFonts w:ascii="Times New Roman" w:hAnsi="Times New Roman"/>
          <w:sz w:val="20"/>
        </w:rPr>
        <w:t xml:space="preserve">BP NGL Acquisition means purchase of certain interests by Plains Midstream Canada ULC pursuant to the BP NGL Acquisition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BP NGL Acquisition Agreement means that certain Share Purchase Agreement dated December 1, 2011 by and among Amoco Canada International Holdings B.V. and Plains Midstream Canada ULC. </w:t>
      </w:r>
    </w:p>
    <w:p>
      <w:pPr>
        <w:pStyle w:val="TextBody"/>
        <w:spacing w:before="180" w:after="0"/>
        <w:rPr>
          <w:rFonts w:ascii="Times New Roman" w:hAnsi="Times New Roman"/>
          <w:sz w:val="20"/>
        </w:rPr>
      </w:pPr>
      <w:r>
        <w:rPr>
          <w:rFonts w:ascii="Times New Roman" w:hAnsi="Times New Roman"/>
          <w:sz w:val="20"/>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80" w:after="0"/>
        <w:rPr>
          <w:rFonts w:ascii="Times New Roman" w:hAnsi="Times New Roman"/>
          <w:sz w:val="20"/>
        </w:rPr>
      </w:pPr>
      <w:r>
        <w:rPr>
          <w:rFonts w:ascii="Times New Roman" w:hAnsi="Times New Roman"/>
          <w:sz w:val="20"/>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180" w:after="0"/>
        <w:rPr>
          <w:rFonts w:ascii="Times New Roman" w:hAnsi="Times New Roman"/>
          <w:sz w:val="20"/>
        </w:rPr>
      </w:pPr>
      <w:r>
        <w:rPr>
          <w:rFonts w:ascii="Times New Roman" w:hAnsi="Times New Roman"/>
          <w:sz w:val="20"/>
        </w:rPr>
        <w:t xml:space="preserve">Debt means any obligation created or assumed by any Person for the repayment of money borrowed, any purchase money obligation created or assumed by such Person, and any guarantee of the foregoing. </w:t>
      </w:r>
    </w:p>
    <w:p>
      <w:pPr>
        <w:pStyle w:val="TextBody"/>
        <w:spacing w:before="180" w:after="0"/>
        <w:rPr>
          <w:rFonts w:ascii="Times New Roman" w:hAnsi="Times New Roman"/>
          <w:sz w:val="20"/>
        </w:rPr>
      </w:pPr>
      <w:r>
        <w:rPr>
          <w:rFonts w:ascii="Times New Roman" w:hAnsi="Times New Roman"/>
          <w:sz w:val="20"/>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80" w:after="0"/>
        <w:rPr>
          <w:rFonts w:ascii="Times New Roman" w:hAnsi="Times New Roman"/>
          <w:sz w:val="20"/>
        </w:rPr>
      </w:pPr>
      <w:r>
        <w:rPr>
          <w:rFonts w:ascii="Times New Roman" w:hAnsi="Times New Roman"/>
          <w:sz w:val="20"/>
        </w:rPr>
        <w:t xml:space="preserve">Guarantee means a guarantee of the Notes given by a Subsidiary Guarantor pursuant to the Indenture, including any future obligations under Article IX hereof. </w:t>
      </w:r>
    </w:p>
    <w:p>
      <w:pPr>
        <w:pStyle w:val="TextBody"/>
        <w:spacing w:before="180" w:after="0"/>
        <w:rPr>
          <w:rFonts w:ascii="Times New Roman" w:hAnsi="Times New Roman"/>
          <w:sz w:val="20"/>
        </w:rPr>
      </w:pPr>
      <w:r>
        <w:rPr>
          <w:rFonts w:ascii="Times New Roman" w:hAnsi="Times New Roman"/>
          <w:sz w:val="20"/>
        </w:rPr>
        <w:t xml:space="preserve">General Partner means PAA GP LLC, a Delaware limited liability company, and its successors and permitted assigns as general partner of the Partnership. </w:t>
      </w:r>
    </w:p>
    <w:p>
      <w:pPr>
        <w:pStyle w:val="TextBody"/>
        <w:spacing w:before="180" w:after="0"/>
        <w:rPr>
          <w:rFonts w:ascii="Times New Roman" w:hAnsi="Times New Roman"/>
          <w:sz w:val="20"/>
        </w:rPr>
      </w:pPr>
      <w:r>
        <w:rPr>
          <w:rFonts w:ascii="Times New Roman" w:hAnsi="Times New Roman"/>
          <w:sz w:val="20"/>
        </w:rPr>
        <w:t xml:space="preserve">Issue Date means, with respect to the Notes, the date on which the Notes are initially issued. </w:t>
      </w:r>
    </w:p>
    <w:p>
      <w:pPr>
        <w:pStyle w:val="TextBody"/>
        <w:spacing w:before="180" w:after="0"/>
        <w:rPr>
          <w:rFonts w:ascii="Times New Roman" w:hAnsi="Times New Roman"/>
          <w:sz w:val="20"/>
        </w:rPr>
      </w:pPr>
      <w:r>
        <w:rPr>
          <w:rFonts w:ascii="Times New Roman" w:hAnsi="Times New Roman"/>
          <w:sz w:val="20"/>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180" w:after="0"/>
        <w:rPr>
          <w:rFonts w:ascii="Times New Roman" w:hAnsi="Times New Roman"/>
          <w:sz w:val="20"/>
        </w:rPr>
      </w:pPr>
      <w:r>
        <w:rPr>
          <w:rFonts w:ascii="Times New Roman" w:hAnsi="Times New Roman"/>
          <w:sz w:val="20"/>
        </w:rPr>
        <w:t xml:space="preserve">Notes has the meaning assigned to it in Section 1.01(a) hereof, and includes both the Notes issued on the Issue Date and any Additional Notes issued thereafter.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Obligations means any principal, interest, liquidated damages, penalties, fees, indemnifications, reimbursement obligations, damages and other liabilities payable under the documentation governing any Debt. </w:t>
      </w:r>
    </w:p>
    <w:p>
      <w:pPr>
        <w:pStyle w:val="TextBody"/>
        <w:spacing w:before="180" w:after="0"/>
        <w:rPr>
          <w:rFonts w:ascii="Times New Roman" w:hAnsi="Times New Roman"/>
          <w:sz w:val="20"/>
        </w:rPr>
      </w:pPr>
      <w:r>
        <w:rPr>
          <w:rFonts w:ascii="Times New Roman" w:hAnsi="Times New Roman"/>
          <w:sz w:val="20"/>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80" w:after="0"/>
        <w:rPr>
          <w:rFonts w:ascii="Times New Roman" w:hAnsi="Times New Roman"/>
          <w:sz w:val="20"/>
        </w:rPr>
      </w:pPr>
      <w:r>
        <w:rPr>
          <w:rFonts w:ascii="Times New Roman" w:hAnsi="Times New Roman"/>
          <w:sz w:val="20"/>
        </w:rPr>
        <w:t xml:space="preserve">Partnership Agreement means the Third Amended and Restated Agreement of Limited Partnership of Plains All American Pipeline, L.P., amended and restated effective as of June 27, 2001, as amended by Amendment No. 1 thereto dated as of April 15, 2004, Amendment No. 2 thereto dated as of November 15, 2006, Amendment No. 3 thereto dated as of August 16, 2007, Amendment No. 4 thereto dated April 14, 2008, to be effective as of January 1, 2007, Amendment No. 5 thereto dated as of May 28, 2008, Amendment No. 6 thereto dated as of September 3, 2009 and as such may be otherwise amended, modified or supplemented from time to time. </w:t>
      </w:r>
    </w:p>
    <w:p>
      <w:pPr>
        <w:pStyle w:val="TextBody"/>
        <w:spacing w:before="180" w:after="0"/>
        <w:rPr>
          <w:rFonts w:ascii="Times New Roman" w:hAnsi="Times New Roman"/>
          <w:sz w:val="20"/>
        </w:rPr>
      </w:pPr>
      <w:r>
        <w:rPr>
          <w:rFonts w:ascii="Times New Roman" w:hAnsi="Times New Roman"/>
          <w:sz w:val="20"/>
        </w:rPr>
        <w:t xml:space="preserve">Permitted Liens means: </w:t>
      </w:r>
    </w:p>
    <w:p>
      <w:pPr>
        <w:pStyle w:val="TextBody"/>
        <w:spacing w:before="9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9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9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9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9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9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90" w:after="0"/>
        <w:rPr>
          <w:rFonts w:ascii="Times New Roman" w:hAnsi="Times New Roman"/>
          <w:sz w:val="20"/>
        </w:rPr>
      </w:pPr>
      <w:r>
        <w:rPr>
          <w:rFonts w:ascii="Times New Roman" w:hAnsi="Times New Roman"/>
          <w:sz w:val="20"/>
        </w:rPr>
        <w:t xml:space="preserve">(7) any Lien upon property or assets acquired or sold by an Issuer or any Restricted Subsidiary resulting from the exercise of any rights arising out of defaults on receivables;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90" w:after="0"/>
        <w:rPr>
          <w:rFonts w:ascii="Times New Roman" w:hAnsi="Times New Roman"/>
          <w:sz w:val="20"/>
        </w:rPr>
      </w:pPr>
      <w:r>
        <w:rPr>
          <w:rFonts w:ascii="Times New Roman" w:hAnsi="Times New Roman"/>
          <w:sz w:val="20"/>
        </w:rPr>
        <w:t xml:space="preserve">(9) any Lien in favor of an Issuer or any Restricted Subsidiary; </w:t>
      </w:r>
    </w:p>
    <w:p>
      <w:pPr>
        <w:pStyle w:val="TextBody"/>
        <w:spacing w:before="9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9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90" w:after="0"/>
        <w:rPr>
          <w:rFonts w:ascii="Times New Roman" w:hAnsi="Times New Roman"/>
          <w:sz w:val="20"/>
        </w:rPr>
      </w:pPr>
      <w:r>
        <w:rPr>
          <w:rFonts w:ascii="Times New Roman" w:hAnsi="Times New Roman"/>
          <w:sz w:val="20"/>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9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9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9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90" w:after="0"/>
        <w:rPr>
          <w:rFonts w:ascii="Times New Roman" w:hAnsi="Times New Roman"/>
          <w:sz w:val="20"/>
        </w:rPr>
      </w:pPr>
      <w:r>
        <w:rPr>
          <w:rFonts w:ascii="Times New Roman" w:hAnsi="Times New Roman"/>
          <w:sz w:val="20"/>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9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80" w:after="0"/>
        <w:rPr>
          <w:rFonts w:ascii="Times New Roman" w:hAnsi="Times New Roman"/>
          <w:sz w:val="20"/>
        </w:rPr>
      </w:pPr>
      <w:r>
        <w:rPr>
          <w:rFonts w:ascii="Times New Roman" w:hAnsi="Times New Roman"/>
          <w:sz w:val="20"/>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180" w:after="0"/>
        <w:rPr>
          <w:rFonts w:ascii="Times New Roman" w:hAnsi="Times New Roman"/>
          <w:sz w:val="20"/>
        </w:rPr>
      </w:pPr>
      <w:r>
        <w:rPr>
          <w:rFonts w:ascii="Times New Roman" w:hAnsi="Times New Roman"/>
          <w:sz w:val="20"/>
        </w:rPr>
        <w:t xml:space="preserve">Restricted Subsidiary means any Subsidiary of the Partnership owning or leasing, directly or indirectly through ownership in another Subsidiary, any Principal Property. </w:t>
      </w:r>
    </w:p>
    <w:p>
      <w:pPr>
        <w:pStyle w:val="TextBody"/>
        <w:spacing w:before="180" w:after="0"/>
        <w:rPr>
          <w:rFonts w:ascii="Times New Roman" w:hAnsi="Times New Roman"/>
          <w:sz w:val="20"/>
        </w:rPr>
      </w:pPr>
      <w:r>
        <w:rPr>
          <w:rFonts w:ascii="Times New Roman" w:hAnsi="Times New Roman"/>
          <w:sz w:val="20"/>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180" w:after="0"/>
        <w:rPr>
          <w:rFonts w:ascii="Times New Roman" w:hAnsi="Times New Roman"/>
          <w:sz w:val="20"/>
        </w:rPr>
      </w:pPr>
      <w:r>
        <w:rPr>
          <w:rFonts w:ascii="Times New Roman" w:hAnsi="Times New Roman"/>
          <w:sz w:val="20"/>
        </w:rPr>
        <w:t xml:space="preserve">Special Optional Redemption Trigger Event means the earlier to occur of the following two events: </w:t>
      </w:r>
    </w:p>
    <w:p>
      <w:pPr>
        <w:pStyle w:val="TextBody"/>
        <w:spacing w:before="90" w:after="0"/>
        <w:rPr>
          <w:rFonts w:ascii="Times New Roman" w:hAnsi="Times New Roman"/>
          <w:sz w:val="20"/>
        </w:rPr>
      </w:pPr>
      <w:r>
        <w:rPr>
          <w:rFonts w:ascii="Times New Roman" w:hAnsi="Times New Roman"/>
          <w:sz w:val="20"/>
        </w:rPr>
        <w:t xml:space="preserve">(1) June 1, 2012, if the BP NGL Acquisition has not been consummated by such date; or </w:t>
      </w:r>
    </w:p>
    <w:p>
      <w:pPr>
        <w:pStyle w:val="TextBody"/>
        <w:spacing w:before="90" w:after="0"/>
        <w:rPr>
          <w:rFonts w:ascii="Times New Roman" w:hAnsi="Times New Roman"/>
          <w:sz w:val="20"/>
        </w:rPr>
      </w:pPr>
      <w:r>
        <w:rPr>
          <w:rFonts w:ascii="Times New Roman" w:hAnsi="Times New Roman"/>
          <w:sz w:val="20"/>
        </w:rPr>
        <w:t xml:space="preserve">(2) the termination of the BP NGL Acquisition Agreement. </w:t>
      </w:r>
    </w:p>
    <w:p>
      <w:pPr>
        <w:pStyle w:val="TextBody"/>
        <w:spacing w:before="180" w:after="0"/>
        <w:rPr>
          <w:rFonts w:ascii="Times New Roman" w:hAnsi="Times New Roman"/>
          <w:sz w:val="20"/>
        </w:rPr>
      </w:pPr>
      <w:r>
        <w:rPr>
          <w:rFonts w:ascii="Times New Roman" w:hAnsi="Times New Roman"/>
          <w:sz w:val="20"/>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180" w:after="0"/>
        <w:rPr>
          <w:rFonts w:ascii="Times New Roman" w:hAnsi="Times New Roman"/>
          <w:sz w:val="20"/>
        </w:rPr>
      </w:pPr>
      <w:r>
        <w:rPr>
          <w:rFonts w:ascii="Times New Roman" w:hAnsi="Times New Roman"/>
          <w:sz w:val="20"/>
        </w:rPr>
        <w:t xml:space="preserve">Subsidiary Guarantors means each of: </w:t>
      </w:r>
    </w:p>
    <w:p>
      <w:pPr>
        <w:pStyle w:val="TextBody"/>
        <w:spacing w:before="90" w:after="0"/>
        <w:rPr>
          <w:rFonts w:ascii="Times New Roman" w:hAnsi="Times New Roman"/>
          <w:sz w:val="20"/>
        </w:rPr>
      </w:pPr>
      <w:r>
        <w:rPr>
          <w:rFonts w:ascii="Times New Roman" w:hAnsi="Times New Roman"/>
          <w:sz w:val="20"/>
        </w:rPr>
        <w:t xml:space="preserve">(1) any Subsidiary that executes a supplemental Indenture to provide a Guarantee in accordance with the provisions of the Indenture; and </w:t>
      </w:r>
    </w:p>
    <w:p>
      <w:pPr>
        <w:pStyle w:val="TextBody"/>
        <w:spacing w:before="90" w:after="0"/>
        <w:rPr>
          <w:rFonts w:ascii="Times New Roman" w:hAnsi="Times New Roman"/>
          <w:sz w:val="20"/>
        </w:rPr>
      </w:pPr>
      <w:r>
        <w:rPr>
          <w:rFonts w:ascii="Times New Roman" w:hAnsi="Times New Roman"/>
          <w:sz w:val="20"/>
        </w:rPr>
        <w:t xml:space="preserve">(2) their respective successors and assigns. </w:t>
      </w:r>
    </w:p>
    <w:p>
      <w:pPr>
        <w:pStyle w:val="TextBody"/>
        <w:spacing w:before="180" w:after="0"/>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Other Definitions</w:t>
      </w:r>
      <w:r>
        <w:rPr>
          <w:rFonts w:ascii="Times New Roman" w:hAnsi="Times New Roman"/>
          <w:sz w:val="20"/>
        </w:rPr>
        <w:t xml:space="preserve">.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606"/>
        <w:gridCol w:w="588"/>
        <w:gridCol w:w="84"/>
        <w:gridCol w:w="538"/>
        <w:gridCol w:w="123"/>
      </w:tblGrid>
      <w:tr>
        <w:trPr/>
        <w:tc>
          <w:tcPr>
            <w:tcW w:w="560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60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Term</w:t>
            </w:r>
          </w:p>
        </w:tc>
        <w:tc>
          <w:tcPr>
            <w:tcW w:w="588" w:type="dxa"/>
            <w:tcBorders/>
            <w:shd w:fill="auto" w:val="clear"/>
            <w:vAlign w:val="bottom"/>
          </w:tcPr>
          <w:p>
            <w:pPr>
              <w:pStyle w:val="TableContents"/>
              <w:spacing w:before="0" w:after="283"/>
              <w:rPr/>
            </w:pPr>
            <w:r>
              <w:rPr/>
              <w:t>  </w:t>
            </w:r>
          </w:p>
        </w:tc>
        <w:tc>
          <w:tcPr>
            <w:tcW w:w="6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Defined in</w:t>
              <w:br/>
              <w:t>Section</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Notes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Covenant Defeasance</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8.03</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Event of Default</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Legal Defeasance</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Note Obligations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Payment Default</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Required Filing Dates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Special Optional Redemption</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Successor Company</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3" w:type="dxa"/>
            <w:tcBorders/>
            <w:shd w:fill="CCEEFF" w:val="clear"/>
            <w:vAlign w:val="bottom"/>
          </w:tcPr>
          <w:p>
            <w:pPr>
              <w:pStyle w:val="TableContents"/>
              <w:spacing w:before="0" w:after="283"/>
              <w:rPr/>
            </w:pPr>
            <w:r>
              <w:rPr/>
              <w:t>  </w:t>
            </w:r>
          </w:p>
        </w:tc>
      </w:tr>
    </w:tbl>
    <w:p>
      <w:pPr>
        <w:pStyle w:val="TextBody"/>
        <w:spacing w:before="360" w:after="0"/>
        <w:jc w:val="center"/>
        <w:rPr>
          <w:rFonts w:ascii="Times New Roman" w:hAnsi="Times New Roman"/>
          <w:sz w:val="20"/>
        </w:rPr>
      </w:pPr>
      <w:r>
        <w:rPr>
          <w:rFonts w:ascii="Times New Roman" w:hAnsi="Times New Roman"/>
          <w:sz w:val="20"/>
        </w:rPr>
        <w:t xml:space="preserve">ARTICLE III </w:t>
      </w:r>
    </w:p>
    <w:p>
      <w:pPr>
        <w:pStyle w:val="TextBody"/>
        <w:spacing w:before="0" w:after="0"/>
        <w:jc w:val="center"/>
        <w:rPr>
          <w:rFonts w:ascii="Times New Roman" w:hAnsi="Times New Roman"/>
          <w:sz w:val="20"/>
        </w:rPr>
      </w:pPr>
      <w:r>
        <w:rPr>
          <w:rFonts w:ascii="Times New Roman" w:hAnsi="Times New Roman"/>
          <w:sz w:val="20"/>
        </w:rPr>
        <w:t xml:space="preserve">THE NOTES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Form</w:t>
      </w:r>
      <w:r>
        <w:rPr>
          <w:rFonts w:ascii="Times New Roman" w:hAnsi="Times New Roman"/>
          <w:sz w:val="20"/>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Issuance of Additional Notes</w:t>
      </w:r>
      <w:r>
        <w:rPr>
          <w:rFonts w:ascii="Times New Roman" w:hAnsi="Times New Roman"/>
          <w:sz w:val="20"/>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$500,000,000. The Notes issued on the Issue Date and any Additional Notes subsequently issued shall be treated as a single series for all purposes under the Indenture, including waivers, amendments, redemptions and offers to purchase.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Global Security Legend</w:t>
      </w:r>
      <w:r>
        <w:rPr>
          <w:rFonts w:ascii="Times New Roman" w:hAnsi="Times New Roman"/>
          <w:sz w:val="20"/>
        </w:rPr>
        <w:t xml:space="preserve">. Each of the Global Securities shall bear a legend in substantially the following form: </w:t>
      </w:r>
    </w:p>
    <w:p>
      <w:pPr>
        <w:pStyle w:val="TextBody"/>
        <w:spacing w:before="180" w:after="0"/>
        <w:rPr>
          <w:rFonts w:ascii="Times New Roman" w:hAnsi="Times New Roman"/>
          <w:sz w:val="20"/>
        </w:rPr>
      </w:pPr>
      <w:r>
        <w:rPr>
          <w:rFonts w:ascii="Times New Roman" w:hAnsi="Times New Roman"/>
          <w:sz w:val="20"/>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360" w:after="0"/>
        <w:jc w:val="center"/>
        <w:rPr>
          <w:rFonts w:ascii="Times New Roman" w:hAnsi="Times New Roman"/>
          <w:sz w:val="20"/>
        </w:rPr>
      </w:pPr>
      <w:r>
        <w:rPr>
          <w:rFonts w:ascii="Times New Roman" w:hAnsi="Times New Roman"/>
          <w:sz w:val="20"/>
        </w:rPr>
        <w:t xml:space="preserve">ARTICLE IV </w:t>
      </w:r>
    </w:p>
    <w:p>
      <w:pPr>
        <w:pStyle w:val="TextBody"/>
        <w:spacing w:before="0" w:after="0"/>
        <w:jc w:val="center"/>
        <w:rPr>
          <w:rFonts w:ascii="Times New Roman" w:hAnsi="Times New Roman"/>
          <w:sz w:val="20"/>
        </w:rPr>
      </w:pPr>
      <w:r>
        <w:rPr>
          <w:rFonts w:ascii="Times New Roman" w:hAnsi="Times New Roman"/>
          <w:sz w:val="20"/>
        </w:rPr>
        <w:t xml:space="preserve">REDEMPTION AND PREPAYMENT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Optional Redemption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90" w:after="0"/>
        <w:rPr>
          <w:rFonts w:ascii="Times New Roman" w:hAnsi="Times New Roman"/>
          <w:sz w:val="20"/>
        </w:rPr>
      </w:pPr>
      <w:r>
        <w:rPr>
          <w:rFonts w:ascii="Times New Roman" w:hAnsi="Times New Roman"/>
          <w:sz w:val="20"/>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90" w:after="0"/>
        <w:rPr>
          <w:rFonts w:ascii="Times New Roman" w:hAnsi="Times New Roman"/>
          <w:sz w:val="20"/>
        </w:rPr>
      </w:pPr>
      <w:r>
        <w:rPr>
          <w:rFonts w:ascii="Times New Roman" w:hAnsi="Times New Roman"/>
          <w:sz w:val="20"/>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180" w:after="0"/>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Special Optional Redemption</w:t>
      </w:r>
      <w:r>
        <w:rPr>
          <w:rFonts w:ascii="Times New Roman" w:hAnsi="Times New Roman"/>
          <w:sz w:val="20"/>
        </w:rPr>
        <w:t xml:space="preserve">. Following the occurrence of a Special Optional Redemption Trigger Event, the Issuers shall have the option to redeem the Notes as a whole (the Special Optional Redemption), upon notice as provided in this Section 4.02, at a redemption price equal to 101% of the aggregate principal amount thereof plus accrued and unpaid interest thereon to the special optional redemption date. Notice of such Special Optional Redemption must be given within ten days of the date of the Special Optional Redemption Trigger Event by first-class mail, postage prepaid, mailed not less than 15 nor more than 30 days prior to the special optional redemption date, to the Trustee and to each Holder, and such notice shall state: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that the Special Optional Redemption Trigger Event has occurred and that the Issuers have elected to exercise the Special Optional Redemption; </w:t>
      </w:r>
    </w:p>
    <w:p>
      <w:pPr>
        <w:pStyle w:val="TextBody"/>
        <w:spacing w:before="90" w:after="0"/>
        <w:rPr>
          <w:rFonts w:ascii="Times New Roman" w:hAnsi="Times New Roman"/>
          <w:sz w:val="20"/>
        </w:rPr>
      </w:pPr>
      <w:r>
        <w:rPr>
          <w:rFonts w:ascii="Times New Roman" w:hAnsi="Times New Roman"/>
          <w:sz w:val="20"/>
        </w:rPr>
        <w:t xml:space="preserve">(c) the special optional redemption date, which shall be no earlier than 15 days nor later than 30 days from the date the notice is mailed; and </w:t>
      </w:r>
    </w:p>
    <w:p>
      <w:pPr>
        <w:pStyle w:val="TextBody"/>
        <w:spacing w:before="90" w:after="0"/>
        <w:rPr>
          <w:rFonts w:ascii="Times New Roman" w:hAnsi="Times New Roman"/>
          <w:sz w:val="20"/>
        </w:rPr>
      </w:pPr>
      <w:r>
        <w:rPr>
          <w:rFonts w:ascii="Times New Roman" w:hAnsi="Times New Roman"/>
          <w:sz w:val="20"/>
        </w:rPr>
        <w:t xml:space="preserve">(d) the other information required by Section 3.02 of the Original Indenture. </w:t>
      </w:r>
    </w:p>
    <w:p>
      <w:pPr>
        <w:pStyle w:val="TextBody"/>
        <w:spacing w:before="180" w:after="0"/>
        <w:rPr>
          <w:rFonts w:ascii="Times New Roman" w:hAnsi="Times New Roman"/>
          <w:sz w:val="20"/>
        </w:rPr>
      </w:pPr>
      <w:r>
        <w:rPr>
          <w:rFonts w:ascii="Times New Roman" w:hAnsi="Times New Roman"/>
          <w:sz w:val="20"/>
        </w:rPr>
        <w:t xml:space="preserve">Except to the extent any provision of this Section 4.02 conflicts with the provisions of Section 3.01 to 3.03 of the Original Indenture, any redemption shall otherwise be made pursuant to the provisions of Sections 3.01 to 3.03 of the Original Indenture. </w:t>
      </w:r>
    </w:p>
    <w:p>
      <w:pPr>
        <w:pStyle w:val="TextBody"/>
        <w:spacing w:before="360" w:after="0"/>
        <w:jc w:val="center"/>
        <w:rPr>
          <w:rFonts w:ascii="Times New Roman" w:hAnsi="Times New Roman"/>
          <w:sz w:val="20"/>
        </w:rPr>
      </w:pPr>
      <w:r>
        <w:rPr>
          <w:rFonts w:ascii="Times New Roman" w:hAnsi="Times New Roman"/>
          <w:sz w:val="20"/>
        </w:rPr>
        <w:t xml:space="preserve">ARTICLE V </w:t>
      </w:r>
    </w:p>
    <w:p>
      <w:pPr>
        <w:pStyle w:val="TextBody"/>
        <w:spacing w:before="0" w:after="0"/>
        <w:jc w:val="center"/>
        <w:rPr>
          <w:rFonts w:ascii="Times New Roman" w:hAnsi="Times New Roman"/>
          <w:sz w:val="20"/>
        </w:rPr>
      </w:pPr>
      <w:r>
        <w:rPr>
          <w:rFonts w:ascii="Times New Roman" w:hAnsi="Times New Roman"/>
          <w:sz w:val="20"/>
        </w:rPr>
        <w:t xml:space="preserve">COVENANTS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Compliance Certificate</w:t>
      </w:r>
      <w:r>
        <w:rPr>
          <w:rFonts w:ascii="Times New Roman" w:hAnsi="Times New Roman"/>
          <w:sz w:val="20"/>
        </w:rPr>
        <w:t xml:space="preserve">.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90" w:after="0"/>
        <w:rPr>
          <w:rFonts w:ascii="Times New Roman" w:hAnsi="Times New Roman"/>
          <w:sz w:val="20"/>
        </w:rPr>
      </w:pPr>
      <w:r>
        <w:rPr>
          <w:rFonts w:ascii="Times New Roman" w:hAnsi="Times New Roman"/>
          <w:sz w:val="20"/>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180" w:after="0"/>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Limitations on Liens</w:t>
      </w:r>
      <w:r>
        <w:rPr>
          <w:rFonts w:ascii="Times New Roman" w:hAnsi="Times New Roman"/>
          <w:sz w:val="20"/>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Permitted Liens; </w:t>
      </w:r>
    </w:p>
    <w:p>
      <w:pPr>
        <w:pStyle w:val="TextBody"/>
        <w:spacing w:before="90" w:after="0"/>
        <w:rPr>
          <w:rFonts w:ascii="Times New Roman" w:hAnsi="Times New Roman"/>
          <w:sz w:val="20"/>
        </w:rPr>
      </w:pPr>
      <w:r>
        <w:rPr>
          <w:rFonts w:ascii="Times New Roman" w:hAnsi="Times New Roman"/>
          <w:sz w:val="20"/>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90" w:after="0"/>
        <w:rPr>
          <w:rFonts w:ascii="Times New Roman" w:hAnsi="Times New Roman"/>
          <w:sz w:val="20"/>
        </w:rPr>
      </w:pPr>
      <w:r>
        <w:rPr>
          <w:rFonts w:ascii="Times New Roman" w:hAnsi="Times New Roman"/>
          <w:sz w:val="20"/>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90" w:after="0"/>
        <w:rPr>
          <w:rFonts w:ascii="Times New Roman" w:hAnsi="Times New Roman"/>
          <w:sz w:val="20"/>
        </w:rPr>
      </w:pPr>
      <w:r>
        <w:rPr>
          <w:rFonts w:ascii="Times New Roman" w:hAnsi="Times New Roman"/>
          <w:sz w:val="20"/>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90" w:after="0"/>
        <w:rPr>
          <w:rFonts w:ascii="Times New Roman" w:hAnsi="Times New Roman"/>
          <w:sz w:val="20"/>
        </w:rPr>
      </w:pPr>
      <w:r>
        <w:rPr>
          <w:rFonts w:ascii="Times New Roman" w:hAnsi="Times New Roman"/>
          <w:sz w:val="20"/>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90" w:after="0"/>
        <w:rPr>
          <w:rFonts w:ascii="Times New Roman" w:hAnsi="Times New Roman"/>
          <w:sz w:val="20"/>
        </w:rPr>
      </w:pPr>
      <w:r>
        <w:rPr>
          <w:rFonts w:ascii="Times New Roman" w:hAnsi="Times New Roman"/>
          <w:sz w:val="20"/>
        </w:rPr>
        <w:t xml:space="preserve">(f) any Lien upon any property or assets of an Issuer or any Restricted Subsidiary in existence on December 10, 2003 or provided for pursuant to agreements existing on December 10, 2003; </w:t>
      </w:r>
    </w:p>
    <w:p>
      <w:pPr>
        <w:pStyle w:val="TextBody"/>
        <w:spacing w:before="90" w:after="0"/>
        <w:rPr>
          <w:rFonts w:ascii="Times New Roman" w:hAnsi="Times New Roman"/>
          <w:sz w:val="20"/>
        </w:rPr>
      </w:pPr>
      <w:r>
        <w:rPr>
          <w:rFonts w:ascii="Times New Roman" w:hAnsi="Times New Roman"/>
          <w:sz w:val="20"/>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90" w:after="0"/>
        <w:rPr>
          <w:rFonts w:ascii="Times New Roman" w:hAnsi="Times New Roman"/>
          <w:sz w:val="20"/>
        </w:rPr>
      </w:pPr>
      <w:r>
        <w:rPr>
          <w:rFonts w:ascii="Times New Roman" w:hAnsi="Times New Roman"/>
          <w:sz w:val="20"/>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90" w:after="0"/>
        <w:rPr>
          <w:rFonts w:ascii="Times New Roman" w:hAnsi="Times New Roman"/>
          <w:sz w:val="20"/>
        </w:rPr>
      </w:pPr>
      <w:r>
        <w:rPr>
          <w:rFonts w:ascii="Times New Roman" w:hAnsi="Times New Roman"/>
          <w:sz w:val="20"/>
        </w:rPr>
        <w:t xml:space="preserve">(i) any Lien resulting from the deposit of moneys or evidence of indebtedness in trust for the purpose of defeasing Debt of an Issuer or any Restricted Subsidiary.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Restriction of Sale-leaseback Transactions</w:t>
      </w:r>
      <w:r>
        <w:rPr>
          <w:rFonts w:ascii="Times New Roman" w:hAnsi="Times New Roman"/>
          <w:sz w:val="20"/>
        </w:rPr>
        <w:t xml:space="preserve">. The Issuers will not, and will not permit any Subsidiary of the Partnership to, engage in a Sale-leaseback Transaction, unless: </w:t>
      </w:r>
    </w:p>
    <w:p>
      <w:pPr>
        <w:pStyle w:val="TextBody"/>
        <w:spacing w:before="90" w:after="0"/>
        <w:rPr>
          <w:rFonts w:ascii="Times New Roman" w:hAnsi="Times New Roman"/>
          <w:sz w:val="20"/>
        </w:rPr>
      </w:pPr>
      <w:r>
        <w:rPr>
          <w:rFonts w:ascii="Times New Roman" w:hAnsi="Times New Roman"/>
          <w:sz w:val="20"/>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90" w:after="0"/>
        <w:rPr>
          <w:rFonts w:ascii="Times New Roman" w:hAnsi="Times New Roman"/>
          <w:sz w:val="20"/>
        </w:rPr>
      </w:pPr>
      <w:r>
        <w:rPr>
          <w:rFonts w:ascii="Times New Roman" w:hAnsi="Times New Roman"/>
          <w:sz w:val="20"/>
        </w:rPr>
        <w:t xml:space="preserve">(b) the Sale-leaseback Transaction involves a lease for a period, including renewals, of not more than three years; </w:t>
      </w:r>
    </w:p>
    <w:p>
      <w:pPr>
        <w:pStyle w:val="TextBody"/>
        <w:spacing w:before="90" w:after="0"/>
        <w:rPr>
          <w:rFonts w:ascii="Times New Roman" w:hAnsi="Times New Roman"/>
          <w:sz w:val="20"/>
        </w:rPr>
      </w:pPr>
      <w:r>
        <w:rPr>
          <w:rFonts w:ascii="Times New Roman" w:hAnsi="Times New Roman"/>
          <w:sz w:val="20"/>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90" w:after="0"/>
        <w:rPr>
          <w:rFonts w:ascii="Times New Roman" w:hAnsi="Times New Roman"/>
          <w:sz w:val="20"/>
        </w:rPr>
      </w:pPr>
      <w:r>
        <w:rPr>
          <w:rFonts w:ascii="Times New Roman" w:hAnsi="Times New Roman"/>
          <w:sz w:val="20"/>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SEC Reports; Financial Statements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90" w:after="0"/>
        <w:rPr>
          <w:rFonts w:ascii="Times New Roman" w:hAnsi="Times New Roman"/>
          <w:sz w:val="20"/>
        </w:rPr>
      </w:pPr>
      <w:r>
        <w:rPr>
          <w:rFonts w:ascii="Times New Roman" w:hAnsi="Times New Roman"/>
          <w:sz w:val="20"/>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90" w:after="0"/>
        <w:rPr>
          <w:rFonts w:ascii="Times New Roman" w:hAnsi="Times New Roman"/>
          <w:sz w:val="20"/>
        </w:rPr>
      </w:pPr>
      <w:r>
        <w:rPr>
          <w:rFonts w:ascii="Times New Roman" w:hAnsi="Times New Roman"/>
          <w:sz w:val="20"/>
        </w:rPr>
        <w:t xml:space="preserve">(c) [Intentionally omitted.] </w:t>
      </w:r>
    </w:p>
    <w:p>
      <w:pPr>
        <w:pStyle w:val="TextBody"/>
        <w:spacing w:before="90" w:after="0"/>
        <w:rPr>
          <w:rFonts w:ascii="Times New Roman" w:hAnsi="Times New Roman"/>
          <w:sz w:val="20"/>
        </w:rPr>
      </w:pPr>
      <w:r>
        <w:rPr>
          <w:rFonts w:ascii="Times New Roman" w:hAnsi="Times New Roman"/>
          <w:sz w:val="20"/>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90" w:after="0"/>
        <w:rPr>
          <w:rFonts w:ascii="Times New Roman" w:hAnsi="Times New Roman"/>
          <w:sz w:val="20"/>
        </w:rPr>
      </w:pPr>
      <w:r>
        <w:rPr>
          <w:rFonts w:ascii="Times New Roman" w:hAnsi="Times New Roman"/>
          <w:sz w:val="20"/>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80" w:after="0"/>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Subsidiary Guarantees</w:t>
      </w:r>
      <w:r>
        <w:rPr>
          <w:rFonts w:ascii="Times New Roman" w:hAnsi="Times New Roman"/>
          <w:sz w:val="20"/>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360" w:after="0"/>
        <w:jc w:val="center"/>
        <w:rPr>
          <w:rFonts w:ascii="Times New Roman" w:hAnsi="Times New Roman"/>
          <w:sz w:val="20"/>
        </w:rPr>
      </w:pPr>
      <w:r>
        <w:rPr>
          <w:rFonts w:ascii="Times New Roman" w:hAnsi="Times New Roman"/>
          <w:sz w:val="20"/>
        </w:rPr>
        <w:t xml:space="preserve">ARTICLE VI </w:t>
      </w:r>
    </w:p>
    <w:p>
      <w:pPr>
        <w:pStyle w:val="TextBody"/>
        <w:spacing w:before="0" w:after="0"/>
        <w:jc w:val="center"/>
        <w:rPr>
          <w:rFonts w:ascii="Times New Roman" w:hAnsi="Times New Roman"/>
          <w:sz w:val="20"/>
        </w:rPr>
      </w:pPr>
      <w:r>
        <w:rPr>
          <w:rFonts w:ascii="Times New Roman" w:hAnsi="Times New Roman"/>
          <w:sz w:val="20"/>
        </w:rPr>
        <w:t xml:space="preserve">SUCCESSORS </w:t>
      </w:r>
    </w:p>
    <w:p>
      <w:pPr>
        <w:pStyle w:val="TextBody"/>
        <w:spacing w:before="180" w:after="0"/>
        <w:rPr>
          <w:rFonts w:ascii="Times New Roman" w:hAnsi="Times New Roman"/>
          <w:sz w:val="20"/>
        </w:rPr>
      </w:pPr>
      <w:r>
        <w:rPr>
          <w:rFonts w:ascii="Times New Roman" w:hAnsi="Times New Roman"/>
          <w:sz w:val="20"/>
        </w:rPr>
        <w:t xml:space="preserve">With respect to the Notes, the provisions of this Article VI shall preempt the provisions of Article X of the Original Indenture in their entirety.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Consolidation and Mergers of the Issuers</w:t>
      </w:r>
      <w:r>
        <w:rPr>
          <w:rFonts w:ascii="Times New Roman" w:hAnsi="Times New Roman"/>
          <w:sz w:val="20"/>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Rights and Duties of Successor</w:t>
      </w:r>
      <w:r>
        <w:rPr>
          <w:rFonts w:ascii="Times New Roman" w:hAnsi="Times New Roman"/>
          <w:sz w:val="20"/>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Supplemental Indenture</w:t>
      </w:r>
      <w:r>
        <w:rPr>
          <w:rFonts w:ascii="Times New Roman" w:hAnsi="Times New Roman"/>
          <w:sz w:val="20"/>
        </w:rPr>
        <w:t xml:space="preserve">. Section 9.01 of the Original Indenture is hereby amended, with respect to the Notes, by adding the words or the confirmation of a Subsidiary Guarantors immediately after the word Issuers in Section 9.01(c). </w:t>
      </w:r>
    </w:p>
    <w:p>
      <w:pPr>
        <w:pStyle w:val="TextBody"/>
        <w:spacing w:before="360" w:after="0"/>
        <w:jc w:val="center"/>
        <w:rPr>
          <w:rFonts w:ascii="Times New Roman" w:hAnsi="Times New Roman"/>
          <w:sz w:val="20"/>
        </w:rPr>
      </w:pPr>
      <w:r>
        <w:rPr>
          <w:rFonts w:ascii="Times New Roman" w:hAnsi="Times New Roman"/>
          <w:sz w:val="20"/>
        </w:rPr>
        <w:t xml:space="preserve">ARTICLE VII </w:t>
      </w:r>
    </w:p>
    <w:p>
      <w:pPr>
        <w:pStyle w:val="TextBody"/>
        <w:spacing w:before="0" w:after="0"/>
        <w:jc w:val="center"/>
        <w:rPr>
          <w:rFonts w:ascii="Times New Roman" w:hAnsi="Times New Roman"/>
          <w:sz w:val="20"/>
        </w:rPr>
      </w:pPr>
      <w:r>
        <w:rPr>
          <w:rFonts w:ascii="Times New Roman" w:hAnsi="Times New Roman"/>
          <w:sz w:val="20"/>
        </w:rPr>
        <w:t xml:space="preserve">DEFAULTS AND REMEDIES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With respect to the Notes, the provisions of this Section 7.01 shall preempt the provisions of the first and final paragraphs of Section 6.01 of the Original Indenture in their entirety. </w:t>
      </w:r>
    </w:p>
    <w:p>
      <w:pPr>
        <w:pStyle w:val="TextBody"/>
        <w:spacing w:before="90" w:after="0"/>
        <w:rPr>
          <w:rFonts w:ascii="Times New Roman" w:hAnsi="Times New Roman"/>
          <w:sz w:val="20"/>
        </w:rPr>
      </w:pPr>
      <w:r>
        <w:rPr>
          <w:rFonts w:ascii="Times New Roman" w:hAnsi="Times New Roman"/>
          <w:sz w:val="20"/>
        </w:rPr>
        <w:t xml:space="preserve">(a) An Event of Default occurs if: </w:t>
      </w:r>
    </w:p>
    <w:p>
      <w:pPr>
        <w:pStyle w:val="TextBody"/>
        <w:spacing w:before="90" w:after="0"/>
        <w:rPr>
          <w:rFonts w:ascii="Times New Roman" w:hAnsi="Times New Roman"/>
          <w:sz w:val="20"/>
        </w:rPr>
      </w:pPr>
      <w:r>
        <w:rPr>
          <w:rFonts w:ascii="Times New Roman" w:hAnsi="Times New Roman"/>
          <w:sz w:val="20"/>
        </w:rPr>
        <w:t xml:space="preserve">(i) the Issuers default for 60 days in the payment when due of interest on the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the Issuers default in the payment when due of principal of or premium, if any, on the Notes at maturity, upon redemption or otherwise; </w:t>
      </w:r>
    </w:p>
    <w:p>
      <w:pPr>
        <w:pStyle w:val="TextBody"/>
        <w:spacing w:before="90" w:after="0"/>
        <w:rPr>
          <w:rFonts w:ascii="Times New Roman" w:hAnsi="Times New Roman"/>
          <w:sz w:val="20"/>
        </w:rPr>
      </w:pPr>
      <w:r>
        <w:rPr>
          <w:rFonts w:ascii="Times New Roman" w:hAnsi="Times New Roman"/>
          <w:sz w:val="20"/>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20"/>
          <w:u w:val="single"/>
        </w:rPr>
        <w:t>provided</w:t>
      </w:r>
      <w:r>
        <w:rPr>
          <w:rFonts w:ascii="Times New Roman" w:hAnsi="Times New Roman"/>
          <w:sz w:val="20"/>
        </w:rPr>
        <w:t xml:space="preserve"> that notice need not be given, and an Event of Default shall occur, 90 days after any breach of the provisions of Section 6.01 hereof); </w:t>
      </w:r>
    </w:p>
    <w:p>
      <w:pPr>
        <w:pStyle w:val="TextBody"/>
        <w:spacing w:before="90" w:after="0"/>
        <w:rPr>
          <w:rFonts w:ascii="Times New Roman" w:hAnsi="Times New Roman"/>
          <w:sz w:val="20"/>
        </w:rPr>
      </w:pPr>
      <w:r>
        <w:rPr>
          <w:rFonts w:ascii="Times New Roman" w:hAnsi="Times New Roman"/>
          <w:sz w:val="20"/>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90" w:after="0"/>
        <w:rPr>
          <w:rFonts w:ascii="Times New Roman" w:hAnsi="Times New Roman"/>
          <w:sz w:val="20"/>
        </w:rPr>
      </w:pPr>
      <w:r>
        <w:rPr>
          <w:rFonts w:ascii="Times New Roman" w:hAnsi="Times New Roman"/>
          <w:sz w:val="20"/>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90" w:after="0"/>
        <w:rPr>
          <w:rFonts w:ascii="Times New Roman" w:hAnsi="Times New Roman"/>
          <w:sz w:val="20"/>
        </w:rPr>
      </w:pPr>
      <w:r>
        <w:rPr>
          <w:rFonts w:ascii="Times New Roman" w:hAnsi="Times New Roman"/>
          <w:sz w:val="20"/>
        </w:rPr>
        <w:t xml:space="preserve">(vi) an Issuer or any Subsidiary Guarantor pursuant to or within the meaning of any Bankruptcy Law: </w:t>
      </w:r>
    </w:p>
    <w:p>
      <w:pPr>
        <w:pStyle w:val="TextBody"/>
        <w:spacing w:before="90" w:after="0"/>
        <w:rPr>
          <w:rFonts w:ascii="Times New Roman" w:hAnsi="Times New Roman"/>
          <w:sz w:val="20"/>
        </w:rPr>
      </w:pPr>
      <w:r>
        <w:rPr>
          <w:rFonts w:ascii="Times New Roman" w:hAnsi="Times New Roman"/>
          <w:sz w:val="20"/>
        </w:rPr>
        <w:t xml:space="preserve">(A) commences a voluntary case, </w:t>
      </w:r>
    </w:p>
    <w:p>
      <w:pPr>
        <w:pStyle w:val="TextBody"/>
        <w:spacing w:before="90" w:after="0"/>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spacing w:before="90" w:after="0"/>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makes a general assignment for the benefit of its creditors, or </w:t>
      </w:r>
    </w:p>
    <w:p>
      <w:pPr>
        <w:pStyle w:val="TextBody"/>
        <w:spacing w:before="90" w:after="0"/>
        <w:rPr>
          <w:rFonts w:ascii="Times New Roman" w:hAnsi="Times New Roman"/>
          <w:sz w:val="20"/>
        </w:rPr>
      </w:pPr>
      <w:r>
        <w:rPr>
          <w:rFonts w:ascii="Times New Roman" w:hAnsi="Times New Roman"/>
          <w:sz w:val="20"/>
        </w:rPr>
        <w:t xml:space="preserve">(E) generally is not paying its debts as they become due; or </w:t>
      </w:r>
    </w:p>
    <w:p>
      <w:pPr>
        <w:pStyle w:val="TextBody"/>
        <w:spacing w:before="90" w:after="0"/>
        <w:rPr>
          <w:rFonts w:ascii="Times New Roman" w:hAnsi="Times New Roman"/>
          <w:sz w:val="20"/>
        </w:rPr>
      </w:pPr>
      <w:r>
        <w:rPr>
          <w:rFonts w:ascii="Times New Roman" w:hAnsi="Times New Roman"/>
          <w:sz w:val="20"/>
        </w:rPr>
        <w:t xml:space="preserve">(vii) a court of competent jurisdiction enters an order or decree under any Bankruptcy Law that: </w:t>
      </w:r>
    </w:p>
    <w:p>
      <w:pPr>
        <w:pStyle w:val="TextBody"/>
        <w:spacing w:before="90" w:after="0"/>
        <w:rPr>
          <w:rFonts w:ascii="Times New Roman" w:hAnsi="Times New Roman"/>
          <w:sz w:val="20"/>
        </w:rPr>
      </w:pPr>
      <w:r>
        <w:rPr>
          <w:rFonts w:ascii="Times New Roman" w:hAnsi="Times New Roman"/>
          <w:sz w:val="20"/>
        </w:rPr>
        <w:t xml:space="preserve">(A) is for relief against an Issuer or any Subsidiary Guarantor in an involuntary case; </w:t>
      </w:r>
    </w:p>
    <w:p>
      <w:pPr>
        <w:pStyle w:val="TextBody"/>
        <w:spacing w:before="90" w:after="0"/>
        <w:rPr>
          <w:rFonts w:ascii="Times New Roman" w:hAnsi="Times New Roman"/>
          <w:sz w:val="20"/>
        </w:rPr>
      </w:pPr>
      <w:r>
        <w:rPr>
          <w:rFonts w:ascii="Times New Roman" w:hAnsi="Times New Roman"/>
          <w:sz w:val="20"/>
        </w:rPr>
        <w:t xml:space="preserve">(B) appoints a custodian of an Issuer or any Subsidiary Guarantor or for all or substantially all of the property of an Issuer or any Subsidiary Guarantor; or </w:t>
      </w:r>
    </w:p>
    <w:p>
      <w:pPr>
        <w:pStyle w:val="TextBody"/>
        <w:spacing w:before="90" w:after="0"/>
        <w:rPr>
          <w:rFonts w:ascii="Times New Roman" w:hAnsi="Times New Roman"/>
          <w:sz w:val="20"/>
        </w:rPr>
      </w:pPr>
      <w:r>
        <w:rPr>
          <w:rFonts w:ascii="Times New Roman" w:hAnsi="Times New Roman"/>
          <w:sz w:val="20"/>
        </w:rPr>
        <w:t xml:space="preserve">(C) orders the liquidation of an Issuer or any Subsidiary Guarantor; </w:t>
      </w:r>
    </w:p>
    <w:p>
      <w:pPr>
        <w:pStyle w:val="TextBody"/>
        <w:spacing w:before="180" w:after="0"/>
        <w:rPr>
          <w:rFonts w:ascii="Times New Roman" w:hAnsi="Times New Roman"/>
          <w:sz w:val="20"/>
        </w:rPr>
      </w:pPr>
      <w:r>
        <w:rPr>
          <w:rFonts w:ascii="Times New Roman" w:hAnsi="Times New Roman"/>
          <w:sz w:val="20"/>
        </w:rPr>
        <w:t xml:space="preserve">and the order or decree remains unstayed and in effect for 60 consecutive days. </w:t>
      </w:r>
    </w:p>
    <w:p>
      <w:pPr>
        <w:pStyle w:val="TextBody"/>
        <w:spacing w:before="90" w:after="0"/>
        <w:rPr>
          <w:rFonts w:ascii="Times New Roman" w:hAnsi="Times New Roman"/>
          <w:sz w:val="20"/>
        </w:rPr>
      </w:pPr>
      <w:r>
        <w:rPr>
          <w:rFonts w:ascii="Times New Roman" w:hAnsi="Times New Roman"/>
          <w:sz w:val="20"/>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360" w:after="0"/>
        <w:jc w:val="center"/>
        <w:rPr>
          <w:rFonts w:ascii="Times New Roman" w:hAnsi="Times New Roman"/>
          <w:sz w:val="20"/>
        </w:rPr>
      </w:pPr>
      <w:r>
        <w:rPr>
          <w:rFonts w:ascii="Times New Roman" w:hAnsi="Times New Roman"/>
          <w:sz w:val="20"/>
        </w:rPr>
        <w:t xml:space="preserve">ARTICLE VIII </w:t>
      </w:r>
    </w:p>
    <w:p>
      <w:pPr>
        <w:pStyle w:val="TextBody"/>
        <w:spacing w:before="0" w:after="0"/>
        <w:jc w:val="center"/>
        <w:rPr>
          <w:rFonts w:ascii="Times New Roman" w:hAnsi="Times New Roman"/>
          <w:sz w:val="20"/>
        </w:rPr>
      </w:pPr>
      <w:r>
        <w:rPr>
          <w:rFonts w:ascii="Times New Roman" w:hAnsi="Times New Roman"/>
          <w:sz w:val="20"/>
        </w:rPr>
        <w:t xml:space="preserve">LEGAL DEFEASANCE AND COVENANT DEFEASANCE </w:t>
      </w:r>
    </w:p>
    <w:p>
      <w:pPr>
        <w:pStyle w:val="TextBody"/>
        <w:spacing w:before="180" w:after="0"/>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Option to Effect Legal Defeasance or Covenant Defeasance</w:t>
      </w:r>
      <w:r>
        <w:rPr>
          <w:rFonts w:ascii="Times New Roman" w:hAnsi="Times New Roman"/>
          <w:sz w:val="20"/>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80" w:after="0"/>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Legal Defeasance and Discharge</w:t>
      </w:r>
      <w:r>
        <w:rPr>
          <w:rFonts w:ascii="Times New Roman" w:hAnsi="Times New Roman"/>
          <w:sz w:val="20"/>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90" w:after="0"/>
        <w:rPr>
          <w:rFonts w:ascii="Times New Roman" w:hAnsi="Times New Roman"/>
          <w:sz w:val="20"/>
        </w:rPr>
      </w:pPr>
      <w:r>
        <w:rPr>
          <w:rFonts w:ascii="Times New Roman" w:hAnsi="Times New Roman"/>
          <w:sz w:val="20"/>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90" w:after="0"/>
        <w:rPr>
          <w:rFonts w:ascii="Times New Roman" w:hAnsi="Times New Roman"/>
          <w:sz w:val="20"/>
        </w:rPr>
      </w:pPr>
      <w:r>
        <w:rPr>
          <w:rFonts w:ascii="Times New Roman" w:hAnsi="Times New Roman"/>
          <w:sz w:val="20"/>
        </w:rPr>
        <w:t xml:space="preserve">(b) the Issuers obligations with respect to such Notes under Sections 2.07, 2.08, 2.09 and 4.02 of the Original Indenture, </w:t>
      </w:r>
    </w:p>
    <w:p>
      <w:pPr>
        <w:pStyle w:val="TextBody"/>
        <w:spacing w:before="90" w:after="0"/>
        <w:rPr>
          <w:rFonts w:ascii="Times New Roman" w:hAnsi="Times New Roman"/>
          <w:sz w:val="20"/>
        </w:rPr>
      </w:pPr>
      <w:r>
        <w:rPr>
          <w:rFonts w:ascii="Times New Roman" w:hAnsi="Times New Roman"/>
          <w:sz w:val="20"/>
        </w:rPr>
        <w:t xml:space="preserve">(c) the rights, powers, trusts, duties and immunities of the Trustee hereunder and the Issuers obligations in connection therewith, </w:t>
      </w:r>
    </w:p>
    <w:p>
      <w:pPr>
        <w:pStyle w:val="TextBody"/>
        <w:spacing w:before="90" w:after="0"/>
        <w:rPr>
          <w:rFonts w:ascii="Times New Roman" w:hAnsi="Times New Roman"/>
          <w:sz w:val="20"/>
        </w:rPr>
      </w:pPr>
      <w:r>
        <w:rPr>
          <w:rFonts w:ascii="Times New Roman" w:hAnsi="Times New Roman"/>
          <w:sz w:val="20"/>
        </w:rPr>
        <w:t xml:space="preserve">(d) this Article VIII, and </w:t>
      </w:r>
    </w:p>
    <w:p>
      <w:pPr>
        <w:pStyle w:val="TextBody"/>
        <w:spacing w:before="90" w:after="0"/>
        <w:rPr>
          <w:rFonts w:ascii="Times New Roman" w:hAnsi="Times New Roman"/>
          <w:sz w:val="20"/>
        </w:rPr>
      </w:pPr>
      <w:r>
        <w:rPr>
          <w:rFonts w:ascii="Times New Roman" w:hAnsi="Times New Roman"/>
          <w:sz w:val="20"/>
        </w:rPr>
        <w:t xml:space="preserve">(e) the Issuers rights of optional redemption under Section 4.01 hereof. </w:t>
      </w:r>
    </w:p>
    <w:p>
      <w:pPr>
        <w:pStyle w:val="TextBody"/>
        <w:spacing w:before="180" w:after="0"/>
        <w:rPr>
          <w:rFonts w:ascii="Times New Roman" w:hAnsi="Times New Roman"/>
          <w:sz w:val="20"/>
        </w:rPr>
      </w:pPr>
      <w:r>
        <w:rPr>
          <w:rFonts w:ascii="Times New Roman" w:hAnsi="Times New Roman"/>
          <w:sz w:val="20"/>
        </w:rPr>
        <w:t xml:space="preserve">Subject to compliance with this Article VIII, the Issuers may exercise their option under this Section 8.02 notwithstanding the prior exercise of their option under Section 8.03 hereof. </w:t>
      </w:r>
    </w:p>
    <w:p>
      <w:pPr>
        <w:pStyle w:val="TextBody"/>
        <w:spacing w:before="180" w:after="0"/>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Covenant Defeasance</w:t>
      </w:r>
      <w:r>
        <w:rPr>
          <w:rFonts w:ascii="Times New Roman" w:hAnsi="Times New Roman"/>
          <w:sz w:val="20"/>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Conditions to Legal or Covenant Defeasance</w:t>
      </w:r>
      <w:r>
        <w:rPr>
          <w:rFonts w:ascii="Times New Roman" w:hAnsi="Times New Roman"/>
          <w:sz w:val="20"/>
        </w:rPr>
        <w:t xml:space="preserve">. The following shall be the conditions to the application of either Section 8.02 or 8.03 hereof to the Outstanding Notes: </w:t>
      </w:r>
    </w:p>
    <w:p>
      <w:pPr>
        <w:pStyle w:val="TextBody"/>
        <w:spacing w:before="90" w:after="0"/>
        <w:rPr>
          <w:rFonts w:ascii="Times New Roman" w:hAnsi="Times New Roman"/>
          <w:sz w:val="20"/>
        </w:rPr>
      </w:pPr>
      <w:r>
        <w:rPr>
          <w:rFonts w:ascii="Times New Roman" w:hAnsi="Times New Roman"/>
          <w:sz w:val="20"/>
        </w:rPr>
        <w:t xml:space="preserve">In order to exercise either Legal Defeasance or Covenant Defeasance: </w:t>
      </w:r>
    </w:p>
    <w:p>
      <w:pPr>
        <w:pStyle w:val="TextBody"/>
        <w:spacing w:before="90" w:after="0"/>
        <w:rPr>
          <w:rFonts w:ascii="Times New Roman" w:hAnsi="Times New Roman"/>
          <w:sz w:val="20"/>
        </w:rPr>
      </w:pPr>
      <w:r>
        <w:rPr>
          <w:rFonts w:ascii="Times New Roman" w:hAnsi="Times New Roman"/>
          <w:sz w:val="20"/>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90" w:after="0"/>
        <w:rPr>
          <w:rFonts w:ascii="Times New Roman" w:hAnsi="Times New Roman"/>
          <w:sz w:val="20"/>
        </w:rPr>
      </w:pPr>
      <w:r>
        <w:rPr>
          <w:rFonts w:ascii="Times New Roman" w:hAnsi="Times New Roman"/>
          <w:sz w:val="20"/>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90" w:after="0"/>
        <w:rPr>
          <w:rFonts w:ascii="Times New Roman" w:hAnsi="Times New Roman"/>
          <w:sz w:val="20"/>
        </w:rPr>
      </w:pPr>
      <w:r>
        <w:rPr>
          <w:rFonts w:ascii="Times New Roman" w:hAnsi="Times New Roman"/>
          <w:sz w:val="20"/>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90" w:after="0"/>
        <w:rPr>
          <w:rFonts w:ascii="Times New Roman" w:hAnsi="Times New Roman"/>
          <w:sz w:val="20"/>
        </w:rPr>
      </w:pPr>
      <w:r>
        <w:rPr>
          <w:rFonts w:ascii="Times New Roman" w:hAnsi="Times New Roman"/>
          <w:sz w:val="20"/>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90" w:after="0"/>
        <w:rPr>
          <w:rFonts w:ascii="Times New Roman" w:hAnsi="Times New Roman"/>
          <w:sz w:val="20"/>
        </w:rPr>
      </w:pPr>
      <w:r>
        <w:rPr>
          <w:rFonts w:ascii="Times New Roman" w:hAnsi="Times New Roman"/>
          <w:sz w:val="20"/>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90" w:after="0"/>
        <w:rPr>
          <w:rFonts w:ascii="Times New Roman" w:hAnsi="Times New Roman"/>
          <w:sz w:val="20"/>
        </w:rPr>
      </w:pPr>
      <w:r>
        <w:rPr>
          <w:rFonts w:ascii="Times New Roman" w:hAnsi="Times New Roman"/>
          <w:sz w:val="20"/>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90" w:after="0"/>
        <w:rPr>
          <w:rFonts w:ascii="Times New Roman" w:hAnsi="Times New Roman"/>
          <w:sz w:val="20"/>
        </w:rPr>
      </w:pPr>
      <w:r>
        <w:rPr>
          <w:rFonts w:ascii="Times New Roman" w:hAnsi="Times New Roman"/>
          <w:sz w:val="20"/>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180" w:after="0"/>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180" w:after="0"/>
        <w:rPr>
          <w:rFonts w:ascii="Times New Roman" w:hAnsi="Times New Roman"/>
          <w:sz w:val="20"/>
        </w:rPr>
      </w:pPr>
      <w:r>
        <w:rPr>
          <w:rFonts w:ascii="Times New Roman" w:hAnsi="Times New Roman"/>
          <w:sz w:val="20"/>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180" w:after="0"/>
        <w:rPr>
          <w:rFonts w:ascii="Times New Roman" w:hAnsi="Times New Roman"/>
          <w:sz w:val="20"/>
        </w:rPr>
      </w:pPr>
      <w:r>
        <w:rPr>
          <w:rFonts w:ascii="Times New Roman" w:hAnsi="Times New Roman"/>
          <w:sz w:val="20"/>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180" w:after="0"/>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Repayment to Issuers</w:t>
      </w:r>
      <w:r>
        <w:rPr>
          <w:rFonts w:ascii="Times New Roman" w:hAnsi="Times New Roman"/>
          <w:sz w:val="20"/>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of the Issuers cause to be published once, in the </w:t>
      </w:r>
      <w:r>
        <w:rPr>
          <w:rFonts w:ascii="Times New Roman" w:hAnsi="Times New Roman"/>
          <w:i/>
          <w:sz w:val="20"/>
        </w:rPr>
        <w:t>New York Times</w:t>
      </w:r>
      <w:r>
        <w:rPr>
          <w:rFonts w:ascii="Times New Roman" w:hAnsi="Times New Roman"/>
          <w:sz w:val="20"/>
        </w:rPr>
        <w:t xml:space="preserve"> and </w:t>
      </w:r>
      <w:r>
        <w:rPr>
          <w:rFonts w:ascii="Times New Roman" w:hAnsi="Times New Roman"/>
          <w:i/>
          <w:sz w:val="20"/>
        </w:rPr>
        <w:t xml:space="preserve">The Wall Street Journal </w:t>
      </w:r>
      <w:r>
        <w:rPr>
          <w:rFonts w:ascii="Times New Roman" w:hAnsi="Times New Roman"/>
          <w:sz w:val="20"/>
        </w:rPr>
        <w:t xml:space="preserve">(national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Reinstatement</w:t>
      </w:r>
      <w:r>
        <w:rPr>
          <w:rFonts w:ascii="Times New Roman" w:hAnsi="Times New Roman"/>
          <w:sz w:val="20"/>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360" w:after="0"/>
        <w:jc w:val="center"/>
        <w:rPr>
          <w:rFonts w:ascii="Times New Roman" w:hAnsi="Times New Roman"/>
          <w:sz w:val="20"/>
        </w:rPr>
      </w:pPr>
      <w:r>
        <w:rPr>
          <w:rFonts w:ascii="Times New Roman" w:hAnsi="Times New Roman"/>
          <w:sz w:val="20"/>
        </w:rPr>
        <w:t xml:space="preserve">ARTICLE IX </w:t>
      </w:r>
    </w:p>
    <w:p>
      <w:pPr>
        <w:pStyle w:val="TextBody"/>
        <w:spacing w:before="0" w:after="0"/>
        <w:jc w:val="center"/>
        <w:rPr>
          <w:rFonts w:ascii="Times New Roman" w:hAnsi="Times New Roman"/>
          <w:sz w:val="20"/>
        </w:rPr>
      </w:pPr>
      <w:r>
        <w:rPr>
          <w:rFonts w:ascii="Times New Roman" w:hAnsi="Times New Roman"/>
          <w:sz w:val="20"/>
        </w:rPr>
        <w:t xml:space="preserve">SUBSIDIARY GUARANTEES </w:t>
      </w:r>
    </w:p>
    <w:p>
      <w:pPr>
        <w:pStyle w:val="TextBody"/>
        <w:spacing w:before="180" w:after="0"/>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Subsidiary Guarantees</w:t>
      </w:r>
      <w:r>
        <w:rPr>
          <w:rFonts w:ascii="Times New Roman" w:hAnsi="Times New Roman"/>
          <w:sz w:val="20"/>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90" w:after="0"/>
        <w:rPr>
          <w:rFonts w:ascii="Times New Roman" w:hAnsi="Times New Roman"/>
          <w:sz w:val="20"/>
        </w:rPr>
      </w:pPr>
      <w:r>
        <w:rPr>
          <w:rFonts w:ascii="Times New Roman" w:hAnsi="Times New Roman"/>
          <w:sz w:val="20"/>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90" w:after="0"/>
        <w:rPr>
          <w:rFonts w:ascii="Times New Roman" w:hAnsi="Times New Roman"/>
          <w:sz w:val="20"/>
        </w:rPr>
      </w:pPr>
      <w:r>
        <w:rPr>
          <w:rFonts w:ascii="Times New Roman" w:hAnsi="Times New Roman"/>
          <w:sz w:val="20"/>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90" w:after="0"/>
        <w:rPr>
          <w:rFonts w:ascii="Times New Roman" w:hAnsi="Times New Roman"/>
          <w:sz w:val="20"/>
        </w:rPr>
      </w:pPr>
      <w:r>
        <w:rPr>
          <w:rFonts w:ascii="Times New Roman" w:hAnsi="Times New Roman"/>
          <w:sz w:val="20"/>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90" w:after="0"/>
        <w:rPr>
          <w:rFonts w:ascii="Times New Roman" w:hAnsi="Times New Roman"/>
          <w:sz w:val="20"/>
        </w:rPr>
      </w:pPr>
      <w:r>
        <w:rPr>
          <w:rFonts w:ascii="Times New Roman" w:hAnsi="Times New Roman"/>
          <w:sz w:val="20"/>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90" w:after="0"/>
        <w:rPr>
          <w:rFonts w:ascii="Times New Roman" w:hAnsi="Times New Roman"/>
          <w:sz w:val="20"/>
        </w:rPr>
      </w:pPr>
      <w:r>
        <w:rPr>
          <w:rFonts w:ascii="Times New Roman" w:hAnsi="Times New Roman"/>
          <w:sz w:val="20"/>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 Each Subsidiary Guarantor also agrees to pay any and all costs and expenses (including reasonable attorneys fees) incurred by the Trustee or any Holder in enforcing any rights under this Section 9.01. </w:t>
      </w:r>
    </w:p>
    <w:p>
      <w:pPr>
        <w:pStyle w:val="TextBody"/>
        <w:spacing w:before="180" w:after="0"/>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Limitation on Liability</w:t>
      </w:r>
      <w:r>
        <w:rPr>
          <w:rFonts w:ascii="Times New Roman" w:hAnsi="Times New Roman"/>
          <w:sz w:val="20"/>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180" w:after="0"/>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Successors and Assigns</w:t>
      </w:r>
      <w:r>
        <w:rPr>
          <w:rFonts w:ascii="Times New Roman" w:hAnsi="Times New Roman"/>
          <w:sz w:val="20"/>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180" w:after="0"/>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No Waiver</w:t>
      </w:r>
      <w:r>
        <w:rPr>
          <w:rFonts w:ascii="Times New Roman" w:hAnsi="Times New Roman"/>
          <w:sz w:val="20"/>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180" w:after="0"/>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Modification</w:t>
      </w:r>
      <w:r>
        <w:rPr>
          <w:rFonts w:ascii="Times New Roman" w:hAnsi="Times New Roman"/>
          <w:sz w:val="20"/>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180" w:after="0"/>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Execution of Supplemental Indenture for Future Subsidiary Guarantors</w:t>
      </w:r>
      <w:r>
        <w:rPr>
          <w:rFonts w:ascii="Times New Roman" w:hAnsi="Times New Roman"/>
          <w:sz w:val="20"/>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180" w:after="0"/>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Release of Guarantee</w:t>
      </w:r>
      <w:r>
        <w:rPr>
          <w:rFonts w:ascii="Times New Roman" w:hAnsi="Times New Roman"/>
          <w:sz w:val="20"/>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90" w:after="0"/>
        <w:rPr>
          <w:rFonts w:ascii="Times New Roman" w:hAnsi="Times New Roman"/>
          <w:sz w:val="20"/>
        </w:rPr>
      </w:pPr>
      <w:r>
        <w:rPr>
          <w:rFonts w:ascii="Times New Roman" w:hAnsi="Times New Roman"/>
          <w:sz w:val="20"/>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90" w:after="0"/>
        <w:rPr>
          <w:rFonts w:ascii="Times New Roman" w:hAnsi="Times New Roman"/>
          <w:sz w:val="20"/>
        </w:rPr>
      </w:pPr>
      <w:r>
        <w:rPr>
          <w:rFonts w:ascii="Times New Roman" w:hAnsi="Times New Roman"/>
          <w:sz w:val="20"/>
        </w:rPr>
        <w:t xml:space="preserve">(b) upon any sale or other disposition of all of the Equity Interests of a Subsidiary Guarantor, to any Person that is not an Affiliate of either of the Issuers; or </w:t>
      </w:r>
    </w:p>
    <w:p>
      <w:pPr>
        <w:pStyle w:val="TextBody"/>
        <w:spacing w:before="90" w:after="0"/>
        <w:rPr>
          <w:rFonts w:ascii="Times New Roman" w:hAnsi="Times New Roman"/>
          <w:sz w:val="20"/>
        </w:rPr>
      </w:pPr>
      <w:r>
        <w:rPr>
          <w:rFonts w:ascii="Times New Roman" w:hAnsi="Times New Roman"/>
          <w:sz w:val="20"/>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360" w:after="0"/>
        <w:jc w:val="center"/>
        <w:rPr>
          <w:rFonts w:ascii="Times New Roman" w:hAnsi="Times New Roman"/>
          <w:sz w:val="20"/>
        </w:rPr>
      </w:pPr>
      <w:r>
        <w:rPr>
          <w:rFonts w:ascii="Times New Roman" w:hAnsi="Times New Roman"/>
          <w:sz w:val="20"/>
        </w:rPr>
        <w:t xml:space="preserve">ARTICLE X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Additional Amendments</w:t>
      </w:r>
      <w:r>
        <w:rPr>
          <w:rFonts w:ascii="Times New Roman" w:hAnsi="Times New Roman"/>
          <w:sz w:val="20"/>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180" w:after="0"/>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Integral Part</w:t>
      </w:r>
      <w:r>
        <w:rPr>
          <w:rFonts w:ascii="Times New Roman" w:hAnsi="Times New Roman"/>
          <w:sz w:val="20"/>
        </w:rPr>
        <w:t xml:space="preserve">. This Supplemental Indenture constitutes an integral part of the Indenture. </w:t>
      </w:r>
    </w:p>
    <w:p>
      <w:pPr>
        <w:pStyle w:val="TextBody"/>
        <w:spacing w:before="180" w:after="0"/>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Adoption, Ratification and Confirmation</w:t>
      </w:r>
      <w:r>
        <w:rPr>
          <w:rFonts w:ascii="Times New Roman" w:hAnsi="Times New Roman"/>
          <w:sz w:val="20"/>
        </w:rPr>
        <w:t xml:space="preserve">. The Original Indenture, as supplemented and amended by this Supplemental Indenture, is in all respects hereby adopted, ratified and confirmed. </w:t>
      </w:r>
    </w:p>
    <w:p>
      <w:pPr>
        <w:pStyle w:val="TextBody"/>
        <w:spacing w:before="180" w:after="0"/>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SUPPLEMENTAL INDENTURE AND THE NOTES SHALL BE GOVERNED BY AND CONSTRUED IN ACCORDANCE WITH THE LAWS OF THE STATE OF NEW YORK.</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124"/>
        <w:gridCol w:w="60"/>
        <w:gridCol w:w="309"/>
        <w:gridCol w:w="60"/>
        <w:gridCol w:w="600"/>
        <w:gridCol w:w="60"/>
        <w:gridCol w:w="2869"/>
      </w:tblGrid>
      <w:tr>
        <w:trPr/>
        <w:tc>
          <w:tcPr>
            <w:tcW w:w="1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SIGNATURES</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958" w:type="dxa"/>
            <w:gridSpan w:val="6"/>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u w:val="single"/>
              </w:rPr>
              <w:t>ISSUERS</w:t>
            </w:r>
            <w:r>
              <w:rPr>
                <w:rFonts w:ascii="Times New Roman" w:hAnsi="Times New Roman"/>
                <w:b/>
                <w:sz w:val="20"/>
              </w:rPr>
              <w:t>:</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958" w:type="dxa"/>
            <w:gridSpan w:val="6"/>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3589" w:type="dxa"/>
            <w:gridSpan w:val="4"/>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2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PAA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3589" w:type="dxa"/>
            <w:gridSpan w:val="4"/>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29" w:type="dxa"/>
            <w:gridSpan w:val="3"/>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AAP, L.P.</w:t>
            </w:r>
          </w:p>
          <w:p>
            <w:pPr>
              <w:pStyle w:val="TableContents"/>
              <w:spacing w:before="0" w:after="15"/>
              <w:rPr>
                <w:rFonts w:ascii="Times New Roman" w:hAnsi="Times New Roman"/>
                <w:sz w:val="20"/>
              </w:rPr>
            </w:pPr>
            <w:r>
              <w:rPr>
                <w:rFonts w:ascii="Times New Roman" w:hAnsi="Times New Roman"/>
                <w:sz w:val="20"/>
              </w:rPr>
              <w:t>its Sole Member</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3589" w:type="dxa"/>
            <w:gridSpan w:val="4"/>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29" w:type="dxa"/>
            <w:gridSpan w:val="3"/>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660" w:type="dxa"/>
            <w:gridSpan w:val="2"/>
            <w:tcBorders/>
            <w:shd w:fill="auto" w:val="clear"/>
            <w:vAlign w:val="center"/>
          </w:tcPr>
          <w:p>
            <w:pPr>
              <w:pStyle w:val="TableContents"/>
              <w:spacing w:before="0" w:after="283"/>
              <w:rPr>
                <w:sz w:val="4"/>
                <w:szCs w:val="4"/>
              </w:rPr>
            </w:pPr>
            <w:r>
              <w:rPr>
                <w:sz w:val="4"/>
                <w:szCs w:val="4"/>
              </w:rPr>
            </w:r>
          </w:p>
        </w:tc>
        <w:tc>
          <w:tcPr>
            <w:tcW w:w="2929"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Treasurer</w:t>
            </w:r>
          </w:p>
        </w:tc>
      </w:tr>
      <w:tr>
        <w:trPr>
          <w:trHeight w:val="240" w:hRule="atLeast"/>
        </w:trPr>
        <w:tc>
          <w:tcPr>
            <w:tcW w:w="4082" w:type="dxa"/>
            <w:gridSpan w:val="7"/>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240" w:hRule="atLeast"/>
        </w:trPr>
        <w:tc>
          <w:tcPr>
            <w:tcW w:w="124" w:type="dxa"/>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c>
          <w:tcPr>
            <w:tcW w:w="660" w:type="dxa"/>
            <w:gridSpan w:val="2"/>
            <w:tcBorders/>
            <w:shd w:fill="auto" w:val="clear"/>
            <w:vAlign w:val="center"/>
          </w:tcPr>
          <w:p>
            <w:pPr>
              <w:pStyle w:val="TableContents"/>
              <w:spacing w:before="0" w:after="283"/>
              <w:rPr>
                <w:sz w:val="4"/>
                <w:szCs w:val="4"/>
              </w:rPr>
            </w:pPr>
            <w:r>
              <w:rPr>
                <w:sz w:val="4"/>
                <w:szCs w:val="4"/>
              </w:rPr>
            </w:r>
          </w:p>
        </w:tc>
        <w:tc>
          <w:tcPr>
            <w:tcW w:w="2929" w:type="dxa"/>
            <w:gridSpan w:val="2"/>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1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86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Treasurer</w:t>
            </w:r>
          </w:p>
        </w:tc>
      </w:tr>
    </w:tbl>
    <w:p>
      <w:pPr>
        <w:pStyle w:val="TextBody"/>
        <w:spacing w:before="360" w:after="0"/>
        <w:jc w:val="center"/>
        <w:rPr>
          <w:rFonts w:ascii="Times New Roman" w:hAnsi="Times New Roman"/>
          <w:sz w:val="20"/>
        </w:rPr>
      </w:pPr>
      <w:r>
        <w:rPr>
          <w:rFonts w:ascii="Times New Roman" w:hAnsi="Times New Roman"/>
          <w:i/>
          <w:sz w:val="20"/>
        </w:rPr>
        <w:t>Signature Page to Twenty-First Supplemental Indenture</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774"/>
        <w:gridCol w:w="168"/>
        <w:gridCol w:w="61"/>
        <w:gridCol w:w="168"/>
        <w:gridCol w:w="295"/>
        <w:gridCol w:w="221"/>
        <w:gridCol w:w="2395"/>
      </w:tblGrid>
      <w:tr>
        <w:trPr/>
        <w:tc>
          <w:tcPr>
            <w:tcW w:w="77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2395" w:type="dxa"/>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rFonts w:ascii="Times New Roman" w:hAnsi="Times New Roman"/>
                <w:sz w:val="20"/>
                <w:u w:val="single"/>
              </w:rPr>
            </w:pPr>
            <w:r>
              <w:rPr>
                <w:rFonts w:ascii="Times New Roman" w:hAnsi="Times New Roman"/>
                <w:b/>
                <w:sz w:val="20"/>
                <w:u w:val="single"/>
              </w:rPr>
              <w:t>TRUSTEE</w:t>
            </w:r>
            <w:r>
              <w:rPr>
                <w:rFonts w:ascii="Times New Roman" w:hAnsi="Times New Roman"/>
                <w:sz w:val="20"/>
                <w:u w:val="single"/>
              </w:rPr>
              <w:t>:</w:t>
            </w:r>
          </w:p>
        </w:tc>
      </w:tr>
      <w:tr>
        <w:trPr>
          <w:trHeight w:val="240" w:hRule="atLeast"/>
        </w:trPr>
        <w:tc>
          <w:tcPr>
            <w:tcW w:w="4082" w:type="dxa"/>
            <w:gridSpan w:val="7"/>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0"/>
              <w:rPr>
                <w:rFonts w:ascii="Times New Roman" w:hAnsi="Times New Roman"/>
                <w:sz w:val="20"/>
              </w:rPr>
            </w:pPr>
            <w:r>
              <w:rPr>
                <w:rFonts w:ascii="Times New Roman" w:hAnsi="Times New Roman"/>
                <w:sz w:val="20"/>
              </w:rPr>
              <w:t>U.S. BANK NATIONAL ASSOCIATION,</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774" w:type="dxa"/>
            <w:tcBorders/>
            <w:shd w:fill="auto" w:val="clear"/>
            <w:vAlign w:val="center"/>
          </w:tcPr>
          <w:p>
            <w:pPr>
              <w:pStyle w:val="TableContents"/>
              <w:spacing w:before="0" w:after="283"/>
              <w:rPr>
                <w:sz w:val="4"/>
                <w:szCs w:val="4"/>
              </w:rPr>
            </w:pPr>
            <w:r>
              <w:rPr>
                <w:sz w:val="4"/>
                <w:szCs w:val="4"/>
              </w:rPr>
            </w:r>
          </w:p>
        </w:tc>
        <w:tc>
          <w:tcPr>
            <w:tcW w:w="229" w:type="dxa"/>
            <w:gridSpan w:val="2"/>
            <w:tcBorders/>
            <w:shd w:fill="auto" w:val="clear"/>
            <w:vAlign w:val="center"/>
          </w:tcPr>
          <w:p>
            <w:pPr>
              <w:pStyle w:val="TableContents"/>
              <w:spacing w:before="0" w:after="283"/>
              <w:rPr>
                <w:sz w:val="4"/>
                <w:szCs w:val="4"/>
              </w:rPr>
            </w:pPr>
            <w:r>
              <w:rPr>
                <w:sz w:val="4"/>
                <w:szCs w:val="4"/>
              </w:rPr>
            </w:r>
          </w:p>
        </w:tc>
        <w:tc>
          <w:tcPr>
            <w:tcW w:w="3079" w:type="dxa"/>
            <w:gridSpan w:val="4"/>
            <w:tcBorders/>
            <w:shd w:fill="auto" w:val="clear"/>
            <w:vAlign w:val="center"/>
          </w:tcPr>
          <w:p>
            <w:pPr>
              <w:pStyle w:val="TableContents"/>
              <w:spacing w:before="0" w:after="283"/>
              <w:rPr>
                <w:sz w:val="4"/>
                <w:szCs w:val="4"/>
              </w:rPr>
            </w:pPr>
            <w:r>
              <w:rPr>
                <w:sz w:val="4"/>
                <w:szCs w:val="4"/>
              </w:rPr>
            </w:r>
          </w:p>
        </w:tc>
      </w:tr>
      <w:tr>
        <w:trPr/>
        <w:tc>
          <w:tcPr>
            <w:tcW w:w="77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2911" w:type="dxa"/>
            <w:gridSpan w:val="3"/>
            <w:tcBorders/>
            <w:shd w:fill="auto" w:val="clear"/>
            <w:vAlign w:val="bottom"/>
          </w:tcPr>
          <w:p>
            <w:pPr>
              <w:pStyle w:val="TableContents"/>
              <w:pBdr>
                <w:bottom w:val="single" w:sz="2" w:space="1" w:color="000000"/>
              </w:pBdr>
              <w:spacing w:before="0" w:after="15"/>
              <w:rPr/>
            </w:pPr>
            <w:r>
              <w:rPr/>
              <w:t>        </w:t>
            </w:r>
            <w:r>
              <w:rPr>
                <w:rFonts w:ascii="Times New Roman" w:hAnsi="Times New Roman"/>
                <w:sz w:val="20"/>
              </w:rPr>
              <w:t>/s/ Steven Finklea</w:t>
            </w:r>
          </w:p>
        </w:tc>
      </w:tr>
      <w:tr>
        <w:trPr/>
        <w:tc>
          <w:tcPr>
            <w:tcW w:w="774"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291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Steven Finklea</w:t>
            </w:r>
          </w:p>
        </w:tc>
      </w:tr>
      <w:tr>
        <w:trPr/>
        <w:tc>
          <w:tcPr>
            <w:tcW w:w="774" w:type="dxa"/>
            <w:tcBorders/>
            <w:shd w:fill="auto" w:val="clea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pPr>
            <w:r>
              <w:rPr/>
              <w:t> </w:t>
            </w:r>
          </w:p>
        </w:tc>
        <w:tc>
          <w:tcPr>
            <w:tcW w:w="2911"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360" w:after="0"/>
        <w:jc w:val="center"/>
        <w:rPr>
          <w:rFonts w:ascii="Times New Roman" w:hAnsi="Times New Roman"/>
          <w:sz w:val="20"/>
        </w:rPr>
      </w:pPr>
      <w:r>
        <w:rPr>
          <w:rFonts w:ascii="Times New Roman" w:hAnsi="Times New Roman"/>
          <w:i/>
          <w:sz w:val="20"/>
        </w:rPr>
        <w:t>Signature Page to Twenty-First Supplemental Indenture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sz w:val="20"/>
          <w:u w:val="single"/>
        </w:rPr>
        <w:t>EXHIBIT A</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25"/>
        <w:gridCol w:w="323"/>
        <w:gridCol w:w="125"/>
        <w:gridCol w:w="1210"/>
        <w:gridCol w:w="122"/>
      </w:tblGrid>
      <w:tr>
        <w:trPr/>
        <w:tc>
          <w:tcPr>
            <w:tcW w:w="842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8425" w:type="dxa"/>
            <w:tcBorders/>
            <w:shd w:fill="auto" w:val="clear"/>
          </w:tcPr>
          <w:p>
            <w:pPr>
              <w:pStyle w:val="TableContents"/>
              <w:spacing w:before="0" w:after="283"/>
              <w:rPr>
                <w:rFonts w:ascii="Times New Roman" w:hAnsi="Times New Roman"/>
                <w:sz w:val="20"/>
              </w:rPr>
            </w:pPr>
            <w:r>
              <w:rPr>
                <w:rFonts w:ascii="Times New Roman" w:hAnsi="Times New Roman"/>
                <w:sz w:val="20"/>
              </w:rPr>
              <w:t>CUSIP 72650RBA9</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        </w:t>
            </w:r>
          </w:p>
        </w:tc>
        <w:tc>
          <w:tcPr>
            <w:tcW w:w="122" w:type="dxa"/>
            <w:tcBorders/>
            <w:shd w:fill="auto" w:val="clear"/>
            <w:vAlign w:val="bottom"/>
          </w:tcPr>
          <w:p>
            <w:pPr>
              <w:pStyle w:val="TableContents"/>
              <w:spacing w:before="0" w:after="283"/>
              <w:rPr/>
            </w:pPr>
            <w:r>
              <w:rPr/>
              <w:t>  </w:t>
            </w:r>
          </w:p>
        </w:tc>
      </w:tr>
      <w:tr>
        <w:trPr/>
        <w:tc>
          <w:tcPr>
            <w:tcW w:w="8425" w:type="dxa"/>
            <w:tcBorders/>
            <w:shd w:fill="auto" w:val="clear"/>
          </w:tcPr>
          <w:p>
            <w:pPr>
              <w:pStyle w:val="TableContents"/>
              <w:spacing w:before="0" w:after="283"/>
              <w:rPr>
                <w:rFonts w:ascii="Times New Roman" w:hAnsi="Times New Roman"/>
                <w:sz w:val="20"/>
              </w:rPr>
            </w:pPr>
            <w:r>
              <w:rPr>
                <w:rFonts w:ascii="Times New Roman" w:hAnsi="Times New Roman"/>
                <w:sz w:val="20"/>
              </w:rPr>
              <w:t>ISIN US72650RBA95</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10" w:type="dxa"/>
            <w:tcBorders/>
            <w:shd w:fill="auto" w:val="clear"/>
            <w:vAlign w:val="bottom"/>
          </w:tcPr>
          <w:p>
            <w:pPr>
              <w:pStyle w:val="TableContents"/>
              <w:spacing w:before="0" w:after="283"/>
              <w:jc w:val="right"/>
              <w:rPr/>
            </w:pPr>
            <w:r>
              <w:rPr/>
              <w:t>                    </w:t>
            </w:r>
          </w:p>
        </w:tc>
        <w:tc>
          <w:tcPr>
            <w:tcW w:w="122" w:type="dxa"/>
            <w:tcBorders/>
            <w:shd w:fill="auto" w:val="clear"/>
            <w:vAlign w:val="bottom"/>
          </w:tcPr>
          <w:p>
            <w:pPr>
              <w:pStyle w:val="TableContents"/>
              <w:spacing w:before="0" w:after="283"/>
              <w:rPr/>
            </w:pPr>
            <w:r>
              <w:rPr/>
              <w:t>  </w:t>
            </w:r>
          </w:p>
        </w:tc>
      </w:tr>
    </w:tbl>
    <w:p>
      <w:pPr>
        <w:pStyle w:val="TextBody"/>
        <w:spacing w:before="36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90" w:after="0"/>
        <w:jc w:val="center"/>
        <w:rPr>
          <w:rFonts w:ascii="Times New Roman" w:hAnsi="Times New Roman"/>
          <w:sz w:val="20"/>
        </w:rPr>
      </w:pPr>
      <w:r>
        <w:rPr>
          <w:rFonts w:ascii="Times New Roman" w:hAnsi="Times New Roman"/>
          <w:sz w:val="20"/>
        </w:rPr>
        <w:t xml:space="preserve">5.15% Senior Notes due 2042 </w:t>
      </w:r>
    </w:p>
    <w:p>
      <w:pPr>
        <w:pStyle w:val="TextBody"/>
        <w:pBdr/>
        <w:spacing w:before="180" w:after="0"/>
        <w:rPr/>
      </w:pPr>
      <w:r>
        <w:rPr>
          <w:rFonts w:ascii="Times New Roman" w:hAnsi="Times New Roman"/>
          <w:sz w:val="20"/>
        </w:rPr>
        <w:t>Plains All American Pipeline, L.P., a Delaware limited partnership, and PAA Finance Corp., a Delaware corporation, jointly and severally promise to pay to                     , or registered assigns, the principal sum of                     Dollars [or such greater or lesser amount as may be endorsed on the Schedule attached hereto]</w:t>
      </w:r>
      <w:r>
        <w:rPr>
          <w:rFonts w:ascii="Times New Roman" w:hAnsi="Times New Roman"/>
          <w:sz w:val="14"/>
        </w:rPr>
        <w:t>1</w:t>
      </w:r>
      <w:r>
        <w:rPr/>
        <w:t xml:space="preserve"> </w:t>
      </w:r>
      <w:r>
        <w:rPr>
          <w:rFonts w:ascii="Times New Roman" w:hAnsi="Times New Roman"/>
          <w:sz w:val="20"/>
        </w:rPr>
        <w:t xml:space="preserve">on June 1, 2042. </w:t>
      </w:r>
    </w:p>
    <w:p>
      <w:pPr>
        <w:pStyle w:val="TextBody"/>
        <w:spacing w:before="180" w:after="0"/>
        <w:rPr>
          <w:rFonts w:ascii="Times New Roman" w:hAnsi="Times New Roman"/>
          <w:sz w:val="20"/>
        </w:rPr>
      </w:pPr>
      <w:r>
        <w:rPr>
          <w:rFonts w:ascii="Times New Roman" w:hAnsi="Times New Roman"/>
          <w:sz w:val="20"/>
        </w:rPr>
        <w:t xml:space="preserve">Interest Payment Dates: June 1 and December 1 </w:t>
      </w:r>
    </w:p>
    <w:p>
      <w:pPr>
        <w:pStyle w:val="TextBody"/>
        <w:spacing w:before="0" w:after="0"/>
        <w:rPr>
          <w:rFonts w:ascii="Times New Roman" w:hAnsi="Times New Roman"/>
          <w:sz w:val="20"/>
        </w:rPr>
      </w:pPr>
      <w:r>
        <w:rPr>
          <w:rFonts w:ascii="Times New Roman" w:hAnsi="Times New Roman"/>
          <w:sz w:val="20"/>
        </w:rPr>
        <w:t xml:space="preserve">Record Dates: May 15 and November 15 </w:t>
      </w:r>
    </w:p>
    <w:p>
      <w:pPr>
        <w:pStyle w:val="TextBody"/>
        <w:spacing w:before="0" w:after="0"/>
        <w:rPr/>
      </w:pPr>
      <w:r>
        <w:rPr/>
        <w:t> </w:t>
      </w:r>
    </w:p>
    <w:tbl>
      <w:tblPr>
        <w:tblW w:w="4465" w:type="dxa"/>
        <w:jc w:val="right"/>
        <w:tblInd w:w="0" w:type="dxa"/>
        <w:tblCellMar>
          <w:top w:w="0" w:type="dxa"/>
          <w:left w:w="0" w:type="dxa"/>
          <w:bottom w:w="0" w:type="dxa"/>
          <w:right w:w="0" w:type="dxa"/>
        </w:tblCellMar>
      </w:tblPr>
      <w:tblGrid>
        <w:gridCol w:w="485"/>
        <w:gridCol w:w="60"/>
        <w:gridCol w:w="3192"/>
        <w:gridCol w:w="338"/>
        <w:gridCol w:w="129"/>
        <w:gridCol w:w="129"/>
        <w:gridCol w:w="132"/>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46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85" w:type="dxa"/>
            <w:tcBorders/>
            <w:shd w:fill="auto" w:val="clear"/>
            <w:vAlign w:val="center"/>
          </w:tcPr>
          <w:p>
            <w:pPr>
              <w:pStyle w:val="TableContents"/>
              <w:spacing w:before="0" w:after="283"/>
              <w:rPr>
                <w:sz w:val="4"/>
                <w:szCs w:val="4"/>
              </w:rPr>
            </w:pPr>
            <w:r>
              <w:rPr>
                <w:sz w:val="4"/>
                <w:szCs w:val="4"/>
              </w:rPr>
            </w:r>
          </w:p>
        </w:tc>
        <w:tc>
          <w:tcPr>
            <w:tcW w:w="3252" w:type="dxa"/>
            <w:gridSpan w:val="2"/>
            <w:tcBorders/>
            <w:shd w:fill="auto" w:val="clear"/>
            <w:vAlign w:val="center"/>
          </w:tcPr>
          <w:p>
            <w:pPr>
              <w:pStyle w:val="TableContents"/>
              <w:spacing w:before="0" w:after="283"/>
              <w:rPr>
                <w:sz w:val="4"/>
                <w:szCs w:val="4"/>
              </w:rPr>
            </w:pPr>
            <w:r>
              <w:rPr>
                <w:sz w:val="4"/>
                <w:szCs w:val="4"/>
              </w:rPr>
            </w:r>
          </w:p>
        </w:tc>
        <w:tc>
          <w:tcPr>
            <w:tcW w:w="728" w:type="dxa"/>
            <w:gridSpan w:val="4"/>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338" w:type="dxa"/>
            <w:tcBorders/>
            <w:shd w:fill="auto" w:val="clear"/>
            <w:vAlign w:val="bottom"/>
          </w:tcPr>
          <w:p>
            <w:pPr>
              <w:pStyle w:val="TableContents"/>
              <w:spacing w:before="0" w:after="283"/>
              <w:rPr/>
            </w:pPr>
            <w:r>
              <w:rPr/>
              <w:t> </w:t>
            </w:r>
          </w:p>
        </w:tc>
        <w:tc>
          <w:tcPr>
            <w:tcW w:w="390" w:type="dxa"/>
            <w:gridSpan w:val="3"/>
            <w:tcBorders/>
            <w:shd w:fill="auto" w:val="clear"/>
            <w:vAlign w:val="bottom"/>
          </w:tcPr>
          <w:p>
            <w:pPr>
              <w:pStyle w:val="TableContents"/>
              <w:pBdr>
                <w:bottom w:val="single" w:sz="2" w:space="1" w:color="000000"/>
              </w:pBdr>
              <w:spacing w:before="0" w:after="15"/>
              <w:jc w:val="center"/>
              <w:rPr/>
            </w:pPr>
            <w:r>
              <w:rPr/>
              <w:t> </w:t>
            </w:r>
          </w:p>
        </w:tc>
      </w:tr>
      <w:tr>
        <w:trPr/>
        <w:tc>
          <w:tcPr>
            <w:tcW w:w="4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338" w:type="dxa"/>
            <w:tcBorders/>
            <w:shd w:fill="auto" w:val="clear"/>
            <w:vAlign w:val="bottom"/>
          </w:tcPr>
          <w:p>
            <w:pPr>
              <w:pStyle w:val="TableContents"/>
              <w:spacing w:before="0" w:after="283"/>
              <w:rPr/>
            </w:pPr>
            <w:r>
              <w:rPr/>
              <w:t> </w:t>
            </w:r>
          </w:p>
        </w:tc>
        <w:tc>
          <w:tcPr>
            <w:tcW w:w="390" w:type="dxa"/>
            <w:gridSpan w:val="3"/>
            <w:tcBorders/>
            <w:shd w:fill="auto" w:val="clear"/>
            <w:vAlign w:val="bottom"/>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338" w:type="dxa"/>
            <w:tcBorders/>
            <w:shd w:fill="auto" w:val="clear"/>
            <w:vAlign w:val="bottom"/>
          </w:tcPr>
          <w:p>
            <w:pPr>
              <w:pStyle w:val="TableContents"/>
              <w:spacing w:before="0" w:after="283"/>
              <w:rPr/>
            </w:pPr>
            <w:r>
              <w:rPr/>
              <w:t> </w:t>
            </w:r>
          </w:p>
        </w:tc>
        <w:tc>
          <w:tcPr>
            <w:tcW w:w="390" w:type="dxa"/>
            <w:gridSpan w:val="3"/>
            <w:tcBorders/>
            <w:shd w:fill="auto" w:val="clear"/>
            <w:vAlign w:val="bottom"/>
          </w:tcPr>
          <w:p>
            <w:pPr>
              <w:pStyle w:val="TableContents"/>
              <w:spacing w:before="0" w:after="283"/>
              <w:rPr>
                <w:sz w:val="4"/>
                <w:szCs w:val="4"/>
              </w:rPr>
            </w:pPr>
            <w:r>
              <w:rPr>
                <w:sz w:val="4"/>
                <w:szCs w:val="4"/>
              </w:rPr>
            </w:r>
          </w:p>
        </w:tc>
      </w:tr>
      <w:tr>
        <w:trPr>
          <w:trHeight w:val="240" w:hRule="atLeast"/>
        </w:trPr>
        <w:tc>
          <w:tcPr>
            <w:tcW w:w="4465" w:type="dxa"/>
            <w:gridSpan w:val="7"/>
            <w:tcBorders/>
            <w:shd w:fill="auto" w:val="clear"/>
            <w:vAlign w:val="center"/>
          </w:tcPr>
          <w:p>
            <w:pPr>
              <w:pStyle w:val="TableContents"/>
              <w:spacing w:before="0" w:after="283"/>
              <w:rPr>
                <w:sz w:val="4"/>
                <w:szCs w:val="4"/>
              </w:rPr>
            </w:pPr>
            <w:r>
              <w:rPr>
                <w:sz w:val="4"/>
                <w:szCs w:val="4"/>
              </w:rPr>
            </w:r>
          </w:p>
        </w:tc>
      </w:tr>
      <w:tr>
        <w:trPr/>
        <w:tc>
          <w:tcPr>
            <w:tcW w:w="446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485" w:type="dxa"/>
            <w:tcBorders/>
            <w:shd w:fill="auto" w:val="clear"/>
            <w:vAlign w:val="center"/>
          </w:tcPr>
          <w:p>
            <w:pPr>
              <w:pStyle w:val="TableContents"/>
              <w:spacing w:before="0" w:after="283"/>
              <w:rPr>
                <w:sz w:val="4"/>
                <w:szCs w:val="4"/>
              </w:rPr>
            </w:pPr>
            <w:r>
              <w:rPr>
                <w:sz w:val="4"/>
                <w:szCs w:val="4"/>
              </w:rPr>
            </w:r>
          </w:p>
        </w:tc>
        <w:tc>
          <w:tcPr>
            <w:tcW w:w="3980" w:type="dxa"/>
            <w:gridSpan w:val="6"/>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vAlign w:val="bottom"/>
          </w:tcPr>
          <w:p>
            <w:pPr>
              <w:pStyle w:val="TableContents"/>
              <w:pBdr>
                <w:bottom w:val="single" w:sz="2" w:space="1" w:color="000000"/>
              </w:pBdr>
              <w:spacing w:before="0" w:after="15"/>
              <w:jc w:val="center"/>
              <w:rPr/>
            </w:pPr>
            <w:r>
              <w:rPr/>
              <w:t> </w:t>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vAlign w:val="bottom"/>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920" w:type="dxa"/>
            <w:gridSpan w:val="5"/>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TRUSTEES CERTIFICATE OF </w:t>
      </w:r>
    </w:p>
    <w:p>
      <w:pPr>
        <w:pStyle w:val="TextBody"/>
        <w:spacing w:before="0" w:after="0"/>
        <w:rPr>
          <w:rFonts w:ascii="Times New Roman" w:hAnsi="Times New Roman"/>
          <w:sz w:val="20"/>
        </w:rPr>
      </w:pPr>
      <w:r>
        <w:rPr>
          <w:rFonts w:ascii="Times New Roman" w:hAnsi="Times New Roman"/>
          <w:sz w:val="20"/>
        </w:rPr>
        <w:t xml:space="preserve">AUTHENTICATION </w:t>
      </w:r>
    </w:p>
    <w:p>
      <w:pPr>
        <w:pStyle w:val="TextBody"/>
        <w:spacing w:before="180" w:after="0"/>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659"/>
        <w:gridCol w:w="60"/>
        <w:gridCol w:w="3363"/>
      </w:tblGrid>
      <w:tr>
        <w:trPr/>
        <w:tc>
          <w:tcPr>
            <w:tcW w:w="6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6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U.S. BANK NATIONAL ASSOCIATION,</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659" w:type="dxa"/>
            <w:tcBorders/>
            <w:shd w:fill="auto" w:val="clear"/>
            <w:vAlign w:val="center"/>
          </w:tcPr>
          <w:p>
            <w:pPr>
              <w:pStyle w:val="TableContents"/>
              <w:spacing w:before="0" w:after="283"/>
              <w:rPr>
                <w:sz w:val="4"/>
                <w:szCs w:val="4"/>
              </w:rPr>
            </w:pPr>
            <w:r>
              <w:rPr>
                <w:sz w:val="4"/>
                <w:szCs w:val="4"/>
              </w:rPr>
            </w:r>
          </w:p>
        </w:tc>
        <w:tc>
          <w:tcPr>
            <w:tcW w:w="3423" w:type="dxa"/>
            <w:gridSpan w:val="2"/>
            <w:tcBorders/>
            <w:shd w:fill="auto" w:val="clear"/>
            <w:vAlign w:val="center"/>
          </w:tcPr>
          <w:p>
            <w:pPr>
              <w:pStyle w:val="TableContents"/>
              <w:spacing w:before="0" w:after="283"/>
              <w:rPr>
                <w:sz w:val="4"/>
                <w:szCs w:val="4"/>
              </w:rPr>
            </w:pPr>
            <w:r>
              <w:rPr>
                <w:sz w:val="4"/>
                <w:szCs w:val="4"/>
              </w:rPr>
            </w:r>
          </w:p>
        </w:tc>
      </w:tr>
      <w:tr>
        <w:trPr/>
        <w:tc>
          <w:tcPr>
            <w:tcW w:w="6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63" w:type="dxa"/>
            <w:tcBorders>
              <w:bottom w:val="single" w:sz="2" w:space="0" w:color="000000"/>
            </w:tcBorders>
            <w:shd w:fill="auto" w:val="clear"/>
            <w:tcMar>
              <w:bottom w:w="28" w:type="dxa"/>
            </w:tcMar>
          </w:tcPr>
          <w:p>
            <w:pPr>
              <w:pStyle w:val="TableContents"/>
              <w:spacing w:before="0" w:after="283"/>
              <w:rPr/>
            </w:pPr>
            <w:r>
              <w:rPr/>
              <w:t> </w:t>
            </w:r>
          </w:p>
        </w:tc>
      </w:tr>
      <w:tr>
        <w:trPr/>
        <w:tc>
          <w:tcPr>
            <w:tcW w:w="65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63" w:type="dxa"/>
            <w:tcBorders/>
            <w:shd w:fill="auto" w:val="clear"/>
            <w:vAlign w:val="bottom"/>
          </w:tcPr>
          <w:p>
            <w:pPr>
              <w:pStyle w:val="TableContents"/>
              <w:spacing w:before="0" w:after="283"/>
              <w:rPr/>
            </w:pPr>
            <w:r>
              <w:rPr/>
              <w:t>    </w:t>
            </w:r>
            <w:r>
              <w:rPr>
                <w:rFonts w:ascii="Times New Roman" w:hAnsi="Times New Roman"/>
                <w:sz w:val="20"/>
              </w:rPr>
              <w:t>Authorized Signatory</w:t>
            </w:r>
          </w:p>
        </w:tc>
      </w:tr>
      <w:tr>
        <w:trPr/>
        <w:tc>
          <w:tcPr>
            <w:tcW w:w="659" w:type="dxa"/>
            <w:tcBorders/>
            <w:shd w:fill="auto" w:val="clear"/>
          </w:tcPr>
          <w:p>
            <w:pPr>
              <w:pStyle w:val="TableContents"/>
              <w:spacing w:before="0" w:after="283"/>
              <w:rPr>
                <w:rFonts w:ascii="Times New Roman" w:hAnsi="Times New Roman"/>
                <w:sz w:val="20"/>
              </w:rPr>
            </w:pPr>
            <w:r>
              <w:rPr>
                <w:rFonts w:ascii="Times New Roman" w:hAnsi="Times New Roman"/>
                <w:sz w:val="20"/>
              </w:rPr>
              <w:t>Dated:</w:t>
            </w:r>
          </w:p>
        </w:tc>
        <w:tc>
          <w:tcPr>
            <w:tcW w:w="60" w:type="dxa"/>
            <w:tcBorders/>
            <w:shd w:fill="auto" w:val="clear"/>
            <w:vAlign w:val="bottom"/>
          </w:tcPr>
          <w:p>
            <w:pPr>
              <w:pStyle w:val="TableContents"/>
              <w:spacing w:before="0" w:after="283"/>
              <w:rPr/>
            </w:pPr>
            <w:r>
              <w:rPr/>
              <w:t> </w:t>
            </w:r>
          </w:p>
        </w:tc>
        <w:tc>
          <w:tcPr>
            <w:tcW w:w="3363" w:type="dxa"/>
            <w:tcBorders/>
            <w:shd w:fill="auto" w:val="clear"/>
            <w:vAlign w:val="bottom"/>
          </w:tcPr>
          <w:p>
            <w:pPr>
              <w:pStyle w:val="TableContents"/>
              <w:pBdr>
                <w:bottom w:val="single" w:sz="2" w:space="1" w:color="000000"/>
              </w:pBdr>
              <w:spacing w:before="0" w:after="15"/>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(Form of Back of Note) </w:t>
      </w:r>
    </w:p>
    <w:p>
      <w:pPr>
        <w:pStyle w:val="TextBody"/>
        <w:spacing w:before="90" w:after="0"/>
        <w:jc w:val="center"/>
        <w:rPr>
          <w:rFonts w:ascii="Times New Roman" w:hAnsi="Times New Roman"/>
          <w:sz w:val="20"/>
        </w:rPr>
      </w:pPr>
      <w:r>
        <w:rPr>
          <w:rFonts w:ascii="Times New Roman" w:hAnsi="Times New Roman"/>
          <w:sz w:val="20"/>
        </w:rPr>
        <w:t xml:space="preserve">5.15% Senior Notes due 2042 </w:t>
      </w:r>
    </w:p>
    <w:p>
      <w:pPr>
        <w:pStyle w:val="TextBody"/>
        <w:pBdr/>
        <w:spacing w:before="180" w:after="0"/>
        <w:rPr>
          <w:rFonts w:ascii="Times New Roman" w:hAnsi="Times New Roman"/>
          <w:b/>
          <w:sz w:val="20"/>
        </w:rPr>
      </w:pPr>
      <w:r>
        <w:rPr>
          <w:rFonts w:ascii="Times New Roman" w:hAnsi="Times New Roman"/>
          <w:b/>
          <w:sz w:val="20"/>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b/>
          <w:sz w:val="14"/>
        </w:rPr>
        <w:t>2</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5.15% per annum from March 22, 2012 until maturity. The Issuers shall pay interest semi-annually on June 1 and December 1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December 1, 2012.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Issuers shall pay interest on the Notes (except defaulted interest) to the Persons who are registered Holders of Notes at the close of business on the May 15 or November 15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20"/>
          <w:u w:val="single"/>
        </w:rPr>
        <w:t>provided</w:t>
      </w:r>
      <w:r>
        <w:rPr>
          <w:rFonts w:ascii="Times New Roman" w:hAnsi="Times New Roman"/>
          <w:sz w:val="20"/>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xml:space="preserve">. The Issuers issued the Notes under an Indenture dated as of September 25, 2002 (the Original Indenture), as supplemented by the Twenty-First Supplemental Indenture dated as of March 22, 2012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$500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90" w:after="0"/>
        <w:rPr>
          <w:rFonts w:ascii="Times New Roman" w:hAnsi="Times New Roman"/>
          <w:sz w:val="20"/>
        </w:rPr>
      </w:pPr>
      <w:r>
        <w:rPr>
          <w:rFonts w:ascii="Times New Roman" w:hAnsi="Times New Roman"/>
          <w:sz w:val="20"/>
        </w:rPr>
        <w:t xml:space="preserve">(b) To redeem the Notes before December 1, 2041,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redeemed (not including any portion of those payments of interest accrued as of the date of redemption) discounted to the date of redemption on a semi-annual basis (assuming a 360-day year consisting of twelve 30-day months) at the Adjusted Treasury Rate (as defined below) plus 30 basis points, plus, in either case, accrued and unpaid interest to the date of redemption (subject to the right of Holders on the relevant record date to receive interest due on the relevant interest payment date). </w:t>
      </w:r>
    </w:p>
    <w:p>
      <w:pPr>
        <w:pStyle w:val="TextBody"/>
        <w:spacing w:before="90" w:after="0"/>
        <w:rPr>
          <w:rFonts w:ascii="Times New Roman" w:hAnsi="Times New Roman"/>
          <w:sz w:val="20"/>
        </w:rPr>
      </w:pPr>
      <w:r>
        <w:rPr>
          <w:rFonts w:ascii="Times New Roman" w:hAnsi="Times New Roman"/>
          <w:sz w:val="20"/>
        </w:rPr>
        <w:t xml:space="preserve">(c) To redeem the Notes on or after December 1, 2041,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For purposes of determining any redemption price, the following definitions shall apply: </w:t>
      </w:r>
    </w:p>
    <w:p>
      <w:pPr>
        <w:pStyle w:val="TextBody"/>
        <w:spacing w:before="180" w:after="0"/>
        <w:rPr>
          <w:rFonts w:ascii="Times New Roman" w:hAnsi="Times New Roman"/>
          <w:sz w:val="20"/>
        </w:rPr>
      </w:pPr>
      <w:r>
        <w:rPr>
          <w:rFonts w:ascii="Times New Roman" w:hAnsi="Times New Roman"/>
          <w:sz w:val="20"/>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80" w:after="0"/>
        <w:rPr>
          <w:rFonts w:ascii="Times New Roman" w:hAnsi="Times New Roman"/>
          <w:sz w:val="20"/>
        </w:rPr>
      </w:pPr>
      <w:r>
        <w:rPr>
          <w:rFonts w:ascii="Times New Roman" w:hAnsi="Times New Roman"/>
          <w:sz w:val="20"/>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180" w:after="0"/>
        <w:rPr>
          <w:rFonts w:ascii="Times New Roman" w:hAnsi="Times New Roman"/>
          <w:sz w:val="20"/>
        </w:rPr>
      </w:pPr>
      <w:r>
        <w:rPr>
          <w:rFonts w:ascii="Times New Roman" w:hAnsi="Times New Roman"/>
          <w:sz w:val="20"/>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80" w:after="0"/>
        <w:rPr>
          <w:rFonts w:ascii="Times New Roman" w:hAnsi="Times New Roman"/>
          <w:sz w:val="20"/>
        </w:rPr>
      </w:pPr>
      <w:r>
        <w:rPr>
          <w:rFonts w:ascii="Times New Roman" w:hAnsi="Times New Roman"/>
          <w:sz w:val="20"/>
        </w:rPr>
        <w:t xml:space="preserve">Quotation Agent means a Primary Treasury Dealer (as defined below) appointed by the Issuers. </w:t>
      </w:r>
    </w:p>
    <w:p>
      <w:pPr>
        <w:pStyle w:val="TextBody"/>
        <w:spacing w:before="180" w:after="0"/>
        <w:rPr>
          <w:rFonts w:ascii="Times New Roman" w:hAnsi="Times New Roman"/>
          <w:sz w:val="20"/>
        </w:rPr>
      </w:pPr>
      <w:r>
        <w:rPr>
          <w:rFonts w:ascii="Times New Roman" w:hAnsi="Times New Roman"/>
          <w:sz w:val="20"/>
        </w:rPr>
        <w:t xml:space="preserve">Reference Treasury Dealer means each of J.P. Morgan Securities LLC, Merrill Lynch, Pierce, Fenner &amp; Smith Incorporated, UBS Securities LLC and a Primary Treasury Dealer (as defined below) selected by Wells Fargo Securities, LLC, and each of their successors; provided, however, that if any of the foregoing shall cease to be a primary U.S. government securities dealer in the United States (a Primary Treasury Dealer), the Issuers shall substitute another Primary Treasury Dealer. </w:t>
      </w:r>
    </w:p>
    <w:p>
      <w:pPr>
        <w:pStyle w:val="TextBody"/>
        <w:spacing w:before="180" w:after="0"/>
        <w:rPr>
          <w:rFonts w:ascii="Times New Roman" w:hAnsi="Times New Roman"/>
          <w:sz w:val="20"/>
        </w:rPr>
      </w:pPr>
      <w:r>
        <w:rPr>
          <w:rFonts w:ascii="Times New Roman" w:hAnsi="Times New Roman"/>
          <w:sz w:val="20"/>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Special Optional Redemption</w:t>
      </w:r>
      <w:r>
        <w:rPr>
          <w:rFonts w:ascii="Times New Roman" w:hAnsi="Times New Roman"/>
          <w:sz w:val="20"/>
        </w:rPr>
        <w:t xml:space="preserve">. Following the occurrence of a Special Optional Redemption Trigger Event, the Issuers shall have the option to redeem the Notes as a whole (the Special Optional Redemption), upon notice as provided in this paragraph 6, at a redemption price equal to 101% of the aggregate principal amount thereof plus accrued and unpaid interest thereon to the special optional redemption date. Notice of such Special Optional Redemption must be given within ten days of the date of the Special Optional Redemption Trigger Event by first-class mail, postage prepaid, mailed not less than 15 nor more than 30 days prior to the special optional redemption date, to the Trustee and to each Holder, and such notice shall state: </w:t>
      </w:r>
    </w:p>
    <w:p>
      <w:pPr>
        <w:pStyle w:val="TextBody"/>
        <w:spacing w:before="90" w:after="0"/>
        <w:rPr>
          <w:rFonts w:ascii="Times New Roman" w:hAnsi="Times New Roman"/>
          <w:sz w:val="20"/>
        </w:rPr>
      </w:pPr>
      <w:r>
        <w:rPr>
          <w:rFonts w:ascii="Times New Roman" w:hAnsi="Times New Roman"/>
          <w:sz w:val="20"/>
        </w:rPr>
        <w:t xml:space="preserve">(a) that the Special Optional Redemption Trigger Event has occurred and that the Issuers have elected to exercise the Special Optional Redemption; </w:t>
      </w:r>
    </w:p>
    <w:p>
      <w:pPr>
        <w:pStyle w:val="TextBody"/>
        <w:spacing w:before="90" w:after="0"/>
        <w:rPr>
          <w:rFonts w:ascii="Times New Roman" w:hAnsi="Times New Roman"/>
          <w:sz w:val="20"/>
        </w:rPr>
      </w:pPr>
      <w:r>
        <w:rPr>
          <w:rFonts w:ascii="Times New Roman" w:hAnsi="Times New Roman"/>
          <w:sz w:val="20"/>
        </w:rPr>
        <w:t xml:space="preserve">(b) the special optional redemption date, which shall be no earlier than 15 days nor later than 30 days from the date the notice is mailed; and </w:t>
      </w:r>
    </w:p>
    <w:p>
      <w:pPr>
        <w:pStyle w:val="TextBody"/>
        <w:spacing w:before="90" w:after="0"/>
        <w:rPr>
          <w:rFonts w:ascii="Times New Roman" w:hAnsi="Times New Roman"/>
          <w:sz w:val="20"/>
        </w:rPr>
      </w:pPr>
      <w:r>
        <w:rPr>
          <w:rFonts w:ascii="Times New Roman" w:hAnsi="Times New Roman"/>
          <w:sz w:val="20"/>
        </w:rPr>
        <w:t xml:space="preserve">(c) the other information required by Section 3.02 of the Original Indenture. </w:t>
      </w:r>
    </w:p>
    <w:p>
      <w:pPr>
        <w:pStyle w:val="TextBody"/>
        <w:spacing w:before="90" w:after="0"/>
        <w:rPr>
          <w:rFonts w:ascii="Times New Roman" w:hAnsi="Times New Roman"/>
          <w:sz w:val="20"/>
        </w:rPr>
      </w:pPr>
      <w:r>
        <w:rPr>
          <w:rFonts w:ascii="Times New Roman" w:hAnsi="Times New Roman"/>
          <w:sz w:val="20"/>
        </w:rPr>
        <w:t xml:space="preserve">Except to the extent any provision of this paragraph 6 conflicts with the provisions of Section 3.01 to 3.03 of the Original Indenture, any redemption shall otherwise be made pursuant to the provisions of Sections 3.01 to 3.03 of the Original Indenture.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 of Redemption</w:t>
      </w:r>
      <w:r>
        <w:rPr>
          <w:rFonts w:ascii="Times New Roman" w:hAnsi="Times New Roman"/>
          <w:sz w:val="20"/>
        </w:rPr>
        <w:t xml:space="preserve">. Except as described in paragraph 6 above with respect to the Special Optional Redemption,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Persons Deemed Owners</w:t>
      </w:r>
      <w:r>
        <w:rPr>
          <w:rFonts w:ascii="Times New Roman" w:hAnsi="Times New Roman"/>
          <w:sz w:val="20"/>
        </w:rPr>
        <w:t xml:space="preserve">. The registered Holder of a Note shall be treated as its owner for all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Amendment, Supplement and Waiver</w:t>
      </w:r>
      <w:r>
        <w:rPr>
          <w:rFonts w:ascii="Times New Roman" w:hAnsi="Times New Roman"/>
          <w:sz w:val="20"/>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9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Defaults and Remedies</w:t>
      </w:r>
      <w:r>
        <w:rPr>
          <w:rFonts w:ascii="Times New Roman" w:hAnsi="Times New Roman"/>
          <w:sz w:val="20"/>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20"/>
          <w:u w:val="single"/>
        </w:rPr>
        <w:t xml:space="preserve">provided </w:t>
      </w:r>
      <w:r>
        <w:rPr>
          <w:rFonts w:ascii="Times New Roman" w:hAnsi="Times New Roman"/>
          <w:sz w:val="20"/>
        </w:rPr>
        <w:t xml:space="preserve">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Trustee Dealings with Issuers</w:t>
      </w:r>
      <w:r>
        <w:rPr>
          <w:rFonts w:ascii="Times New Roman" w:hAnsi="Times New Roman"/>
          <w:sz w:val="20"/>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No Recourse Against Others</w:t>
      </w:r>
      <w:r>
        <w:rPr>
          <w:rFonts w:ascii="Times New Roman" w:hAnsi="Times New Roman"/>
          <w:sz w:val="20"/>
        </w:rPr>
        <w:t xml:space="preserve">.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Authentication</w:t>
      </w:r>
      <w:r>
        <w:rPr>
          <w:rFonts w:ascii="Times New Roman" w:hAnsi="Times New Roman"/>
          <w:sz w:val="20"/>
        </w:rPr>
        <w:t xml:space="preserve">. This Note shall not be valid until authenticated by the manual signature of the Trustee or an authenticating agent.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CUSIP and ISIN Numbers</w:t>
      </w:r>
      <w:r>
        <w:rPr>
          <w:rFonts w:ascii="Times New Roman" w:hAnsi="Times New Roman"/>
          <w:sz w:val="20"/>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Issuers shall furnish to any Holder upon written request and without charge a copy of the Indenture. Requests may be made to: </w:t>
      </w:r>
    </w:p>
    <w:p>
      <w:pPr>
        <w:pStyle w:val="TextBody"/>
        <w:spacing w:before="9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rFonts w:ascii="Times New Roman" w:hAnsi="Times New Roman"/>
          <w:sz w:val="20"/>
        </w:rPr>
      </w:pPr>
      <w:r>
        <w:rPr>
          <w:rFonts w:ascii="Times New Roman" w:hAnsi="Times New Roman"/>
          <w:sz w:val="20"/>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180" w:after="0"/>
        <w:rPr>
          <w:rFonts w:ascii="Times New Roman" w:hAnsi="Times New Roman"/>
          <w:sz w:val="20"/>
        </w:rPr>
      </w:pPr>
      <w:r>
        <w:rPr>
          <w:rFonts w:ascii="Times New Roman" w:hAnsi="Times New Roman"/>
          <w:sz w:val="20"/>
        </w:rPr>
        <w:t xml:space="preserve">To assign this Note, fill in the form below: (I) or (we) assign and transfer this Note to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pPr>
      <w:r>
        <w:rPr/>
        <w:t> </w:t>
      </w:r>
    </w:p>
    <w:p>
      <w:pPr>
        <w:pStyle w:val="TextBody"/>
        <w:spacing w:before="90" w:after="0"/>
        <w:rPr/>
      </w:pPr>
      <w:r>
        <w:rPr>
          <w:u w:val="single"/>
        </w:rPr>
        <w:t>                                                                                                                                                                                                                                                                       </w:t>
      </w:r>
      <w:r>
        <w:rPr/>
        <w:t xml:space="preserve"> </w:t>
      </w:r>
    </w:p>
    <w:p>
      <w:pPr>
        <w:pStyle w:val="TextBody"/>
        <w:spacing w:before="0" w:after="0"/>
        <w:rPr>
          <w:rFonts w:ascii="Times New Roman" w:hAnsi="Times New Roman"/>
          <w:sz w:val="20"/>
        </w:rPr>
      </w:pPr>
      <w:r>
        <w:rPr>
          <w:rFonts w:ascii="Times New Roman" w:hAnsi="Times New Roman"/>
          <w:sz w:val="20"/>
        </w:rPr>
        <w:t xml:space="preserve">(Print or type assignees name, address and zip code) </w:t>
      </w:r>
    </w:p>
    <w:p>
      <w:pPr>
        <w:pStyle w:val="TextBody"/>
        <w:spacing w:before="180" w:after="0"/>
        <w:rPr>
          <w:rFonts w:ascii="Times New Roman" w:hAnsi="Times New Roman"/>
          <w:sz w:val="20"/>
        </w:rPr>
      </w:pPr>
      <w:r>
        <w:rPr>
          <w:rFonts w:ascii="Times New Roman" w:hAnsi="Times New Roman"/>
          <w:sz w:val="20"/>
        </w:rPr>
        <w:t>and irrevocably appoint </w:t>
      </w:r>
      <w:r>
        <w:rPr>
          <w:rFonts w:ascii="Times New Roman" w:hAnsi="Times New Roman"/>
          <w:sz w:val="20"/>
          <w:u w:val="single"/>
        </w:rPr>
        <w:t>                                                                                                                                                                                                                        </w:t>
      </w:r>
      <w:r>
        <w:rPr>
          <w:rFonts w:ascii="Times New Roman" w:hAnsi="Times New Roman"/>
          <w:sz w:val="20"/>
        </w:rPr>
        <w:t xml:space="preserve"> </w:t>
      </w:r>
    </w:p>
    <w:p>
      <w:pPr>
        <w:pStyle w:val="TextBody"/>
        <w:spacing w:before="0" w:after="0"/>
        <w:rPr>
          <w:rFonts w:ascii="Times New Roman" w:hAnsi="Times New Roman"/>
          <w:sz w:val="20"/>
        </w:rPr>
      </w:pPr>
      <w:r>
        <w:rPr>
          <w:rFonts w:ascii="Times New Roman" w:hAnsi="Times New Roman"/>
          <w:sz w:val="20"/>
        </w:rPr>
        <w:t xml:space="preserve">agent to transfer this Note on the books of the Issuers. The agent may substitute another to act for him. </w:t>
      </w:r>
    </w:p>
    <w:p>
      <w:pPr>
        <w:pStyle w:val="TextBody"/>
        <w:spacing w:before="0" w:after="0"/>
        <w:rPr/>
      </w:pPr>
      <w:r>
        <w:rPr/>
        <w:t> </w:t>
      </w:r>
    </w:p>
    <w:p>
      <w:pPr>
        <w:pStyle w:val="TextBody"/>
        <w:spacing w:before="90" w:after="0"/>
        <w:rPr/>
      </w:pPr>
      <w:r>
        <w:rPr>
          <w:u w:val="single"/>
        </w:rPr>
        <w:t>                                                                                                                                                                                                                                                                       </w:t>
      </w:r>
      <w:r>
        <w:rPr/>
        <w:t xml:space="preserve"> </w:t>
      </w:r>
    </w:p>
    <w:p>
      <w:pPr>
        <w:pStyle w:val="TextBody"/>
        <w:spacing w:before="180" w:after="0"/>
        <w:rPr>
          <w:rFonts w:ascii="Times New Roman" w:hAnsi="Times New Roman"/>
          <w:sz w:val="20"/>
        </w:rPr>
      </w:pPr>
      <w:r>
        <w:rPr>
          <w:rFonts w:ascii="Times New Roman" w:hAnsi="Times New Roman"/>
          <w:sz w:val="20"/>
        </w:rPr>
        <w:t>Date: </w:t>
      </w:r>
      <w:r>
        <w:rPr>
          <w:rFonts w:ascii="Times New Roman" w:hAnsi="Times New Roman"/>
          <w:sz w:val="20"/>
          <w:u w:val="single"/>
        </w:rPr>
        <w:t>                                     </w:t>
      </w:r>
      <w:r>
        <w:rPr>
          <w:rFonts w:ascii="Times New Roman" w:hAnsi="Times New Roman"/>
          <w:sz w:val="20"/>
        </w:rPr>
        <w:t xml:space="preserve"> </w:t>
      </w:r>
    </w:p>
    <w:p>
      <w:pPr>
        <w:pStyle w:val="TextBody"/>
        <w:spacing w:before="0" w:after="0"/>
        <w:rPr/>
      </w:pPr>
      <w:r>
        <w:rPr/>
        <w:t> </w:t>
      </w:r>
    </w:p>
    <w:tbl>
      <w:tblPr>
        <w:tblW w:w="6100" w:type="dxa"/>
        <w:jc w:val="right"/>
        <w:tblInd w:w="0" w:type="dxa"/>
        <w:tblCellMar>
          <w:top w:w="0" w:type="dxa"/>
          <w:left w:w="0" w:type="dxa"/>
          <w:bottom w:w="0" w:type="dxa"/>
          <w:right w:w="0" w:type="dxa"/>
        </w:tblCellMar>
      </w:tblPr>
      <w:tblGrid>
        <w:gridCol w:w="1250"/>
        <w:gridCol w:w="60"/>
        <w:gridCol w:w="4790"/>
      </w:tblGrid>
      <w:tr>
        <w:trPr/>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790" w:type="dxa"/>
            <w:tcBorders/>
            <w:shd w:fill="auto" w:val="clear"/>
            <w:vAlign w:val="center"/>
          </w:tcPr>
          <w:p>
            <w:pPr>
              <w:pStyle w:val="TableContents"/>
              <w:spacing w:before="0" w:after="283"/>
              <w:rPr>
                <w:sz w:val="4"/>
                <w:szCs w:val="4"/>
              </w:rPr>
            </w:pPr>
            <w:r>
              <w:rPr>
                <w:sz w:val="4"/>
                <w:szCs w:val="4"/>
              </w:rPr>
            </w:r>
          </w:p>
        </w:tc>
      </w:tr>
      <w:tr>
        <w:trPr/>
        <w:tc>
          <w:tcPr>
            <w:tcW w:w="1250" w:type="dxa"/>
            <w:tcBorders/>
            <w:shd w:fill="auto" w:val="clear"/>
          </w:tcPr>
          <w:p>
            <w:pPr>
              <w:pStyle w:val="TableContents"/>
              <w:spacing w:before="0" w:after="283"/>
              <w:rPr>
                <w:rFonts w:ascii="Times New Roman" w:hAnsi="Times New Roman"/>
                <w:sz w:val="20"/>
              </w:rPr>
            </w:pPr>
            <w:r>
              <w:rPr>
                <w:rFonts w:ascii="Times New Roman" w:hAnsi="Times New Roman"/>
                <w:sz w:val="20"/>
              </w:rPr>
              <w:t>Your Signature:</w:t>
            </w:r>
          </w:p>
        </w:tc>
        <w:tc>
          <w:tcPr>
            <w:tcW w:w="60" w:type="dxa"/>
            <w:tcBorders/>
            <w:shd w:fill="auto" w:val="clear"/>
            <w:vAlign w:val="bottom"/>
          </w:tcPr>
          <w:p>
            <w:pPr>
              <w:pStyle w:val="TableContents"/>
              <w:spacing w:before="0" w:after="283"/>
              <w:rPr/>
            </w:pPr>
            <w:r>
              <w:rPr/>
              <w:t> </w:t>
            </w:r>
          </w:p>
        </w:tc>
        <w:tc>
          <w:tcPr>
            <w:tcW w:w="4790" w:type="dxa"/>
            <w:tcBorders/>
            <w:shd w:fill="auto" w:val="clear"/>
          </w:tcPr>
          <w:p>
            <w:pPr>
              <w:pStyle w:val="TableContents"/>
              <w:pBdr>
                <w:bottom w:val="single" w:sz="2" w:space="1" w:color="000000"/>
              </w:pBdr>
              <w:spacing w:before="0" w:after="15"/>
              <w:rPr/>
            </w:pPr>
            <w:r>
              <w:rPr/>
              <w:t> </w:t>
            </w:r>
          </w:p>
        </w:tc>
      </w:tr>
      <w:tr>
        <w:trPr/>
        <w:tc>
          <w:tcPr>
            <w:tcW w:w="125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0" w:type="dxa"/>
            <w:tcBorders/>
            <w:shd w:fill="auto" w:val="clear"/>
          </w:tcPr>
          <w:p>
            <w:pPr>
              <w:pStyle w:val="TableContents"/>
              <w:spacing w:before="0" w:after="283"/>
              <w:rPr>
                <w:rFonts w:ascii="Times New Roman" w:hAnsi="Times New Roman"/>
                <w:sz w:val="20"/>
              </w:rPr>
            </w:pPr>
            <w:r>
              <w:rPr>
                <w:rFonts w:ascii="Times New Roman" w:hAnsi="Times New Roman"/>
                <w:sz w:val="20"/>
              </w:rPr>
              <w:t>(Sign exactly as your name appears on the face of this Note)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53"/>
        <w:gridCol w:w="107"/>
        <w:gridCol w:w="8345"/>
      </w:tblGrid>
      <w:tr>
        <w:trPr/>
        <w:tc>
          <w:tcPr>
            <w:tcW w:w="1753"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8345" w:type="dxa"/>
            <w:tcBorders/>
            <w:shd w:fill="auto" w:val="clear"/>
            <w:vAlign w:val="center"/>
          </w:tcPr>
          <w:p>
            <w:pPr>
              <w:pStyle w:val="TableContents"/>
              <w:spacing w:before="0" w:after="283"/>
              <w:rPr>
                <w:sz w:val="4"/>
                <w:szCs w:val="4"/>
              </w:rPr>
            </w:pPr>
            <w:r>
              <w:rPr>
                <w:sz w:val="4"/>
                <w:szCs w:val="4"/>
              </w:rPr>
            </w:r>
          </w:p>
        </w:tc>
      </w:tr>
      <w:tr>
        <w:trPr/>
        <w:tc>
          <w:tcPr>
            <w:tcW w:w="1753"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Guarantee:</w:t>
            </w:r>
          </w:p>
        </w:tc>
        <w:tc>
          <w:tcPr>
            <w:tcW w:w="107" w:type="dxa"/>
            <w:tcBorders/>
            <w:shd w:fill="auto" w:val="clear"/>
            <w:vAlign w:val="bottom"/>
          </w:tcPr>
          <w:p>
            <w:pPr>
              <w:pStyle w:val="TableContents"/>
              <w:spacing w:before="0" w:after="283"/>
              <w:rPr/>
            </w:pPr>
            <w:r>
              <w:rPr/>
              <w:t> </w:t>
            </w:r>
          </w:p>
        </w:tc>
        <w:tc>
          <w:tcPr>
            <w:tcW w:w="8345" w:type="dxa"/>
            <w:tcBorders/>
            <w:shd w:fill="auto" w:val="clear"/>
            <w:vAlign w:val="bottom"/>
          </w:tcPr>
          <w:p>
            <w:pPr>
              <w:pStyle w:val="TableContents"/>
              <w:pBdr>
                <w:bottom w:val="single" w:sz="2" w:space="1" w:color="000000"/>
              </w:pBdr>
              <w:spacing w:before="0" w:after="15"/>
              <w:rPr/>
            </w:pPr>
            <w:r>
              <w:rPr/>
              <w:t> </w:t>
            </w:r>
          </w:p>
        </w:tc>
      </w:tr>
      <w:tr>
        <w:trPr/>
        <w:tc>
          <w:tcPr>
            <w:tcW w:w="1753"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83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pBdr/>
        <w:spacing w:before="0" w:after="0"/>
        <w:jc w:val="center"/>
        <w:rPr>
          <w:rFonts w:ascii="Times New Roman" w:hAnsi="Times New Roman"/>
          <w:b/>
          <w:sz w:val="20"/>
        </w:rPr>
      </w:pPr>
      <w:r>
        <w:rPr>
          <w:rFonts w:ascii="Times New Roman" w:hAnsi="Times New Roman"/>
          <w:b/>
          <w:sz w:val="20"/>
        </w:rPr>
        <w:t>SCHEDULE OF INCREASES OR DECREASES IN THE GLOBAL NOTE</w:t>
      </w:r>
      <w:r>
        <w:rPr>
          <w:rFonts w:ascii="Times New Roman" w:hAnsi="Times New Roman"/>
          <w:b/>
          <w:sz w:val="14"/>
        </w:rPr>
        <w:t>3</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original principal amount of this Global Note is $                     . The following increases or decreases in this Global Note have been made: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20"/>
        <w:gridCol w:w="746"/>
        <w:gridCol w:w="1654"/>
        <w:gridCol w:w="745"/>
        <w:gridCol w:w="1738"/>
        <w:gridCol w:w="745"/>
        <w:gridCol w:w="995"/>
        <w:gridCol w:w="826"/>
        <w:gridCol w:w="936"/>
      </w:tblGrid>
      <w:tr>
        <w:trPr/>
        <w:tc>
          <w:tcPr>
            <w:tcW w:w="1820"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Date of</w:t>
              <w:br/>
              <w:t>Exchange</w:t>
            </w:r>
          </w:p>
        </w:tc>
        <w:tc>
          <w:tcPr>
            <w:tcW w:w="746" w:type="dxa"/>
            <w:tcBorders/>
            <w:shd w:fill="auto" w:val="clear"/>
            <w:vAlign w:val="bottom"/>
          </w:tcPr>
          <w:p>
            <w:pPr>
              <w:pStyle w:val="TableContents"/>
              <w:spacing w:before="0" w:after="283"/>
              <w:rPr/>
            </w:pPr>
            <w:r>
              <w:rPr/>
              <w:t> </w:t>
            </w:r>
          </w:p>
        </w:tc>
        <w:tc>
          <w:tcPr>
            <w:tcW w:w="1654"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br/>
              <w:t>decrease in</w:t>
              <w:br/>
              <w:t>Principal</w:t>
            </w:r>
          </w:p>
          <w:p>
            <w:pPr>
              <w:pStyle w:val="TableContents"/>
              <w:spacing w:before="0" w:after="15"/>
              <w:jc w:val="center"/>
              <w:rPr>
                <w:rFonts w:ascii="Times New Roman" w:hAnsi="Times New Roman"/>
                <w:b/>
                <w:sz w:val="14"/>
              </w:rPr>
            </w:pPr>
            <w:r>
              <w:rPr>
                <w:rFonts w:ascii="Times New Roman" w:hAnsi="Times New Roman"/>
                <w:b/>
                <w:sz w:val="14"/>
              </w:rPr>
              <w:t>Amount</w:t>
              <w:br/>
              <w:t>of</w:t>
              <w:br/>
              <w:t>this Global Note</w:t>
            </w:r>
          </w:p>
        </w:tc>
        <w:tc>
          <w:tcPr>
            <w:tcW w:w="745" w:type="dxa"/>
            <w:tcBorders/>
            <w:shd w:fill="auto" w:val="clear"/>
            <w:vAlign w:val="bottom"/>
          </w:tcPr>
          <w:p>
            <w:pPr>
              <w:pStyle w:val="TableContents"/>
              <w:spacing w:before="0" w:after="283"/>
              <w:rPr/>
            </w:pPr>
            <w:r>
              <w:rPr/>
              <w:t> </w:t>
            </w:r>
          </w:p>
        </w:tc>
        <w:tc>
          <w:tcPr>
            <w:tcW w:w="1738"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Amount of</w:t>
              <w:br/>
              <w:t>increase in</w:t>
              <w:br/>
              <w:t>Principal Amount</w:t>
              <w:br/>
              <w:t>of</w:t>
              <w:br/>
              <w:t>this Global Note</w:t>
            </w:r>
          </w:p>
        </w:tc>
        <w:tc>
          <w:tcPr>
            <w:tcW w:w="745" w:type="dxa"/>
            <w:tcBorders/>
            <w:shd w:fill="auto" w:val="cle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w:t>
              <w:br/>
              <w:t>Amount of</w:t>
              <w:br/>
              <w:t>this Global Note</w:t>
              <w:br/>
              <w:t>following such</w:t>
              <w:br/>
              <w:t>decrease</w:t>
              <w:br/>
              <w:t>(or increase)</w:t>
            </w:r>
          </w:p>
        </w:tc>
        <w:tc>
          <w:tcPr>
            <w:tcW w:w="826" w:type="dxa"/>
            <w:tcBorders/>
            <w:shd w:fill="auto" w:val="clear"/>
            <w:vAlign w:val="bottom"/>
          </w:tcPr>
          <w:p>
            <w:pPr>
              <w:pStyle w:val="TableContents"/>
              <w:spacing w:before="0" w:after="283"/>
              <w:rPr/>
            </w:pPr>
            <w:r>
              <w:rPr/>
              <w:t>  </w:t>
            </w:r>
          </w:p>
        </w:tc>
        <w:tc>
          <w:tcPr>
            <w:tcW w:w="93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Signature of</w:t>
              <w:br/>
              <w:t>authorized</w:t>
              <w:br/>
              <w:t>signatory of</w:t>
              <w:br/>
              <w:t>Trustee or Note</w:t>
              <w:br/>
              <w:t>Custodian</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spacing w:before="360" w:after="0"/>
        <w:jc w:val="center"/>
        <w:rPr>
          <w:rFonts w:ascii="Times New Roman" w:hAnsi="Times New Roman"/>
          <w:sz w:val="20"/>
        </w:rPr>
      </w:pPr>
      <w:r>
        <w:rPr>
          <w:rFonts w:ascii="Times New Roman" w:hAnsi="Times New Roman"/>
          <w:sz w:val="20"/>
        </w:rPr>
        <w:t xml:space="preserve">FORM OF SUPPLEMENTAL INDENTURE </w:t>
      </w:r>
    </w:p>
    <w:p>
      <w:pPr>
        <w:pStyle w:val="TextBody"/>
        <w:spacing w:before="180" w:after="0"/>
        <w:rPr>
          <w:rFonts w:ascii="Times New Roman" w:hAnsi="Times New Roman"/>
          <w:sz w:val="20"/>
        </w:rPr>
      </w:pPr>
      <w:r>
        <w:rPr>
          <w:rFonts w:ascii="Times New Roman" w:hAnsi="Times New Roman"/>
          <w:sz w:val="20"/>
        </w:rPr>
        <w:t xml:space="preserve">SUPPLEMENTAL INDENTURE (this Supplemental Indenture), dated as of                    , among Plains All American Pipeline, L.P., a Delaware limited partnership (the Partnership), PAA Finance Corp., a Delaware corporation (PAA Finance and, together with the Partnership, the Issuers),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executed and delivered to the Trustee an indenture (the Original Indenture), dated as of September 25, 2002, as supplemented by the Twenty-First Supplemental Indenture (the Twenty-First Supplemental Indenture and, together with the Original Indenture, the Indenture) dated as of March 22, 2012, among the Issuers and the Trustee, providing for the issuance of the Issuers 5.15% Senior Notes due 2042 (the Notes); </w:t>
      </w:r>
    </w:p>
    <w:p>
      <w:pPr>
        <w:pStyle w:val="TextBody"/>
        <w:spacing w:before="180" w:after="0"/>
        <w:rPr>
          <w:rFonts w:ascii="Times New Roman" w:hAnsi="Times New Roman"/>
          <w:sz w:val="20"/>
        </w:rPr>
      </w:pPr>
      <w:r>
        <w:rPr>
          <w:rFonts w:ascii="Times New Roman" w:hAnsi="Times New Roman"/>
          <w:sz w:val="20"/>
        </w:rPr>
        <w:t xml:space="preserve">WHEREAS, Section 5.05 of the Twenty-First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180" w:after="0"/>
        <w:rPr>
          <w:rFonts w:ascii="Times New Roman" w:hAnsi="Times New Roman"/>
          <w:sz w:val="20"/>
        </w:rPr>
      </w:pPr>
      <w:r>
        <w:rPr>
          <w:rFonts w:ascii="Times New Roman" w:hAnsi="Times New Roman"/>
          <w:sz w:val="20"/>
        </w:rPr>
        <w:t xml:space="preserve">WHEREAS, pursuant to Section 9.01 of the Original Indenture, the Issuers and the Trustee are authorized to execute and deliver this Supplemental Indenture;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Capitalized terms used herein without definition shall have the meanings assigned to them in the Indenture. </w:t>
      </w:r>
    </w:p>
    <w:p>
      <w:pPr>
        <w:pStyle w:val="TextBody"/>
        <w:spacing w:before="90" w:after="0"/>
        <w:rPr>
          <w:rFonts w:ascii="Times New Roman" w:hAnsi="Times New Roman"/>
          <w:sz w:val="20"/>
        </w:rPr>
      </w:pPr>
      <w:r>
        <w:rPr>
          <w:rFonts w:ascii="Times New Roman" w:hAnsi="Times New Roman"/>
          <w:sz w:val="20"/>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Guarantee.</w:t>
      </w:r>
      <w:r>
        <w:rPr>
          <w:rFonts w:ascii="Times New Roman" w:hAnsi="Times New Roman"/>
          <w:sz w:val="20"/>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Twenty-First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GOVERNING LAW.</w:t>
      </w:r>
      <w:r>
        <w:rPr>
          <w:rFonts w:ascii="Times New Roman" w:hAnsi="Times New Roman"/>
          <w:b/>
          <w:sz w:val="20"/>
        </w:rPr>
        <w:t xml:space="preserve"> THIS SUPPLEMENTAL INDENTURE SHALL BE DEEMED TO BE A NEW YORK CONTRACT, AND FOR ALL PURPOSES SHALL BE CONSTRUED IN ACCORDANCE WITH, THE LAWS OF THE STATE OF NEW YORK.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Trustee Makes No Representation.</w:t>
      </w:r>
      <w:r>
        <w:rPr>
          <w:rFonts w:ascii="Times New Roman" w:hAnsi="Times New Roman"/>
          <w:sz w:val="20"/>
        </w:rPr>
        <w:t xml:space="preserve"> The Trustee makes no representation as to the validity or sufficiency of this Supplemental Indenture.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The parties may sign any number of copies of this Supplemental Indenture. Each signed copy shall be an original, but all of them together represent the same agreement.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date first above written. </w:t>
      </w:r>
    </w:p>
    <w:p>
      <w:pPr>
        <w:pStyle w:val="TextBody"/>
        <w:spacing w:before="0" w:after="0"/>
        <w:rPr/>
      </w:pPr>
      <w:r>
        <w:rPr/>
        <w:t> </w:t>
      </w:r>
    </w:p>
    <w:tbl>
      <w:tblPr>
        <w:tblW w:w="4240" w:type="dxa"/>
        <w:jc w:val="right"/>
        <w:tblInd w:w="0" w:type="dxa"/>
        <w:tblCellMar>
          <w:top w:w="0" w:type="dxa"/>
          <w:left w:w="0" w:type="dxa"/>
          <w:bottom w:w="0" w:type="dxa"/>
          <w:right w:w="0" w:type="dxa"/>
        </w:tblCellMar>
      </w:tblPr>
      <w:tblGrid>
        <w:gridCol w:w="260"/>
        <w:gridCol w:w="60"/>
        <w:gridCol w:w="1845"/>
        <w:gridCol w:w="228"/>
        <w:gridCol w:w="1847"/>
      </w:tblGrid>
      <w:tr>
        <w:trPr/>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1847" w:type="dxa"/>
            <w:tcBorders/>
            <w:shd w:fill="auto" w:val="clear"/>
            <w:vAlign w:val="center"/>
          </w:tcPr>
          <w:p>
            <w:pPr>
              <w:pStyle w:val="TableContents"/>
              <w:spacing w:before="0" w:after="283"/>
              <w:rPr>
                <w:sz w:val="4"/>
                <w:szCs w:val="4"/>
              </w:rPr>
            </w:pPr>
            <w:r>
              <w:rPr>
                <w:sz w:val="4"/>
                <w:szCs w:val="4"/>
              </w:rPr>
            </w:r>
          </w:p>
        </w:tc>
      </w:tr>
      <w:tr>
        <w:trPr/>
        <w:tc>
          <w:tcPr>
            <w:tcW w:w="424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3980" w:type="dxa"/>
            <w:gridSpan w:val="4"/>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3980" w:type="dxa"/>
            <w:gridSpan w:val="4"/>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3980" w:type="dxa"/>
            <w:gridSpan w:val="4"/>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1905" w:type="dxa"/>
            <w:gridSpan w:val="2"/>
            <w:tcBorders/>
            <w:shd w:fill="auto" w:val="clear"/>
            <w:vAlign w:val="center"/>
          </w:tcPr>
          <w:p>
            <w:pPr>
              <w:pStyle w:val="TableContents"/>
              <w:spacing w:before="0" w:after="283"/>
              <w:rPr>
                <w:sz w:val="4"/>
                <w:szCs w:val="4"/>
              </w:rPr>
            </w:pPr>
            <w:r>
              <w:rPr>
                <w:sz w:val="4"/>
                <w:szCs w:val="4"/>
              </w:rPr>
            </w:r>
          </w:p>
        </w:tc>
        <w:tc>
          <w:tcPr>
            <w:tcW w:w="2075"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pBdr>
                <w:bottom w:val="single" w:sz="2" w:space="1" w:color="000000"/>
              </w:pBdr>
              <w:spacing w:before="0" w:after="15"/>
              <w:rPr/>
            </w:pPr>
            <w:r>
              <w:rPr/>
              <w:t> </w:t>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240" w:type="dxa"/>
            <w:gridSpan w:val="5"/>
            <w:tcBorders/>
            <w:shd w:fill="auto" w:val="clear"/>
            <w:vAlign w:val="center"/>
          </w:tcPr>
          <w:p>
            <w:pPr>
              <w:pStyle w:val="TableContents"/>
              <w:spacing w:before="0" w:after="283"/>
              <w:rPr>
                <w:sz w:val="4"/>
                <w:szCs w:val="4"/>
              </w:rPr>
            </w:pPr>
            <w:r>
              <w:rPr>
                <w:sz w:val="4"/>
                <w:szCs w:val="4"/>
              </w:rPr>
            </w:r>
          </w:p>
        </w:tc>
      </w:tr>
      <w:tr>
        <w:trPr/>
        <w:tc>
          <w:tcPr>
            <w:tcW w:w="424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3980" w:type="dxa"/>
            <w:gridSpan w:val="4"/>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3"/>
            <w:tcBorders/>
            <w:shd w:fill="auto" w:val="clear"/>
            <w:vAlign w:val="bottom"/>
          </w:tcPr>
          <w:p>
            <w:pPr>
              <w:pStyle w:val="TableContents"/>
              <w:pBdr>
                <w:bottom w:val="single" w:sz="2" w:space="1" w:color="000000"/>
              </w:pBdr>
              <w:spacing w:before="0" w:after="15"/>
              <w:rPr/>
            </w:pPr>
            <w:r>
              <w:rPr/>
              <w:t> </w:t>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240" w:type="dxa"/>
            <w:gridSpan w:val="5"/>
            <w:tcBorders/>
            <w:shd w:fill="auto" w:val="clear"/>
            <w:vAlign w:val="center"/>
          </w:tcPr>
          <w:p>
            <w:pPr>
              <w:pStyle w:val="TableContents"/>
              <w:spacing w:before="0" w:after="283"/>
              <w:rPr>
                <w:sz w:val="4"/>
                <w:szCs w:val="4"/>
              </w:rPr>
            </w:pPr>
            <w:r>
              <w:rPr>
                <w:sz w:val="4"/>
                <w:szCs w:val="4"/>
              </w:rPr>
            </w:r>
          </w:p>
        </w:tc>
      </w:tr>
      <w:tr>
        <w:trPr/>
        <w:tc>
          <w:tcPr>
            <w:tcW w:w="424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3980" w:type="dxa"/>
            <w:gridSpan w:val="4"/>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3"/>
            <w:tcBorders/>
            <w:shd w:fill="auto" w:val="clear"/>
            <w:vAlign w:val="bottom"/>
          </w:tcPr>
          <w:p>
            <w:pPr>
              <w:pStyle w:val="TableContents"/>
              <w:pBdr>
                <w:bottom w:val="single" w:sz="2" w:space="1" w:color="000000"/>
              </w:pBdr>
              <w:spacing w:before="0" w:after="15"/>
              <w:rPr/>
            </w:pPr>
            <w:r>
              <w:rPr/>
              <w:t> </w:t>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240" w:type="dxa"/>
            <w:gridSpan w:val="5"/>
            <w:tcBorders/>
            <w:shd w:fill="auto" w:val="clear"/>
            <w:vAlign w:val="center"/>
          </w:tcPr>
          <w:p>
            <w:pPr>
              <w:pStyle w:val="TableContents"/>
              <w:spacing w:before="0" w:after="283"/>
              <w:rPr>
                <w:sz w:val="4"/>
                <w:szCs w:val="4"/>
              </w:rPr>
            </w:pPr>
            <w:r>
              <w:rPr>
                <w:sz w:val="4"/>
                <w:szCs w:val="4"/>
              </w:rPr>
            </w:r>
          </w:p>
        </w:tc>
      </w:tr>
      <w:tr>
        <w:trPr/>
        <w:tc>
          <w:tcPr>
            <w:tcW w:w="4240"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 as Trustee</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3980" w:type="dxa"/>
            <w:gridSpan w:val="4"/>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920" w:type="dxa"/>
            <w:gridSpan w:val="3"/>
            <w:tcBorders/>
            <w:shd w:fill="auto" w:val="clear"/>
            <w:vAlign w:val="bottom"/>
          </w:tcPr>
          <w:p>
            <w:pPr>
              <w:pStyle w:val="TableContents"/>
              <w:pBdr>
                <w:bottom w:val="single" w:sz="2" w:space="1" w:color="000000"/>
              </w:pBdr>
              <w:spacing w:before="0" w:after="15"/>
              <w:rPr/>
            </w:pPr>
            <w:r>
              <w:rPr/>
              <w:t> </w:t>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228" w:type="dxa"/>
            <w:tcBorders/>
            <w:shd w:fill="auto" w:val="clear"/>
            <w:vAlign w:val="bottom"/>
          </w:tcPr>
          <w:p>
            <w:pPr>
              <w:pStyle w:val="TableContents"/>
              <w:spacing w:before="0" w:after="283"/>
              <w:rPr/>
            </w:pPr>
            <w:r>
              <w:rPr/>
              <w:t> </w:t>
            </w:r>
          </w:p>
        </w:tc>
        <w:tc>
          <w:tcPr>
            <w:tcW w:w="184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87</Pages>
  <Words>33053</Words>
  <CharactersWithSpaces>203961</CharactersWithSpaces>
  <Paragraphs>1909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Twenty-First Supplemental Indenture, dated March 22, 2012</dc:title>
</cp:coreProperties>
</file>