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7,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2920"/>
          </w:cols>
          <w:pgMar w:left="240" w:top="522"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22" w:right="359" w:bottom="1440" w:gutter="0" w:footer="0" w:header="0"/>
          <w:type w:val="continuous"/>
        </w:sect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left="760" w:right="480" w:hanging="742"/>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connection with the recent promotion of Chris Herbold to the position of Vice President — Accounting and Chief Accounting Officer of Plains All American Pipeline, L.P. (“PAA”), Mr. Herbold’s annual salary has been increased to $160,000.</w:t>
      </w:r>
    </w:p>
    <w:p>
      <w:pPr>
        <w:spacing w:after="0" w:line="62"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On September 9, 2010, PAA entered into transaction grant agreements with Greg L. Armstrong, Harry N. Pefanis and Al Swanson, pursuant to which these individuals acquired phantom common units, phantom series A subordinated units and phantom series B subordinated units representing a portion of the limited partner interests of PAA Natural Gas Storage, L.P. (“PNG”) issued to PAA in connection with PNG’s IPO. Distribution equivalent rights, payable by PAA in cash, were also granted with respect to the phantom common units and phantom series A subordinated units. The phantom units will vest and be payable as follows: (i) the phantom common units will vest 50% on May 5, 2011 and 50% on May 5, 2012, and be payable one-for-one by PAA in Common Units of PNG; (ii) the phantom series A subordinated units will vest in connection with the conversion of the Series A Subordinated Units into Common Units, and be payable one-for-one by PAA in Common Units of PNG; and (iii) the phantom series B subordinated units will vest in tranches of 20%, 21%, 15%, 22% and 22%, respectively, in connection with the conversion of the First through Fifth Tranches of Series B Subordinated Units. Upon vesting, the phantom series B subordinated units will be payable one-for-one by PAA in Series A Subordinated Units or Common Units of PNG it receives upon conversion of the Series B Subordinated Units. Any phantom series A subordinated units and any phantom series B subordinated units that have not vested as of December 18, 2018 will be automatically cancelled on such date.</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number of phantom units of each class or series granted by PAA to Messrs. Armstrong, Pefanis and Swanson is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Phantom</w:t>
            </w:r>
          </w:p>
        </w:tc>
        <w:tc>
          <w:tcPr>
            <w:tcW w:w="4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Phantom</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Series A</w:t>
            </w: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Series B</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9"/>
        </w:trPr>
        <w:tc>
          <w:tcPr>
            <w:tcW w:w="5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2"/>
              </w:rPr>
              <w:t>Phantom</w:t>
            </w:r>
          </w:p>
        </w:tc>
        <w:tc>
          <w:tcPr>
            <w:tcW w:w="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Subordinated</w:t>
            </w: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Subordinated</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52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Common Units</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Units</w:t>
            </w:r>
          </w:p>
        </w:tc>
        <w:tc>
          <w:tcPr>
            <w:tcW w:w="4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Units</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62,000</w:t>
            </w:r>
          </w:p>
        </w:tc>
        <w:tc>
          <w:tcPr>
            <w:tcW w:w="16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7"/>
              </w:rPr>
              <w:t>62,000</w:t>
            </w:r>
          </w:p>
        </w:tc>
        <w:tc>
          <w:tcPr>
            <w:tcW w:w="164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62,000</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186,000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Harry N. Pefanis</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42,000</w:t>
            </w:r>
          </w:p>
        </w:tc>
        <w:tc>
          <w:tcPr>
            <w:tcW w:w="1620" w:type="dxa"/>
            <w:vAlign w:val="bottom"/>
            <w:gridSpan w:val="2"/>
          </w:tcPr>
          <w:p>
            <w:pPr>
              <w:jc w:val="center"/>
              <w:ind w:left="370"/>
              <w:spacing w:after="0"/>
              <w:rPr>
                <w:sz w:val="20"/>
                <w:szCs w:val="20"/>
                <w:color w:val="auto"/>
              </w:rPr>
            </w:pPr>
            <w:r>
              <w:rPr>
                <w:rFonts w:ascii="Arial" w:cs="Arial" w:eastAsia="Arial" w:hAnsi="Arial"/>
                <w:sz w:val="18"/>
                <w:szCs w:val="18"/>
                <w:color w:val="auto"/>
                <w:w w:val="87"/>
              </w:rPr>
              <w:t>42,000</w:t>
            </w:r>
          </w:p>
        </w:tc>
        <w:tc>
          <w:tcPr>
            <w:tcW w:w="164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42,000</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126,000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21,000</w:t>
            </w:r>
          </w:p>
        </w:tc>
        <w:tc>
          <w:tcPr>
            <w:tcW w:w="162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7"/>
              </w:rPr>
              <w:t>21,000</w:t>
            </w:r>
          </w:p>
        </w:tc>
        <w:tc>
          <w:tcPr>
            <w:tcW w:w="164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21,000</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63,000</w:t>
            </w:r>
          </w:p>
        </w:tc>
      </w:tr>
    </w:tbl>
    <w:p>
      <w:pPr>
        <w:spacing w:after="0" w:line="94"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Terms used but not defined herein have the meanings set forth in such agreement or in the Second Amended and Restated Agreement of Limited Partnership of PNG.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500" w:type="dxa"/>
            <w:vAlign w:val="bottom"/>
            <w:gridSpan w:val="2"/>
          </w:tcPr>
          <w:p>
            <w:pPr>
              <w:ind w:left="172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Date: September 10, 2010</w:t>
            </w:r>
          </w:p>
        </w:tc>
        <w:tc>
          <w:tcPr>
            <w:tcW w:w="6500" w:type="dxa"/>
            <w:vAlign w:val="bottom"/>
            <w:gridSpan w:val="2"/>
          </w:tcPr>
          <w:p>
            <w:pPr>
              <w:ind w:left="1720"/>
              <w:spacing w:after="0"/>
              <w:rPr>
                <w:sz w:val="20"/>
                <w:szCs w:val="20"/>
                <w:color w:val="auto"/>
              </w:rPr>
            </w:pPr>
            <w:r>
              <w:rPr>
                <w:rFonts w:ascii="Arial" w:cs="Arial" w:eastAsia="Arial" w:hAnsi="Arial"/>
                <w:sz w:val="18"/>
                <w:szCs w:val="18"/>
                <w:color w:val="auto"/>
              </w:rPr>
              <w:t>By:  PAA GP LLC, its general partner</w:t>
            </w:r>
          </w:p>
        </w:tc>
      </w:tr>
      <w:tr>
        <w:trPr>
          <w:trHeight w:val="216"/>
        </w:trPr>
        <w:tc>
          <w:tcPr>
            <w:tcW w:w="3600" w:type="dxa"/>
            <w:vAlign w:val="bottom"/>
          </w:tcPr>
          <w:p>
            <w:pPr>
              <w:spacing w:after="0"/>
              <w:rPr>
                <w:sz w:val="18"/>
                <w:szCs w:val="18"/>
                <w:color w:val="auto"/>
              </w:rPr>
            </w:pPr>
          </w:p>
        </w:tc>
        <w:tc>
          <w:tcPr>
            <w:tcW w:w="6500" w:type="dxa"/>
            <w:vAlign w:val="bottom"/>
            <w:gridSpan w:val="2"/>
          </w:tcPr>
          <w:p>
            <w:pPr>
              <w:ind w:left="1720"/>
              <w:spacing w:after="0"/>
              <w:rPr>
                <w:sz w:val="20"/>
                <w:szCs w:val="20"/>
                <w:color w:val="auto"/>
              </w:rPr>
            </w:pPr>
            <w:r>
              <w:rPr>
                <w:rFonts w:ascii="Arial" w:cs="Arial" w:eastAsia="Arial" w:hAnsi="Arial"/>
                <w:sz w:val="18"/>
                <w:szCs w:val="18"/>
                <w:color w:val="auto"/>
              </w:rPr>
              <w:t>By:  Plains AAP, L.P., its sole member</w:t>
            </w:r>
          </w:p>
        </w:tc>
      </w:tr>
      <w:tr>
        <w:trPr>
          <w:trHeight w:val="230"/>
        </w:trPr>
        <w:tc>
          <w:tcPr>
            <w:tcW w:w="3600" w:type="dxa"/>
            <w:vAlign w:val="bottom"/>
          </w:tcPr>
          <w:p>
            <w:pPr>
              <w:spacing w:after="0"/>
              <w:rPr>
                <w:sz w:val="20"/>
                <w:szCs w:val="20"/>
                <w:color w:val="auto"/>
              </w:rPr>
            </w:pPr>
          </w:p>
        </w:tc>
        <w:tc>
          <w:tcPr>
            <w:tcW w:w="6500" w:type="dxa"/>
            <w:vAlign w:val="bottom"/>
            <w:gridSpan w:val="2"/>
          </w:tcPr>
          <w:p>
            <w:pPr>
              <w:ind w:left="1720"/>
              <w:spacing w:after="0"/>
              <w:rPr>
                <w:sz w:val="20"/>
                <w:szCs w:val="20"/>
                <w:color w:val="auto"/>
              </w:rPr>
            </w:pPr>
            <w:r>
              <w:rPr>
                <w:rFonts w:ascii="Arial" w:cs="Arial" w:eastAsia="Arial" w:hAnsi="Arial"/>
                <w:sz w:val="18"/>
                <w:szCs w:val="18"/>
                <w:color w:val="auto"/>
              </w:rPr>
              <w:t>By:  Plains All American GP LLC, its general partner</w:t>
            </w:r>
          </w:p>
        </w:tc>
      </w:tr>
      <w:tr>
        <w:trPr>
          <w:trHeight w:val="432"/>
        </w:trPr>
        <w:tc>
          <w:tcPr>
            <w:tcW w:w="3600" w:type="dxa"/>
            <w:vAlign w:val="bottom"/>
          </w:tcPr>
          <w:p>
            <w:pPr>
              <w:spacing w:after="0"/>
              <w:rPr>
                <w:sz w:val="24"/>
                <w:szCs w:val="24"/>
                <w:color w:val="auto"/>
              </w:rPr>
            </w:pPr>
          </w:p>
        </w:tc>
        <w:tc>
          <w:tcPr>
            <w:tcW w:w="6500" w:type="dxa"/>
            <w:vAlign w:val="bottom"/>
            <w:gridSpan w:val="2"/>
          </w:tcPr>
          <w:p>
            <w:pPr>
              <w:ind w:left="1720"/>
              <w:spacing w:after="0"/>
              <w:rPr>
                <w:sz w:val="20"/>
                <w:szCs w:val="20"/>
                <w:color w:val="auto"/>
              </w:rPr>
            </w:pPr>
            <w:r>
              <w:rPr>
                <w:rFonts w:ascii="Arial" w:cs="Arial" w:eastAsia="Arial" w:hAnsi="Arial"/>
                <w:sz w:val="18"/>
                <w:szCs w:val="18"/>
                <w:color w:val="auto"/>
              </w:rPr>
              <w:t>By:  /s/ Al Swanson</w:t>
            </w:r>
          </w:p>
        </w:tc>
      </w:tr>
      <w:tr>
        <w:trPr>
          <w:trHeight w:val="209"/>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Al Swanson</w:t>
            </w:r>
          </w:p>
        </w:tc>
      </w:tr>
      <w:tr>
        <w:trPr>
          <w:trHeight w:val="216"/>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Title :  Senior Vice President and</w:t>
            </w:r>
          </w:p>
        </w:tc>
      </w:tr>
      <w:tr>
        <w:trPr>
          <w:trHeight w:val="230"/>
        </w:trPr>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2020-01-30T05:25:25Z</dcterms:created>
  <dcterms:modified xsi:type="dcterms:W3CDTF">2020-01-30T05:25:25Z</dcterms:modified>
</cp:coreProperties>
</file>