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5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6" w:lineRule="exact"/>
        <w:rPr>
          <w:sz w:val="24"/>
          <w:szCs w:val="24"/>
          <w:color w:val="auto"/>
        </w:rPr>
      </w:pPr>
    </w:p>
    <w:p>
      <w:pPr>
        <w:ind w:left="4020" w:right="2360" w:hanging="4012"/>
        <w:spacing w:after="0" w:line="258" w:lineRule="auto"/>
        <w:tabs>
          <w:tab w:leader="none" w:pos="253"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1-14569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PLAINS ALL AMERICAN PIPELINE, L.P.</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39" w:lineRule="exact"/>
        <w:rPr>
          <w:sz w:val="24"/>
          <w:szCs w:val="24"/>
          <w:color w:val="auto"/>
        </w:rPr>
      </w:pPr>
    </w:p>
    <w:tbl>
      <w:tblPr>
        <w:tblLayout w:type="fixed"/>
        <w:tblInd w:w="880" w:type="dxa"/>
        <w:tblCellMar>
          <w:top w:w="0" w:type="dxa"/>
          <w:left w:w="0" w:type="dxa"/>
          <w:bottom w:w="0" w:type="dxa"/>
          <w:right w:w="0" w:type="dxa"/>
        </w:tblCellMar>
      </w:tblPr>
      <w:tr>
        <w:trPr>
          <w:trHeight w:val="186"/>
        </w:trPr>
        <w:tc>
          <w:tcPr>
            <w:tcW w:w="4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tcPr>
          <w:p>
            <w:pPr>
              <w:jc w:val="right"/>
              <w:ind w:right="1610"/>
              <w:spacing w:after="0"/>
              <w:rPr>
                <w:sz w:val="20"/>
                <w:szCs w:val="20"/>
                <w:color w:val="auto"/>
              </w:rPr>
            </w:pPr>
            <w:r>
              <w:rPr>
                <w:rFonts w:ascii="Arial" w:cs="Arial" w:eastAsia="Arial" w:hAnsi="Arial"/>
                <w:sz w:val="14"/>
                <w:szCs w:val="14"/>
                <w:b w:val="1"/>
                <w:bCs w:val="1"/>
                <w:color w:val="auto"/>
              </w:rPr>
              <w:t>76-0582150</w:t>
            </w:r>
          </w:p>
        </w:tc>
      </w:tr>
      <w:tr>
        <w:trPr>
          <w:trHeight w:val="203"/>
        </w:trPr>
        <w:tc>
          <w:tcPr>
            <w:tcW w:w="4040" w:type="dxa"/>
            <w:vAlign w:val="bottom"/>
            <w:gridSpan w:val="3"/>
          </w:tcPr>
          <w:p>
            <w:pPr>
              <w:jc w:val="center"/>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gridSpan w:val="2"/>
          </w:tcPr>
          <w:p>
            <w:pPr>
              <w:ind w:left="100"/>
              <w:spacing w:after="0"/>
              <w:rPr>
                <w:sz w:val="20"/>
                <w:szCs w:val="20"/>
                <w:color w:val="auto"/>
              </w:rPr>
            </w:pPr>
            <w:r>
              <w:rPr>
                <w:rFonts w:ascii="Arial" w:cs="Arial" w:eastAsia="Arial" w:hAnsi="Arial"/>
                <w:sz w:val="14"/>
                <w:szCs w:val="14"/>
                <w:color w:val="auto"/>
              </w:rPr>
              <w:t>(I.R.S. Employer Identification No.)</w:t>
            </w:r>
          </w:p>
        </w:tc>
      </w:tr>
      <w:tr>
        <w:trPr>
          <w:trHeight w:val="297"/>
        </w:trPr>
        <w:tc>
          <w:tcPr>
            <w:tcW w:w="4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333 Clay Street, Suite 1600, Houston, Texas</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tcPr>
          <w:p>
            <w:pPr>
              <w:jc w:val="right"/>
              <w:ind w:right="1770"/>
              <w:spacing w:after="0"/>
              <w:rPr>
                <w:sz w:val="20"/>
                <w:szCs w:val="20"/>
                <w:color w:val="auto"/>
              </w:rPr>
            </w:pPr>
            <w:r>
              <w:rPr>
                <w:rFonts w:ascii="Arial" w:cs="Arial" w:eastAsia="Arial" w:hAnsi="Arial"/>
                <w:sz w:val="14"/>
                <w:szCs w:val="14"/>
                <w:b w:val="1"/>
                <w:bCs w:val="1"/>
                <w:color w:val="auto"/>
              </w:rPr>
              <w:t>77002</w:t>
            </w:r>
          </w:p>
        </w:tc>
      </w:tr>
      <w:tr>
        <w:trPr>
          <w:trHeight w:val="203"/>
        </w:trPr>
        <w:tc>
          <w:tcPr>
            <w:tcW w:w="4040" w:type="dxa"/>
            <w:vAlign w:val="bottom"/>
            <w:gridSpan w:val="3"/>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tcPr>
          <w:p>
            <w:pPr>
              <w:ind w:left="500"/>
              <w:spacing w:after="0"/>
              <w:rPr>
                <w:sz w:val="20"/>
                <w:szCs w:val="20"/>
                <w:color w:val="auto"/>
              </w:rPr>
            </w:pPr>
            <w:r>
              <w:rPr>
                <w:rFonts w:ascii="Arial" w:cs="Arial" w:eastAsia="Arial" w:hAnsi="Arial"/>
                <w:sz w:val="14"/>
                <w:szCs w:val="14"/>
                <w:color w:val="auto"/>
              </w:rPr>
              <w:t>(Zip Code)</w:t>
            </w:r>
          </w:p>
        </w:tc>
      </w:tr>
      <w:tr>
        <w:trPr>
          <w:trHeight w:val="527"/>
        </w:trPr>
        <w:tc>
          <w:tcPr>
            <w:tcW w:w="6820" w:type="dxa"/>
            <w:vAlign w:val="bottom"/>
            <w:gridSpan w:val="6"/>
          </w:tcPr>
          <w:p>
            <w:pPr>
              <w:jc w:val="center"/>
              <w:ind w:left="2789"/>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(713) 646-4100</w:t>
            </w:r>
          </w:p>
        </w:tc>
        <w:tc>
          <w:tcPr>
            <w:tcW w:w="2840" w:type="dxa"/>
            <w:vAlign w:val="bottom"/>
          </w:tcPr>
          <w:p>
            <w:pPr>
              <w:spacing w:after="0"/>
              <w:rPr>
                <w:sz w:val="24"/>
                <w:szCs w:val="24"/>
                <w:color w:val="auto"/>
              </w:rPr>
            </w:pPr>
          </w:p>
        </w:tc>
      </w:tr>
      <w:tr>
        <w:trPr>
          <w:trHeight w:val="257"/>
        </w:trPr>
        <w:tc>
          <w:tcPr>
            <w:tcW w:w="3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80" w:type="dxa"/>
            <w:vAlign w:val="bottom"/>
            <w:gridSpan w:val="4"/>
          </w:tcPr>
          <w:p>
            <w:pPr>
              <w:ind w:left="100"/>
              <w:spacing w:after="0"/>
              <w:rPr>
                <w:sz w:val="20"/>
                <w:szCs w:val="20"/>
                <w:color w:val="auto"/>
              </w:rPr>
            </w:pPr>
            <w:r>
              <w:rPr>
                <w:rFonts w:ascii="Arial" w:cs="Arial" w:eastAsia="Arial" w:hAnsi="Arial"/>
                <w:sz w:val="14"/>
                <w:szCs w:val="14"/>
                <w:color w:val="auto"/>
                <w:w w:val="97"/>
              </w:rPr>
              <w:t>Securities registered pursuant to Section 12(b) of the Act:</w:t>
            </w:r>
          </w:p>
        </w:tc>
        <w:tc>
          <w:tcPr>
            <w:tcW w:w="2840" w:type="dxa"/>
            <w:vAlign w:val="bottom"/>
          </w:tcPr>
          <w:p>
            <w:pPr>
              <w:spacing w:after="0"/>
              <w:rPr>
                <w:sz w:val="22"/>
                <w:szCs w:val="22"/>
                <w:color w:val="auto"/>
              </w:rPr>
            </w:pPr>
          </w:p>
        </w:tc>
      </w:tr>
      <w:tr>
        <w:trPr>
          <w:trHeight w:val="303"/>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Title of Each Class</w:t>
            </w: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center"/>
              <w:ind w:right="733"/>
              <w:spacing w:after="0"/>
              <w:rPr>
                <w:sz w:val="20"/>
                <w:szCs w:val="20"/>
                <w:color w:val="auto"/>
              </w:rPr>
            </w:pPr>
            <w:r>
              <w:rPr>
                <w:rFonts w:ascii="Arial" w:cs="Arial" w:eastAsia="Arial" w:hAnsi="Arial"/>
                <w:sz w:val="13"/>
                <w:szCs w:val="13"/>
                <w:b w:val="1"/>
                <w:bCs w:val="1"/>
                <w:color w:val="auto"/>
                <w:w w:val="87"/>
              </w:rPr>
              <w:t>Trading Symbol(s)</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8"/>
              </w:rPr>
              <w:t>Name of Each Exchange on Which Registered</w:t>
            </w:r>
          </w:p>
        </w:tc>
      </w:tr>
      <w:tr>
        <w:trPr>
          <w:trHeight w:val="191"/>
        </w:trPr>
        <w:tc>
          <w:tcPr>
            <w:tcW w:w="4040" w:type="dxa"/>
            <w:vAlign w:val="bottom"/>
            <w:gridSpan w:val="3"/>
          </w:tcPr>
          <w:p>
            <w:pPr>
              <w:jc w:val="center"/>
              <w:ind w:right="808"/>
              <w:spacing w:after="0"/>
              <w:rPr>
                <w:sz w:val="20"/>
                <w:szCs w:val="20"/>
                <w:color w:val="auto"/>
              </w:rPr>
            </w:pPr>
            <w:r>
              <w:rPr>
                <w:rFonts w:ascii="Arial" w:cs="Arial" w:eastAsia="Arial" w:hAnsi="Arial"/>
                <w:sz w:val="14"/>
                <w:szCs w:val="14"/>
                <w:color w:val="auto"/>
                <w:w w:val="95"/>
              </w:rPr>
              <w:t>Common Units</w:t>
            </w:r>
          </w:p>
        </w:tc>
        <w:tc>
          <w:tcPr>
            <w:tcW w:w="2780" w:type="dxa"/>
            <w:vAlign w:val="bottom"/>
            <w:gridSpan w:val="3"/>
          </w:tcPr>
          <w:p>
            <w:pPr>
              <w:jc w:val="center"/>
              <w:ind w:right="1148"/>
              <w:spacing w:after="0"/>
              <w:rPr>
                <w:sz w:val="20"/>
                <w:szCs w:val="20"/>
                <w:color w:val="auto"/>
              </w:rPr>
            </w:pPr>
            <w:r>
              <w:rPr>
                <w:rFonts w:ascii="Arial" w:cs="Arial" w:eastAsia="Arial" w:hAnsi="Arial"/>
                <w:sz w:val="14"/>
                <w:szCs w:val="14"/>
                <w:color w:val="auto"/>
                <w:w w:val="99"/>
              </w:rPr>
              <w:t>PAA</w:t>
            </w:r>
          </w:p>
        </w:tc>
        <w:tc>
          <w:tcPr>
            <w:tcW w:w="2840" w:type="dxa"/>
            <w:vAlign w:val="bottom"/>
          </w:tcPr>
          <w:p>
            <w:pPr>
              <w:ind w:left="480"/>
              <w:spacing w:after="0"/>
              <w:rPr>
                <w:sz w:val="20"/>
                <w:szCs w:val="20"/>
                <w:color w:val="auto"/>
              </w:rPr>
            </w:pPr>
            <w:r>
              <w:rPr>
                <w:rFonts w:ascii="Arial" w:cs="Arial" w:eastAsia="Arial" w:hAnsi="Arial"/>
                <w:sz w:val="14"/>
                <w:szCs w:val="14"/>
                <w:color w:val="auto"/>
              </w:rPr>
              <w:t>New York Stock Exchange</w:t>
            </w:r>
          </w:p>
        </w:tc>
      </w:tr>
    </w:tbl>
    <w:p>
      <w:pPr>
        <w:spacing w:after="0" w:line="97" w:lineRule="exact"/>
        <w:rPr>
          <w:sz w:val="24"/>
          <w:szCs w:val="24"/>
          <w:color w:val="auto"/>
        </w:rPr>
      </w:pPr>
    </w:p>
    <w:p>
      <w:pPr>
        <w:jc w:val="center"/>
        <w:ind w:left="32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31" w:lineRule="exact"/>
        <w:rPr>
          <w:sz w:val="24"/>
          <w:szCs w:val="24"/>
          <w:color w:val="auto"/>
        </w:rPr>
      </w:pPr>
    </w:p>
    <w:p>
      <w:pPr>
        <w:ind w:left="340" w:right="3240"/>
        <w:spacing w:after="0" w:line="23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x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w:t>
      </w:r>
    </w:p>
    <w:p>
      <w:pPr>
        <w:spacing w:after="0" w:line="27" w:lineRule="exact"/>
        <w:rPr>
          <w:sz w:val="24"/>
          <w:szCs w:val="24"/>
          <w:color w:val="auto"/>
        </w:rPr>
      </w:pPr>
    </w:p>
    <w:p>
      <w:pPr>
        <w:ind w:firstLine="324"/>
        <w:spacing w:after="0" w:line="19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27" w:lineRule="exact"/>
        <w:rPr>
          <w:sz w:val="24"/>
          <w:szCs w:val="24"/>
          <w:color w:val="auto"/>
        </w:rPr>
      </w:pPr>
    </w:p>
    <w:p>
      <w:pPr>
        <w:ind w:right="580" w:firstLine="324"/>
        <w:spacing w:after="0" w:line="19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27" w:lineRule="exact"/>
        <w:rPr>
          <w:sz w:val="24"/>
          <w:szCs w:val="24"/>
          <w:color w:val="auto"/>
        </w:rPr>
      </w:pPr>
    </w:p>
    <w:p>
      <w:pPr>
        <w:ind w:right="20" w:firstLine="324"/>
        <w:spacing w:after="0" w:line="3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 w:lineRule="exact"/>
        <w:rPr>
          <w:sz w:val="24"/>
          <w:szCs w:val="24"/>
          <w:color w:val="auto"/>
        </w:rPr>
      </w:pPr>
    </w:p>
    <w:tbl>
      <w:tblPr>
        <w:tblLayout w:type="fixed"/>
        <w:tblInd w:w="2220" w:type="dxa"/>
        <w:tblCellMar>
          <w:top w:w="0" w:type="dxa"/>
          <w:left w:w="0" w:type="dxa"/>
          <w:bottom w:w="0" w:type="dxa"/>
          <w:right w:w="0" w:type="dxa"/>
        </w:tblCellMar>
      </w:tblPr>
      <w:tr>
        <w:trPr>
          <w:trHeight w:val="231"/>
        </w:trPr>
        <w:tc>
          <w:tcPr>
            <w:tcW w:w="3420" w:type="dxa"/>
            <w:vAlign w:val="bottom"/>
            <w:vMerge w:val="restart"/>
          </w:tcPr>
          <w:p>
            <w:pPr>
              <w:spacing w:after="0"/>
              <w:rPr>
                <w:sz w:val="20"/>
                <w:szCs w:val="20"/>
                <w:color w:val="auto"/>
              </w:rPr>
            </w:pPr>
            <w:r>
              <w:rPr>
                <w:rFonts w:ascii="Arial" w:cs="Arial" w:eastAsia="Arial" w:hAnsi="Arial"/>
                <w:sz w:val="14"/>
                <w:szCs w:val="14"/>
                <w:color w:val="auto"/>
              </w:rPr>
              <w:t>Large accelerated filer x</w:t>
            </w:r>
          </w:p>
        </w:tc>
        <w:tc>
          <w:tcPr>
            <w:tcW w:w="3740" w:type="dxa"/>
            <w:vAlign w:val="bottom"/>
          </w:tcPr>
          <w:p>
            <w:pPr>
              <w:jc w:val="center"/>
              <w:ind w:left="1928"/>
              <w:spacing w:after="0" w:line="161" w:lineRule="exact"/>
              <w:rPr>
                <w:sz w:val="20"/>
                <w:szCs w:val="20"/>
                <w:color w:val="auto"/>
              </w:rPr>
            </w:pPr>
            <w:r>
              <w:rPr>
                <w:rFonts w:ascii="Arial" w:cs="Arial" w:eastAsia="Arial" w:hAnsi="Arial"/>
                <w:sz w:val="14"/>
                <w:szCs w:val="14"/>
                <w:color w:val="auto"/>
                <w:w w:val="96"/>
              </w:rPr>
              <w:t xml:space="preserve">Accelerated filer </w:t>
            </w:r>
            <w:r>
              <w:rPr>
                <w:rFonts w:ascii="MS PGothic" w:cs="MS PGothic" w:eastAsia="MS PGothic" w:hAnsi="MS PGothic"/>
                <w:sz w:val="14"/>
                <w:szCs w:val="14"/>
                <w:color w:val="auto"/>
                <w:w w:val="96"/>
              </w:rPr>
              <w:t>☐</w:t>
            </w:r>
          </w:p>
        </w:tc>
        <w:tc>
          <w:tcPr>
            <w:tcW w:w="0" w:type="dxa"/>
            <w:vAlign w:val="bottom"/>
          </w:tcPr>
          <w:p>
            <w:pPr>
              <w:spacing w:after="0"/>
              <w:rPr>
                <w:sz w:val="1"/>
                <w:szCs w:val="1"/>
                <w:color w:val="auto"/>
              </w:rPr>
            </w:pPr>
          </w:p>
        </w:tc>
      </w:tr>
      <w:tr>
        <w:trPr>
          <w:trHeight w:val="50"/>
        </w:trPr>
        <w:tc>
          <w:tcPr>
            <w:tcW w:w="3420" w:type="dxa"/>
            <w:vAlign w:val="bottom"/>
            <w:vMerge w:val="continue"/>
          </w:tcPr>
          <w:p>
            <w:pPr>
              <w:spacing w:after="0"/>
              <w:rPr>
                <w:sz w:val="4"/>
                <w:szCs w:val="4"/>
                <w:color w:val="auto"/>
              </w:rPr>
            </w:pPr>
          </w:p>
        </w:tc>
        <w:tc>
          <w:tcPr>
            <w:tcW w:w="3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342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3740" w:type="dxa"/>
            <w:vAlign w:val="bottom"/>
          </w:tcPr>
          <w:p>
            <w:pPr>
              <w:jc w:val="center"/>
              <w:ind w:left="1928"/>
              <w:spacing w:after="0" w:line="161" w:lineRule="exact"/>
              <w:rPr>
                <w:sz w:val="20"/>
                <w:szCs w:val="20"/>
                <w:color w:val="auto"/>
              </w:rPr>
            </w:pPr>
            <w:r>
              <w:rPr>
                <w:rFonts w:ascii="Arial" w:cs="Arial" w:eastAsia="Arial" w:hAnsi="Arial"/>
                <w:sz w:val="14"/>
                <w:szCs w:val="14"/>
                <w:color w:val="auto"/>
                <w:w w:val="93"/>
              </w:rPr>
              <w:t xml:space="preserve">Smaller reporting company </w:t>
            </w:r>
            <w:r>
              <w:rPr>
                <w:rFonts w:ascii="MS PGothic" w:cs="MS PGothic" w:eastAsia="MS PGothic" w:hAnsi="MS PGothic"/>
                <w:sz w:val="14"/>
                <w:szCs w:val="14"/>
                <w:color w:val="auto"/>
                <w:w w:val="93"/>
              </w:rPr>
              <w:t>☐</w:t>
            </w:r>
          </w:p>
        </w:tc>
        <w:tc>
          <w:tcPr>
            <w:tcW w:w="0" w:type="dxa"/>
            <w:vAlign w:val="bottom"/>
          </w:tcPr>
          <w:p>
            <w:pPr>
              <w:spacing w:after="0"/>
              <w:rPr>
                <w:sz w:val="1"/>
                <w:szCs w:val="1"/>
                <w:color w:val="auto"/>
              </w:rPr>
            </w:pPr>
          </w:p>
        </w:tc>
      </w:tr>
      <w:tr>
        <w:trPr>
          <w:trHeight w:val="338"/>
        </w:trPr>
        <w:tc>
          <w:tcPr>
            <w:tcW w:w="3420" w:type="dxa"/>
            <w:vAlign w:val="bottom"/>
          </w:tcPr>
          <w:p>
            <w:pPr>
              <w:spacing w:after="0"/>
              <w:rPr>
                <w:sz w:val="24"/>
                <w:szCs w:val="24"/>
                <w:color w:val="auto"/>
              </w:rPr>
            </w:pPr>
          </w:p>
        </w:tc>
        <w:tc>
          <w:tcPr>
            <w:tcW w:w="3740" w:type="dxa"/>
            <w:vAlign w:val="bottom"/>
          </w:tcPr>
          <w:p>
            <w:pPr>
              <w:jc w:val="center"/>
              <w:ind w:left="1928"/>
              <w:spacing w:after="0" w:line="161" w:lineRule="exact"/>
              <w:rPr>
                <w:sz w:val="20"/>
                <w:szCs w:val="20"/>
                <w:color w:val="auto"/>
              </w:rPr>
            </w:pPr>
            <w:r>
              <w:rPr>
                <w:rFonts w:ascii="Arial" w:cs="Arial" w:eastAsia="Arial" w:hAnsi="Arial"/>
                <w:sz w:val="14"/>
                <w:szCs w:val="14"/>
                <w:color w:val="auto"/>
                <w:w w:val="94"/>
              </w:rPr>
              <w:t xml:space="preserve">Emerging growth company </w:t>
            </w:r>
            <w:r>
              <w:rPr>
                <w:rFonts w:ascii="MS PGothic" w:cs="MS PGothic" w:eastAsia="MS PGothic" w:hAnsi="MS PGothic"/>
                <w:sz w:val="14"/>
                <w:szCs w:val="14"/>
                <w:color w:val="auto"/>
                <w:w w:val="94"/>
              </w:rPr>
              <w:t>☐</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160" w:firstLine="324"/>
        <w:spacing w:after="0" w:line="19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34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p>
      <w:pPr>
        <w:spacing w:after="0" w:line="83" w:lineRule="exact"/>
        <w:rPr>
          <w:sz w:val="24"/>
          <w:szCs w:val="24"/>
          <w:color w:val="auto"/>
        </w:rPr>
      </w:pPr>
    </w:p>
    <w:p>
      <w:pPr>
        <w:jc w:val="both"/>
        <w:ind w:right="200" w:firstLine="324"/>
        <w:spacing w:after="0" w:line="281" w:lineRule="auto"/>
        <w:rPr>
          <w:sz w:val="20"/>
          <w:szCs w:val="20"/>
          <w:color w:val="auto"/>
        </w:rPr>
      </w:pPr>
      <w:r>
        <w:rPr>
          <w:rFonts w:ascii="Arial" w:cs="Arial" w:eastAsia="Arial" w:hAnsi="Arial"/>
          <w:sz w:val="14"/>
          <w:szCs w:val="14"/>
          <w:color w:val="auto"/>
        </w:rPr>
        <w:t>The aggregate market value of the Common Units held by non-affiliates of the registrant (treating all executive officers and directors of the registrant and holders of 10% or more of the Common Units outstanding, for this purpose, as if they may be affiliates of the registrant) was approximately $11.1 billion on June 28, 2019, based on a closing price of $24.35 per Common Unit as reported on the New York Stock Exchange on such date. As of February 12, 2020, there were 728,050,904 Common Units outstanding</w:t>
      </w:r>
      <w:r>
        <w:rPr>
          <w:rFonts w:ascii="Arial" w:cs="Arial" w:eastAsia="Arial" w:hAnsi="Arial"/>
          <w:sz w:val="13"/>
          <w:szCs w:val="13"/>
          <w:color w:val="auto"/>
        </w:rPr>
        <w:t>.</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80" w:lineRule="exact"/>
        <w:rPr>
          <w:sz w:val="24"/>
          <w:szCs w:val="24"/>
          <w:color w:val="auto"/>
        </w:rPr>
      </w:pPr>
    </w:p>
    <w:p>
      <w:pPr>
        <w:jc w:val="center"/>
        <w:ind w:left="280" w:right="140"/>
        <w:spacing w:after="0" w:line="244" w:lineRule="auto"/>
        <w:rPr>
          <w:sz w:val="20"/>
          <w:szCs w:val="20"/>
          <w:color w:val="auto"/>
        </w:rPr>
      </w:pPr>
      <w:r>
        <w:rPr>
          <w:rFonts w:ascii="Arial" w:cs="Arial" w:eastAsia="Arial" w:hAnsi="Arial"/>
          <w:sz w:val="15"/>
          <w:szCs w:val="15"/>
          <w:color w:val="auto"/>
        </w:rPr>
        <w:t>Portions of the registrant’s definitive Proxy Statement to be filed pursuant to Regulation 14A pertaining to the 2020 Annual Meeting of Unitholders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10-K—2019 ANNUAL REPORT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Page</w:t>
            </w:r>
          </w:p>
        </w:tc>
      </w:tr>
      <w:tr>
        <w:trPr>
          <w:trHeight w:val="176"/>
        </w:trPr>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20" w:type="dxa"/>
            <w:vAlign w:val="bottom"/>
            <w:gridSpan w:val="12"/>
          </w:tcPr>
          <w:p>
            <w:pPr>
              <w:jc w:val="center"/>
              <w:ind w:right="3940"/>
              <w:spacing w:after="0" w:line="156" w:lineRule="exact"/>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1520" w:type="dxa"/>
            <w:vAlign w:val="bottom"/>
          </w:tcPr>
          <w:p>
            <w:pPr>
              <w:jc w:val="right"/>
              <w:spacing w:after="0" w:line="156" w:lineRule="exact"/>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493"/>
        </w:trPr>
        <w:tc>
          <w:tcPr>
            <w:tcW w:w="1220" w:type="dxa"/>
            <w:vAlign w:val="bottom"/>
            <w:tcBorders>
              <w:bottom w:val="single" w:sz="8" w:color="0000FF"/>
            </w:tcBorders>
            <w:gridSpan w:val="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Items 1 and 2.</w:t>
              </w:r>
            </w:hyperlink>
          </w:p>
        </w:tc>
        <w:tc>
          <w:tcPr>
            <w:tcW w:w="200" w:type="dxa"/>
            <w:vAlign w:val="bottom"/>
          </w:tcPr>
          <w:p>
            <w:pPr>
              <w:spacing w:after="0"/>
              <w:rPr>
                <w:sz w:val="24"/>
                <w:szCs w:val="24"/>
                <w:color w:val="auto"/>
              </w:rPr>
            </w:pPr>
          </w:p>
        </w:tc>
        <w:tc>
          <w:tcPr>
            <w:tcW w:w="174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Business and Properties</w:t>
              </w:r>
            </w:hyperlink>
          </w:p>
        </w:tc>
        <w:tc>
          <w:tcPr>
            <w:tcW w:w="2180" w:type="dxa"/>
            <w:vAlign w:val="bottom"/>
            <w:gridSpan w:val="9"/>
          </w:tcPr>
          <w:p>
            <w:pPr>
              <w:spacing w:after="0"/>
              <w:rPr>
                <w:sz w:val="24"/>
                <w:szCs w:val="24"/>
                <w:color w:val="auto"/>
              </w:rPr>
            </w:pPr>
          </w:p>
        </w:tc>
        <w:tc>
          <w:tcPr>
            <w:tcW w:w="580" w:type="dxa"/>
            <w:vAlign w:val="bottom"/>
            <w:tcBorders>
              <w:top w:val="single" w:sz="8" w:color="0000FF"/>
            </w:tcBorders>
            <w:gridSpan w:val="2"/>
          </w:tcPr>
          <w:p>
            <w:pPr>
              <w:spacing w:after="0"/>
              <w:rPr>
                <w:sz w:val="24"/>
                <w:szCs w:val="24"/>
                <w:color w:val="auto"/>
              </w:rPr>
            </w:pPr>
          </w:p>
        </w:tc>
        <w:tc>
          <w:tcPr>
            <w:tcW w:w="3940" w:type="dxa"/>
            <w:vAlign w:val="bottom"/>
            <w:gridSpan w:val="10"/>
          </w:tcPr>
          <w:p>
            <w:pPr>
              <w:spacing w:after="0"/>
              <w:rPr>
                <w:sz w:val="24"/>
                <w:szCs w:val="24"/>
                <w:color w:val="auto"/>
              </w:rPr>
            </w:pPr>
          </w:p>
        </w:tc>
        <w:tc>
          <w:tcPr>
            <w:tcW w:w="15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10"/>
        </w:trPr>
        <w:tc>
          <w:tcPr>
            <w:tcW w:w="660" w:type="dxa"/>
            <w:vAlign w:val="bottom"/>
            <w:gridSpan w:val="3"/>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Item 1A.</w:t>
              </w:r>
            </w:hyperlink>
          </w:p>
        </w:tc>
        <w:tc>
          <w:tcPr>
            <w:tcW w:w="5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440" w:type="dxa"/>
            <w:vAlign w:val="bottom"/>
            <w:gridSpan w:val="2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Risk Factors</w:t>
              </w:r>
            </w:hyperlink>
          </w:p>
        </w:tc>
        <w:tc>
          <w:tcPr>
            <w:tcW w:w="152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66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75">
              <w:r>
                <w:rPr>
                  <w:rFonts w:ascii="Arial" w:cs="Arial" w:eastAsia="Arial" w:hAnsi="Arial"/>
                  <w:sz w:val="18"/>
                  <w:szCs w:val="18"/>
                  <w:color w:val="0000FF"/>
                  <w:w w:val="92"/>
                </w:rPr>
                <w:t>Item 1B.</w:t>
              </w:r>
            </w:hyperlink>
          </w:p>
        </w:tc>
        <w:tc>
          <w:tcPr>
            <w:tcW w:w="5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75">
              <w:r>
                <w:rPr>
                  <w:rFonts w:ascii="Arial" w:cs="Arial" w:eastAsia="Arial" w:hAnsi="Arial"/>
                  <w:sz w:val="18"/>
                  <w:szCs w:val="18"/>
                  <w:color w:val="0000FF"/>
                  <w:w w:val="90"/>
                </w:rPr>
                <w:t>Unresolved Staff Comments</w:t>
              </w:r>
            </w:hyperlink>
          </w:p>
        </w:tc>
        <w:tc>
          <w:tcPr>
            <w:tcW w:w="6380" w:type="dxa"/>
            <w:vAlign w:val="bottom"/>
            <w:gridSpan w:val="18"/>
          </w:tcPr>
          <w:p>
            <w:pPr>
              <w:spacing w:after="0"/>
              <w:rPr>
                <w:sz w:val="18"/>
                <w:szCs w:val="18"/>
                <w:color w:val="auto"/>
              </w:rPr>
            </w:pPr>
          </w:p>
        </w:tc>
        <w:tc>
          <w:tcPr>
            <w:tcW w:w="152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75</w:t>
              </w:r>
            </w:hyperlink>
          </w:p>
        </w:tc>
      </w:tr>
      <w:tr>
        <w:trPr>
          <w:trHeight w:val="210"/>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75">
              <w:r>
                <w:rPr>
                  <w:rFonts w:ascii="Arial" w:cs="Arial" w:eastAsia="Arial" w:hAnsi="Arial"/>
                  <w:sz w:val="18"/>
                  <w:szCs w:val="18"/>
                  <w:color w:val="0000FF"/>
                  <w:w w:val="90"/>
                </w:rPr>
                <w:t>Item 3.</w:t>
              </w:r>
            </w:hyperlink>
          </w:p>
        </w:tc>
        <w:tc>
          <w:tcPr>
            <w:tcW w:w="7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75">
              <w:r>
                <w:rPr>
                  <w:rFonts w:ascii="Arial" w:cs="Arial" w:eastAsia="Arial" w:hAnsi="Arial"/>
                  <w:sz w:val="18"/>
                  <w:szCs w:val="18"/>
                  <w:color w:val="0000FF"/>
                  <w:w w:val="88"/>
                </w:rPr>
                <w:t>Legal Proceedings</w:t>
              </w:r>
            </w:hyperlink>
          </w:p>
        </w:tc>
        <w:tc>
          <w:tcPr>
            <w:tcW w:w="7100" w:type="dxa"/>
            <w:vAlign w:val="bottom"/>
            <w:gridSpan w:val="24"/>
          </w:tcPr>
          <w:p>
            <w:pPr>
              <w:spacing w:after="0"/>
              <w:rPr>
                <w:sz w:val="18"/>
                <w:szCs w:val="18"/>
                <w:color w:val="auto"/>
              </w:rPr>
            </w:pPr>
          </w:p>
        </w:tc>
        <w:tc>
          <w:tcPr>
            <w:tcW w:w="152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75</w:t>
              </w:r>
            </w:hyperlink>
          </w:p>
        </w:tc>
      </w:tr>
      <w:tr>
        <w:trPr>
          <w:trHeight w:val="210"/>
        </w:trPr>
        <w:tc>
          <w:tcPr>
            <w:tcW w:w="1220" w:type="dxa"/>
            <w:vAlign w:val="bottom"/>
            <w:gridSpan w:val="5"/>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Item 4.</w:t>
              </w:r>
            </w:hyperlink>
          </w:p>
        </w:tc>
        <w:tc>
          <w:tcPr>
            <w:tcW w:w="8640" w:type="dxa"/>
            <w:vAlign w:val="bottom"/>
            <w:gridSpan w:val="28"/>
          </w:tcPr>
          <w:p>
            <w:pPr>
              <w:ind w:left="200"/>
              <w:spacing w:after="0"/>
              <w:rPr>
                <w:rFonts w:ascii="Arial" w:cs="Arial" w:eastAsia="Arial" w:hAnsi="Arial"/>
                <w:sz w:val="18"/>
                <w:szCs w:val="18"/>
                <w:color w:val="0000FF"/>
              </w:rPr>
            </w:pPr>
            <w:hyperlink w:anchor="page75">
              <w:r>
                <w:rPr>
                  <w:rFonts w:ascii="Arial" w:cs="Arial" w:eastAsia="Arial" w:hAnsi="Arial"/>
                  <w:sz w:val="18"/>
                  <w:szCs w:val="18"/>
                  <w:color w:val="0000FF"/>
                </w:rPr>
                <w:t>Mine Safety Disclosures</w:t>
              </w:r>
            </w:hyperlink>
          </w:p>
        </w:tc>
        <w:tc>
          <w:tcPr>
            <w:tcW w:w="152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75</w:t>
              </w:r>
            </w:hyperlink>
          </w:p>
        </w:tc>
      </w:tr>
      <w:tr>
        <w:trPr>
          <w:trHeight w:val="480"/>
        </w:trPr>
        <w:tc>
          <w:tcPr>
            <w:tcW w:w="5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jc w:val="center"/>
              <w:spacing w:after="0"/>
              <w:rPr>
                <w:rFonts w:ascii="Arial" w:cs="Arial" w:eastAsia="Arial" w:hAnsi="Arial"/>
                <w:sz w:val="18"/>
                <w:szCs w:val="18"/>
                <w:b w:val="1"/>
                <w:bCs w:val="1"/>
                <w:color w:val="0000FF"/>
              </w:rPr>
            </w:pPr>
            <w:hyperlink w:anchor="page75">
              <w:r>
                <w:rPr>
                  <w:rFonts w:ascii="Arial" w:cs="Arial" w:eastAsia="Arial" w:hAnsi="Arial"/>
                  <w:sz w:val="18"/>
                  <w:szCs w:val="18"/>
                  <w:b w:val="1"/>
                  <w:bCs w:val="1"/>
                  <w:color w:val="0000FF"/>
                </w:rPr>
                <w:t>PART II</w:t>
              </w:r>
            </w:hyperlink>
          </w:p>
        </w:tc>
        <w:tc>
          <w:tcPr>
            <w:tcW w:w="3900" w:type="dxa"/>
            <w:vAlign w:val="bottom"/>
            <w:gridSpan w:val="9"/>
          </w:tcPr>
          <w:p>
            <w:pPr>
              <w:spacing w:after="0"/>
              <w:rPr>
                <w:sz w:val="24"/>
                <w:szCs w:val="24"/>
                <w:color w:val="auto"/>
              </w:rPr>
            </w:pPr>
          </w:p>
        </w:tc>
        <w:tc>
          <w:tcPr>
            <w:tcW w:w="152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76</w:t>
              </w:r>
            </w:hyperlink>
          </w:p>
        </w:tc>
      </w:tr>
      <w:tr>
        <w:trPr>
          <w:trHeight w:val="480"/>
        </w:trPr>
        <w:tc>
          <w:tcPr>
            <w:tcW w:w="600" w:type="dxa"/>
            <w:vAlign w:val="bottom"/>
            <w:tcBorders>
              <w:bottom w:val="single" w:sz="8" w:color="0000FF"/>
            </w:tcBorders>
            <w:gridSpan w:val="2"/>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Item 5.</w:t>
              </w:r>
            </w:hyperlink>
          </w:p>
        </w:tc>
        <w:tc>
          <w:tcPr>
            <w:tcW w:w="62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tcBorders>
              <w:bottom w:val="single" w:sz="8" w:color="0000FF"/>
            </w:tcBorders>
            <w:gridSpan w:val="26"/>
          </w:tcPr>
          <w:p>
            <w:pPr>
              <w:spacing w:after="0"/>
              <w:rPr>
                <w:rFonts w:ascii="Arial" w:cs="Arial" w:eastAsia="Arial" w:hAnsi="Arial"/>
                <w:sz w:val="18"/>
                <w:szCs w:val="18"/>
                <w:color w:val="0000FF"/>
                <w:w w:val="91"/>
              </w:rPr>
            </w:pPr>
            <w:hyperlink w:anchor="page76">
              <w:r>
                <w:rPr>
                  <w:rFonts w:ascii="Arial" w:cs="Arial" w:eastAsia="Arial" w:hAnsi="Arial"/>
                  <w:sz w:val="18"/>
                  <w:szCs w:val="18"/>
                  <w:color w:val="0000FF"/>
                  <w:w w:val="91"/>
                </w:rPr>
                <w:t>Market for Registrant’s Common Units, Related Unitholder Matters and Issuer Purchases of Equity Securities</w:t>
              </w:r>
            </w:hyperlink>
          </w:p>
        </w:tc>
        <w:tc>
          <w:tcPr>
            <w:tcW w:w="520" w:type="dxa"/>
            <w:vAlign w:val="bottom"/>
          </w:tcPr>
          <w:p>
            <w:pPr>
              <w:spacing w:after="0"/>
              <w:rPr>
                <w:sz w:val="24"/>
                <w:szCs w:val="24"/>
                <w:color w:val="auto"/>
              </w:rPr>
            </w:pPr>
          </w:p>
        </w:tc>
        <w:tc>
          <w:tcPr>
            <w:tcW w:w="152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76</w:t>
              </w:r>
            </w:hyperlink>
          </w:p>
        </w:tc>
      </w:tr>
      <w:tr>
        <w:trPr>
          <w:trHeight w:val="210"/>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77">
              <w:r>
                <w:rPr>
                  <w:rFonts w:ascii="Arial" w:cs="Arial" w:eastAsia="Arial" w:hAnsi="Arial"/>
                  <w:sz w:val="18"/>
                  <w:szCs w:val="18"/>
                  <w:color w:val="0000FF"/>
                  <w:w w:val="90"/>
                </w:rPr>
                <w:t>Item 6.</w:t>
              </w:r>
            </w:hyperlink>
          </w:p>
        </w:tc>
        <w:tc>
          <w:tcPr>
            <w:tcW w:w="7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Selected Financial Data</w:t>
              </w:r>
            </w:hyperlink>
          </w:p>
        </w:tc>
        <w:tc>
          <w:tcPr>
            <w:tcW w:w="6720" w:type="dxa"/>
            <w:vAlign w:val="bottom"/>
            <w:gridSpan w:val="22"/>
          </w:tcPr>
          <w:p>
            <w:pPr>
              <w:spacing w:after="0"/>
              <w:rPr>
                <w:sz w:val="18"/>
                <w:szCs w:val="18"/>
                <w:color w:val="auto"/>
              </w:rPr>
            </w:pPr>
          </w:p>
        </w:tc>
        <w:tc>
          <w:tcPr>
            <w:tcW w:w="152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78</w:t>
              </w:r>
            </w:hyperlink>
          </w:p>
        </w:tc>
      </w:tr>
      <w:tr>
        <w:trPr>
          <w:trHeight w:val="210"/>
        </w:trPr>
        <w:tc>
          <w:tcPr>
            <w:tcW w:w="520" w:type="dxa"/>
            <w:vAlign w:val="bottom"/>
          </w:tcPr>
          <w:p>
            <w:pPr>
              <w:spacing w:after="0"/>
              <w:rPr>
                <w:rFonts w:ascii="Arial" w:cs="Arial" w:eastAsia="Arial" w:hAnsi="Arial"/>
                <w:sz w:val="18"/>
                <w:szCs w:val="18"/>
                <w:color w:val="0000FF"/>
                <w:w w:val="90"/>
              </w:rPr>
            </w:pPr>
            <w:hyperlink w:anchor="page79">
              <w:r>
                <w:rPr>
                  <w:rFonts w:ascii="Arial" w:cs="Arial" w:eastAsia="Arial" w:hAnsi="Arial"/>
                  <w:sz w:val="18"/>
                  <w:szCs w:val="18"/>
                  <w:color w:val="0000FF"/>
                  <w:w w:val="90"/>
                </w:rPr>
                <w:t>Item 7.</w:t>
              </w:r>
            </w:hyperlink>
          </w:p>
        </w:tc>
        <w:tc>
          <w:tcPr>
            <w:tcW w:w="7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8440" w:type="dxa"/>
            <w:vAlign w:val="bottom"/>
            <w:gridSpan w:val="27"/>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Management’s Discussion and Analysis of Financial Condition and Results of Operations</w:t>
              </w:r>
            </w:hyperlink>
          </w:p>
        </w:tc>
        <w:tc>
          <w:tcPr>
            <w:tcW w:w="152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80</w:t>
              </w:r>
            </w:hyperlink>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660" w:type="dxa"/>
            <w:vAlign w:val="bottom"/>
            <w:gridSpan w:val="3"/>
          </w:tcPr>
          <w:p>
            <w:pPr>
              <w:spacing w:after="0"/>
              <w:rPr>
                <w:rFonts w:ascii="Arial" w:cs="Arial" w:eastAsia="Arial" w:hAnsi="Arial"/>
                <w:sz w:val="18"/>
                <w:szCs w:val="18"/>
                <w:color w:val="0000FF"/>
                <w:w w:val="92"/>
              </w:rPr>
            </w:pPr>
            <w:hyperlink w:anchor="page108">
              <w:r>
                <w:rPr>
                  <w:rFonts w:ascii="Arial" w:cs="Arial" w:eastAsia="Arial" w:hAnsi="Arial"/>
                  <w:sz w:val="18"/>
                  <w:szCs w:val="18"/>
                  <w:color w:val="0000FF"/>
                  <w:w w:val="92"/>
                </w:rPr>
                <w:t>Item 7A.</w:t>
              </w:r>
            </w:hyperlink>
          </w:p>
        </w:tc>
        <w:tc>
          <w:tcPr>
            <w:tcW w:w="5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440" w:type="dxa"/>
            <w:vAlign w:val="bottom"/>
            <w:gridSpan w:val="27"/>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Quantitative and Qualitative Disclosures About Market Risk</w:t>
              </w:r>
            </w:hyperlink>
          </w:p>
        </w:tc>
        <w:tc>
          <w:tcPr>
            <w:tcW w:w="1520" w:type="dxa"/>
            <w:vAlign w:val="bottom"/>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109</w:t>
              </w:r>
            </w:hyperlink>
          </w:p>
        </w:tc>
      </w:tr>
      <w:tr>
        <w:trPr>
          <w:trHeight w:val="210"/>
        </w:trPr>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110">
              <w:r>
                <w:rPr>
                  <w:rFonts w:ascii="Arial" w:cs="Arial" w:eastAsia="Arial" w:hAnsi="Arial"/>
                  <w:sz w:val="18"/>
                  <w:szCs w:val="18"/>
                  <w:color w:val="0000FF"/>
                  <w:w w:val="90"/>
                </w:rPr>
                <w:t>Item 8.</w:t>
              </w:r>
            </w:hyperlink>
          </w:p>
        </w:tc>
        <w:tc>
          <w:tcPr>
            <w:tcW w:w="140" w:type="dxa"/>
            <w:vAlign w:val="bottom"/>
            <w:tcBorders>
              <w:top w:val="single" w:sz="8" w:color="0000FF"/>
            </w:tcBorders>
            <w:gridSpan w:val="2"/>
          </w:tcPr>
          <w:p>
            <w:pPr>
              <w:spacing w:after="0"/>
              <w:rPr>
                <w:sz w:val="18"/>
                <w:szCs w:val="18"/>
                <w:color w:val="auto"/>
              </w:rPr>
            </w:pPr>
          </w:p>
        </w:tc>
        <w:tc>
          <w:tcPr>
            <w:tcW w:w="5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9"/>
              </w:rPr>
            </w:pPr>
            <w:hyperlink w:anchor="page110">
              <w:r>
                <w:rPr>
                  <w:rFonts w:ascii="Arial" w:cs="Arial" w:eastAsia="Arial" w:hAnsi="Arial"/>
                  <w:sz w:val="18"/>
                  <w:szCs w:val="18"/>
                  <w:color w:val="0000FF"/>
                  <w:w w:val="89"/>
                </w:rPr>
                <w:t>Financial Statements and Supplementary Data</w:t>
              </w:r>
            </w:hyperlink>
          </w:p>
        </w:tc>
        <w:tc>
          <w:tcPr>
            <w:tcW w:w="1020" w:type="dxa"/>
            <w:vAlign w:val="bottom"/>
            <w:tcBorders>
              <w:top w:val="single" w:sz="8" w:color="0000FF"/>
            </w:tcBorders>
            <w:gridSpan w:val="4"/>
          </w:tcPr>
          <w:p>
            <w:pPr>
              <w:spacing w:after="0"/>
              <w:rPr>
                <w:sz w:val="18"/>
                <w:szCs w:val="18"/>
                <w:color w:val="auto"/>
              </w:rPr>
            </w:pPr>
          </w:p>
        </w:tc>
        <w:tc>
          <w:tcPr>
            <w:tcW w:w="4080" w:type="dxa"/>
            <w:vAlign w:val="bottom"/>
            <w:gridSpan w:val="11"/>
          </w:tcPr>
          <w:p>
            <w:pPr>
              <w:spacing w:after="0"/>
              <w:rPr>
                <w:sz w:val="18"/>
                <w:szCs w:val="18"/>
                <w:color w:val="auto"/>
              </w:rPr>
            </w:pPr>
          </w:p>
        </w:tc>
        <w:tc>
          <w:tcPr>
            <w:tcW w:w="152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110</w:t>
              </w:r>
            </w:hyperlink>
          </w:p>
        </w:tc>
      </w:tr>
      <w:tr>
        <w:trPr>
          <w:trHeight w:val="210"/>
        </w:trPr>
        <w:tc>
          <w:tcPr>
            <w:tcW w:w="600" w:type="dxa"/>
            <w:vAlign w:val="bottom"/>
            <w:tcBorders>
              <w:bottom w:val="single" w:sz="8" w:color="0000FF"/>
            </w:tcBorders>
            <w:gridSpan w:val="2"/>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Item 9.</w:t>
              </w:r>
            </w:hyperlink>
          </w:p>
        </w:tc>
        <w:tc>
          <w:tcPr>
            <w:tcW w:w="62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6520" w:type="dxa"/>
            <w:vAlign w:val="bottom"/>
            <w:tcBorders>
              <w:bottom w:val="single" w:sz="8" w:color="0000FF"/>
            </w:tcBorders>
            <w:gridSpan w:val="24"/>
          </w:tcPr>
          <w:p>
            <w:pPr>
              <w:spacing w:after="0"/>
              <w:rPr>
                <w:rFonts w:ascii="Arial" w:cs="Arial" w:eastAsia="Arial" w:hAnsi="Arial"/>
                <w:sz w:val="18"/>
                <w:szCs w:val="18"/>
                <w:color w:val="0000FF"/>
                <w:w w:val="90"/>
              </w:rPr>
            </w:pPr>
            <w:hyperlink w:anchor="page110">
              <w:r>
                <w:rPr>
                  <w:rFonts w:ascii="Arial" w:cs="Arial" w:eastAsia="Arial" w:hAnsi="Arial"/>
                  <w:sz w:val="18"/>
                  <w:szCs w:val="18"/>
                  <w:color w:val="0000FF"/>
                  <w:w w:val="90"/>
                </w:rPr>
                <w:t>Changes in and Disagreements With Accountants on Accounting and Financial Disclosure</w:t>
              </w:r>
            </w:hyperlink>
          </w:p>
        </w:tc>
        <w:tc>
          <w:tcPr>
            <w:tcW w:w="1920" w:type="dxa"/>
            <w:vAlign w:val="bottom"/>
            <w:gridSpan w:val="3"/>
          </w:tcPr>
          <w:p>
            <w:pPr>
              <w:spacing w:after="0"/>
              <w:rPr>
                <w:sz w:val="18"/>
                <w:szCs w:val="18"/>
                <w:color w:val="auto"/>
              </w:rPr>
            </w:pPr>
          </w:p>
        </w:tc>
        <w:tc>
          <w:tcPr>
            <w:tcW w:w="152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110</w:t>
              </w:r>
            </w:hyperlink>
          </w:p>
        </w:tc>
      </w:tr>
      <w:tr>
        <w:trPr>
          <w:trHeight w:val="210"/>
        </w:trPr>
        <w:tc>
          <w:tcPr>
            <w:tcW w:w="66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110">
              <w:r>
                <w:rPr>
                  <w:rFonts w:ascii="Arial" w:cs="Arial" w:eastAsia="Arial" w:hAnsi="Arial"/>
                  <w:sz w:val="18"/>
                  <w:szCs w:val="18"/>
                  <w:color w:val="0000FF"/>
                  <w:w w:val="92"/>
                </w:rPr>
                <w:t>Item 9A.</w:t>
              </w:r>
            </w:hyperlink>
          </w:p>
        </w:tc>
        <w:tc>
          <w:tcPr>
            <w:tcW w:w="5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110">
              <w:r>
                <w:rPr>
                  <w:rFonts w:ascii="Arial" w:cs="Arial" w:eastAsia="Arial" w:hAnsi="Arial"/>
                  <w:sz w:val="18"/>
                  <w:szCs w:val="18"/>
                  <w:color w:val="0000FF"/>
                  <w:w w:val="88"/>
                </w:rPr>
                <w:t>Controls and Procedures</w:t>
              </w:r>
            </w:hyperlink>
          </w:p>
        </w:tc>
        <w:tc>
          <w:tcPr>
            <w:tcW w:w="6660" w:type="dxa"/>
            <w:vAlign w:val="bottom"/>
            <w:gridSpan w:val="20"/>
          </w:tcPr>
          <w:p>
            <w:pPr>
              <w:spacing w:after="0"/>
              <w:rPr>
                <w:sz w:val="18"/>
                <w:szCs w:val="18"/>
                <w:color w:val="auto"/>
              </w:rPr>
            </w:pPr>
          </w:p>
        </w:tc>
        <w:tc>
          <w:tcPr>
            <w:tcW w:w="152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110</w:t>
              </w:r>
            </w:hyperlink>
          </w:p>
        </w:tc>
      </w:tr>
      <w:tr>
        <w:trPr>
          <w:trHeight w:val="210"/>
        </w:trPr>
        <w:tc>
          <w:tcPr>
            <w:tcW w:w="1220" w:type="dxa"/>
            <w:vAlign w:val="bottom"/>
            <w:gridSpan w:val="5"/>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Item 9B.</w:t>
              </w:r>
            </w:hyperlink>
          </w:p>
        </w:tc>
        <w:tc>
          <w:tcPr>
            <w:tcW w:w="8640" w:type="dxa"/>
            <w:vAlign w:val="bottom"/>
            <w:gridSpan w:val="28"/>
          </w:tcPr>
          <w:p>
            <w:pPr>
              <w:ind w:left="200"/>
              <w:spacing w:after="0"/>
              <w:rPr>
                <w:rFonts w:ascii="Arial" w:cs="Arial" w:eastAsia="Arial" w:hAnsi="Arial"/>
                <w:sz w:val="18"/>
                <w:szCs w:val="18"/>
                <w:color w:val="0000FF"/>
              </w:rPr>
            </w:pPr>
            <w:hyperlink w:anchor="page111">
              <w:r>
                <w:rPr>
                  <w:rFonts w:ascii="Arial" w:cs="Arial" w:eastAsia="Arial" w:hAnsi="Arial"/>
                  <w:sz w:val="18"/>
                  <w:szCs w:val="18"/>
                  <w:color w:val="0000FF"/>
                </w:rPr>
                <w:t>Other Information</w:t>
              </w:r>
            </w:hyperlink>
          </w:p>
        </w:tc>
        <w:tc>
          <w:tcPr>
            <w:tcW w:w="152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111</w:t>
              </w:r>
            </w:hyperlink>
          </w:p>
        </w:tc>
      </w:tr>
      <w:tr>
        <w:trPr>
          <w:trHeight w:val="480"/>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Borders>
              <w:bottom w:val="single" w:sz="8" w:color="0000FF"/>
            </w:tcBorders>
            <w:gridSpan w:val="7"/>
          </w:tcPr>
          <w:p>
            <w:pPr>
              <w:jc w:val="center"/>
              <w:spacing w:after="0"/>
              <w:rPr>
                <w:rFonts w:ascii="Arial" w:cs="Arial" w:eastAsia="Arial" w:hAnsi="Arial"/>
                <w:sz w:val="18"/>
                <w:szCs w:val="18"/>
                <w:b w:val="1"/>
                <w:bCs w:val="1"/>
                <w:color w:val="0000FF"/>
              </w:rPr>
            </w:pPr>
            <w:hyperlink w:anchor="page111">
              <w:r>
                <w:rPr>
                  <w:rFonts w:ascii="Arial" w:cs="Arial" w:eastAsia="Arial" w:hAnsi="Arial"/>
                  <w:sz w:val="18"/>
                  <w:szCs w:val="18"/>
                  <w:b w:val="1"/>
                  <w:bCs w:val="1"/>
                  <w:color w:val="0000FF"/>
                </w:rPr>
                <w:t>PART III</w:t>
              </w:r>
            </w:hyperlink>
          </w:p>
        </w:tc>
        <w:tc>
          <w:tcPr>
            <w:tcW w:w="3860" w:type="dxa"/>
            <w:vAlign w:val="bottom"/>
            <w:gridSpan w:val="7"/>
          </w:tcPr>
          <w:p>
            <w:pPr>
              <w:spacing w:after="0"/>
              <w:rPr>
                <w:sz w:val="24"/>
                <w:szCs w:val="24"/>
                <w:color w:val="auto"/>
              </w:rPr>
            </w:pPr>
          </w:p>
        </w:tc>
        <w:tc>
          <w:tcPr>
            <w:tcW w:w="152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112</w:t>
              </w:r>
            </w:hyperlink>
          </w:p>
        </w:tc>
      </w:tr>
      <w:tr>
        <w:trPr>
          <w:trHeight w:val="480"/>
        </w:trPr>
        <w:tc>
          <w:tcPr>
            <w:tcW w:w="1220" w:type="dxa"/>
            <w:vAlign w:val="bottom"/>
            <w:gridSpan w:val="5"/>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Item 10.</w:t>
              </w:r>
            </w:hyperlink>
          </w:p>
        </w:tc>
        <w:tc>
          <w:tcPr>
            <w:tcW w:w="8640" w:type="dxa"/>
            <w:vAlign w:val="bottom"/>
            <w:gridSpan w:val="28"/>
          </w:tcPr>
          <w:p>
            <w:pPr>
              <w:ind w:left="200"/>
              <w:spacing w:after="0"/>
              <w:rPr>
                <w:rFonts w:ascii="Arial" w:cs="Arial" w:eastAsia="Arial" w:hAnsi="Arial"/>
                <w:sz w:val="18"/>
                <w:szCs w:val="18"/>
                <w:color w:val="0000FF"/>
              </w:rPr>
            </w:pPr>
            <w:hyperlink w:anchor="page112">
              <w:r>
                <w:rPr>
                  <w:rFonts w:ascii="Arial" w:cs="Arial" w:eastAsia="Arial" w:hAnsi="Arial"/>
                  <w:sz w:val="18"/>
                  <w:szCs w:val="18"/>
                  <w:color w:val="0000FF"/>
                </w:rPr>
                <w:t>Directors and Executive Officers of Our General Partner and Corporate Governance</w:t>
              </w:r>
            </w:hyperlink>
          </w:p>
        </w:tc>
        <w:tc>
          <w:tcPr>
            <w:tcW w:w="152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112</w:t>
              </w:r>
            </w:hyperlink>
          </w:p>
        </w:tc>
      </w:tr>
      <w:tr>
        <w:trPr>
          <w:trHeight w:val="210"/>
        </w:trPr>
        <w:tc>
          <w:tcPr>
            <w:tcW w:w="600" w:type="dxa"/>
            <w:vAlign w:val="bottom"/>
            <w:tcBorders>
              <w:top w:val="single" w:sz="8" w:color="0000FF"/>
            </w:tcBorders>
            <w:gridSpan w:val="2"/>
          </w:tcPr>
          <w:p>
            <w:pPr>
              <w:spacing w:after="0"/>
              <w:rPr>
                <w:rFonts w:ascii="Arial" w:cs="Arial" w:eastAsia="Arial" w:hAnsi="Arial"/>
                <w:sz w:val="18"/>
                <w:szCs w:val="18"/>
                <w:color w:val="0000FF"/>
                <w:w w:val="89"/>
              </w:rPr>
            </w:pPr>
            <w:hyperlink w:anchor="page112">
              <w:r>
                <w:rPr>
                  <w:rFonts w:ascii="Arial" w:cs="Arial" w:eastAsia="Arial" w:hAnsi="Arial"/>
                  <w:sz w:val="18"/>
                  <w:szCs w:val="18"/>
                  <w:color w:val="0000FF"/>
                  <w:w w:val="89"/>
                </w:rPr>
                <w:t>Item 11.</w:t>
              </w:r>
            </w:hyperlink>
          </w:p>
        </w:tc>
        <w:tc>
          <w:tcPr>
            <w:tcW w:w="62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6060" w:type="dxa"/>
            <w:vAlign w:val="bottom"/>
            <w:tcBorders>
              <w:top w:val="single" w:sz="8" w:color="0000FF"/>
            </w:tcBorders>
            <w:gridSpan w:val="22"/>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Executive Compensation</w:t>
              </w:r>
            </w:hyperlink>
          </w:p>
        </w:tc>
        <w:tc>
          <w:tcPr>
            <w:tcW w:w="2380" w:type="dxa"/>
            <w:vAlign w:val="bottom"/>
            <w:gridSpan w:val="5"/>
          </w:tcPr>
          <w:p>
            <w:pPr>
              <w:spacing w:after="0"/>
              <w:rPr>
                <w:sz w:val="18"/>
                <w:szCs w:val="18"/>
                <w:color w:val="auto"/>
              </w:rPr>
            </w:pPr>
          </w:p>
        </w:tc>
        <w:tc>
          <w:tcPr>
            <w:tcW w:w="152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112</w:t>
              </w:r>
            </w:hyperlink>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1220" w:type="dxa"/>
            <w:vAlign w:val="bottom"/>
            <w:gridSpan w:val="5"/>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Item 12.</w:t>
              </w:r>
            </w:hyperlink>
          </w:p>
        </w:tc>
        <w:tc>
          <w:tcPr>
            <w:tcW w:w="200" w:type="dxa"/>
            <w:vAlign w:val="bottom"/>
          </w:tcPr>
          <w:p>
            <w:pPr>
              <w:spacing w:after="0"/>
              <w:rPr>
                <w:sz w:val="18"/>
                <w:szCs w:val="18"/>
                <w:color w:val="auto"/>
              </w:rPr>
            </w:pPr>
          </w:p>
        </w:tc>
        <w:tc>
          <w:tcPr>
            <w:tcW w:w="8440" w:type="dxa"/>
            <w:vAlign w:val="bottom"/>
            <w:gridSpan w:val="27"/>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Security Ownership of Certain Beneficial Owners and Management and Related Unitholder Matters</w:t>
              </w:r>
            </w:hyperlink>
          </w:p>
        </w:tc>
        <w:tc>
          <w:tcPr>
            <w:tcW w:w="152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112</w:t>
              </w:r>
            </w:hyperlink>
          </w:p>
        </w:tc>
      </w:tr>
      <w:tr>
        <w:trPr>
          <w:trHeight w:val="210"/>
        </w:trPr>
        <w:tc>
          <w:tcPr>
            <w:tcW w:w="1220" w:type="dxa"/>
            <w:vAlign w:val="bottom"/>
            <w:tcBorders>
              <w:top w:val="single" w:sz="8" w:color="0000FF"/>
              <w:bottom w:val="single" w:sz="8" w:color="0000FF"/>
            </w:tcBorders>
            <w:gridSpan w:val="5"/>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Item 13.</w:t>
              </w:r>
            </w:hyperlink>
          </w:p>
        </w:tc>
        <w:tc>
          <w:tcPr>
            <w:tcW w:w="200" w:type="dxa"/>
            <w:vAlign w:val="bottom"/>
          </w:tcPr>
          <w:p>
            <w:pPr>
              <w:spacing w:after="0"/>
              <w:rPr>
                <w:sz w:val="18"/>
                <w:szCs w:val="18"/>
                <w:color w:val="auto"/>
              </w:rPr>
            </w:pPr>
          </w:p>
        </w:tc>
        <w:tc>
          <w:tcPr>
            <w:tcW w:w="5460" w:type="dxa"/>
            <w:vAlign w:val="bottom"/>
            <w:tcBorders>
              <w:top w:val="single" w:sz="8" w:color="0000FF"/>
              <w:bottom w:val="single" w:sz="8" w:color="0000FF"/>
            </w:tcBorders>
            <w:gridSpan w:val="21"/>
          </w:tcPr>
          <w:p>
            <w:pPr>
              <w:spacing w:after="0"/>
              <w:rPr>
                <w:rFonts w:ascii="Arial" w:cs="Arial" w:eastAsia="Arial" w:hAnsi="Arial"/>
                <w:sz w:val="18"/>
                <w:szCs w:val="18"/>
                <w:color w:val="0000FF"/>
                <w:w w:val="89"/>
              </w:rPr>
            </w:pPr>
            <w:hyperlink w:anchor="page112">
              <w:r>
                <w:rPr>
                  <w:rFonts w:ascii="Arial" w:cs="Arial" w:eastAsia="Arial" w:hAnsi="Arial"/>
                  <w:sz w:val="18"/>
                  <w:szCs w:val="18"/>
                  <w:color w:val="0000FF"/>
                  <w:w w:val="89"/>
                </w:rPr>
                <w:t>Certain Relationships and Related Transactions, and Director Independence</w:t>
              </w:r>
            </w:hyperlink>
          </w:p>
        </w:tc>
        <w:tc>
          <w:tcPr>
            <w:tcW w:w="1740" w:type="dxa"/>
            <w:vAlign w:val="bottom"/>
            <w:tcBorders>
              <w:top w:val="single" w:sz="8" w:color="0000FF"/>
            </w:tcBorders>
            <w:gridSpan w:val="4"/>
          </w:tcPr>
          <w:p>
            <w:pPr>
              <w:spacing w:after="0"/>
              <w:rPr>
                <w:sz w:val="18"/>
                <w:szCs w:val="18"/>
                <w:color w:val="auto"/>
              </w:rPr>
            </w:pPr>
          </w:p>
        </w:tc>
        <w:tc>
          <w:tcPr>
            <w:tcW w:w="1240" w:type="dxa"/>
            <w:vAlign w:val="bottom"/>
            <w:gridSpan w:val="2"/>
          </w:tcPr>
          <w:p>
            <w:pPr>
              <w:spacing w:after="0"/>
              <w:rPr>
                <w:sz w:val="18"/>
                <w:szCs w:val="18"/>
                <w:color w:val="auto"/>
              </w:rPr>
            </w:pPr>
          </w:p>
        </w:tc>
        <w:tc>
          <w:tcPr>
            <w:tcW w:w="152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113</w:t>
              </w:r>
            </w:hyperlink>
          </w:p>
        </w:tc>
      </w:tr>
      <w:tr>
        <w:trPr>
          <w:trHeight w:val="210"/>
        </w:trPr>
        <w:tc>
          <w:tcPr>
            <w:tcW w:w="1220" w:type="dxa"/>
            <w:vAlign w:val="bottom"/>
            <w:gridSpan w:val="5"/>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Item 14.</w:t>
              </w:r>
            </w:hyperlink>
          </w:p>
        </w:tc>
        <w:tc>
          <w:tcPr>
            <w:tcW w:w="8640" w:type="dxa"/>
            <w:vAlign w:val="bottom"/>
            <w:gridSpan w:val="28"/>
          </w:tcPr>
          <w:p>
            <w:pPr>
              <w:ind w:left="200"/>
              <w:spacing w:after="0"/>
              <w:rPr>
                <w:rFonts w:ascii="Arial" w:cs="Arial" w:eastAsia="Arial" w:hAnsi="Arial"/>
                <w:sz w:val="18"/>
                <w:szCs w:val="18"/>
                <w:color w:val="0000FF"/>
              </w:rPr>
            </w:pPr>
            <w:hyperlink w:anchor="page113">
              <w:r>
                <w:rPr>
                  <w:rFonts w:ascii="Arial" w:cs="Arial" w:eastAsia="Arial" w:hAnsi="Arial"/>
                  <w:sz w:val="18"/>
                  <w:szCs w:val="18"/>
                  <w:color w:val="0000FF"/>
                </w:rPr>
                <w:t>Principal Accountant Fees and Services</w:t>
              </w:r>
            </w:hyperlink>
          </w:p>
        </w:tc>
        <w:tc>
          <w:tcPr>
            <w:tcW w:w="152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113</w:t>
              </w:r>
            </w:hyperlink>
          </w:p>
        </w:tc>
      </w:tr>
      <w:tr>
        <w:trPr>
          <w:trHeight w:val="480"/>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80" w:type="dxa"/>
            <w:vAlign w:val="bottom"/>
            <w:gridSpan w:val="14"/>
          </w:tcPr>
          <w:p>
            <w:pPr>
              <w:jc w:val="center"/>
              <w:ind w:right="3880"/>
              <w:spacing w:after="0"/>
              <w:rPr>
                <w:rFonts w:ascii="Arial" w:cs="Arial" w:eastAsia="Arial" w:hAnsi="Arial"/>
                <w:sz w:val="18"/>
                <w:szCs w:val="18"/>
                <w:b w:val="1"/>
                <w:bCs w:val="1"/>
                <w:color w:val="0000FF"/>
                <w:w w:val="98"/>
              </w:rPr>
            </w:pPr>
            <w:hyperlink w:anchor="page113">
              <w:r>
                <w:rPr>
                  <w:rFonts w:ascii="Arial" w:cs="Arial" w:eastAsia="Arial" w:hAnsi="Arial"/>
                  <w:sz w:val="18"/>
                  <w:szCs w:val="18"/>
                  <w:b w:val="1"/>
                  <w:bCs w:val="1"/>
                  <w:color w:val="0000FF"/>
                  <w:w w:val="98"/>
                </w:rPr>
                <w:t>PART IV</w:t>
              </w:r>
            </w:hyperlink>
          </w:p>
        </w:tc>
        <w:tc>
          <w:tcPr>
            <w:tcW w:w="152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114</w:t>
              </w:r>
            </w:hyperlink>
          </w:p>
        </w:tc>
      </w:tr>
      <w:tr>
        <w:trPr>
          <w:trHeight w:val="480"/>
        </w:trPr>
        <w:tc>
          <w:tcPr>
            <w:tcW w:w="1220" w:type="dxa"/>
            <w:vAlign w:val="bottom"/>
            <w:gridSpan w:val="5"/>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Item 15.</w:t>
              </w:r>
            </w:hyperlink>
          </w:p>
        </w:tc>
        <w:tc>
          <w:tcPr>
            <w:tcW w:w="4080" w:type="dxa"/>
            <w:vAlign w:val="bottom"/>
            <w:gridSpan w:val="15"/>
          </w:tcPr>
          <w:p>
            <w:pPr>
              <w:ind w:left="200"/>
              <w:spacing w:after="0"/>
              <w:rPr>
                <w:rFonts w:ascii="Arial" w:cs="Arial" w:eastAsia="Arial" w:hAnsi="Arial"/>
                <w:sz w:val="18"/>
                <w:szCs w:val="18"/>
                <w:color w:val="0000FF"/>
              </w:rPr>
            </w:pPr>
            <w:hyperlink w:anchor="page114">
              <w:r>
                <w:rPr>
                  <w:rFonts w:ascii="Arial" w:cs="Arial" w:eastAsia="Arial" w:hAnsi="Arial"/>
                  <w:sz w:val="18"/>
                  <w:szCs w:val="18"/>
                  <w:color w:val="0000FF"/>
                </w:rPr>
                <w:t>Exhibits and Financial Statement Schedules</w:t>
              </w:r>
            </w:hyperlink>
          </w:p>
        </w:tc>
        <w:tc>
          <w:tcPr>
            <w:tcW w:w="680" w:type="dxa"/>
            <w:vAlign w:val="bottom"/>
            <w:tcBorders>
              <w:top w:val="single" w:sz="8" w:color="0000FF"/>
            </w:tcBorders>
            <w:gridSpan w:val="5"/>
          </w:tcPr>
          <w:p>
            <w:pPr>
              <w:spacing w:after="0"/>
              <w:rPr>
                <w:sz w:val="24"/>
                <w:szCs w:val="24"/>
                <w:color w:val="auto"/>
              </w:rPr>
            </w:pPr>
          </w:p>
        </w:tc>
        <w:tc>
          <w:tcPr>
            <w:tcW w:w="3880" w:type="dxa"/>
            <w:vAlign w:val="bottom"/>
            <w:gridSpan w:val="8"/>
          </w:tcPr>
          <w:p>
            <w:pPr>
              <w:spacing w:after="0"/>
              <w:rPr>
                <w:sz w:val="24"/>
                <w:szCs w:val="24"/>
                <w:color w:val="auto"/>
              </w:rPr>
            </w:pPr>
          </w:p>
        </w:tc>
        <w:tc>
          <w:tcPr>
            <w:tcW w:w="152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114</w:t>
              </w:r>
            </w:hyperlink>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1600" w:type="dxa"/>
            <w:vAlign w:val="bottom"/>
            <w:gridSpan w:val="7"/>
            <w:shd w:val="clear" w:color="auto" w:fill="0000FF"/>
          </w:tcPr>
          <w:p>
            <w:pPr>
              <w:spacing w:after="0" w:line="20" w:lineRule="exact"/>
              <w:rPr>
                <w:sz w:val="1"/>
                <w:szCs w:val="1"/>
                <w:color w:val="auto"/>
              </w:rPr>
            </w:pPr>
          </w:p>
        </w:tc>
        <w:tc>
          <w:tcPr>
            <w:tcW w:w="5280" w:type="dxa"/>
            <w:vAlign w:val="bottom"/>
            <w:gridSpan w:val="16"/>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1220" w:type="dxa"/>
            <w:vAlign w:val="bottom"/>
            <w:gridSpan w:val="5"/>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Item 16.</w:t>
              </w:r>
            </w:hyperlink>
          </w:p>
        </w:tc>
        <w:tc>
          <w:tcPr>
            <w:tcW w:w="8640" w:type="dxa"/>
            <w:vAlign w:val="bottom"/>
            <w:gridSpan w:val="28"/>
          </w:tcPr>
          <w:p>
            <w:pPr>
              <w:ind w:left="200"/>
              <w:spacing w:after="0"/>
              <w:rPr>
                <w:rFonts w:ascii="Arial" w:cs="Arial" w:eastAsia="Arial" w:hAnsi="Arial"/>
                <w:sz w:val="18"/>
                <w:szCs w:val="18"/>
                <w:color w:val="0000FF"/>
              </w:rPr>
            </w:pPr>
            <w:hyperlink w:anchor="page122">
              <w:r>
                <w:rPr>
                  <w:rFonts w:ascii="Arial" w:cs="Arial" w:eastAsia="Arial" w:hAnsi="Arial"/>
                  <w:sz w:val="18"/>
                  <w:szCs w:val="18"/>
                  <w:color w:val="0000FF"/>
                </w:rPr>
                <w:t>Form 10-K Summary</w:t>
              </w:r>
            </w:hyperlink>
          </w:p>
        </w:tc>
        <w:tc>
          <w:tcPr>
            <w:tcW w:w="152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122</w:t>
              </w:r>
            </w:hyperlink>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36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24" w:lineRule="exact"/>
        <w:rPr>
          <w:sz w:val="20"/>
          <w:szCs w:val="20"/>
          <w:color w:val="auto"/>
        </w:rPr>
      </w:pPr>
    </w:p>
    <w:p>
      <w:pPr>
        <w:ind w:left="980" w:hanging="324"/>
        <w:spacing w:after="0" w:line="259"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117"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the United States or other countries, particularly key consumption markets like China, that trigger a meaningful drop in the global demand for crude oil and petroleum products (e.g., the recent coronavirus outbreak in China);</w:t>
      </w:r>
    </w:p>
    <w:p>
      <w:pPr>
        <w:spacing w:after="0" w:line="62" w:lineRule="exact"/>
        <w:rPr>
          <w:rFonts w:ascii="Arial" w:cs="Arial" w:eastAsia="Arial" w:hAnsi="Arial"/>
          <w:sz w:val="18"/>
          <w:szCs w:val="18"/>
          <w:color w:val="auto"/>
        </w:rPr>
      </w:pPr>
    </w:p>
    <w:p>
      <w:pPr>
        <w:ind w:left="980" w:right="500" w:hanging="324"/>
        <w:spacing w:after="0" w:line="308"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color w:val="auto"/>
        </w:rPr>
        <w:t>negative societal sentiment regarding the fossil fuel industry and the continued development and consumption of fossil fuels, which could influence consumer preferences and governmental or regulatory actions in ways that adversely impact our business;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62" w:lineRule="exact"/>
        <w:rPr>
          <w:rFonts w:ascii="Arial" w:cs="Arial" w:eastAsia="Arial" w:hAnsi="Arial"/>
          <w:sz w:val="18"/>
          <w:szCs w:val="18"/>
          <w:color w:val="auto"/>
        </w:rPr>
      </w:pPr>
    </w:p>
    <w:p>
      <w:pPr>
        <w:ind w:left="980" w:right="560" w:hanging="324"/>
        <w:spacing w:after="0" w:line="308"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38" w:lineRule="exact"/>
        <w:rPr>
          <w:rFonts w:ascii="Arial" w:cs="Arial" w:eastAsia="Arial" w:hAnsi="Arial"/>
          <w:sz w:val="17"/>
          <w:szCs w:val="17"/>
          <w:color w:val="auto"/>
        </w:rPr>
      </w:pPr>
    </w:p>
    <w:p>
      <w:pPr>
        <w:ind w:left="980" w:right="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right="5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w:t>
      </w:r>
    </w:p>
    <w:p>
      <w:pPr>
        <w:spacing w:after="0" w:line="62" w:lineRule="exact"/>
        <w:rPr>
          <w:rFonts w:ascii="Arial" w:cs="Arial" w:eastAsia="Arial" w:hAnsi="Arial"/>
          <w:sz w:val="18"/>
          <w:szCs w:val="18"/>
          <w:color w:val="auto"/>
        </w:rPr>
      </w:pPr>
    </w:p>
    <w:p>
      <w:pPr>
        <w:ind w:left="980" w:right="26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 w:lineRule="exact"/>
        <w:rPr>
          <w:rFonts w:ascii="Arial" w:cs="Arial" w:eastAsia="Arial" w:hAnsi="Arial"/>
          <w:sz w:val="16"/>
          <w:szCs w:val="16"/>
          <w:color w:val="auto"/>
        </w:rPr>
      </w:pPr>
    </w:p>
    <w:p>
      <w:pPr>
        <w:ind w:left="980" w:right="240" w:hanging="324"/>
        <w:spacing w:after="0" w:line="264"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17"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 and</w:t>
      </w:r>
    </w:p>
    <w:p>
      <w:pPr>
        <w:spacing w:after="0" w:line="140" w:lineRule="exact"/>
        <w:rPr>
          <w:rFonts w:ascii="Arial" w:cs="Arial" w:eastAsia="Arial" w:hAnsi="Arial"/>
          <w:sz w:val="16"/>
          <w:szCs w:val="16"/>
          <w:color w:val="auto"/>
        </w:rPr>
      </w:pPr>
    </w:p>
    <w:p>
      <w:pPr>
        <w:ind w:left="980" w:right="4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62"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Plains All American Pipeline, L.P. is a Delaware limited partnership formed in 1998.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spacing w:after="0" w:line="20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own and operate midstream energy infrastructure and provide logistics services primarily for crude oil, natural gas liquids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2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were formed as a master limited partnership and completed our initial public offering in 1998. From an economic perspective, we are owned 100% by our limited partners, which include common unitholders and Series A and Series B preferred unitholders. Our common units are publicly traded on the New York Stock Exchange under the ticker symbol “PAA.” Our Series A preferred units have voting rights that are equivalent to our common units and are convertible into common units on a one-for-one basis by the holders of such units or by us in certain circumstances. Our common units and Series A preferred units are collectively referred to as “Common Unit Equivalents.” Our Series B preferred units do not have voting rights, are not convertible into common units and are not included in Common Unit Equivalents.</w:t>
      </w:r>
    </w:p>
    <w:p>
      <w:pPr>
        <w:spacing w:after="0" w:line="22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non-economic general partner interest is held by PAA GP LLC (“PAA GP”), a Delaware limited liability company, whose sole member is Plains AAP, L.P. (“AAP”), a Delaware limited partnership. In addition to its ownership of PAA GP, as of December 31, 2019, AAP also owned a limited partner interest in us through its ownership of approximately 249.6 million of our common units (approximately 31% of our total outstanding Common Unit Equivalents).</w:t>
      </w:r>
    </w:p>
    <w:p>
      <w:pPr>
        <w:spacing w:after="0" w:line="214"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Plains All American GP LLC (“GP LLC”), a Delaware limited liability company, is AAP’s general partner. Plains GP Holdings, L.P. (“PAGP”), a Delaware limited partnership that completed its initial public offering in October 2013, is the sole and managing member of GP LLC, and, at December 31, 2019, owned, directly and indirectly, an approximate 73% limited partner interest in AAP. Both PAGP and GP LLC have elected to be treated as corporations for United States federal income tax purposes. PAA GP Holdings LLC (“PAGP GP”), a Delaware limited liability company, is the general partner of PAGP.</w:t>
      </w:r>
    </w:p>
    <w:p>
      <w:pPr>
        <w:spacing w:after="0" w:line="181"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References to the “PAGP Entities” include PAGP GP, PAGP, GP LLC, AAP and PAA GP. References to our “general partner,” as the context requires, include any or all of the PAGP Entities. References to the “Plains Entities” include us, our subsidiaries and the PAGP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Structure and Management</w:t>
      </w:r>
    </w:p>
    <w:p>
      <w:pPr>
        <w:spacing w:after="0" w:line="25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operations are conducted directly and indirectly through, and our operating assets are owned by, our subsidiaries. As the sole member of GP LLC, PAGP has responsibility for conducting our business and managing our operations; however, the board of directors of PAGP GP (the “PAGP GP Board”) has ultimate responsibility for managing the business and affairs of PAGP, AAP and us. Our general partner does not receive a management fee or other compensation in connection with its management of our business, but it is reimbursed for substantially all direct and indirect expenses incurred on our behalf.</w:t>
      </w:r>
    </w:p>
    <w:p>
      <w:pPr>
        <w:spacing w:after="0" w:line="21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two diagrams below show our organizational structure and ownership as of December 31, 2019 in both a summarized and more detailed format. The first diagram depicts our legal structure in summary format, while the second diagram depicts a more comprehensive view of such structure, including ownership and economic interests and shares and units outstanding:</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Summarized Partnership Structure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6560185" cy="4493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0185" cy="449389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hanging="11"/>
        <w:spacing w:after="0" w:line="259" w:lineRule="auto"/>
        <w:rPr>
          <w:sz w:val="20"/>
          <w:szCs w:val="20"/>
          <w:color w:val="auto"/>
        </w:rPr>
      </w:pPr>
      <w:r>
        <w:rPr>
          <w:rFonts w:ascii="Arial" w:cs="Arial" w:eastAsia="Arial" w:hAnsi="Arial"/>
          <w:sz w:val="18"/>
          <w:szCs w:val="18"/>
          <w:color w:val="auto"/>
        </w:rPr>
        <w:t>Through a “pass-through” voting right as a result of our ownership of Class C shares of PAGP, our common unitholders and Series A preferred unitholders have the effective right to vote, pro rata with the holders of Class A and Class B shares of PAGP, for the election of eligible PAGP GP directors. The Class C shares of PAGP are voted by us on behalf of and pursuant to instructions received from our common unitholders and Series A preferred unitholders.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Represents percentage ownership of Common Unit Equivalents.</w:t>
      </w:r>
    </w:p>
    <w:p>
      <w:pPr>
        <w:spacing w:after="0" w:line="200" w:lineRule="exact"/>
        <w:rPr>
          <w:sz w:val="20"/>
          <w:szCs w:val="20"/>
          <w:color w:val="auto"/>
        </w:rPr>
      </w:pPr>
    </w:p>
    <w:p>
      <w:pPr>
        <w:sectPr>
          <w:pgSz w:w="11900" w:h="16838" w:orient="portrait"/>
          <w:cols w:equalWidth="0" w:num="2">
            <w:col w:w="140" w:space="500"/>
            <w:col w:w="10720"/>
          </w:cols>
          <w:pgMar w:left="240" w:top="125"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Detailed Partnership Structure</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160020</wp:posOffset>
            </wp:positionV>
            <wp:extent cx="5866130" cy="7040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6130" cy="704088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2324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20" w:right="360" w:hanging="11"/>
        <w:spacing w:after="0" w:line="264" w:lineRule="auto"/>
        <w:rPr>
          <w:sz w:val="20"/>
          <w:szCs w:val="20"/>
          <w:color w:val="auto"/>
        </w:rPr>
      </w:pPr>
      <w:r>
        <w:rPr>
          <w:rFonts w:ascii="Arial" w:cs="Arial" w:eastAsia="Arial" w:hAnsi="Arial"/>
          <w:sz w:val="18"/>
          <w:szCs w:val="18"/>
          <w:color w:val="auto"/>
        </w:rPr>
        <w:t>Represents the number of Class A units of AAP (“AAP units”) for which the outstanding Class B units of AAP (referred to herein as the “AAP Management Units”) will be exchangeable, assuming the conversion of all such units at a rate of approximately 0.941 AAP units for each AAP Management Unit.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Assumes conversion of all outstanding AAP Management Units into AAP units.</w:t>
      </w:r>
    </w:p>
    <w:p>
      <w:pPr>
        <w:spacing w:after="0" w:line="117" w:lineRule="exact"/>
        <w:rPr>
          <w:sz w:val="20"/>
          <w:szCs w:val="20"/>
          <w:color w:val="auto"/>
        </w:rPr>
      </w:pPr>
    </w:p>
    <w:p>
      <w:pPr>
        <w:jc w:val="both"/>
        <w:ind w:left="20" w:right="100" w:hanging="11"/>
        <w:spacing w:after="0" w:line="279" w:lineRule="auto"/>
        <w:rPr>
          <w:sz w:val="20"/>
          <w:szCs w:val="20"/>
          <w:color w:val="auto"/>
        </w:rPr>
      </w:pPr>
      <w:r>
        <w:rPr>
          <w:rFonts w:ascii="Arial" w:cs="Arial" w:eastAsia="Arial" w:hAnsi="Arial"/>
          <w:sz w:val="17"/>
          <w:szCs w:val="17"/>
          <w:color w:val="auto"/>
        </w:rPr>
        <w:t>Each Class C share represents a non-economic limited partner interest in PAGP. Through a “pass-through” voting right as a result of our ownership of Class C shares of PAGP, our common unitholders and Series A preferred unitholders have the effective right to vote, pro rata with the holders of Class A and Class B shares of PAGP, for the election of eligible PAGP GP directors. The Class C shares of PAGP are voted by us on behalf of and pursuant to instructions received from our common unitholders and Series A preferrred unitholders.</w:t>
      </w:r>
    </w:p>
    <w:p>
      <w:pPr>
        <w:spacing w:after="0" w:line="63" w:lineRule="exact"/>
        <w:rPr>
          <w:sz w:val="20"/>
          <w:szCs w:val="20"/>
          <w:color w:val="auto"/>
        </w:rPr>
      </w:pPr>
    </w:p>
    <w:p>
      <w:pPr>
        <w:ind w:left="20" w:right="20" w:hanging="11"/>
        <w:spacing w:after="0" w:line="277" w:lineRule="auto"/>
        <w:rPr>
          <w:sz w:val="20"/>
          <w:szCs w:val="20"/>
          <w:color w:val="auto"/>
        </w:rPr>
      </w:pPr>
      <w:r>
        <w:rPr>
          <w:rFonts w:ascii="Arial" w:cs="Arial" w:eastAsia="Arial" w:hAnsi="Arial"/>
          <w:sz w:val="18"/>
          <w:szCs w:val="18"/>
          <w:color w:val="auto"/>
        </w:rPr>
        <w:t>Represents percentage ownership of Common Unit Equivalents. Series B preferred units are not convertible into common units and are not included in Common Unit Equivalents.</w:t>
      </w:r>
    </w:p>
    <w:p>
      <w:pPr>
        <w:spacing w:after="0" w:line="62" w:lineRule="exact"/>
        <w:rPr>
          <w:sz w:val="20"/>
          <w:szCs w:val="20"/>
          <w:color w:val="auto"/>
        </w:rPr>
      </w:pPr>
    </w:p>
    <w:p>
      <w:pPr>
        <w:ind w:left="20" w:right="980" w:hanging="11"/>
        <w:spacing w:after="0" w:line="308" w:lineRule="auto"/>
        <w:rPr>
          <w:sz w:val="20"/>
          <w:szCs w:val="20"/>
          <w:color w:val="auto"/>
        </w:rPr>
      </w:pPr>
      <w:r>
        <w:rPr>
          <w:rFonts w:ascii="Arial" w:cs="Arial" w:eastAsia="Arial" w:hAnsi="Arial"/>
          <w:sz w:val="17"/>
          <w:szCs w:val="17"/>
          <w:color w:val="auto"/>
        </w:rPr>
        <w:t>The Partnership holds direct and indirect ownership interests in consolidated operating subsidiaries including, but not limited to, Plains Marketing, L.P., Plains Pipeline, L.P., Plains Midstream Canada ULC (“PMCULC”) and PAA Natural Gas Storage, L.P.</w:t>
      </w:r>
    </w:p>
    <w:p>
      <w:pPr>
        <w:spacing w:after="0" w:line="38" w:lineRule="exact"/>
        <w:rPr>
          <w:sz w:val="20"/>
          <w:szCs w:val="20"/>
          <w:color w:val="auto"/>
        </w:rPr>
      </w:pPr>
    </w:p>
    <w:p>
      <w:pPr>
        <w:ind w:left="20" w:right="20" w:hanging="11"/>
        <w:spacing w:after="0" w:line="257" w:lineRule="auto"/>
        <w:rPr>
          <w:sz w:val="20"/>
          <w:szCs w:val="20"/>
          <w:color w:val="auto"/>
        </w:rPr>
      </w:pPr>
      <w:r>
        <w:rPr>
          <w:rFonts w:ascii="Arial" w:cs="Arial" w:eastAsia="Arial" w:hAnsi="Arial"/>
          <w:sz w:val="18"/>
          <w:szCs w:val="18"/>
          <w:color w:val="auto"/>
        </w:rPr>
        <w:t>The Partnership holds indirect equity interests in unconsolidated entities including Advantage Pipeline, L.L.C., BridgeTex Pipeline Company, LLC, Cactus II Pipeline LLC, Caddo Pipeline LLC, Capline Pipeline Company LLC, Cheyenne Pipeline LLC, Cushing Connect Pipeline &amp; Terminal LLC, Diamond Pipeline LLC, Eagle Ford Pipeline LLC, Eagle Ford Terminals Corpus Christi LLC, Midway Pipeline LLC, Red Oak Pipeline LLC, Saddlehorn Pipeline Company, LLC, Settoon Towing, LLC, STACK Pipeline LLC, White Cliffs Pipeline, L.L.C. and Wink to Webster Pipeline LLC.</w:t>
      </w:r>
    </w:p>
    <w:p>
      <w:pPr>
        <w:spacing w:after="0" w:line="200" w:lineRule="exact"/>
        <w:rPr>
          <w:sz w:val="20"/>
          <w:szCs w:val="20"/>
          <w:color w:val="auto"/>
        </w:rPr>
      </w:pPr>
    </w:p>
    <w:p>
      <w:pPr>
        <w:sectPr>
          <w:pgSz w:w="11900" w:h="16838" w:orient="portrait"/>
          <w:cols w:equalWidth="0" w:num="2">
            <w:col w:w="140" w:space="500"/>
            <w:col w:w="10700"/>
          </w:cols>
          <w:pgMar w:left="240" w:top="125" w:right="3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principal business strategy is to provide competitive and efficient midstream transportation, terminalling, storage, processing, fractionation and supply and logistics services to producers, refiners and other customers. Toward this end, we endeavor to address regional supply and demand imbalances for crude oil and NGL in the United States and Canada by combining the strategic location and capabilities of our transportation, terminalling, storage, processing and fractionation assets with our supply, logistics and distribution expertise. We believe successful execution of this strategy will enable us to generate sustainable earnings and cash flow. We intend to execute our strategy by:</w:t>
      </w:r>
    </w:p>
    <w:p>
      <w:pPr>
        <w:spacing w:after="0" w:line="121" w:lineRule="exact"/>
        <w:rPr>
          <w:sz w:val="20"/>
          <w:szCs w:val="20"/>
          <w:color w:val="auto"/>
        </w:rPr>
      </w:pPr>
    </w:p>
    <w:p>
      <w:pPr>
        <w:ind w:left="1060" w:hanging="404"/>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Focusing on operational excellence, continuous improvement and running a safe, reliable, environmentally and socially responsible operation;</w:t>
      </w:r>
    </w:p>
    <w:p>
      <w:pPr>
        <w:spacing w:after="0" w:line="140" w:lineRule="exact"/>
        <w:rPr>
          <w:rFonts w:ascii="Arial" w:cs="Arial" w:eastAsia="Arial" w:hAnsi="Arial"/>
          <w:sz w:val="16"/>
          <w:szCs w:val="16"/>
          <w:color w:val="auto"/>
        </w:rPr>
      </w:pPr>
    </w:p>
    <w:p>
      <w:pPr>
        <w:ind w:left="1060" w:right="140" w:hanging="404"/>
        <w:spacing w:after="0" w:line="286" w:lineRule="auto"/>
        <w:tabs>
          <w:tab w:leader="none" w:pos="1055" w:val="left"/>
        </w:tabs>
        <w:numPr>
          <w:ilvl w:val="0"/>
          <w:numId w:val="5"/>
        </w:numPr>
        <w:rPr>
          <w:rFonts w:ascii="Arial" w:cs="Arial" w:eastAsia="Arial" w:hAnsi="Arial"/>
          <w:sz w:val="17"/>
          <w:szCs w:val="17"/>
          <w:color w:val="auto"/>
        </w:rPr>
      </w:pPr>
      <w:r>
        <w:rPr>
          <w:rFonts w:ascii="Arial" w:cs="Arial" w:eastAsia="Arial" w:hAnsi="Arial"/>
          <w:sz w:val="17"/>
          <w:szCs w:val="17"/>
          <w:color w:val="auto"/>
        </w:rPr>
        <w:t>Enabling North American production growth and creating access to multiple markets through the development and implementation of timely and competitive solutions that support evolving crude oil and NGL needs in the midstream transportation and infrastructure sector in North America and are well positioned to benefit from long-term industry trends and opportunities;</w:t>
      </w:r>
    </w:p>
    <w:p>
      <w:pPr>
        <w:spacing w:after="0" w:line="57" w:lineRule="exact"/>
        <w:rPr>
          <w:rFonts w:ascii="Arial" w:cs="Arial" w:eastAsia="Arial" w:hAnsi="Arial"/>
          <w:sz w:val="17"/>
          <w:szCs w:val="17"/>
          <w:color w:val="auto"/>
        </w:rPr>
      </w:pPr>
    </w:p>
    <w:p>
      <w:pPr>
        <w:ind w:left="1060" w:right="80" w:hanging="404"/>
        <w:spacing w:after="0" w:line="264" w:lineRule="auto"/>
        <w:tabs>
          <w:tab w:leader="none" w:pos="1055" w:val="left"/>
        </w:tabs>
        <w:numPr>
          <w:ilvl w:val="0"/>
          <w:numId w:val="5"/>
        </w:numPr>
        <w:rPr>
          <w:rFonts w:ascii="Arial" w:cs="Arial" w:eastAsia="Arial" w:hAnsi="Arial"/>
          <w:sz w:val="18"/>
          <w:szCs w:val="18"/>
          <w:color w:val="auto"/>
        </w:rPr>
      </w:pPr>
      <w:r>
        <w:rPr>
          <w:rFonts w:ascii="Arial" w:cs="Arial" w:eastAsia="Arial" w:hAnsi="Arial"/>
          <w:sz w:val="18"/>
          <w:szCs w:val="18"/>
          <w:color w:val="auto"/>
        </w:rPr>
        <w:t>Using our transportation, terminalling, storage, processing and fractionation assets in conjunction with our commercial capabilities to provide flexibility and deliver value chain solutions to our customers, capture market opportunities, address physical market imbalances, mitigate inherent risks and sustain or increase margins;</w:t>
      </w:r>
    </w:p>
    <w:p>
      <w:pPr>
        <w:spacing w:after="0" w:line="73" w:lineRule="exact"/>
        <w:rPr>
          <w:rFonts w:ascii="Arial" w:cs="Arial" w:eastAsia="Arial" w:hAnsi="Arial"/>
          <w:sz w:val="18"/>
          <w:szCs w:val="18"/>
          <w:color w:val="auto"/>
        </w:rPr>
      </w:pPr>
    </w:p>
    <w:p>
      <w:pPr>
        <w:ind w:left="1060" w:right="780" w:hanging="404"/>
        <w:spacing w:after="0" w:line="277" w:lineRule="auto"/>
        <w:tabs>
          <w:tab w:leader="none" w:pos="10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Optimizing our operations and portfolio of assets by delivering industry leading reliability and efficiency in order to attract business opportunities and enhance returns; and</w:t>
      </w:r>
    </w:p>
    <w:p>
      <w:pPr>
        <w:spacing w:after="0" w:line="62" w:lineRule="exact"/>
        <w:rPr>
          <w:rFonts w:ascii="Arial" w:cs="Arial" w:eastAsia="Arial" w:hAnsi="Arial"/>
          <w:sz w:val="18"/>
          <w:szCs w:val="18"/>
          <w:color w:val="auto"/>
        </w:rPr>
      </w:pPr>
    </w:p>
    <w:p>
      <w:pPr>
        <w:ind w:left="1060" w:right="220" w:hanging="404"/>
        <w:spacing w:after="0" w:line="342" w:lineRule="auto"/>
        <w:tabs>
          <w:tab w:leader="none" w:pos="1055" w:val="left"/>
        </w:tabs>
        <w:numPr>
          <w:ilvl w:val="0"/>
          <w:numId w:val="5"/>
        </w:numPr>
        <w:rPr>
          <w:rFonts w:ascii="Arial" w:cs="Arial" w:eastAsia="Arial" w:hAnsi="Arial"/>
          <w:sz w:val="16"/>
          <w:szCs w:val="16"/>
          <w:color w:val="auto"/>
        </w:rPr>
      </w:pPr>
      <w:r>
        <w:rPr>
          <w:rFonts w:ascii="Arial" w:cs="Arial" w:eastAsia="Arial" w:hAnsi="Arial"/>
          <w:sz w:val="16"/>
          <w:szCs w:val="16"/>
          <w:color w:val="auto"/>
        </w:rPr>
        <w:t>Pursuing a balanced, long-term financial strategy that is focused on enhancing financial flexibility by making disciplined capital allocation decisions that sustain or increase distributable cash flow and returns, while sustainably increasing cash returned to equity holders over time.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competitive strengths position us to successfully execute our principal business strategy:</w:t>
      </w:r>
    </w:p>
    <w:p>
      <w:pPr>
        <w:spacing w:after="0" w:line="158" w:lineRule="exact"/>
        <w:rPr>
          <w:sz w:val="20"/>
          <w:szCs w:val="20"/>
          <w:color w:val="auto"/>
        </w:rPr>
      </w:pPr>
    </w:p>
    <w:p>
      <w:pPr>
        <w:ind w:left="980" w:right="80" w:hanging="324"/>
        <w:spacing w:after="0" w:line="291" w:lineRule="auto"/>
        <w:tabs>
          <w:tab w:leader="none" w:pos="97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Many of our assets are strategically located, part of an integrated value chain and operationally flexible. </w:t>
      </w:r>
      <w:r>
        <w:rPr>
          <w:rFonts w:ascii="Arial" w:cs="Arial" w:eastAsia="Arial" w:hAnsi="Arial"/>
          <w:sz w:val="16"/>
          <w:szCs w:val="16"/>
          <w:color w:val="auto"/>
        </w:rPr>
        <w:t>The majority of our primary</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segment assets are in crude oil service, are located in well-established crude oil producing regions (with our largest asset presence in the Permian Basin) and other transportation corridors and are connected, directly or indirectly, with our Facilities segment assets. The majority of our Facilities segment assets are located at major trading locations and premium markets that serve as gateways to major North American refinery and distribution markets where we have strong business relationships. In addition, our assets include pipeline, rail, barge, truck and storage assets, which provide our customers and us with significant flexibility and optionality to satisfy demand and balance markets, particularly during a dynamic period of changing product flows and recent developments with respect to rising crude oil exports.</w:t>
      </w:r>
    </w:p>
    <w:p>
      <w:pPr>
        <w:spacing w:after="0" w:line="59" w:lineRule="exact"/>
        <w:rPr>
          <w:rFonts w:ascii="Arial" w:cs="Arial" w:eastAsia="Arial" w:hAnsi="Arial"/>
          <w:sz w:val="16"/>
          <w:szCs w:val="16"/>
          <w:color w:val="auto"/>
        </w:rPr>
      </w:pPr>
    </w:p>
    <w:p>
      <w:pPr>
        <w:ind w:left="980" w:right="160" w:hanging="324"/>
        <w:spacing w:after="0" w:line="259"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We possess specialized crude oil and NGL market knowledge. </w:t>
      </w:r>
      <w:r>
        <w:rPr>
          <w:rFonts w:ascii="Arial" w:cs="Arial" w:eastAsia="Arial" w:hAnsi="Arial"/>
          <w:sz w:val="18"/>
          <w:szCs w:val="18"/>
          <w:color w:val="auto"/>
        </w:rPr>
        <w:t>We believe our business relationships with participants in various phases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and NGL distribution chain, from producers to refiners, as well as our own industry expertise (including our knowledge of North American crude oil and NGL flows), provide us with extensive market insight and an understanding of the North American physical crude oil and NGL markets that enables us to provide value chain solutions for our customers.</w:t>
      </w:r>
    </w:p>
    <w:p>
      <w:pPr>
        <w:spacing w:after="0" w:line="78" w:lineRule="exact"/>
        <w:rPr>
          <w:rFonts w:ascii="Arial" w:cs="Arial" w:eastAsia="Arial" w:hAnsi="Arial"/>
          <w:sz w:val="18"/>
          <w:szCs w:val="18"/>
          <w:color w:val="auto"/>
        </w:rPr>
      </w:pPr>
    </w:p>
    <w:p>
      <w:pPr>
        <w:ind w:left="980" w:right="120" w:hanging="324"/>
        <w:spacing w:after="0" w:line="259"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Our supply and logistics activities typically generate a positive margin with the opportunity to realize incremental margins. </w:t>
      </w:r>
      <w:r>
        <w:rPr>
          <w:rFonts w:ascii="Arial" w:cs="Arial" w:eastAsia="Arial" w:hAnsi="Arial"/>
          <w:sz w:val="18"/>
          <w:szCs w:val="18"/>
          <w:color w:val="auto"/>
        </w:rPr>
        <w:t>We believe the</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activities executed within our Supply and Logistics segment in combination with our risk management strategies provides us with a low-risk opportunity to generate incremental margin, the amount of which may vary depending on market conditions (such as differentials and certain competitive factors).</w:t>
      </w:r>
    </w:p>
    <w:p>
      <w:pPr>
        <w:spacing w:after="0" w:line="78" w:lineRule="exact"/>
        <w:rPr>
          <w:rFonts w:ascii="Arial" w:cs="Arial" w:eastAsia="Arial" w:hAnsi="Arial"/>
          <w:sz w:val="18"/>
          <w:szCs w:val="18"/>
          <w:color w:val="auto"/>
        </w:rPr>
      </w:pPr>
    </w:p>
    <w:p>
      <w:pPr>
        <w:ind w:left="980" w:hanging="324"/>
        <w:spacing w:after="0" w:line="270"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We have the strategic and technical skills and the financial flexibility to continue to pursue strategic transactions, including joint ventures, joint ownership arrangements, acquisitions or divestitures. </w:t>
      </w:r>
      <w:r>
        <w:rPr>
          <w:rFonts w:ascii="Arial" w:cs="Arial" w:eastAsia="Arial" w:hAnsi="Arial"/>
          <w:sz w:val="17"/>
          <w:szCs w:val="17"/>
          <w:color w:val="auto"/>
        </w:rPr>
        <w:t>Since 2016, we have consummated over 10 joint venture and/or joint ownership</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and completed over $3 billion of divestitures of non-core assets and/or strategic sales of partial interests in selected assets. In addition, since our initial public offering, we have completed and integrated over 90 acquisitions with an aggregate purchase price of approximately $13.3 billion, and we have also implemented expansion capital projects totaling approximately $15.8 billion. In addition, considering our investment grade credit ratings at two of three agencies, liquidity and capital structure, we believe we have the financial resources and strength necessary to finance future strategic expansion, joint venture and acquisition opportunities. As of December 31, 2019, we had approximately $2.5 billion of liquidity available, including cash and cash equivalents and availability under our committed credit facilities, subject to continued covenant compliance.</w:t>
      </w:r>
    </w:p>
    <w:p>
      <w:pPr>
        <w:spacing w:after="0" w:line="73" w:lineRule="exact"/>
        <w:rPr>
          <w:rFonts w:ascii="Arial" w:cs="Arial" w:eastAsia="Arial" w:hAnsi="Arial"/>
          <w:sz w:val="17"/>
          <w:szCs w:val="17"/>
          <w:color w:val="auto"/>
        </w:rPr>
      </w:pPr>
    </w:p>
    <w:p>
      <w:pPr>
        <w:ind w:left="980" w:right="20" w:hanging="324"/>
        <w:spacing w:after="0" w:line="279"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We have an experienced management team whose interests are aligned with those of our unitholders. </w:t>
      </w:r>
      <w:r>
        <w:rPr>
          <w:rFonts w:ascii="Arial" w:cs="Arial" w:eastAsia="Arial" w:hAnsi="Arial"/>
          <w:sz w:val="17"/>
          <w:szCs w:val="17"/>
          <w:color w:val="auto"/>
        </w:rPr>
        <w:t>Our executive management team has an</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of 30+ years of experience spanning across all sectors of the energy industry, as well as investment banking, and an average of 17 years with us or our predecessors and affiliates. In addition, through their ownership of common units and grants of phantom units and interests in our general partner, our management team has a vested interest in our continued success.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Strategy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25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believe that a major factor in our continued success is our ability to maintain significant financial flexibility, a competitive cost of capital and access to the capital markets. In that regard, we intend to maintain a credit profile that we believe is consistent with investment grade credit ratings. We target a credit profile with the following attributes:</w:t>
      </w:r>
    </w:p>
    <w:p>
      <w:pPr>
        <w:spacing w:after="0" w:line="208" w:lineRule="exact"/>
        <w:rPr>
          <w:sz w:val="20"/>
          <w:szCs w:val="20"/>
          <w:color w:val="auto"/>
        </w:rPr>
      </w:pPr>
    </w:p>
    <w:p>
      <w:pPr>
        <w:ind w:left="980" w:right="40" w:hanging="324"/>
        <w:spacing w:after="0" w:line="255"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long-term debt-to-Adjusted EBITDA multiple averaging between 3.0x and 3.5x (“Adjusted EBITDA” is earnings before interest, taxes, depreciation and amortization (including our proportionate share of depreciation and amortization and gains and losses on significant asset sales by unconsolidated entities), gains and losses on asset sales and asset impairments, and gains on sales of investments in unconsolidated entities, adjusted for selected items that impact comparability. See Item 7. “Management’s Discussion and Analysis of Financial Condition and Results of Operations—Results of Operations—Non-GAAP Financial Measures” for a discussion of our selected items that impact comparability and our non-GAAP measures.);</w:t>
      </w:r>
    </w:p>
    <w:p>
      <w:pPr>
        <w:spacing w:after="0" w:line="8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50% or less;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or less;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first two of these four metrics include long-term debt as a critical measure, but do not include certain components of our capital structure such as short-term debt, preferred units and operating leases that may be considered by rating agencies in assigning their ratings. At December 31, 2019, our publicly-traded senior notes comprised approximately 97% of our reported long-term debt. Additionally, we also routinely incur short-term debt primarily in connection with our supply and logistics activities that involve the simultaneous purchase and forward sale of crude oil and NGL. The crude oil and NGL purchased in these transactions are hedged. These borrowings are self-liquidating as they are repaid with sales proceeds. We also incur short-term debt to fund New York Mercantile Exchange (“NYMEX”) and Intercontinental Exchange (“ICE”) margin requirements. In certain market conditions, these routine short-term debt levels may increase above certain baseline levels. Similar to our working capital borrowings, these borrowings are self-liquidating. We do not consider the working capital borrowings or margin requirements associated with these activities to be part of our long-term capital structure.</w:t>
      </w:r>
    </w:p>
    <w:p>
      <w:pPr>
        <w:spacing w:after="0" w:line="193"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To maintain our targeted credit profile and achieve growth through acquisitions and expansion capital, we have historically targeted to fund approximately 55% of the capital requirements associated with these activities with equity, cash flow in excess of distributions or proceeds from asset sales. However, in connection with our leverage reduction plan, as discussed below, and in recognition of challenging financial markets, we have retained a larger amount of cash flow in excess of distributions and sold a meaningful amount of assets to fund the equity portion of our expansion capital investments, while refraining from accessing the equity capital markets. Additionally, from time to time, we may be outside the parameters of our targeted credit profile as, in certain cases, capital expenditures and acquisitions may be financed initially using debt or there may be delays in realizing anticipated synergies from acquisitions or contributions from expansion capital projects to Adjusted EBITDA.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Reduction Plan</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August 2017, we announced that we were implementing an action plan to strengthen our balance sheet, reduce leverage, enhance our distribution coverage, minimize new issuances of common equity and position the Partnership for future distribution growth. In April 2019, we announced our achievement of these objectives. See Item 7. “Management’s Discussion and Analysis of Financial Condition and Results of Operations—Executive Summary” for a summary of this action plan.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Values and Social Responsibility</w:t>
      </w:r>
    </w:p>
    <w:p>
      <w:pPr>
        <w:spacing w:after="0" w:line="256"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Our Core Values include Safety and Environmental Stewardship, Accountability, Ethics and Integrity and Respect and Fairness. Our Code of Business Conduct sets forth the ways in which these Core Values govern how we conduct ourselves and engage in business relationships. Additional information about our Core Values and our commitment to environmental and social responsibility is available in the Social Responsibility portion of our website. See “—Available Information”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Investment, Acquisition and Divestiture Activities</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response to changing U.S. production profiles, increased competition for new build assets and our desire to make disciplined capital investment decisions, over the last several years, we have increased our joint venture and/or joint ownership related activities in an effort to fully meet the current and future needs of our customers while also optimizing and rationalizing assets and enhancing our investment returns. The vast majority of our joint ventures are accounted for as investments in unconsolidated subsidiaries.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20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also continuously evaluate whether we should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w:t>
      </w:r>
    </w:p>
    <w:p>
      <w:pPr>
        <w:spacing w:after="0" w:line="21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 See Item 1A. “Risk Factors—Risks Related to Our Business—Acquisitions, divestitures and joint ventures involve risks that may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Activities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2019, we entered into four new joint ventures (“JV”) and consummated two new undivided joint interest (“UJI”) arrangements with long-term partners throughout the industry value chain. In total, we are now party to over 25 JV and UJI arrangements spanning across multiple North American basins. These capital-efficient arrangements allow for strategic alignment with long-term industry partners who are able to add volume commitments to the systems and improve our project returns.</w:t>
      </w:r>
    </w:p>
    <w:p>
      <w:pPr>
        <w:sectPr>
          <w:pgSz w:w="11900" w:h="16838" w:orient="portrait"/>
          <w:cols w:equalWidth="0" w:num="1">
            <w:col w:w="11380"/>
          </w:cols>
          <w:pgMar w:left="240" w:top="125" w:right="279" w:bottom="1440" w:gutter="0" w:footer="0" w:header="0"/>
        </w:sect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JVs as of December 31, 2019: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5960" w:val="left"/>
        </w:tabs>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9"/>
          <w:szCs w:val="9"/>
          <w:b w:val="1"/>
          <w:bCs w:val="1"/>
          <w:color w:val="auto"/>
        </w:rPr>
        <w:t>(1)</w:t>
      </w:r>
      <w:r>
        <w:rPr>
          <w:sz w:val="20"/>
          <w:szCs w:val="20"/>
          <w:color w:val="auto"/>
        </w:rPr>
        <w:tab/>
      </w:r>
      <w:r>
        <w:rPr>
          <w:rFonts w:ascii="Arial" w:cs="Arial" w:eastAsia="Arial" w:hAnsi="Arial"/>
          <w:sz w:val="13"/>
          <w:szCs w:val="13"/>
          <w:b w:val="1"/>
          <w:bCs w:val="1"/>
          <w:color w:val="auto"/>
        </w:rPr>
        <w:t>Type of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JV</w:t>
      </w:r>
    </w:p>
    <w:p>
      <w:pPr>
        <w:spacing w:after="0" w:line="42"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Ownership</w:t>
      </w:r>
      <w:r>
        <w:rPr>
          <w:sz w:val="20"/>
          <w:szCs w:val="20"/>
          <w:color w:val="auto"/>
        </w:rPr>
        <w:tab/>
      </w:r>
      <w:r>
        <w:rPr>
          <w:rFonts w:ascii="Arial" w:cs="Arial" w:eastAsia="Arial" w:hAnsi="Arial"/>
          <w:sz w:val="12"/>
          <w:szCs w:val="12"/>
          <w:b w:val="1"/>
          <w:bCs w:val="1"/>
          <w:color w:val="auto"/>
        </w:rPr>
        <w:t>Investment</w:t>
      </w:r>
    </w:p>
    <w:p>
      <w:pPr>
        <w:spacing w:after="0" w:line="65" w:lineRule="exact"/>
        <w:rPr>
          <w:sz w:val="20"/>
          <w:szCs w:val="20"/>
          <w:color w:val="auto"/>
        </w:rPr>
      </w:pPr>
    </w:p>
    <w:p>
      <w:pPr>
        <w:spacing w:after="0"/>
        <w:tabs>
          <w:tab w:leader="none" w:pos="1400" w:val="left"/>
        </w:tabs>
        <w:rPr>
          <w:sz w:val="20"/>
          <w:szCs w:val="20"/>
          <w:color w:val="auto"/>
        </w:rPr>
      </w:pPr>
      <w:r>
        <w:rPr>
          <w:rFonts w:ascii="Arial" w:cs="Arial" w:eastAsia="Arial" w:hAnsi="Arial"/>
          <w:sz w:val="14"/>
          <w:szCs w:val="14"/>
          <w:b w:val="1"/>
          <w:bCs w:val="1"/>
          <w:color w:val="auto"/>
        </w:rPr>
        <w:t>Percentage</w:t>
      </w:r>
      <w:r>
        <w:rPr>
          <w:sz w:val="20"/>
          <w:szCs w:val="20"/>
          <w:color w:val="auto"/>
        </w:rPr>
        <w:tab/>
      </w:r>
      <w:r>
        <w:rPr>
          <w:rFonts w:ascii="Arial" w:cs="Arial" w:eastAsia="Arial" w:hAnsi="Arial"/>
          <w:sz w:val="14"/>
          <w:szCs w:val="14"/>
          <w:b w:val="1"/>
          <w:bCs w:val="1"/>
          <w:color w:val="auto"/>
        </w:rPr>
        <w:t>Balance</w:t>
      </w:r>
    </w:p>
    <w:p>
      <w:pPr>
        <w:spacing w:after="0" w:line="63" w:lineRule="exact"/>
        <w:rPr>
          <w:sz w:val="20"/>
          <w:szCs w:val="20"/>
          <w:color w:val="auto"/>
        </w:rPr>
      </w:pPr>
    </w:p>
    <w:p>
      <w:pPr>
        <w:sectPr>
          <w:pgSz w:w="11900" w:h="16838" w:orient="portrait"/>
          <w:cols w:equalWidth="0" w:num="2">
            <w:col w:w="7960" w:space="720"/>
            <w:col w:w="2700"/>
          </w:cols>
          <w:pgMar w:left="240" w:top="125" w:right="279" w:bottom="1440" w:gutter="0" w:footer="0" w:header="0"/>
          <w:type w:val="continuous"/>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Advantage Pipeline Holdings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BridgeTex Pipeline Company,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Cactus II Pipeline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Caddo Pipeline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Capline Pipeline Company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Cheyenne Pipeline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Cushing Connect Pipeline &amp; Terminal LLC</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Diamond Pipeline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Eagle Ford Pipeline LLC</w:t>
      </w:r>
    </w:p>
    <w:p>
      <w:pPr>
        <w:spacing w:after="0" w:line="90" w:lineRule="exact"/>
        <w:rPr>
          <w:sz w:val="20"/>
          <w:szCs w:val="20"/>
          <w:color w:val="auto"/>
        </w:rPr>
      </w:pPr>
    </w:p>
    <w:p>
      <w:pPr>
        <w:ind w:left="20" w:right="1600"/>
        <w:spacing w:after="0" w:line="297" w:lineRule="auto"/>
        <w:rPr>
          <w:sz w:val="20"/>
          <w:szCs w:val="20"/>
          <w:color w:val="auto"/>
        </w:rPr>
      </w:pPr>
      <w:r>
        <w:rPr>
          <w:rFonts w:ascii="Arial" w:cs="Arial" w:eastAsia="Arial" w:hAnsi="Arial"/>
          <w:sz w:val="18"/>
          <w:szCs w:val="18"/>
          <w:color w:val="auto"/>
        </w:rPr>
        <w:t>Eagle Ford Terminals Corpus Christi LLC Midway Pipeline LLC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Red Oak Pipeline LLC</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Red River Pipeline Company LLC </w:t>
      </w:r>
      <w:r>
        <w:rPr>
          <w:rFonts w:ascii="Arial" w:cs="Arial" w:eastAsia="Arial" w:hAnsi="Arial"/>
          <w:sz w:val="23"/>
          <w:szCs w:val="23"/>
          <w:color w:val="auto"/>
          <w:vertAlign w:val="superscript"/>
        </w:rPr>
        <w:t>(5)</w:t>
      </w:r>
    </w:p>
    <w:p>
      <w:pPr>
        <w:ind w:left="20"/>
        <w:spacing w:after="0"/>
        <w:rPr>
          <w:sz w:val="20"/>
          <w:szCs w:val="20"/>
          <w:color w:val="auto"/>
        </w:rPr>
      </w:pPr>
      <w:r>
        <w:rPr>
          <w:rFonts w:ascii="Arial" w:cs="Arial" w:eastAsia="Arial" w:hAnsi="Arial"/>
          <w:sz w:val="18"/>
          <w:szCs w:val="18"/>
          <w:color w:val="auto"/>
        </w:rPr>
        <w:t xml:space="preserve">Saddlehorn Pipeline Company, LLC </w:t>
      </w:r>
      <w:r>
        <w:rPr>
          <w:rFonts w:ascii="Arial" w:cs="Arial" w:eastAsia="Arial" w:hAnsi="Arial"/>
          <w:sz w:val="23"/>
          <w:szCs w:val="23"/>
          <w:color w:val="auto"/>
          <w:vertAlign w:val="superscript"/>
        </w:rPr>
        <w:t>(5)</w:t>
      </w:r>
    </w:p>
    <w:p>
      <w:pPr>
        <w:ind w:left="20"/>
        <w:spacing w:after="0"/>
        <w:rPr>
          <w:sz w:val="20"/>
          <w:szCs w:val="20"/>
          <w:color w:val="auto"/>
        </w:rPr>
      </w:pPr>
      <w:r>
        <w:rPr>
          <w:rFonts w:ascii="Arial" w:cs="Arial" w:eastAsia="Arial" w:hAnsi="Arial"/>
          <w:sz w:val="18"/>
          <w:szCs w:val="18"/>
          <w:color w:val="auto"/>
        </w:rPr>
        <w:t>Settoon Towing, LLC</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STACK Pipeline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White Cliffs Pipeline, LLC</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Wink to Webster Pipeline LLC </w:t>
      </w:r>
      <w:r>
        <w:rPr>
          <w:rFonts w:ascii="Arial" w:cs="Arial" w:eastAsia="Arial" w:hAnsi="Arial"/>
          <w:sz w:val="23"/>
          <w:szCs w:val="23"/>
          <w:color w:val="auto"/>
          <w:vertAlign w:val="superscript"/>
        </w:rPr>
        <w:t>(5)</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24955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Arial" w:cs="Arial" w:eastAsia="Arial" w:hAnsi="Arial"/>
          <w:sz w:val="18"/>
          <w:szCs w:val="18"/>
          <w:color w:val="auto"/>
        </w:rPr>
        <w:t>Crude Oil Pipeline</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Crude Oil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31750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(2)</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-31115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(3)</w:t>
      </w:r>
    </w:p>
    <w:p>
      <w:pPr>
        <w:ind w:left="400"/>
        <w:spacing w:after="0" w:line="213" w:lineRule="auto"/>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-8890</wp:posOffset>
            </wp:positionV>
            <wp:extent cx="7246620"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jc w:val="center"/>
        <w:ind w:right="380"/>
        <w:spacing w:after="0" w:line="183" w:lineRule="auto"/>
        <w:rPr>
          <w:sz w:val="20"/>
          <w:szCs w:val="20"/>
          <w:color w:val="auto"/>
        </w:rPr>
      </w:pPr>
      <w:r>
        <w:rPr>
          <w:rFonts w:ascii="Arial" w:cs="Arial" w:eastAsia="Arial" w:hAnsi="Arial"/>
          <w:sz w:val="16"/>
          <w:szCs w:val="16"/>
          <w:color w:val="auto"/>
        </w:rPr>
        <w:t xml:space="preserve">Crude Oil Pipeline </w:t>
      </w:r>
      <w:r>
        <w:rPr>
          <w:rFonts w:ascii="Arial" w:cs="Arial" w:eastAsia="Arial" w:hAnsi="Arial"/>
          <w:sz w:val="20"/>
          <w:szCs w:val="20"/>
          <w:color w:val="auto"/>
          <w:vertAlign w:val="superscript"/>
        </w:rPr>
        <w:t>(4)</w:t>
      </w:r>
    </w:p>
    <w:p>
      <w:pPr>
        <w:spacing w:after="0" w:line="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 xml:space="preserve">and Terminal </w:t>
      </w:r>
      <w:r>
        <w:rPr>
          <w:rFonts w:ascii="Arial" w:cs="Arial" w:eastAsia="Arial" w:hAnsi="Arial"/>
          <w:sz w:val="23"/>
          <w:szCs w:val="23"/>
          <w:color w:val="auto"/>
          <w:vertAlign w:val="superscript"/>
        </w:rPr>
        <w:t>(2)</w:t>
      </w:r>
    </w:p>
    <w:p>
      <w:pPr>
        <w:spacing w:after="0" w:line="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-31115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(2)</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Crude Oil Terminal and Dock </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-9525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(2)</w:t>
      </w:r>
    </w:p>
    <w:p>
      <w:pPr>
        <w:spacing w:after="0" w:line="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-31115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0"/>
        <w:spacing w:after="0" w:line="225" w:lineRule="auto"/>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(2)</w:t>
      </w:r>
    </w:p>
    <w:p>
      <w:pPr>
        <w:spacing w:after="0" w:line="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Crude Oil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21590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Barge Transportation Services</w:t>
      </w:r>
    </w:p>
    <w:p>
      <w:pPr>
        <w:spacing w:after="0" w:line="9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-17780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jc w:val="center"/>
        <w:ind w:right="380"/>
        <w:spacing w:after="0"/>
        <w:rPr>
          <w:sz w:val="20"/>
          <w:szCs w:val="20"/>
          <w:color w:val="auto"/>
        </w:rPr>
      </w:pPr>
      <w:r>
        <w:rPr>
          <w:rFonts w:ascii="Arial" w:cs="Arial" w:eastAsia="Arial" w:hAnsi="Arial"/>
          <w:sz w:val="18"/>
          <w:szCs w:val="18"/>
          <w:color w:val="auto"/>
        </w:rPr>
        <w:t>Crude Oil Pipeline</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-20955</wp:posOffset>
            </wp:positionV>
            <wp:extent cx="7246620"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920" w:val="left"/>
          <w:tab w:leader="none" w:pos="18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76</w:t>
      </w:r>
    </w:p>
    <w:p>
      <w:pPr>
        <w:spacing w:after="0" w:line="6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color w:val="auto"/>
        </w:rPr>
        <w:t>431</w:t>
      </w:r>
    </w:p>
    <w:p>
      <w:pPr>
        <w:spacing w:after="0" w:line="6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738</w:t>
      </w:r>
    </w:p>
    <w:p>
      <w:pPr>
        <w:spacing w:after="0" w:line="63"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65</w:t>
      </w:r>
    </w:p>
    <w:p>
      <w:pPr>
        <w:spacing w:after="0" w:line="6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484</w:t>
      </w:r>
    </w:p>
    <w:p>
      <w:pPr>
        <w:spacing w:after="0" w:line="63"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44</w:t>
      </w:r>
    </w:p>
    <w:p>
      <w:pPr>
        <w:spacing w:after="0" w:line="198"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23</w:t>
      </w:r>
    </w:p>
    <w:p>
      <w:pPr>
        <w:spacing w:after="0" w:line="6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476</w:t>
      </w:r>
    </w:p>
    <w:p>
      <w:pPr>
        <w:spacing w:after="0" w:line="6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382</w:t>
      </w:r>
    </w:p>
    <w:p>
      <w:pPr>
        <w:spacing w:after="0" w:line="6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126</w:t>
      </w:r>
    </w:p>
    <w:p>
      <w:pPr>
        <w:spacing w:after="0" w:line="63"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76</w:t>
      </w:r>
    </w:p>
    <w:p>
      <w:pPr>
        <w:spacing w:after="0" w:line="63"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20</w:t>
      </w:r>
    </w:p>
    <w:p>
      <w:pPr>
        <w:spacing w:after="0" w:line="23" w:lineRule="exact"/>
        <w:rPr>
          <w:sz w:val="20"/>
          <w:szCs w:val="20"/>
          <w:color w:val="auto"/>
        </w:rPr>
      </w:pPr>
    </w:p>
    <w:p>
      <w:pPr>
        <w:spacing w:after="0"/>
        <w:tabs>
          <w:tab w:leader="none" w:pos="1800" w:val="left"/>
          <w:tab w:leader="none" w:pos="21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vertAlign w:val="subscript"/>
        </w:rPr>
        <w:t>(6)</w:t>
      </w:r>
    </w:p>
    <w:p>
      <w:pPr>
        <w:spacing w:after="0" w:line="10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8"/>
          <w:szCs w:val="18"/>
          <w:color w:val="auto"/>
        </w:rPr>
        <w:t>234</w:t>
      </w:r>
    </w:p>
    <w:p>
      <w:pPr>
        <w:spacing w:after="0" w:line="63"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59</w:t>
      </w:r>
    </w:p>
    <w:p>
      <w:pPr>
        <w:spacing w:after="0" w:line="63"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117</w:t>
      </w:r>
    </w:p>
    <w:p>
      <w:pPr>
        <w:spacing w:after="0" w:line="6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196</w:t>
      </w:r>
    </w:p>
    <w:p>
      <w:pPr>
        <w:spacing w:after="0" w:line="6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136</w:t>
      </w:r>
    </w:p>
    <w:p>
      <w:pPr>
        <w:spacing w:after="0" w:line="77" w:lineRule="exact"/>
        <w:rPr>
          <w:sz w:val="20"/>
          <w:szCs w:val="20"/>
          <w:color w:val="auto"/>
        </w:rPr>
      </w:pPr>
    </w:p>
    <w:p>
      <w:pPr>
        <w:ind w:left="1580" w:hanging="630"/>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3,683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57785</wp:posOffset>
            </wp:positionV>
            <wp:extent cx="7715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43" w:lineRule="exact"/>
        <w:rPr>
          <w:sz w:val="20"/>
          <w:szCs w:val="20"/>
          <w:color w:val="auto"/>
        </w:rPr>
      </w:pPr>
    </w:p>
    <w:p>
      <w:pPr>
        <w:sectPr>
          <w:pgSz w:w="11900" w:h="16838" w:orient="portrait"/>
          <w:cols w:equalWidth="0" w:num="3">
            <w:col w:w="4660" w:space="720"/>
            <w:col w:w="2700" w:space="720"/>
            <w:col w:w="2580"/>
          </w:cols>
          <w:pgMar w:left="240" w:top="125" w:right="279" w:bottom="1440" w:gutter="0" w:footer="0" w:header="0"/>
          <w:type w:val="continuous"/>
        </w:sectPr>
      </w:pPr>
    </w:p>
    <w:p>
      <w:pPr>
        <w:spacing w:after="0" w:line="30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20" w:right="20" w:hanging="11"/>
        <w:spacing w:after="0" w:line="277" w:lineRule="auto"/>
        <w:rPr>
          <w:sz w:val="20"/>
          <w:szCs w:val="20"/>
          <w:color w:val="auto"/>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Asset is operated by Plains.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Capline pipeline was taken out of service pending the reversal of the pipeline system.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Asset is currently under construction or development by the entity and has not yet been placed in service.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Entity owns a UJI in the crude oil pipeline.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consolidate Red River Pipeline Company LLC based on control, with our partner’s 33% interest accounted for as a noncontrolling interest.</w:t>
      </w:r>
    </w:p>
    <w:p>
      <w:pPr>
        <w:spacing w:after="0" w:line="200" w:lineRule="exact"/>
        <w:rPr>
          <w:sz w:val="20"/>
          <w:szCs w:val="20"/>
          <w:color w:val="auto"/>
        </w:rPr>
      </w:pPr>
    </w:p>
    <w:p>
      <w:pPr>
        <w:sectPr>
          <w:pgSz w:w="11900" w:h="16838" w:orient="portrait"/>
          <w:cols w:equalWidth="0" w:num="2">
            <w:col w:w="140" w:space="500"/>
            <w:col w:w="10740"/>
          </w:cols>
          <w:pgMar w:left="240" w:top="125"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The following table summarizes our most significant UJIs as of December 31, 2019, excluding UJIs that are indirectly owned by us through JVs (e.g., Wink to Webster, Saddlehorn and Red River JVs):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Basin Pipeline </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8"/>
          <w:szCs w:val="18"/>
          <w:color w:val="auto"/>
        </w:rPr>
        <w:t xml:space="preserve">Empress Processing </w:t>
      </w:r>
      <w:r>
        <w:rPr>
          <w:rFonts w:ascii="Arial" w:cs="Arial" w:eastAsia="Arial" w:hAnsi="Arial"/>
          <w:sz w:val="23"/>
          <w:szCs w:val="23"/>
          <w:color w:val="auto"/>
          <w:vertAlign w:val="superscript"/>
        </w:rPr>
        <w:t>(2)</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Ft. Saskatchewan NGL Storage, Processing and Fractionation </w:t>
      </w:r>
      <w:r>
        <w:rPr>
          <w:rFonts w:ascii="Arial" w:cs="Arial" w:eastAsia="Arial" w:hAnsi="Arial"/>
          <w:sz w:val="20"/>
          <w:szCs w:val="20"/>
          <w:color w:val="auto"/>
          <w:vertAlign w:val="superscript"/>
        </w:rPr>
        <w:t>(2)</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Kerrobert Storage and Pipeline Assets </w:t>
      </w:r>
      <w:r>
        <w:rPr>
          <w:rFonts w:ascii="Arial" w:cs="Arial" w:eastAsia="Arial" w:hAnsi="Arial"/>
          <w:sz w:val="23"/>
          <w:szCs w:val="23"/>
          <w:color w:val="auto"/>
          <w:vertAlign w:val="superscript"/>
        </w:rPr>
        <w:t>(1)</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Mesa Pipeline </w:t>
      </w:r>
      <w:r>
        <w:rPr>
          <w:rFonts w:ascii="Arial" w:cs="Arial" w:eastAsia="Arial" w:hAnsi="Arial"/>
          <w:sz w:val="23"/>
          <w:szCs w:val="23"/>
          <w:color w:val="auto"/>
          <w:vertAlign w:val="superscript"/>
        </w:rPr>
        <w:t>(1)</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Rocky Mountain Pipelines </w:t>
      </w:r>
      <w:r>
        <w:rPr>
          <w:rFonts w:ascii="Arial" w:cs="Arial" w:eastAsia="Arial" w:hAnsi="Arial"/>
          <w:sz w:val="23"/>
          <w:szCs w:val="23"/>
          <w:color w:val="auto"/>
          <w:vertAlign w:val="superscript"/>
        </w:rPr>
        <w:t>(2)</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Sarnia NGL Storage, Processing and Fractionation </w:t>
      </w:r>
      <w:r>
        <w:rPr>
          <w:rFonts w:ascii="Arial" w:cs="Arial" w:eastAsia="Arial" w:hAnsi="Arial"/>
          <w:sz w:val="23"/>
          <w:szCs w:val="23"/>
          <w:color w:val="auto"/>
          <w:vertAlign w:val="superscript"/>
        </w:rPr>
        <w:t>(2)</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Sunrise II Pipeline </w:t>
      </w:r>
      <w:r>
        <w:rPr>
          <w:rFonts w:ascii="Arial" w:cs="Arial" w:eastAsia="Arial" w:hAnsi="Arial"/>
          <w:sz w:val="23"/>
          <w:szCs w:val="23"/>
          <w:color w:val="auto"/>
          <w:vertAlign w:val="superscript"/>
        </w:rPr>
        <w:t>(1)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Superior Storage and Fractionation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24955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Asset is operated by Plains.</w:t>
      </w:r>
    </w:p>
    <w:p>
      <w:pPr>
        <w:spacing w:after="0" w:line="82" w:lineRule="exact"/>
        <w:rPr>
          <w:rFonts w:ascii="Arial" w:cs="Arial" w:eastAsia="Arial" w:hAnsi="Arial"/>
          <w:sz w:val="23"/>
          <w:szCs w:val="23"/>
          <w:color w:val="auto"/>
          <w:vertAlign w:val="superscript"/>
        </w:rPr>
      </w:pPr>
    </w:p>
    <w:p>
      <w:pPr>
        <w:ind w:left="640" w:hanging="632"/>
        <w:spacing w:after="0" w:line="219" w:lineRule="auto"/>
        <w:tabs>
          <w:tab w:leader="none" w:pos="6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Certain of these assets are operated by Plains.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UJI</w:t>
            </w:r>
          </w:p>
        </w:tc>
      </w:tr>
      <w:tr>
        <w:trPr>
          <w:trHeight w:val="203"/>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Type of</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r>
      <w:tr>
        <w:trPr>
          <w:trHeight w:val="209"/>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Operating Segment</w:t>
            </w:r>
          </w:p>
        </w:tc>
        <w:tc>
          <w:tcPr>
            <w:tcW w:w="120" w:type="dxa"/>
            <w:vAlign w:val="bottom"/>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Operation</w:t>
            </w: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243"/>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Transportation</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Crude Oil Pipeline</w:t>
            </w:r>
          </w:p>
        </w:tc>
        <w:tc>
          <w:tcPr>
            <w:tcW w:w="1620" w:type="dxa"/>
            <w:vAlign w:val="bottom"/>
          </w:tcPr>
          <w:p>
            <w:pPr>
              <w:jc w:val="right"/>
              <w:ind w:right="634"/>
              <w:spacing w:after="0"/>
              <w:rPr>
                <w:sz w:val="20"/>
                <w:szCs w:val="20"/>
                <w:color w:val="auto"/>
              </w:rPr>
            </w:pPr>
            <w:r>
              <w:rPr>
                <w:rFonts w:ascii="Arial" w:cs="Arial" w:eastAsia="Arial" w:hAnsi="Arial"/>
                <w:sz w:val="18"/>
                <w:szCs w:val="18"/>
                <w:color w:val="auto"/>
              </w:rPr>
              <w:t>87%</w:t>
            </w:r>
          </w:p>
        </w:tc>
      </w:tr>
      <w:tr>
        <w:trPr>
          <w:trHeight w:val="270"/>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Facilities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NGL Facility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50% to 88%</w:t>
            </w:r>
          </w:p>
        </w:tc>
      </w:tr>
      <w:tr>
        <w:trPr>
          <w:trHeight w:val="270"/>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Facilities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NGL Facility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21% to 87%</w:t>
            </w:r>
          </w:p>
        </w:tc>
      </w:tr>
      <w:tr>
        <w:trPr>
          <w:trHeight w:val="256"/>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Transportation</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NGL Pipeline and</w:t>
            </w:r>
          </w:p>
        </w:tc>
        <w:tc>
          <w:tcPr>
            <w:tcW w:w="1620" w:type="dxa"/>
            <w:vAlign w:val="bottom"/>
          </w:tcPr>
          <w:p>
            <w:pPr>
              <w:jc w:val="right"/>
              <w:ind w:right="634"/>
              <w:spacing w:after="0"/>
              <w:rPr>
                <w:sz w:val="20"/>
                <w:szCs w:val="20"/>
                <w:color w:val="auto"/>
              </w:rPr>
            </w:pPr>
            <w:r>
              <w:rPr>
                <w:rFonts w:ascii="Arial" w:cs="Arial" w:eastAsia="Arial" w:hAnsi="Arial"/>
                <w:sz w:val="18"/>
                <w:szCs w:val="18"/>
                <w:color w:val="auto"/>
              </w:rPr>
              <w:t>50%</w:t>
            </w:r>
          </w:p>
        </w:tc>
      </w:tr>
      <w:tr>
        <w:trPr>
          <w:trHeight w:val="230"/>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Facility</w:t>
            </w:r>
          </w:p>
        </w:tc>
        <w:tc>
          <w:tcPr>
            <w:tcW w:w="1620" w:type="dxa"/>
            <w:vAlign w:val="bottom"/>
          </w:tcPr>
          <w:p>
            <w:pPr>
              <w:spacing w:after="0"/>
              <w:rPr>
                <w:sz w:val="20"/>
                <w:szCs w:val="20"/>
                <w:color w:val="auto"/>
              </w:rPr>
            </w:pPr>
          </w:p>
        </w:tc>
      </w:tr>
      <w:tr>
        <w:trPr>
          <w:trHeight w:val="270"/>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Transportation</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Crude Oil Pipeline</w:t>
            </w:r>
          </w:p>
        </w:tc>
        <w:tc>
          <w:tcPr>
            <w:tcW w:w="1620" w:type="dxa"/>
            <w:vAlign w:val="bottom"/>
          </w:tcPr>
          <w:p>
            <w:pPr>
              <w:jc w:val="right"/>
              <w:ind w:right="634"/>
              <w:spacing w:after="0"/>
              <w:rPr>
                <w:sz w:val="20"/>
                <w:szCs w:val="20"/>
                <w:color w:val="auto"/>
              </w:rPr>
            </w:pPr>
            <w:r>
              <w:rPr>
                <w:rFonts w:ascii="Arial" w:cs="Arial" w:eastAsia="Arial" w:hAnsi="Arial"/>
                <w:sz w:val="18"/>
                <w:szCs w:val="18"/>
                <w:color w:val="auto"/>
              </w:rPr>
              <w:t>63%</w:t>
            </w:r>
          </w:p>
        </w:tc>
      </w:tr>
      <w:tr>
        <w:trPr>
          <w:trHeight w:val="270"/>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Transportation</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Crude Oil Pipeline</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21% to 58%</w:t>
            </w:r>
          </w:p>
        </w:tc>
      </w:tr>
      <w:tr>
        <w:trPr>
          <w:trHeight w:val="270"/>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Facilities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NGL Facility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62% to 84%</w:t>
            </w:r>
          </w:p>
        </w:tc>
      </w:tr>
      <w:tr>
        <w:trPr>
          <w:trHeight w:val="270"/>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Transportation</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Crude Oil Pipeline</w:t>
            </w:r>
          </w:p>
        </w:tc>
        <w:tc>
          <w:tcPr>
            <w:tcW w:w="1620" w:type="dxa"/>
            <w:vAlign w:val="bottom"/>
          </w:tcPr>
          <w:p>
            <w:pPr>
              <w:jc w:val="right"/>
              <w:ind w:right="634"/>
              <w:spacing w:after="0"/>
              <w:rPr>
                <w:sz w:val="20"/>
                <w:szCs w:val="20"/>
                <w:color w:val="auto"/>
              </w:rPr>
            </w:pPr>
            <w:r>
              <w:rPr>
                <w:rFonts w:ascii="Arial" w:cs="Arial" w:eastAsia="Arial" w:hAnsi="Arial"/>
                <w:sz w:val="18"/>
                <w:szCs w:val="18"/>
                <w:color w:val="auto"/>
              </w:rPr>
              <w:t>80%</w:t>
            </w:r>
          </w:p>
        </w:tc>
      </w:tr>
      <w:tr>
        <w:trPr>
          <w:trHeight w:val="270"/>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Facilities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NGL Facility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68% to 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-1320165</wp:posOffset>
            </wp:positionV>
            <wp:extent cx="721233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-839470</wp:posOffset>
            </wp:positionV>
            <wp:extent cx="721233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-496570</wp:posOffset>
            </wp:positionV>
            <wp:extent cx="721233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-153670</wp:posOffset>
            </wp:positionV>
            <wp:extent cx="721233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-1671320</wp:posOffset>
            </wp:positionV>
            <wp:extent cx="721233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1864" w:lineRule="exact"/>
        <w:rPr>
          <w:sz w:val="20"/>
          <w:szCs w:val="20"/>
          <w:color w:val="auto"/>
        </w:rPr>
      </w:pPr>
    </w:p>
    <w:p>
      <w:pPr>
        <w:sectPr>
          <w:pgSz w:w="11900" w:h="16838" w:orient="portrait"/>
          <w:cols w:equalWidth="0" w:num="2">
            <w:col w:w="5360" w:space="720"/>
            <w:col w:w="5340"/>
          </w:cols>
          <w:pgMar w:left="240" w:top="125" w:right="239" w:bottom="1440" w:gutter="0" w:footer="0" w:header="0"/>
          <w:type w:val="continuous"/>
        </w:sectPr>
      </w:pPr>
    </w:p>
    <w:p>
      <w:pPr>
        <w:spacing w:after="0" w:line="5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Since our initial public offering, the acquisition of midstream assets and businesses has been an important component of our business strategy. While the pace of our acquisition activity has slowed down in recent years, we continue to selectively analyze and pursue assets and businesses that are strategic and complementary to our existing operations.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acquisitions greater than $200 million that we have completed over the past five years through December 31, 2019:</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left="101"/>
              <w:spacing w:after="0"/>
              <w:rPr>
                <w:sz w:val="20"/>
                <w:szCs w:val="20"/>
                <w:color w:val="auto"/>
              </w:rPr>
            </w:pPr>
            <w:r>
              <w:rPr>
                <w:rFonts w:ascii="Arial" w:cs="Arial" w:eastAsia="Arial" w:hAnsi="Arial"/>
                <w:sz w:val="14"/>
                <w:szCs w:val="14"/>
                <w:b w:val="1"/>
                <w:bCs w:val="1"/>
                <w:color w:val="auto"/>
                <w:w w:val="93"/>
              </w:rPr>
              <w:t>Approximate</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6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Acquisition</w:t>
            </w:r>
          </w:p>
        </w:tc>
        <w:tc>
          <w:tcPr>
            <w:tcW w:w="100" w:type="dxa"/>
            <w:vAlign w:val="bottom"/>
            <w:vMerge w:val="restart"/>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vMerge w:val="restart"/>
          </w:tcPr>
          <w:p>
            <w:pPr>
              <w:spacing w:after="0"/>
              <w:rPr>
                <w:sz w:val="11"/>
                <w:szCs w:val="11"/>
                <w:color w:val="auto"/>
              </w:rPr>
            </w:pPr>
          </w:p>
        </w:tc>
        <w:tc>
          <w:tcPr>
            <w:tcW w:w="448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122"/>
              <w:spacing w:after="0" w:line="135" w:lineRule="exact"/>
              <w:rPr>
                <w:sz w:val="20"/>
                <w:szCs w:val="20"/>
                <w:color w:val="auto"/>
              </w:rPr>
            </w:pPr>
            <w:r>
              <w:rPr>
                <w:rFonts w:ascii="Arial" w:cs="Arial" w:eastAsia="Arial" w:hAnsi="Arial"/>
                <w:sz w:val="14"/>
                <w:szCs w:val="14"/>
                <w:b w:val="1"/>
                <w:bCs w:val="1"/>
                <w:color w:val="auto"/>
                <w:w w:val="91"/>
              </w:rPr>
              <w:t xml:space="preserve">Purchase Price </w:t>
            </w:r>
            <w:r>
              <w:rPr>
                <w:rFonts w:ascii="Arial" w:cs="Arial" w:eastAsia="Arial" w:hAnsi="Arial"/>
                <w:sz w:val="9"/>
                <w:szCs w:val="9"/>
                <w:b w:val="1"/>
                <w:bCs w:val="1"/>
                <w:color w:val="auto"/>
                <w:w w:val="91"/>
              </w:rPr>
              <w:t>(1)</w:t>
            </w:r>
          </w:p>
        </w:tc>
        <w:tc>
          <w:tcPr>
            <w:tcW w:w="0" w:type="dxa"/>
            <w:vAlign w:val="bottom"/>
          </w:tcPr>
          <w:p>
            <w:pPr>
              <w:spacing w:after="0"/>
              <w:rPr>
                <w:sz w:val="1"/>
                <w:szCs w:val="1"/>
                <w:color w:val="auto"/>
              </w:rPr>
            </w:pPr>
          </w:p>
        </w:tc>
      </w:tr>
      <w:tr>
        <w:trPr>
          <w:trHeight w:val="188"/>
        </w:trPr>
        <w:tc>
          <w:tcPr>
            <w:tcW w:w="3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Alpha Crude Connector Gathering System</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Feb-2017</w:t>
            </w:r>
          </w:p>
        </w:tc>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Recently constructed gathering system located in the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1,215</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Northern Delaware Basin</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60" w:type="dxa"/>
            <w:vAlign w:val="bottom"/>
            <w:gridSpan w:val="2"/>
          </w:tcPr>
          <w:p>
            <w:pPr>
              <w:ind w:left="20"/>
              <w:spacing w:after="0"/>
              <w:rPr>
                <w:sz w:val="20"/>
                <w:szCs w:val="20"/>
                <w:color w:val="auto"/>
              </w:rPr>
            </w:pPr>
            <w:r>
              <w:rPr>
                <w:rFonts w:ascii="Arial" w:cs="Arial" w:eastAsia="Arial" w:hAnsi="Arial"/>
                <w:sz w:val="18"/>
                <w:szCs w:val="18"/>
                <w:color w:val="auto"/>
                <w:w w:val="91"/>
              </w:rPr>
              <w:t>Spectra Energy Partners Western Canada NGL Assets</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Aug-2016</w:t>
            </w:r>
          </w:p>
        </w:tc>
        <w:tc>
          <w:tcPr>
            <w:tcW w:w="4580" w:type="dxa"/>
            <w:vAlign w:val="bottom"/>
            <w:gridSpan w:val="2"/>
          </w:tcPr>
          <w:p>
            <w:pPr>
              <w:ind w:left="20"/>
              <w:spacing w:after="0"/>
              <w:rPr>
                <w:sz w:val="20"/>
                <w:szCs w:val="20"/>
                <w:color w:val="auto"/>
              </w:rPr>
            </w:pPr>
            <w:r>
              <w:rPr>
                <w:rFonts w:ascii="Arial" w:cs="Arial" w:eastAsia="Arial" w:hAnsi="Arial"/>
                <w:sz w:val="18"/>
                <w:szCs w:val="18"/>
                <w:color w:val="auto"/>
                <w:w w:val="93"/>
              </w:rPr>
              <w:t>Integrated system of NGL assets located in Western Canada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81"/>
              <w:spacing w:after="0"/>
              <w:rPr>
                <w:sz w:val="20"/>
                <w:szCs w:val="20"/>
                <w:color w:val="auto"/>
              </w:rPr>
            </w:pPr>
            <w:r>
              <w:rPr>
                <w:rFonts w:ascii="Arial" w:cs="Arial" w:eastAsia="Arial" w:hAnsi="Arial"/>
                <w:sz w:val="18"/>
                <w:szCs w:val="18"/>
                <w:color w:val="auto"/>
              </w:rPr>
              <w:t>204</w:t>
            </w:r>
          </w:p>
        </w:tc>
        <w:tc>
          <w:tcPr>
            <w:tcW w:w="380" w:type="dxa"/>
            <w:vAlign w:val="bottom"/>
          </w:tcPr>
          <w:p>
            <w:pPr>
              <w:jc w:val="right"/>
              <w:ind w:right="162"/>
              <w:spacing w:after="0"/>
              <w:rPr>
                <w:sz w:val="20"/>
                <w:szCs w:val="20"/>
                <w:color w:val="auto"/>
              </w:rPr>
            </w:pP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3241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As applicable, the approximate purchase price includes total cash paid and debt assumed, including amounts for working capital and inventory.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Approximate purchase price of $180 million, net of cash, inventory and other working capital acquired.</w:t>
      </w:r>
    </w:p>
    <w:p>
      <w:pPr>
        <w:spacing w:after="0" w:line="200" w:lineRule="exact"/>
        <w:rPr>
          <w:sz w:val="20"/>
          <w:szCs w:val="20"/>
          <w:color w:val="auto"/>
        </w:rPr>
      </w:pPr>
    </w:p>
    <w:p>
      <w:pPr>
        <w:sectPr>
          <w:pgSz w:w="11900" w:h="16838" w:orient="portrait"/>
          <w:cols w:equalWidth="0" w:num="2">
            <w:col w:w="140" w:space="500"/>
            <w:col w:w="10780"/>
          </w:cols>
          <w:pgMar w:left="240" w:top="125" w:right="239" w:bottom="1440" w:gutter="0" w:footer="0" w:header="0"/>
          <w:type w:val="continuous"/>
        </w:sectPr>
      </w:pPr>
    </w:p>
    <w:p>
      <w:pPr>
        <w:spacing w:after="0" w:line="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February 2020, we acquired Felix Midstream LLC (“Felix Midstream”) from Felix Energy Holdings II, LLC (“Felix Energy”) for approximately $305 million. Felix Midstream owns and operates a newly constructed crude oil gathering system in the Delaware Basin, with associated crude oil storage and truck offloading capacity, and is supported by a long-term acreage dedication.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2016, we initiated a program to evaluate potential sales of non-core assets and/or sales of partial interests in assets to strategic joint venture partners to optimize our asset portfolio and strengthen our balance sheet and leverage metrics. Through December 31, 2019, we have completed asset sales totaling over $3 billion. The following table summarizes the proceeds received for sales of assets during the years ended December 31, 2019, 2018, 2017 and 2016 (in millions):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6"/>
        </w:trPr>
        <w:tc>
          <w:tcPr>
            <w:tcW w:w="5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9"/>
                <w:szCs w:val="9"/>
                <w:b w:val="1"/>
                <w:bCs w:val="1"/>
                <w:color w:val="auto"/>
              </w:rPr>
              <w:t>(2)</w:t>
            </w:r>
          </w:p>
        </w:tc>
      </w:tr>
      <w:tr>
        <w:trPr>
          <w:trHeight w:val="243"/>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divestitures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569</w:t>
            </w:r>
          </w:p>
        </w:tc>
      </w:tr>
      <w:tr>
        <w:trPr>
          <w:trHeight w:val="27"/>
        </w:trPr>
        <w:tc>
          <w:tcPr>
            <w:tcW w:w="5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100" w:hanging="652"/>
        <w:spacing w:after="0" w:line="227"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proceeds from our formation of Red River Pipeline Company LLC in May 2019. See Note 12 to our Consolidated Financial Statements for additional information.</w:t>
      </w:r>
    </w:p>
    <w:p>
      <w:pPr>
        <w:spacing w:after="0" w:line="94" w:lineRule="exact"/>
        <w:rPr>
          <w:rFonts w:ascii="Arial" w:cs="Arial" w:eastAsia="Arial" w:hAnsi="Arial"/>
          <w:sz w:val="23"/>
          <w:szCs w:val="23"/>
          <w:color w:val="auto"/>
          <w:vertAlign w:val="superscript"/>
        </w:rPr>
      </w:pPr>
    </w:p>
    <w:p>
      <w:pPr>
        <w:ind w:left="660" w:right="3580" w:hanging="652"/>
        <w:spacing w:after="0" w:line="578" w:lineRule="auto"/>
        <w:tabs>
          <w:tab w:leader="none" w:pos="64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Proceeds are net of amounts paid for the remaining interest in a pipeline that was subsequently sold. See Note 7 to our Consolidated Financial Statements for additional discussion of our divestitures.</w:t>
      </w:r>
    </w:p>
    <w:p>
      <w:pPr>
        <w:spacing w:after="0" w:line="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January 2020, we signed a definitive agreement to sell certain of our Los Angeles Basin crude oil terminals for $195 million, subject to certain adjustments. We expect the transaction to close in the second half of 2020, subject to customary closing conditions, including the receipt of regulatory approvals. Additionally, in February 2020, we sold a 10% interest in Saddlehorn Pipeline Company, LLC for approximately $78 million, and have retained a 30% interest.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Capital Projects</w:t>
      </w:r>
    </w:p>
    <w:p>
      <w:pPr>
        <w:spacing w:after="0" w:line="25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extensive asset base and our relationships with long-term industry partners across the value chain provide us with opportunities for organic growth through the construction of additional assets that are complementary to, and expand or extend, our existing asset base. Our 2020 capital plan consists of capital-efficient, highly contracted projects that help solve industry needs and that are expected to meet or exceed our investment return hurdles. Substantially all of the capital spent will be invested in our fee-based Transportation and Facilities segments. The following expansion capital projects are included in our 2020 capital plan as of February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0"/>
              </w:rPr>
              <w:t>Projected</w:t>
            </w:r>
          </w:p>
        </w:tc>
        <w:tc>
          <w:tcPr>
            <w:tcW w:w="200" w:type="dxa"/>
            <w:vAlign w:val="bottom"/>
          </w:tcPr>
          <w:p>
            <w:pPr>
              <w:spacing w:after="0"/>
              <w:rPr>
                <w:sz w:val="14"/>
                <w:szCs w:val="14"/>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2020 Plan</w:t>
            </w:r>
          </w:p>
        </w:tc>
        <w:tc>
          <w:tcPr>
            <w:tcW w:w="0" w:type="dxa"/>
            <w:vAlign w:val="bottom"/>
          </w:tcPr>
          <w:p>
            <w:pPr>
              <w:spacing w:after="0"/>
              <w:rPr>
                <w:sz w:val="1"/>
                <w:szCs w:val="1"/>
                <w:color w:val="auto"/>
              </w:rPr>
            </w:pPr>
          </w:p>
        </w:tc>
      </w:tr>
      <w:tr>
        <w:trPr>
          <w:trHeight w:val="135"/>
        </w:trPr>
        <w:tc>
          <w:tcPr>
            <w:tcW w:w="298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Project</w:t>
            </w:r>
          </w:p>
        </w:tc>
        <w:tc>
          <w:tcPr>
            <w:tcW w:w="100" w:type="dxa"/>
            <w:vAlign w:val="bottom"/>
            <w:vMerge w:val="restart"/>
          </w:tcPr>
          <w:p>
            <w:pPr>
              <w:spacing w:after="0"/>
              <w:rPr>
                <w:sz w:val="11"/>
                <w:szCs w:val="11"/>
                <w:color w:val="auto"/>
              </w:rPr>
            </w:pPr>
          </w:p>
        </w:tc>
        <w:tc>
          <w:tcPr>
            <w:tcW w:w="532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w w:val="94"/>
              </w:rPr>
              <w:t xml:space="preserve">Amount </w:t>
            </w:r>
            <w:r>
              <w:rPr>
                <w:rFonts w:ascii="Arial" w:cs="Arial" w:eastAsia="Arial" w:hAnsi="Arial"/>
                <w:sz w:val="9"/>
                <w:szCs w:val="9"/>
                <w:b w:val="1"/>
                <w:bCs w:val="1"/>
                <w:color w:val="auto"/>
                <w:w w:val="94"/>
              </w:rPr>
              <w:t>(1)</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In-Service Date</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224"/>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Long-Haul Pipeline Projects</w:t>
            </w: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Primarily includes contributions for our interests in (i) the Red Oak JV</w:t>
            </w:r>
          </w:p>
        </w:tc>
        <w:tc>
          <w:tcPr>
            <w:tcW w:w="1420" w:type="dxa"/>
            <w:vAlign w:val="bottom"/>
            <w:shd w:val="clear" w:color="auto" w:fill="CCEEFF"/>
          </w:tcPr>
          <w:p>
            <w:pPr>
              <w:jc w:val="center"/>
              <w:ind w:right="35"/>
              <w:spacing w:after="0"/>
              <w:rPr>
                <w:sz w:val="20"/>
                <w:szCs w:val="20"/>
                <w:color w:val="auto"/>
              </w:rPr>
            </w:pPr>
            <w:r>
              <w:rPr>
                <w:rFonts w:ascii="Arial" w:cs="Arial" w:eastAsia="Arial" w:hAnsi="Arial"/>
                <w:sz w:val="18"/>
                <w:szCs w:val="18"/>
                <w:color w:val="auto"/>
                <w:w w:val="91"/>
              </w:rPr>
              <w:t>2H 2020 - 2022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pipeline, (ii) the Diamond JV pipeline expansion / Capline JV pipeline</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reversal, (iii) the Saddlehorn JV pipeline expansion and (iv) the Red</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River pipeline expansion</w:t>
            </w:r>
          </w:p>
        </w:tc>
        <w:tc>
          <w:tcPr>
            <w:tcW w:w="14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Permian Basin Takeaway Pipeline</w:t>
            </w: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Primarily includes contributions for our interest in (i) the Wink to</w:t>
            </w:r>
          </w:p>
        </w:tc>
        <w:tc>
          <w:tcPr>
            <w:tcW w:w="1420" w:type="dxa"/>
            <w:vAlign w:val="bottom"/>
          </w:tcPr>
          <w:p>
            <w:pPr>
              <w:jc w:val="center"/>
              <w:ind w:right="15"/>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19"/>
                <w:szCs w:val="19"/>
                <w:color w:val="auto"/>
              </w:rPr>
            </w:pP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Projects</w:t>
            </w:r>
          </w:p>
        </w:tc>
        <w:tc>
          <w:tcPr>
            <w:tcW w:w="5440" w:type="dxa"/>
            <w:vAlign w:val="bottom"/>
            <w:gridSpan w:val="2"/>
          </w:tcPr>
          <w:p>
            <w:pPr>
              <w:ind w:left="20"/>
              <w:spacing w:after="0"/>
              <w:rPr>
                <w:sz w:val="20"/>
                <w:szCs w:val="20"/>
                <w:color w:val="auto"/>
              </w:rPr>
            </w:pPr>
            <w:r>
              <w:rPr>
                <w:rFonts w:ascii="Arial" w:cs="Arial" w:eastAsia="Arial" w:hAnsi="Arial"/>
                <w:sz w:val="18"/>
                <w:szCs w:val="18"/>
                <w:color w:val="auto"/>
                <w:w w:val="94"/>
              </w:rPr>
              <w:t>Webster JV pipeline and (ii) the remaining Cactus II JV pipeline projects</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Complementary Permian Basin Projects</w:t>
            </w: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Multiple projects to support the Permian Basin takeaway pipeline</w:t>
            </w:r>
          </w:p>
        </w:tc>
        <w:tc>
          <w:tcPr>
            <w:tcW w:w="1420" w:type="dxa"/>
            <w:vAlign w:val="bottom"/>
            <w:shd w:val="clear" w:color="auto" w:fill="CCEEFF"/>
          </w:tcPr>
          <w:p>
            <w:pPr>
              <w:jc w:val="center"/>
              <w:ind w:right="35"/>
              <w:spacing w:after="0"/>
              <w:rPr>
                <w:sz w:val="20"/>
                <w:szCs w:val="20"/>
                <w:color w:val="auto"/>
              </w:rPr>
            </w:pPr>
            <w:r>
              <w:rPr>
                <w:rFonts w:ascii="Arial" w:cs="Arial" w:eastAsia="Arial" w:hAnsi="Arial"/>
                <w:sz w:val="18"/>
                <w:szCs w:val="18"/>
                <w:color w:val="auto"/>
                <w:w w:val="90"/>
              </w:rPr>
              <w:t>1H 2020 - 2021+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6"/>
              </w:rPr>
              <w:t>projects, and to expand/extend our gathering and intra-basin pipelines</w:t>
            </w:r>
          </w:p>
        </w:tc>
        <w:tc>
          <w:tcPr>
            <w:tcW w:w="14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Selected Facilities Projects</w:t>
            </w: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Primarily includes amounts for capacity additions at our St. James</w:t>
            </w:r>
          </w:p>
        </w:tc>
        <w:tc>
          <w:tcPr>
            <w:tcW w:w="1420" w:type="dxa"/>
            <w:vAlign w:val="bottom"/>
          </w:tcPr>
          <w:p>
            <w:pPr>
              <w:jc w:val="center"/>
              <w:ind w:right="15"/>
              <w:spacing w:after="0"/>
              <w:rPr>
                <w:sz w:val="20"/>
                <w:szCs w:val="20"/>
                <w:color w:val="auto"/>
              </w:rPr>
            </w:pPr>
            <w:r>
              <w:rPr>
                <w:rFonts w:ascii="Arial" w:cs="Arial" w:eastAsia="Arial" w:hAnsi="Arial"/>
                <w:sz w:val="18"/>
                <w:szCs w:val="18"/>
                <w:color w:val="auto"/>
                <w:w w:val="89"/>
              </w:rPr>
              <w:t>2020</w:t>
            </w:r>
          </w:p>
        </w:tc>
        <w:tc>
          <w:tcPr>
            <w:tcW w:w="200" w:type="dxa"/>
            <w:vAlign w:val="bottom"/>
          </w:tcPr>
          <w:p>
            <w:pPr>
              <w:spacing w:after="0"/>
              <w:rPr>
                <w:sz w:val="19"/>
                <w:szCs w:val="19"/>
                <w:color w:val="auto"/>
              </w:rPr>
            </w:pP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facility</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Projects</w:t>
            </w:r>
          </w:p>
        </w:tc>
        <w:tc>
          <w:tcPr>
            <w:tcW w:w="5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center"/>
              <w:ind w:right="35"/>
              <w:spacing w:after="0"/>
              <w:rPr>
                <w:sz w:val="20"/>
                <w:szCs w:val="20"/>
                <w:color w:val="auto"/>
              </w:rPr>
            </w:pPr>
            <w:r>
              <w:rPr>
                <w:rFonts w:ascii="Arial" w:cs="Arial" w:eastAsia="Arial" w:hAnsi="Arial"/>
                <w:sz w:val="18"/>
                <w:szCs w:val="18"/>
                <w:color w:val="auto"/>
                <w:w w:val="90"/>
              </w:rPr>
              <w:t>1H 2020 - 2021+</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71"/>
        </w:trPr>
        <w:tc>
          <w:tcPr>
            <w:tcW w:w="3080" w:type="dxa"/>
            <w:vAlign w:val="bottom"/>
            <w:gridSpan w:val="2"/>
          </w:tcPr>
          <w:p>
            <w:pPr>
              <w:ind w:left="20"/>
              <w:spacing w:after="0" w:line="170" w:lineRule="exact"/>
              <w:rPr>
                <w:sz w:val="20"/>
                <w:szCs w:val="20"/>
                <w:color w:val="auto"/>
              </w:rPr>
            </w:pPr>
            <w:r>
              <w:rPr>
                <w:rFonts w:ascii="Arial" w:cs="Arial" w:eastAsia="Arial" w:hAnsi="Arial"/>
                <w:sz w:val="18"/>
                <w:szCs w:val="18"/>
                <w:color w:val="auto"/>
              </w:rPr>
              <w:t>Total Projected Expansion Capital</w:t>
            </w:r>
          </w:p>
        </w:tc>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Borders>
              <w:top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76"/>
              <w:spacing w:after="0" w:line="170" w:lineRule="exact"/>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187"/>
        </w:trPr>
        <w:tc>
          <w:tcPr>
            <w:tcW w:w="3080" w:type="dxa"/>
            <w:vAlign w:val="bottom"/>
            <w:gridSpan w:val="2"/>
          </w:tcPr>
          <w:p>
            <w:pPr>
              <w:ind w:left="20"/>
              <w:spacing w:after="0" w:line="188" w:lineRule="exact"/>
              <w:rPr>
                <w:sz w:val="20"/>
                <w:szCs w:val="20"/>
                <w:color w:val="auto"/>
              </w:rPr>
            </w:pPr>
            <w:r>
              <w:rPr>
                <w:rFonts w:ascii="Arial" w:cs="Arial" w:eastAsia="Arial" w:hAnsi="Arial"/>
                <w:sz w:val="17"/>
                <w:szCs w:val="17"/>
                <w:color w:val="auto"/>
              </w:rPr>
              <w:t xml:space="preserve">Expenditures </w:t>
            </w:r>
            <w:r>
              <w:rPr>
                <w:rFonts w:ascii="Arial" w:cs="Arial" w:eastAsia="Arial" w:hAnsi="Arial"/>
                <w:sz w:val="21"/>
                <w:szCs w:val="21"/>
                <w:color w:val="auto"/>
                <w:vertAlign w:val="superscript"/>
              </w:rPr>
              <w:t>(1)</w:t>
            </w:r>
          </w:p>
        </w:tc>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0" w:hanging="652"/>
        <w:spacing w:after="0" w:line="234"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Represents the portion of the total project cost expected to be incurred during the year. 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Petroleum Market Overview</w:t>
      </w:r>
    </w:p>
    <w:p>
      <w:pPr>
        <w:spacing w:after="0" w:line="25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global petroleum demand for crude oil and other petroleum liquids worldwide averaged approximately 101 million barrels per day in 2019 and since the year 2000 has grown at an average annual rate of approximately 1.0 to 1.5 million barrels per day. The largest drivers of demand growth are increases in population and rising standards of living in developing nations, particularly in Asia. The U.S. is the largest liquid petroleum demand market totaling approximately 20 million barrels per day. The U.S. is also the largest crude oil producing country, averaging approximately 12.2 million barrels per day of total crude oil supply in 2019 (based on EIA data through November 2019). Given the relative size of the U.S. production market and the ability for U.S. exploration and production (“E&amp;P”) companies to grow production rapidly, the U.S. is positioned to provide marginal supply for growing world demand.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Market Overview</w:t>
      </w:r>
    </w:p>
    <w:p>
      <w:pPr>
        <w:spacing w:after="0" w:line="25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While commodities are typically considered unspecialized, mass-produced and fungible, crude oil is neither unspecialized nor fungible. The crude slate available to U.S.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w:t>
      </w:r>
    </w:p>
    <w:p>
      <w:pPr>
        <w:spacing w:after="0" w:line="18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 the refinery’s choice of feedstock. In addition, from time to time, natural disasters and geopolitical factors such as hurricanes, earthquakes, tsunamis, inclement weather, labor strikes, refinery disruptions, embargoes and armed conflicts may impact supply, demand, transportation and storage logistics.</w:t>
      </w:r>
    </w:p>
    <w:p>
      <w:pPr>
        <w:spacing w:after="0" w:line="20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assets and our business strategy are designed to serve our producer and refiner customers by addressing regional crude oil supply and demand imbalances that exist in the United States and Canada and to supply a growing need for crude oil exports from the U.S.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Fundamental Themes in 2019</w:t>
      </w:r>
    </w:p>
    <w:p>
      <w:pPr>
        <w:spacing w:after="0" w:line="25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U.S. crude oil market was influenced by a number of fundamental themes in 2019. U.S. E&amp;P companies reduced capital investment in 2019, spurring a reduction in U.S. onshore rig count throughout the year. Notwithstanding, total U.S. crude oil production increased to new records in 2019 and multiple Permian Basin crude oil pipeline projects were advanced. These factors enabled U.S. Gulf Coast crude oil exports to reach all-time highs of more than 3 million barrels per day. The relationship between the price of a barrel of crude oil at the U.S. benchmark at Cushing, Oklahoma shifted to a discount to the Permian crude oil benchmark in Midland in the second half of 2019 after trading at a premium for several years prior.</w:t>
      </w:r>
    </w:p>
    <w:p>
      <w:pPr>
        <w:spacing w:after="0" w:line="20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Crude oil (WTI at Cushing) prices during the year generally ranged between $50 to $60 per barrel. Upward pressure was placed on crude oil prices by OPEC and Russian production limits and tensions in the Middle East. However, prices were moderated by continued petroleum liquids production increases by non-OPEC countries, led by the United States, Canada, Norway and Brazil.</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Crude Oil Market Conditions</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According to the EIA, monthly total U.S. crude onshore production, including the Gulf of Mexico, continued to increase in 2019, exceeding 12.6 million barrels per day in October (the last month of available EIA data). According to the EIA, lower 48 onshore production was roughly 10.3 million barrels per day in October. Approximately 90% of the lower 48 onshore production in 2019 came from six major basins - Permian, Eagle Ford, Williston, Anadarko, Denver-Julesburg and Powder River. We provide crude oil transportation services in each of these basins.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5471160" cy="2813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71160"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Source: EIA</w:t>
      </w:r>
    </w:p>
    <w:p>
      <w:pPr>
        <w:spacing w:after="0" w:line="24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According to the EIA, from January 2016 to October 2019, the Permian (Texas and New Mexico) was responsible for approximately 77% of the total U.S. crude oil production growth. A combination of E&amp;P companies, marketers and refiners have made contractual commitments to support the construction of new long-haul takeaway pipeline projects to bring current and expected volume growth to market. Certain of these projects were placed into service in 2019, and others are expected to be placed into service in 2020 and 2021. Simultaneously, publicly traded E&amp;P companies in the region have prioritized investor returns over production growth, resulting in moderated capital investment and forecasted production growth versus actual levels of investment and rates of growth experienced in recent years. As a result of these dynamics, the Permian is expected to be amply supplied with pipeline takeaway capacity for the foreseeable future.</w:t>
      </w:r>
    </w:p>
    <w:p>
      <w:pPr>
        <w:spacing w:after="0" w:line="216"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In 2015, a long-standing federal ban on crude oil exports out of the U.S. was lifted, and with the surge in U.S. production and expansion in pipeline capacity, U.S. crude oil exports exceeded 3.5 million barrels per day in certain weeks in 2019. Although the U.S. remains a net importer of crude oil, the U.S. transitioned to a net exporter of crude oil and other petroleum products in 2019. The ports located in Houston, Corpus Christi and Beaumont/Nederland have accounted for the largest share of crude exports in 2019, with the Corpus Christi area increasing the most on a relative basis.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U.S. Crude Oil Exports and Net Imports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(Thousand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6517640" cy="2710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1764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Source: EIA</w:t>
      </w:r>
    </w:p>
    <w:p>
      <w:pPr>
        <w:spacing w:after="0" w:line="79"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3"/>
          <w:szCs w:val="23"/>
          <w:b w:val="1"/>
          <w:bCs w:val="1"/>
          <w:color w:val="auto"/>
          <w:vertAlign w:val="superscript"/>
        </w:rPr>
      </w:pPr>
      <w:r>
        <w:rPr>
          <w:rFonts w:ascii="Arial" w:cs="Arial" w:eastAsia="Arial" w:hAnsi="Arial"/>
          <w:sz w:val="18"/>
          <w:szCs w:val="18"/>
          <w:color w:val="auto"/>
        </w:rPr>
        <w:t>Net Imports is calculated as total imports minus total exports.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Market Overview</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NGL primarily includes ethane, propane, normal butane, iso-butane and natural gasoline, and is derived from natural gas production and processing activities, as well as crude oil refining processes. Liquefied petroleum gas (“LPG”) primarily includes propane and butane, which liquefy at moderate pressures thus making it easier to transport and store such products as compared to ethane. NGL refers to all NGL products including LPG when used in this Form 10-K.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NGL Demand. </w:t>
      </w:r>
      <w:r>
        <w:rPr>
          <w:rFonts w:ascii="Arial" w:cs="Arial" w:eastAsia="Arial" w:hAnsi="Arial"/>
          <w:sz w:val="17"/>
          <w:szCs w:val="17"/>
          <w:color w:val="auto"/>
        </w:rPr>
        <w:t>Individual NGL products have varying uses. Described below are the five basic NGL components and their typical uses:</w:t>
      </w:r>
    </w:p>
    <w:p>
      <w:pPr>
        <w:spacing w:after="0" w:line="264" w:lineRule="exact"/>
        <w:rPr>
          <w:sz w:val="20"/>
          <w:szCs w:val="20"/>
          <w:color w:val="auto"/>
        </w:rPr>
      </w:pPr>
    </w:p>
    <w:p>
      <w:pPr>
        <w:ind w:left="980" w:right="40" w:hanging="324"/>
        <w:spacing w:after="0" w:line="286" w:lineRule="auto"/>
        <w:tabs>
          <w:tab w:leader="none" w:pos="97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Ethane (C2). </w:t>
      </w:r>
      <w:r>
        <w:rPr>
          <w:rFonts w:ascii="Arial" w:cs="Arial" w:eastAsia="Arial" w:hAnsi="Arial"/>
          <w:sz w:val="17"/>
          <w:szCs w:val="17"/>
          <w:color w:val="auto"/>
        </w:rPr>
        <w:t>Ethane accounts for the largest portion of the NGL barrel and substantially all of the extracted ethane is used as feedstock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of ethylene, one of the basic building blocks for a wide range of plastics and other chemical products. When ethane recovery from a wet natural gas stream is uneconomic, ethane is left in the natural gas stream, subject to pipeline specifications.</w:t>
      </w:r>
    </w:p>
    <w:p>
      <w:pPr>
        <w:spacing w:after="0" w:line="192" w:lineRule="exact"/>
        <w:rPr>
          <w:rFonts w:ascii="Arial" w:cs="Arial" w:eastAsia="Arial" w:hAnsi="Arial"/>
          <w:sz w:val="17"/>
          <w:szCs w:val="17"/>
          <w:i w:val="1"/>
          <w:iCs w:val="1"/>
          <w:color w:val="auto"/>
        </w:rPr>
      </w:pPr>
    </w:p>
    <w:p>
      <w:pPr>
        <w:ind w:left="980" w:right="320" w:hanging="324"/>
        <w:spacing w:after="0" w:line="277" w:lineRule="auto"/>
        <w:tabs>
          <w:tab w:leader="none" w:pos="97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Propane (C3). </w:t>
      </w:r>
      <w:r>
        <w:rPr>
          <w:rFonts w:ascii="Arial" w:cs="Arial" w:eastAsia="Arial" w:hAnsi="Arial"/>
          <w:sz w:val="18"/>
          <w:szCs w:val="18"/>
          <w:color w:val="auto"/>
        </w:rPr>
        <w:t>Propane is used as heating fuel, engine fuel and industrial fuel, for agricultural burning and drying and also as petrochemical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feedstock for the production of ethylene and propylene.</w:t>
      </w:r>
    </w:p>
    <w:p>
      <w:pPr>
        <w:spacing w:after="0" w:line="197" w:lineRule="exact"/>
        <w:rPr>
          <w:rFonts w:ascii="Arial" w:cs="Arial" w:eastAsia="Arial" w:hAnsi="Arial"/>
          <w:sz w:val="18"/>
          <w:szCs w:val="18"/>
          <w:i w:val="1"/>
          <w:iCs w:val="1"/>
          <w:color w:val="auto"/>
        </w:rPr>
      </w:pPr>
    </w:p>
    <w:p>
      <w:pPr>
        <w:ind w:left="980" w:hanging="324"/>
        <w:spacing w:after="0" w:line="286" w:lineRule="auto"/>
        <w:tabs>
          <w:tab w:leader="none" w:pos="97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Normal butane (C4). </w:t>
      </w:r>
      <w:r>
        <w:rPr>
          <w:rFonts w:ascii="Arial" w:cs="Arial" w:eastAsia="Arial" w:hAnsi="Arial"/>
          <w:sz w:val="17"/>
          <w:szCs w:val="17"/>
          <w:color w:val="auto"/>
        </w:rPr>
        <w:t>Normal butane is principally used for motor gasoline blending and as fuel gas, either alone or in a mixture with propane,</w:t>
      </w:r>
      <w:r>
        <w:rPr>
          <w:rFonts w:ascii="Arial" w:cs="Arial" w:eastAsia="Arial" w:hAnsi="Arial"/>
          <w:sz w:val="17"/>
          <w:szCs w:val="17"/>
          <w:i w:val="1"/>
          <w:iCs w:val="1"/>
          <w:color w:val="auto"/>
        </w:rPr>
        <w:t xml:space="preserve"> </w:t>
      </w:r>
      <w:r>
        <w:rPr>
          <w:rFonts w:ascii="Arial" w:cs="Arial" w:eastAsia="Arial" w:hAnsi="Arial"/>
          <w:sz w:val="17"/>
          <w:szCs w:val="17"/>
          <w:color w:val="auto"/>
        </w:rPr>
        <w:t>and feedstock for the manufacture of ethylene and butadiene, a key ingredient of synthetic rubber. Normal butane is also used as a feedstock for iso-butane production and as a diluent in the transportation of heavy crude oil and bitumen, particularly in Canada.</w:t>
      </w:r>
    </w:p>
    <w:p>
      <w:pPr>
        <w:spacing w:after="0" w:line="192" w:lineRule="exact"/>
        <w:rPr>
          <w:rFonts w:ascii="Arial" w:cs="Arial" w:eastAsia="Arial" w:hAnsi="Arial"/>
          <w:sz w:val="17"/>
          <w:szCs w:val="17"/>
          <w:i w:val="1"/>
          <w:iCs w:val="1"/>
          <w:color w:val="auto"/>
        </w:rPr>
      </w:pPr>
    </w:p>
    <w:p>
      <w:pPr>
        <w:ind w:left="980" w:hanging="324"/>
        <w:spacing w:after="0"/>
        <w:tabs>
          <w:tab w:leader="none" w:pos="98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Iso-butane. </w:t>
      </w:r>
      <w:r>
        <w:rPr>
          <w:rFonts w:ascii="Arial" w:cs="Arial" w:eastAsia="Arial" w:hAnsi="Arial"/>
          <w:sz w:val="18"/>
          <w:szCs w:val="18"/>
          <w:color w:val="auto"/>
        </w:rPr>
        <w:t>Iso-butane is principally used by refiners to produce alkylates to enhance the octane content of motor gasoline.</w:t>
      </w:r>
    </w:p>
    <w:p>
      <w:pPr>
        <w:spacing w:after="0" w:line="252" w:lineRule="exact"/>
        <w:rPr>
          <w:rFonts w:ascii="Arial" w:cs="Arial" w:eastAsia="Arial" w:hAnsi="Arial"/>
          <w:sz w:val="18"/>
          <w:szCs w:val="18"/>
          <w:i w:val="1"/>
          <w:iCs w:val="1"/>
          <w:color w:val="auto"/>
        </w:rPr>
      </w:pPr>
    </w:p>
    <w:p>
      <w:pPr>
        <w:ind w:left="980" w:right="760" w:hanging="324"/>
        <w:spacing w:after="0" w:line="277" w:lineRule="auto"/>
        <w:tabs>
          <w:tab w:leader="none" w:pos="97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Gasoline. </w:t>
      </w:r>
      <w:r>
        <w:rPr>
          <w:rFonts w:ascii="Arial" w:cs="Arial" w:eastAsia="Arial" w:hAnsi="Arial"/>
          <w:sz w:val="18"/>
          <w:szCs w:val="18"/>
          <w:color w:val="auto"/>
        </w:rPr>
        <w:t>Natural gasoline is principally used as a motor gasoline blend stock, a petrochemical feedstock, or as diluent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of heavy crude oil and bitumen, particularly in Canada.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7"/>
          <w:szCs w:val="17"/>
          <w:i w:val="1"/>
          <w:iCs w:val="1"/>
          <w:color w:val="auto"/>
        </w:rPr>
        <w:t xml:space="preserve">NGL Supply. </w:t>
      </w:r>
      <w:r>
        <w:rPr>
          <w:rFonts w:ascii="Arial" w:cs="Arial" w:eastAsia="Arial" w:hAnsi="Arial"/>
          <w:sz w:val="17"/>
          <w:szCs w:val="17"/>
          <w:color w:val="auto"/>
        </w:rPr>
        <w:t>The bulk of NGL supply (approximately 90% in the United States and 75% in Canada) comes from gas processing plants, which</w:t>
      </w:r>
      <w:r>
        <w:rPr>
          <w:rFonts w:ascii="Arial" w:cs="Arial" w:eastAsia="Arial" w:hAnsi="Arial"/>
          <w:sz w:val="17"/>
          <w:szCs w:val="17"/>
          <w:i w:val="1"/>
          <w:iCs w:val="1"/>
          <w:color w:val="auto"/>
        </w:rPr>
        <w:t xml:space="preserve"> </w:t>
      </w:r>
      <w:r>
        <w:rPr>
          <w:rFonts w:ascii="Arial" w:cs="Arial" w:eastAsia="Arial" w:hAnsi="Arial"/>
          <w:sz w:val="17"/>
          <w:szCs w:val="17"/>
          <w:color w:val="auto"/>
        </w:rPr>
        <w:t>separate a mixture of NGL from the dry gas (primarily methane). This NGL mix (also referred to as “Y Grade”) is then either fractionated at the processing site into the five individual NGL components (known as purity products), which may be transported, stored and sold to end use markets, or transported to a regional fractionation facility. Excess supply has pressured prices of all NGL products, distorting historical price relationships with crude oil prices, and decreasing fractionation spreads (the difference between the cost of natural gas supplies and the extracted natural gas liquids).</w:t>
      </w:r>
    </w:p>
    <w:p>
      <w:pPr>
        <w:spacing w:after="0" w:line="201"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majority of gas processing plants in the United States are located along the Gulf Coast, in the West Texas/Oklahoma area, the Marcellus and Utica region and in the Rockies region. In Canada, the vast majority of the processing capacity is located in Alberta, with a much smaller (but increasing) amount in British Columbia and Saskatchewan.</w:t>
      </w:r>
    </w:p>
    <w:p>
      <w:pPr>
        <w:spacing w:after="0" w:line="20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NGL products from refineries represent approximately 7% of the United States supply and 4% of Canadian supply and are by-products of the refinery conversion process. Consequently, they have generally already been separated into individual components and do not require further fractionation. NGL products from refineries are principally propane, with lesser amounts of butane, refinery naphthas (products similar to natural gasoline) and ethane. Due to refinery maintenance schedules and seasonal demand considerations, refinery production of propane and butane varies on a seasonal basis.</w:t>
      </w:r>
    </w:p>
    <w:p>
      <w:pPr>
        <w:spacing w:after="0" w:line="181"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NGL (primarily propane and butane) is also imported into certain regions of the United States from Canada and other parts of the world (approximately 3% of total supply). Propane and butane is also exported from certain regions of the United States. The development of new NGL export facilities has compressed historical price differentials between markets in Edmonton, Alberta and other major NGL infrastructure and trading hubs discussed below.</w:t>
      </w:r>
    </w:p>
    <w:p>
      <w:pPr>
        <w:spacing w:after="0" w:line="21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i w:val="1"/>
          <w:iCs w:val="1"/>
          <w:color w:val="auto"/>
        </w:rPr>
        <w:t xml:space="preserve">NGL Transportation and Trading Hubs. </w:t>
      </w:r>
      <w:r>
        <w:rPr>
          <w:rFonts w:ascii="Arial" w:cs="Arial" w:eastAsia="Arial" w:hAnsi="Arial"/>
          <w:sz w:val="18"/>
          <w:szCs w:val="18"/>
          <w:color w:val="auto"/>
        </w:rPr>
        <w:t>NGL, whether as a mixture or as purity products, is transported by pipelines, barges, railcars and tank</w:t>
      </w:r>
      <w:r>
        <w:rPr>
          <w:rFonts w:ascii="Arial" w:cs="Arial" w:eastAsia="Arial" w:hAnsi="Arial"/>
          <w:sz w:val="18"/>
          <w:szCs w:val="18"/>
          <w:i w:val="1"/>
          <w:iCs w:val="1"/>
          <w:color w:val="auto"/>
        </w:rPr>
        <w:t xml:space="preserve"> </w:t>
      </w:r>
      <w:r>
        <w:rPr>
          <w:rFonts w:ascii="Arial" w:cs="Arial" w:eastAsia="Arial" w:hAnsi="Arial"/>
          <w:sz w:val="18"/>
          <w:szCs w:val="18"/>
          <w:color w:val="auto"/>
        </w:rPr>
        <w:t>trucks. The method of transportation used depends on, among other things, the resources of the transporter, the locations of production points and delivery points, cost-efficiency and the quantity of product being transported. Pipelines are generally the most cost-efficient mode of transportation when large, consistent volumes of product are to be delivered.</w:t>
      </w:r>
    </w:p>
    <w:p>
      <w:pPr>
        <w:spacing w:after="0" w:line="21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major NGL infrastructure and trading hubs in North America are located at Mont Belvieu, Texas; Conway, Kansas; Edmonton, Alberta; and Sarnia, Ontario. Each of these hubs contains a critical mass of infrastructure, including fractionators, storage, pipelines and access to end markets, particularly Mont Belvieu.</w:t>
      </w:r>
    </w:p>
    <w:p>
      <w:pPr>
        <w:spacing w:after="0" w:line="20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NGL Storage. </w:t>
      </w:r>
      <w:r>
        <w:rPr>
          <w:rFonts w:ascii="Arial" w:cs="Arial" w:eastAsia="Arial" w:hAnsi="Arial"/>
          <w:sz w:val="17"/>
          <w:szCs w:val="17"/>
          <w:color w:val="auto"/>
        </w:rPr>
        <w:t>Storage is especially important for NGL as supply and demand can vary materially on a seasonal basis. NGL must be stored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pressure to maintain a liquid state. The lighter the product (e.g., ethane), the greater the pressure that must be maintained. Large volumes of NGL are stored in underground caverns constructed in salt or granite; however, product is also stored in above ground tanks. Natural gasoline can be stored at relatively low pressures in tankage similar to that used to store motor gasoline. Propane and butane are stored at much higher pressures in steel spheres, cylinders, bullets, salt caverns or other configurations. Ethane is stored at very high pressures, typically in salt caverns.</w:t>
      </w:r>
    </w:p>
    <w:p>
      <w:pPr>
        <w:spacing w:after="0" w:line="20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NGL Market Outlook. </w:t>
      </w:r>
      <w:r>
        <w:rPr>
          <w:rFonts w:ascii="Arial" w:cs="Arial" w:eastAsia="Arial" w:hAnsi="Arial"/>
          <w:sz w:val="18"/>
          <w:szCs w:val="18"/>
          <w:color w:val="auto"/>
        </w:rPr>
        <w:t>The growth of shale-based production in both traditional and new producing areas has resulted in a significant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NGL supplies from gas processing plants over the past several years. This has driven extensive expansion and new development of midstream infrastructure in Canada, the Bakken, Marcellus/Utica, and throughout Texas.</w:t>
      </w:r>
    </w:p>
    <w:p>
      <w:pPr>
        <w:spacing w:after="0" w:line="14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growth of production in non-traditional producing regions and the increase in export capacity has shifted regional basis relationships and created new logistics and infrastructure opportunities. Growth of 9% in 2019 for North American NGL production has meant expansion into new markets, through exports or increased petrochemical demand. The continuation of a relatively low ratio of North American gas and NGL prices to world-wide crude oil prices will mean North American NGL can continue to be competitive on a world scale, either as feedstock for North American based manufacturing or export to overseas markets. In addition to substantially increased exports, a portion of the increased supply of NGL will be absorbed by the domestic petrochemical sector as low-cost feed stocks, as the North American petrochemical industry has enjoyed a supply cost advantage on a world scale.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believe the fundamentals of an accessible resource base and improved midstream infrastructure should mean producers can continue to develop the most economic new supply. The NGL market is, among other things, expected to be driven by:</w:t>
      </w:r>
    </w:p>
    <w:p>
      <w:pPr>
        <w:spacing w:after="0" w:line="13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absolute prices of NGL products and their prices relative to natural gas and crude oil;</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drilling activity and wet natural gas production in developing liquids-rich production areas;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available processing, fractionation, storage and transportation capacity;</w:t>
      </w:r>
    </w:p>
    <w:p>
      <w:pPr>
        <w:spacing w:after="0" w:line="184"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petro-chemical demand driven by the build-out or new builds of Ethylene Cracker capacity (ethane demand) and Propane Dehydrogenation facilities (propane demand);</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export capacity for both ethane and propane;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diluent requirements for heavy Canadian oil;</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changes in gasoline specifications affecting demand for butane;</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 demand from refiners;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 weather-related demand;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inefficiencies caused by regional supply and demand imbalances.</w:t>
      </w:r>
    </w:p>
    <w:p>
      <w:pPr>
        <w:spacing w:after="0" w:line="19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a result of these and other factors, the NGL market is complex and volatile, which, along with expected market growth, creates opportunities to solve the logistical inefficiencies inherent in the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Market Overview</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serves as a “shock absorber” that balances the market, serving as a source of supply to meet the consumption demands in excess of daily production capacity during high-demand periods and a warehouse for gas production in excess of daily demand during low-demand periods.</w:t>
      </w:r>
    </w:p>
    <w:p>
      <w:pPr>
        <w:spacing w:after="0" w:line="148"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color w:val="auto"/>
        </w:rPr>
        <w:t>Overall market conditions for natural gas storage appear to be improving as several fundamental factors are contributing to growth in North American natural gas demand. These factors include (i) increasing exports of LNG from North America, (ii) increasing exports of natural gas to Mexico,</w:t>
      </w:r>
    </w:p>
    <w:p>
      <w:pPr>
        <w:ind w:right="280" w:firstLine="8"/>
        <w:spacing w:after="0" w:line="323" w:lineRule="auto"/>
        <w:tabs>
          <w:tab w:leader="none" w:pos="3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construction of new gas-fired power plants, (iv) sustained fuel switching from coal to natural gas among existing power plants and (v) growth in base-level industrial demand. The increase in both supply and demand has created greater opportunities for natural gas storage and pipeline operations.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business activities are conducted through three segments—Transportation, Facilities and Supply and Logistics. We have an extensive network of pipeline transportation, terminalling, storage and gathering assets in key crude oil and NGL producing basins and transportation corridors and at major market hubs in the United States and Canada. The map and descriptions below highlight our more significant assets (including certain assets under construction or development) as of December 31, 2019. Unless the context requires otherwise, references herein to our “facilities” includes all of the pipelines, terminals, storage and other assets owned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866130" cy="50425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66130" cy="5042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activities and assets for each of our three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Segment</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We generate revenue through a combination of tariffs, pipeline capacity agreements and other transportation fees. Our Transportation segment also includes equity earnings from our investments in entities that own or are developing transportation assets. We account for these investments under the equity method of accounting. See Note 9 to our Consolidated Financial Statements for additional information regarding these investments.</w:t>
      </w:r>
    </w:p>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2019, we employed a variety of owned or, to a much lesser extent, leased long-term physical assets throughout the United States and Canada in this segment, including approximately:</w:t>
      </w:r>
    </w:p>
    <w:p>
      <w:pPr>
        <w:spacing w:after="0" w:line="19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18,535 miles of active crude oil and NGL pipelines and gathering systems;</w:t>
      </w:r>
    </w:p>
    <w:p>
      <w:pPr>
        <w:spacing w:after="0" w:line="117"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35 million barrels of active, above-ground tank capacity used primarily to facilitate pipeline throughput and help maintain product quality segregation;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825 trailers (primarily in Canada);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50 transport and storage barges and 20 transport tugs through our interest in Settoon Towing.</w:t>
      </w:r>
    </w:p>
    <w:p>
      <w:pPr>
        <w:spacing w:after="0" w:line="252" w:lineRule="exact"/>
        <w:rPr>
          <w:sz w:val="20"/>
          <w:szCs w:val="20"/>
          <w:color w:val="auto"/>
        </w:rPr>
      </w:pPr>
    </w:p>
    <w:p>
      <w:pPr>
        <w:ind w:right="280" w:firstLine="648"/>
        <w:spacing w:after="0" w:line="272" w:lineRule="auto"/>
        <w:rPr>
          <w:sz w:val="20"/>
          <w:szCs w:val="20"/>
          <w:color w:val="auto"/>
        </w:rPr>
      </w:pPr>
      <w:r>
        <w:rPr>
          <w:rFonts w:ascii="Arial" w:cs="Arial" w:eastAsia="Arial" w:hAnsi="Arial"/>
          <w:sz w:val="18"/>
          <w:szCs w:val="18"/>
          <w:color w:val="auto"/>
        </w:rPr>
        <w:t>The following is a tabular presentation of our active crude oil and NGL pipeline assets in the United States and Canada as of December 31, 2019, grouped by geographic location:</w:t>
      </w:r>
    </w:p>
    <w:p>
      <w:pPr>
        <w:sectPr>
          <w:pgSz w:w="11900" w:h="16838" w:orient="portrait"/>
          <w:cols w:equalWidth="0" w:num="1">
            <w:col w:w="11400"/>
          </w:cols>
          <w:pgMar w:left="240" w:top="125" w:right="259" w:bottom="1440" w:gutter="0" w:footer="0" w:header="0"/>
        </w:sectPr>
      </w:pPr>
    </w:p>
    <w:p>
      <w:pPr>
        <w:spacing w:after="0" w:line="149"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21590</wp:posOffset>
            </wp:positionV>
            <wp:extent cx="38677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67785" cy="8890"/>
                    </a:xfrm>
                    <a:prstGeom prst="rect">
                      <a:avLst/>
                    </a:prstGeom>
                    <a:noFill/>
                  </pic:spPr>
                </pic:pic>
              </a:graphicData>
            </a:graphic>
          </wp:anchor>
        </w:drawing>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Crude Oil Pipelines:</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Permian Basin:</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Gathering pipelines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Intra-basin pipelines </w:t>
      </w:r>
      <w:r>
        <w:rPr>
          <w:rFonts w:ascii="Arial" w:cs="Arial" w:eastAsia="Arial" w:hAnsi="Arial"/>
          <w:sz w:val="20"/>
          <w:szCs w:val="20"/>
          <w:color w:val="auto"/>
          <w:vertAlign w:val="superscript"/>
        </w:rPr>
        <w:t>(3)</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Long-haul pipelines </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76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Ownership Percentage</w:t>
            </w: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5"/>
                <w:szCs w:val="15"/>
                <w:b w:val="1"/>
                <w:bCs w:val="1"/>
                <w:color w:val="auto"/>
                <w:w w:val="91"/>
              </w:rPr>
              <w:t>Approximate System</w:t>
            </w:r>
          </w:p>
        </w:tc>
        <w:tc>
          <w:tcPr>
            <w:tcW w:w="1600" w:type="dxa"/>
            <w:vAlign w:val="bottom"/>
          </w:tcPr>
          <w:p>
            <w:pPr>
              <w:jc w:val="center"/>
              <w:spacing w:after="0" w:line="153" w:lineRule="exact"/>
              <w:rPr>
                <w:sz w:val="20"/>
                <w:szCs w:val="20"/>
                <w:color w:val="auto"/>
              </w:rPr>
            </w:pPr>
            <w:r>
              <w:rPr>
                <w:rFonts w:ascii="Arial" w:cs="Arial" w:eastAsia="Arial" w:hAnsi="Arial"/>
                <w:sz w:val="15"/>
                <w:szCs w:val="15"/>
                <w:b w:val="1"/>
                <w:bCs w:val="1"/>
                <w:color w:val="auto"/>
                <w:w w:val="89"/>
              </w:rPr>
              <w:t>2019 Average Net</w:t>
            </w:r>
          </w:p>
        </w:tc>
        <w:tc>
          <w:tcPr>
            <w:tcW w:w="0" w:type="dxa"/>
            <w:vAlign w:val="bottom"/>
          </w:tcPr>
          <w:p>
            <w:pPr>
              <w:spacing w:after="0"/>
              <w:rPr>
                <w:sz w:val="1"/>
                <w:szCs w:val="1"/>
                <w:color w:val="auto"/>
              </w:rPr>
            </w:pPr>
          </w:p>
        </w:tc>
      </w:tr>
      <w:tr>
        <w:trPr>
          <w:trHeight w:val="200"/>
        </w:trPr>
        <w:tc>
          <w:tcPr>
            <w:tcW w:w="176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8"/>
              </w:rPr>
              <w:t xml:space="preserve">Miles </w:t>
            </w:r>
            <w:r>
              <w:rPr>
                <w:rFonts w:ascii="Arial" w:cs="Arial" w:eastAsia="Arial" w:hAnsi="Arial"/>
                <w:sz w:val="9"/>
                <w:szCs w:val="9"/>
                <w:b w:val="1"/>
                <w:bCs w:val="1"/>
                <w:color w:val="auto"/>
                <w:w w:val="98"/>
              </w:rPr>
              <w:t>(1)</w:t>
            </w:r>
          </w:p>
        </w:tc>
        <w:tc>
          <w:tcPr>
            <w:tcW w:w="1600" w:type="dxa"/>
            <w:vAlign w:val="bottom"/>
          </w:tcPr>
          <w:p>
            <w:pPr>
              <w:jc w:val="center"/>
              <w:spacing w:after="0"/>
              <w:rPr>
                <w:sz w:val="20"/>
                <w:szCs w:val="20"/>
                <w:color w:val="auto"/>
              </w:rPr>
            </w:pPr>
            <w:r>
              <w:rPr>
                <w:rFonts w:ascii="Arial" w:cs="Arial" w:eastAsia="Arial" w:hAnsi="Arial"/>
                <w:sz w:val="15"/>
                <w:szCs w:val="15"/>
                <w:b w:val="1"/>
                <w:bCs w:val="1"/>
                <w:color w:val="auto"/>
                <w:w w:val="95"/>
              </w:rPr>
              <w:t xml:space="preserve">Barrels per Day </w:t>
            </w:r>
            <w:r>
              <w:rPr>
                <w:rFonts w:ascii="Arial" w:cs="Arial" w:eastAsia="Arial" w:hAnsi="Arial"/>
                <w:sz w:val="9"/>
                <w:szCs w:val="9"/>
                <w:b w:val="1"/>
                <w:bCs w:val="1"/>
                <w:color w:val="auto"/>
                <w:w w:val="95"/>
              </w:rPr>
              <w:t>(2)</w:t>
            </w:r>
          </w:p>
        </w:tc>
        <w:tc>
          <w:tcPr>
            <w:tcW w:w="0" w:type="dxa"/>
            <w:vAlign w:val="bottom"/>
          </w:tcPr>
          <w:p>
            <w:pPr>
              <w:spacing w:after="0"/>
              <w:rPr>
                <w:sz w:val="1"/>
                <w:szCs w:val="1"/>
                <w:color w:val="auto"/>
              </w:rPr>
            </w:pPr>
          </w:p>
        </w:tc>
      </w:tr>
      <w:tr>
        <w:trPr>
          <w:trHeight w:val="186"/>
        </w:trPr>
        <w:tc>
          <w:tcPr>
            <w:tcW w:w="1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7620</wp:posOffset>
            </wp:positionV>
            <wp:extent cx="70408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342265</wp:posOffset>
            </wp:positionV>
            <wp:extent cx="70408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1280" w:type="dxa"/>
            <w:vAlign w:val="bottom"/>
          </w:tcPr>
          <w:p>
            <w:pPr>
              <w:jc w:val="right"/>
              <w:ind w:right="530"/>
              <w:spacing w:after="0"/>
              <w:rPr>
                <w:sz w:val="20"/>
                <w:szCs w:val="20"/>
                <w:color w:val="auto"/>
              </w:rPr>
            </w:pPr>
            <w:r>
              <w:rPr>
                <w:rFonts w:ascii="Arial" w:cs="Arial" w:eastAsia="Arial" w:hAnsi="Arial"/>
                <w:sz w:val="18"/>
                <w:szCs w:val="18"/>
                <w:color w:val="auto"/>
              </w:rPr>
              <w:t>100%</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0"/>
                <w:szCs w:val="20"/>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1,384</w:t>
            </w:r>
          </w:p>
        </w:tc>
      </w:tr>
      <w:tr>
        <w:trPr>
          <w:trHeight w:val="270"/>
        </w:trPr>
        <w:tc>
          <w:tcPr>
            <w:tcW w:w="1280" w:type="dxa"/>
            <w:vAlign w:val="bottom"/>
          </w:tcPr>
          <w:p>
            <w:pPr>
              <w:jc w:val="right"/>
              <w:ind w:right="290"/>
              <w:spacing w:after="0"/>
              <w:rPr>
                <w:sz w:val="20"/>
                <w:szCs w:val="20"/>
                <w:color w:val="auto"/>
              </w:rPr>
            </w:pPr>
            <w:r>
              <w:rPr>
                <w:rFonts w:ascii="Arial" w:cs="Arial" w:eastAsia="Arial" w:hAnsi="Arial"/>
                <w:sz w:val="18"/>
                <w:szCs w:val="18"/>
                <w:color w:val="auto"/>
                <w:w w:val="89"/>
              </w:rPr>
              <w:t>50% - 100%</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3"/>
                <w:szCs w:val="23"/>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2,041</w:t>
            </w:r>
          </w:p>
        </w:tc>
      </w:tr>
      <w:tr>
        <w:trPr>
          <w:trHeight w:val="270"/>
        </w:trPr>
        <w:tc>
          <w:tcPr>
            <w:tcW w:w="1280" w:type="dxa"/>
            <w:vAlign w:val="bottom"/>
          </w:tcPr>
          <w:p>
            <w:pPr>
              <w:jc w:val="right"/>
              <w:ind w:right="230"/>
              <w:spacing w:after="0"/>
              <w:rPr>
                <w:sz w:val="20"/>
                <w:szCs w:val="20"/>
                <w:color w:val="auto"/>
              </w:rPr>
            </w:pPr>
            <w:r>
              <w:rPr>
                <w:rFonts w:ascii="Arial" w:cs="Arial" w:eastAsia="Arial" w:hAnsi="Arial"/>
                <w:sz w:val="18"/>
                <w:szCs w:val="18"/>
                <w:color w:val="auto"/>
                <w:w w:val="95"/>
              </w:rPr>
              <w:t>20% - 100%</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3"/>
                <w:szCs w:val="23"/>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1,265</w:t>
            </w:r>
          </w:p>
        </w:tc>
      </w:tr>
      <w:tr>
        <w:trPr>
          <w:trHeight w:val="27"/>
        </w:trPr>
        <w:tc>
          <w:tcPr>
            <w:tcW w:w="12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5,480</w:t>
            </w:r>
          </w:p>
        </w:tc>
        <w:tc>
          <w:tcPr>
            <w:tcW w:w="100" w:type="dxa"/>
            <w:vAlign w:val="bottom"/>
          </w:tcPr>
          <w:p>
            <w:pPr>
              <w:spacing w:after="0"/>
              <w:rPr>
                <w:sz w:val="20"/>
                <w:szCs w:val="20"/>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-505460</wp:posOffset>
            </wp:positionV>
            <wp:extent cx="70408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-162560</wp:posOffset>
            </wp:positionV>
            <wp:extent cx="704088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4088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720"/>
            <w:col w:w="5040"/>
          </w:cols>
          <w:pgMar w:left="240" w:top="125" w:right="259" w:bottom="1440" w:gutter="0" w:footer="0" w:header="0"/>
          <w:type w:val="continuous"/>
        </w:sectPr>
      </w:pPr>
    </w:p>
    <w:p>
      <w:pPr>
        <w:spacing w:after="0" w:line="43"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South Texas/Eagle Ford</w:t>
            </w:r>
          </w:p>
        </w:tc>
        <w:tc>
          <w:tcPr>
            <w:tcW w:w="3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50% - 100%</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446</w:t>
            </w:r>
          </w:p>
        </w:tc>
      </w:tr>
      <w:tr>
        <w:trPr>
          <w:trHeight w:val="216"/>
        </w:trPr>
        <w:tc>
          <w:tcPr>
            <w:tcW w:w="47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0"/>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Central</w:t>
            </w:r>
          </w:p>
        </w:tc>
        <w:tc>
          <w:tcPr>
            <w:tcW w:w="3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50% - 100%</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2,675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498</w:t>
            </w:r>
          </w:p>
        </w:tc>
      </w:tr>
      <w:tr>
        <w:trPr>
          <w:trHeight w:val="216"/>
        </w:trPr>
        <w:tc>
          <w:tcPr>
            <w:tcW w:w="47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0"/>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Gulf Coast</w:t>
            </w:r>
          </w:p>
        </w:tc>
        <w:tc>
          <w:tcPr>
            <w:tcW w:w="3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 - 100%</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w:t>
            </w:r>
          </w:p>
        </w:tc>
      </w:tr>
      <w:tr>
        <w:trPr>
          <w:trHeight w:val="257"/>
        </w:trPr>
        <w:tc>
          <w:tcPr>
            <w:tcW w:w="47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0"/>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Rocky Mountain</w:t>
            </w:r>
          </w:p>
        </w:tc>
        <w:tc>
          <w:tcPr>
            <w:tcW w:w="3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 - 100%</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3,385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293</w:t>
            </w:r>
          </w:p>
        </w:tc>
      </w:tr>
      <w:tr>
        <w:trPr>
          <w:trHeight w:val="270"/>
        </w:trPr>
        <w:tc>
          <w:tcPr>
            <w:tcW w:w="47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0"/>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Western</w:t>
            </w:r>
          </w:p>
        </w:tc>
        <w:tc>
          <w:tcPr>
            <w:tcW w:w="32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100%</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w:t>
            </w:r>
          </w:p>
        </w:tc>
      </w:tr>
      <w:tr>
        <w:trPr>
          <w:trHeight w:val="257"/>
        </w:trPr>
        <w:tc>
          <w:tcPr>
            <w:tcW w:w="47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0"/>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32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100%</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323</w:t>
            </w:r>
          </w:p>
        </w:tc>
      </w:tr>
      <w:tr>
        <w:trPr>
          <w:trHeight w:val="270"/>
        </w:trPr>
        <w:tc>
          <w:tcPr>
            <w:tcW w:w="4720" w:type="dxa"/>
            <w:vAlign w:val="bottom"/>
            <w:tcBorders>
              <w:bottom w:val="single" w:sz="8" w:color="CCEEFF"/>
            </w:tcBorders>
          </w:tcPr>
          <w:p>
            <w:pPr>
              <w:spacing w:after="0"/>
              <w:rPr>
                <w:sz w:val="23"/>
                <w:szCs w:val="23"/>
                <w:color w:val="auto"/>
              </w:rPr>
            </w:pPr>
          </w:p>
        </w:tc>
        <w:tc>
          <w:tcPr>
            <w:tcW w:w="322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r>
      <w:tr>
        <w:trPr>
          <w:trHeight w:val="264"/>
        </w:trPr>
        <w:tc>
          <w:tcPr>
            <w:tcW w:w="4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Crude Oil Pipelines Total</w:t>
            </w:r>
          </w:p>
        </w:tc>
        <w:tc>
          <w:tcPr>
            <w:tcW w:w="3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16,890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6,613</w:t>
            </w:r>
          </w:p>
        </w:tc>
      </w:tr>
      <w:tr>
        <w:trPr>
          <w:trHeight w:val="250"/>
        </w:trPr>
        <w:tc>
          <w:tcPr>
            <w:tcW w:w="47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r>
      <w:tr>
        <w:trPr>
          <w:trHeight w:val="250"/>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Canadian NGL Pipelines</w:t>
            </w:r>
          </w:p>
        </w:tc>
        <w:tc>
          <w:tcPr>
            <w:tcW w:w="3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 - 100%</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192</w:t>
            </w:r>
          </w:p>
        </w:tc>
      </w:tr>
      <w:tr>
        <w:trPr>
          <w:trHeight w:val="257"/>
        </w:trPr>
        <w:tc>
          <w:tcPr>
            <w:tcW w:w="472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r>
      <w:tr>
        <w:trPr>
          <w:trHeight w:val="289"/>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Crude Oil and NGL Pipelines Total</w:t>
            </w:r>
          </w:p>
        </w:tc>
        <w:tc>
          <w:tcPr>
            <w:tcW w:w="32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18,535</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6,805</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Includes total mileage from pipelines owned by unconsolidated entities.</w:t>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right="440" w:hanging="11"/>
        <w:spacing w:after="0" w:line="264" w:lineRule="auto"/>
        <w:rPr>
          <w:sz w:val="20"/>
          <w:szCs w:val="20"/>
          <w:color w:val="auto"/>
        </w:rPr>
      </w:pPr>
      <w:r>
        <w:rPr>
          <w:rFonts w:ascii="Arial" w:cs="Arial" w:eastAsia="Arial" w:hAnsi="Arial"/>
          <w:sz w:val="18"/>
          <w:szCs w:val="18"/>
          <w:color w:val="auto"/>
        </w:rPr>
        <w:t>Represents average daily volumes for the entire year attributable to our interest. Average daily volumes are calculated as the total volumes (attributable to our interest) for the year divided by the number of days in the year. Volumes reflect tariff movements and thus may be included multiple times as volumes move through our integrated system.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Includes pipelines operated by a third party.</w:t>
      </w:r>
    </w:p>
    <w:p>
      <w:pPr>
        <w:spacing w:after="0" w:line="200" w:lineRule="exact"/>
        <w:rPr>
          <w:sz w:val="20"/>
          <w:szCs w:val="20"/>
          <w:color w:val="auto"/>
        </w:rPr>
      </w:pPr>
    </w:p>
    <w:p>
      <w:pPr>
        <w:sectPr>
          <w:pgSz w:w="11900" w:h="16838" w:orient="portrait"/>
          <w:cols w:equalWidth="0" w:num="2">
            <w:col w:w="140" w:space="500"/>
            <w:col w:w="10740"/>
          </w:cols>
          <w:pgMar w:left="240" w:top="125" w:right="279" w:bottom="1440" w:gutter="0" w:footer="0" w:header="0"/>
          <w:type w:val="continuous"/>
        </w:sectPr>
      </w:pPr>
    </w:p>
    <w:p>
      <w:pPr>
        <w:spacing w:after="0" w:line="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 significant portion of our pipeline assets are interconnected and are operated as a contiguous system. The following descriptions are organized by geographic location and represent a selection of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point B to point C would double the pipeline tariff volumes on a particular system versus a point A to point C movement). As a result, at times, our reported tariff barrel movements may exceed our total capacity.</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Pipelines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Permian Basin</w:t>
      </w:r>
    </w:p>
    <w:p>
      <w:pPr>
        <w:spacing w:after="0" w:line="18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are among the largest providers of crude oil midstream infrastructure and services in the Permian Basin located in west Texas and southeastern New Mexico. Our Permian Basin asset base represents an interconnected system that aggregates receipts from wellhead gathering lines and bulk truck injection locations into intra-basin trunk lines for transportation and delivery to a combination of owned and third-party mainline takeaway pipelines. Accordingly, our Permian Basin crude oil pipelines fall into one of three categories: Gathering, Intra-basin or Long-haul. We also have approximately 14 million barrels of tank capacity associated with our Permian Basin asset base, which allows us to provide quality segregation and flow assurance in the region.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growth in our average Permian Basin tariff volumes over the last three years (in thousands of barrels per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Gathering Pipelines</w:t>
      </w:r>
    </w:p>
    <w:p>
      <w:pPr>
        <w:spacing w:after="0" w:line="198"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We own and operate over 3,100 miles of gathering pipelines in the Permian Basin. Our gathering systems are in both the Midland Basin and the Delaware Basin and in aggregate represent over 2.5 million barrels per day of pipeline capacity. This gathering capacity includes pipeline capacity that delivers volumes to regional hubs and includes certain large diameter pipeline segments/systems. Approximately 75% of the capacity of our gathering systems is in the Delaware Basin. We added approximately 600,000 barrels per day of incremental capacity in 2019 through the completion of various expansion projects.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Intra-basin Pipelines</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operate an intra-basin Permian Basin pipeline system with a capacity of over 3 million barrels per day that connects gathering and truck injection volumes to our owned and operated as well as third-party mainline pipelines that transport crude oil to major market hubs. This interconnected pipeline system is designed to provide shippers flow assurance, flexibility and access to multiple markets. We added approximately 400,000 barrels per day of incremental capacity in 2019 through the completion of various expansion projects.</w:t>
      </w:r>
    </w:p>
    <w:p>
      <w:pPr>
        <w:spacing w:after="0" w:line="214"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Two of our largest intra-basin pipelines are the Mesa and Sunrise Pipelines. The Mesa and Sunrise Pipelines extend from our Midland, Texas terminal to our Colorado City, Texas terminal where they have access to all of the Permian Basin takeaway pipelines that originate at Colorado City.</w:t>
      </w:r>
    </w:p>
    <w:p>
      <w:pPr>
        <w:spacing w:after="0" w:line="151" w:lineRule="exact"/>
        <w:rPr>
          <w:sz w:val="20"/>
          <w:szCs w:val="20"/>
          <w:color w:val="auto"/>
        </w:rPr>
      </w:pPr>
    </w:p>
    <w:p>
      <w:pPr>
        <w:jc w:val="both"/>
        <w:ind w:left="980" w:right="80" w:hanging="324"/>
        <w:spacing w:after="0" w:line="264"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Mesa Pipeline. </w:t>
      </w:r>
      <w:r>
        <w:rPr>
          <w:rFonts w:ascii="Arial" w:cs="Arial" w:eastAsia="Arial" w:hAnsi="Arial"/>
          <w:sz w:val="18"/>
          <w:szCs w:val="18"/>
          <w:color w:val="auto"/>
        </w:rPr>
        <w:t>We own a 63% undivided interest in and are the operator of Mesa Pipeline, which transports crude oil from Midland, Texas to a</w:t>
      </w:r>
      <w:r>
        <w:rPr>
          <w:rFonts w:ascii="Arial" w:cs="Arial" w:eastAsia="Arial" w:hAnsi="Arial"/>
          <w:sz w:val="18"/>
          <w:szCs w:val="18"/>
          <w:i w:val="1"/>
          <w:iCs w:val="1"/>
          <w:color w:val="auto"/>
        </w:rPr>
        <w:t xml:space="preserve"> </w:t>
      </w:r>
      <w:r>
        <w:rPr>
          <w:rFonts w:ascii="Arial" w:cs="Arial" w:eastAsia="Arial" w:hAnsi="Arial"/>
          <w:sz w:val="18"/>
          <w:szCs w:val="18"/>
          <w:color w:val="auto"/>
        </w:rPr>
        <w:t>refinery at Big Spring, Texas, and to connecting carriers at Colorado City, Texas, with capacity of up to 400,000 barrels per day (approximately 252,000 barrels per day attributable to our interest).</w:t>
      </w:r>
    </w:p>
    <w:p>
      <w:pPr>
        <w:spacing w:after="0" w:line="208"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Sunrise Pipeline. </w:t>
      </w:r>
      <w:r>
        <w:rPr>
          <w:rFonts w:ascii="Arial" w:cs="Arial" w:eastAsia="Arial" w:hAnsi="Arial"/>
          <w:sz w:val="18"/>
          <w:szCs w:val="18"/>
          <w:color w:val="auto"/>
        </w:rPr>
        <w:t>Our Sunrise Pipeline, which transports crude oil from Midland, Texas to connecting carriers at Colorado City, Texas, has a</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of approximately 350,000 barrels per day.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Long-haul Pipelines</w:t>
      </w:r>
    </w:p>
    <w:p>
      <w:pPr>
        <w:spacing w:after="0" w:line="25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own interests in multiple long-haul Permian Basin pipeline systems that, on a combined basis, represent over 1.5 million barrels per day of currently operational takeaway capacity (net to our ownership interests) out of the Permian Basin.</w:t>
      </w:r>
    </w:p>
    <w:p>
      <w:pPr>
        <w:spacing w:after="0" w:line="197" w:lineRule="exact"/>
        <w:rPr>
          <w:sz w:val="20"/>
          <w:szCs w:val="20"/>
          <w:color w:val="auto"/>
        </w:rPr>
      </w:pPr>
    </w:p>
    <w:p>
      <w:pPr>
        <w:ind w:left="980" w:right="100" w:hanging="324"/>
        <w:spacing w:after="0" w:line="279" w:lineRule="auto"/>
        <w:tabs>
          <w:tab w:leader="none" w:pos="975"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Basin Pipeline (Permian to Cushing). </w:t>
      </w:r>
      <w:r>
        <w:rPr>
          <w:rFonts w:ascii="Arial" w:cs="Arial" w:eastAsia="Arial" w:hAnsi="Arial"/>
          <w:sz w:val="17"/>
          <w:szCs w:val="17"/>
          <w:color w:val="auto"/>
        </w:rPr>
        <w:t>We own an 87% UJI in and are the operator of Basin Pipeline. Basin Pipeline has three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pacing w:after="0" w:line="198" w:lineRule="exact"/>
        <w:rPr>
          <w:rFonts w:ascii="Arial" w:cs="Arial" w:eastAsia="Arial" w:hAnsi="Arial"/>
          <w:sz w:val="17"/>
          <w:szCs w:val="17"/>
          <w:color w:val="auto"/>
        </w:rPr>
      </w:pPr>
    </w:p>
    <w:p>
      <w:pPr>
        <w:ind w:left="980" w:right="40" w:hanging="324"/>
        <w:spacing w:after="0" w:line="255"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BridgeTex Pipeline (Permian to Houston). </w:t>
      </w:r>
      <w:r>
        <w:rPr>
          <w:rFonts w:ascii="Arial" w:cs="Arial" w:eastAsia="Arial" w:hAnsi="Arial"/>
          <w:sz w:val="18"/>
          <w:szCs w:val="18"/>
          <w:color w:val="auto"/>
        </w:rPr>
        <w:t>After the sale of a portion of our interest in the third quarter of 2018, we now own a 20%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BridgeTex Pipeline Company, LLC, a joint venture with a subsidiary of Magellan Midstream Partners, L.P. (“Magellan”) and an affiliate of OMERS Infrastructure Management Inc. Such joint venture owns a crude oil pipeline (the “BridgeTex Pipeline”) with a capacity of 440,000 barrels per day that originates at Colorado City, Texas, receiving volumes from our Basin and Sunrise Pipelines, and extends to Houston, Texas. The BridgeTex Pipeline is operated by Magellan. See Note 9 to our Consolidated Financial Statements for additional information regarding the sale of a portion of our interest in BridgeTex Pipeline Company, LLC.</w:t>
      </w:r>
    </w:p>
    <w:p>
      <w:pPr>
        <w:spacing w:after="0" w:line="220" w:lineRule="exact"/>
        <w:rPr>
          <w:rFonts w:ascii="Arial" w:cs="Arial" w:eastAsia="Arial" w:hAnsi="Arial"/>
          <w:sz w:val="18"/>
          <w:szCs w:val="18"/>
          <w:color w:val="auto"/>
        </w:rPr>
      </w:pPr>
    </w:p>
    <w:p>
      <w:pPr>
        <w:jc w:val="both"/>
        <w:ind w:left="980" w:right="100" w:hanging="324"/>
        <w:spacing w:after="0" w:line="286" w:lineRule="auto"/>
        <w:tabs>
          <w:tab w:leader="none" w:pos="975"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Sunrise II Pipeline. </w:t>
      </w:r>
      <w:r>
        <w:rPr>
          <w:rFonts w:ascii="Arial" w:cs="Arial" w:eastAsia="Arial" w:hAnsi="Arial"/>
          <w:sz w:val="17"/>
          <w:szCs w:val="17"/>
          <w:color w:val="auto"/>
        </w:rPr>
        <w:t>We operate the Sunrise II Pipeline and, through a UJI arrangement, own 400,000 barrels of the capacity, a portion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leased to our Red Oak joint venture once the Red Oak pipeline system is operational (see discussion of Red Oak below). Our Sunrise II Pipeline transports crude oil from Midland and Colorado City to connecting carriers at Wichita Falls.</w:t>
      </w:r>
    </w:p>
    <w:p>
      <w:pPr>
        <w:spacing w:after="0" w:line="192" w:lineRule="exact"/>
        <w:rPr>
          <w:rFonts w:ascii="Arial" w:cs="Arial" w:eastAsia="Arial" w:hAnsi="Arial"/>
          <w:sz w:val="17"/>
          <w:szCs w:val="17"/>
          <w:color w:val="auto"/>
        </w:rPr>
      </w:pPr>
    </w:p>
    <w:p>
      <w:pPr>
        <w:ind w:left="980" w:right="460" w:hanging="324"/>
        <w:spacing w:after="0" w:line="286" w:lineRule="auto"/>
        <w:tabs>
          <w:tab w:leader="none" w:pos="975"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Cactus Pipeline (Permian to Corpus Christi). </w:t>
      </w:r>
      <w:r>
        <w:rPr>
          <w:rFonts w:ascii="Arial" w:cs="Arial" w:eastAsia="Arial" w:hAnsi="Arial"/>
          <w:sz w:val="17"/>
          <w:szCs w:val="17"/>
          <w:color w:val="auto"/>
        </w:rPr>
        <w:t>We own and operate the Cactus Pipeline, which has a capacity of 390,000 barrels per day,</w:t>
      </w:r>
      <w:r>
        <w:rPr>
          <w:rFonts w:ascii="Arial" w:cs="Arial" w:eastAsia="Arial" w:hAnsi="Arial"/>
          <w:sz w:val="17"/>
          <w:szCs w:val="17"/>
          <w:i w:val="1"/>
          <w:iCs w:val="1"/>
          <w:color w:val="auto"/>
        </w:rPr>
        <w:t xml:space="preserve"> </w:t>
      </w:r>
      <w:r>
        <w:rPr>
          <w:rFonts w:ascii="Arial" w:cs="Arial" w:eastAsia="Arial" w:hAnsi="Arial"/>
          <w:sz w:val="17"/>
          <w:szCs w:val="17"/>
          <w:color w:val="auto"/>
        </w:rPr>
        <w:t>originates at McCamey, Texas and extends to Gardendale, Texas. Cactus Pipeline volumes are interconnected to the Corpus Christi, Texas market through a connection at Gardendale to our Eagle Ford joint venture pipeline system.</w:t>
      </w:r>
    </w:p>
    <w:p>
      <w:pPr>
        <w:spacing w:after="0" w:line="192" w:lineRule="exact"/>
        <w:rPr>
          <w:rFonts w:ascii="Arial" w:cs="Arial" w:eastAsia="Arial" w:hAnsi="Arial"/>
          <w:sz w:val="17"/>
          <w:szCs w:val="17"/>
          <w:color w:val="auto"/>
        </w:rPr>
      </w:pPr>
    </w:p>
    <w:p>
      <w:pPr>
        <w:ind w:left="980" w:right="120" w:hanging="324"/>
        <w:spacing w:after="0" w:line="312" w:lineRule="auto"/>
        <w:tabs>
          <w:tab w:leader="none" w:pos="975"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Cactus II Pipeline (Permian to Corpus Christi). </w:t>
      </w:r>
      <w:r>
        <w:rPr>
          <w:rFonts w:ascii="Arial" w:cs="Arial" w:eastAsia="Arial" w:hAnsi="Arial"/>
          <w:sz w:val="16"/>
          <w:szCs w:val="16"/>
          <w:color w:val="auto"/>
        </w:rPr>
        <w:t>We own a 65% interest in Cactus II Pipeline LLC, a joint venture that owns the Cactus II</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(“Cactus II”), which we operate and which was placed in service in August 2019. Cactus II is a Permian mainline system that extends directly to the Corpus Christi, Texas market, has a capacity of 670,000 barrels per day and is supported by long-term third-party commitments.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40" w:hanging="324"/>
        <w:spacing w:after="0" w:line="271" w:lineRule="auto"/>
        <w:tabs>
          <w:tab w:leader="none" w:pos="975"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Wink to Webster Pipeline. </w:t>
      </w:r>
      <w:r>
        <w:rPr>
          <w:rFonts w:ascii="Arial" w:cs="Arial" w:eastAsia="Arial" w:hAnsi="Arial"/>
          <w:sz w:val="17"/>
          <w:szCs w:val="17"/>
          <w:color w:val="auto"/>
        </w:rPr>
        <w:t>In January 2019, we announced the formation of Wink to Webster Pipeline LLC (“W2W Pipeline”), a joint venture</w:t>
      </w:r>
      <w:r>
        <w:rPr>
          <w:rFonts w:ascii="Arial" w:cs="Arial" w:eastAsia="Arial" w:hAnsi="Arial"/>
          <w:sz w:val="17"/>
          <w:szCs w:val="17"/>
          <w:i w:val="1"/>
          <w:iCs w:val="1"/>
          <w:color w:val="auto"/>
        </w:rPr>
        <w:t xml:space="preserve"> </w:t>
      </w:r>
      <w:r>
        <w:rPr>
          <w:rFonts w:ascii="Arial" w:cs="Arial" w:eastAsia="Arial" w:hAnsi="Arial"/>
          <w:sz w:val="17"/>
          <w:szCs w:val="17"/>
          <w:color w:val="auto"/>
        </w:rPr>
        <w:t>with five other partners. We currently own a 16% interest in W2W Pipeline, which is developing a new pipeline system that will originate in the Permian Basin in West Texas and transport crude oil to the Texas Gulf Coast. The pipeline system will have origination points in Wink and Midland, Texas, and delivery to multiple locations in the Houston market, including Webster and Baytown, Texas, with connectivity to Texas City and Beaumont, Texas. The pipeline system will provide approximately 1.5 million barrels per day of crude oil and condensate capacity and is supported by long-term shipper commitments. Operations are targeted to commence in 2021. W2W Pipeline has entered into a UJI arrangement with a subsidiary of Enterprise Products Partners, L.P. (“Enterprise”) that has acquired 29% of the capacity of the pipeline segment from Midland to Webster, and W2W Pipeline now owns 71% of this segment of the pipeline.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South Texas/Eagle Ford Area</w:t>
      </w:r>
    </w:p>
    <w:p>
      <w:pPr>
        <w:spacing w:after="0" w:line="18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own a 100% interest in and are the operator of gathering systems that feed into our Gardendale Station. Additionally, we own a 50% interest in Eagle Ford Pipeline LLC, a joint venture with a subsidiary of Enterprise. This joint venture owns a pipeline system, of which we serve as the operator, that has a total capacity of approximately 660,000 barrels per day and connects Permian and Eagle Ford area production to Corpus Christi, Texas refiners and terminals. Additionally, the joint venture system has connectivity to Houston, Texas via a connection with Enterprise’s pipeline at Lyssy, Texas.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Central</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own and operate gathering and mainline pipelines that source crude oil from Western and Central Oklahoma and Southwest Kansas for transportation and delivery into our terminal facilities at Cushing, Oklahoma. In addition, we own and operate various pipeline systems that extend from our Cushing facility, or from other pipelines connected to our Cushing facility, to various demand locations. Below is a description of some of our most significant pipeline systems in the Central Region:</w:t>
      </w:r>
    </w:p>
    <w:p>
      <w:pPr>
        <w:spacing w:after="0" w:line="21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Diamond Pipeline (Cushing to Memphis). </w:t>
      </w:r>
      <w:r>
        <w:rPr>
          <w:rFonts w:ascii="Arial" w:cs="Arial" w:eastAsia="Arial" w:hAnsi="Arial"/>
          <w:sz w:val="17"/>
          <w:szCs w:val="17"/>
          <w:color w:val="auto"/>
        </w:rPr>
        <w:t>We own a 50% interest in Diamond Pipeline LLC, a joint venture with Valero Energy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(“Valero”). This joint venture owns, and we operate, the Diamond Pipeline, which extends from our Cushing Terminal to Valero’s refinery in Memphis, Tennessee. The Diamond Pipeline is underpinned by a long-term minimum volume commitment and currently has a total capacity of 200,000 barrels per day. Following the successful 2019 open season on the Capline Pipeline system (“Capline”), the joint venture partners sanctioned an expansion and modest extension of the Diamond Pipeline that will expand its capacity to approximately 420,000 barrels per day, connect it to Capline and facilitate the movement of volumes from Cushing, Oklahoma to St. James, Louisiana (see discussion in “Gulf Coast” below).</w:t>
      </w:r>
    </w:p>
    <w:p>
      <w:pPr>
        <w:spacing w:after="0" w:line="20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i w:val="1"/>
          <w:iCs w:val="1"/>
          <w:color w:val="auto"/>
        </w:rPr>
        <w:t>Red River Pipeline (Cushing to Longview)</w:t>
      </w:r>
      <w:r>
        <w:rPr>
          <w:rFonts w:ascii="Arial" w:cs="Arial" w:eastAsia="Arial" w:hAnsi="Arial"/>
          <w:sz w:val="17"/>
          <w:szCs w:val="17"/>
          <w:color w:val="auto"/>
        </w:rPr>
        <w:t>. The Red River Pipeline is an approximately 150,000 barrel per day capacity pipeline that extends from</w:t>
      </w:r>
      <w:r>
        <w:rPr>
          <w:rFonts w:ascii="Arial" w:cs="Arial" w:eastAsia="Arial" w:hAnsi="Arial"/>
          <w:sz w:val="17"/>
          <w:szCs w:val="17"/>
          <w:i w:val="1"/>
          <w:iCs w:val="1"/>
          <w:color w:val="auto"/>
        </w:rPr>
        <w:t xml:space="preserve"> </w:t>
      </w:r>
      <w:r>
        <w:rPr>
          <w:rFonts w:ascii="Arial" w:cs="Arial" w:eastAsia="Arial" w:hAnsi="Arial"/>
          <w:sz w:val="17"/>
          <w:szCs w:val="17"/>
          <w:color w:val="auto"/>
        </w:rPr>
        <w:t>our Cushing Terminal in Oklahoma to Longview, Texas, where it connects with various pipelines, including the Caddo Pipeline. The Red River Pipeline is supported by long-term shipper commitments and we serve as operator. In May 2019, we announced a new joint venture of the Red River Pipeline. Delek Logistics Partners, LP (“Delek”) purchased a 33% ownership interest in the new Red River Pipeline Company LLC (“Red River JV”) joint venture and we retained a 67% interest. In addition, we announced an expansion that will increase the total system capacity from approximately 150,000 barrels per day to approximately 235,000 barrels per day through the addition of pumping capacity and is expected to be completed during the second half of 2020. The expansion enables additional volume pull-through from Cushing, Oklahoma and the Permian to the U.S. Gulf Coast markets, providing additional supply optionality for shippers. In support of this expansion, Delek increased its long-term throughput and deficiency agreement on the Red River Pipeline system from an existing 35,000 barrels per day to 100,000 barrels per day. Prior to the completion of the expansion, Red River JV owns a 60% UJI in the segment of the pipeline extending from Cushing, Oklahoma to Hewitt, Oklahoma near Valero’s refinery in Ardmore, Oklahoma, with the remaining 40% held by a third party. After the expansion is completed, Red River JV will have an approximate 69% UJI in the pipeline segment from Cushing to Hewitt. Red River JV owns 100% of the segment of the pipeline extending from Hewitt to Longview.</w:t>
      </w:r>
    </w:p>
    <w:p>
      <w:pPr>
        <w:spacing w:after="0" w:line="20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i w:val="1"/>
          <w:iCs w:val="1"/>
          <w:color w:val="auto"/>
        </w:rPr>
        <w:t>Caddo Pipeline</w:t>
      </w:r>
      <w:r>
        <w:rPr>
          <w:rFonts w:ascii="Arial" w:cs="Arial" w:eastAsia="Arial" w:hAnsi="Arial"/>
          <w:sz w:val="17"/>
          <w:szCs w:val="17"/>
          <w:color w:val="auto"/>
        </w:rPr>
        <w:t>. We own a 50% interest in Caddo Pipeline LLC, a joint venture with Delek. The joint venture owns, and we operate, the Caddo</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 which is an approximately 80,000 barrel per day capacity pipeline that originates in Longview, Texas at the terminus of the Red River Pipeline and serves refineries in Shreveport, Louisiana and El Dorado, Arkansas. The Caddo Pipeline is underpinned by shipper commitments.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i w:val="1"/>
          <w:iCs w:val="1"/>
          <w:color w:val="auto"/>
        </w:rPr>
        <w:t>STACK Pipeline</w:t>
      </w:r>
      <w:r>
        <w:rPr>
          <w:rFonts w:ascii="Arial" w:cs="Arial" w:eastAsia="Arial" w:hAnsi="Arial"/>
          <w:sz w:val="16"/>
          <w:szCs w:val="16"/>
          <w:color w:val="auto"/>
        </w:rPr>
        <w:t>. We own a 50% interest in STACK Pipeline LLC, a joint venture with Phillips 66 Partners, L.P. This joint venture owns the STACK</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which serves producers in the STACK (Sooner Trend Anadarko Basin Canadian and Kingfisher Counties) resource play and delivers to Cushing, Oklahoma. We serve as operator of this joint-venture system that has a total capacity of 250,000 barrels per day and is supported by producer commitments.</w:t>
      </w:r>
    </w:p>
    <w:p>
      <w:pPr>
        <w:spacing w:after="0" w:line="17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i w:val="1"/>
          <w:iCs w:val="1"/>
          <w:color w:val="auto"/>
        </w:rPr>
        <w:t xml:space="preserve">Red Oak Pipeline. </w:t>
      </w:r>
      <w:r>
        <w:rPr>
          <w:rFonts w:ascii="Arial" w:cs="Arial" w:eastAsia="Arial" w:hAnsi="Arial"/>
          <w:sz w:val="16"/>
          <w:szCs w:val="16"/>
          <w:color w:val="auto"/>
        </w:rPr>
        <w:t>In June 2019, we announced the formation of Red Oak Pipeline LLC (“Red Oak”), a joint venture with a subsidiary of Phillips 66.</w:t>
      </w:r>
      <w:r>
        <w:rPr>
          <w:rFonts w:ascii="Arial" w:cs="Arial" w:eastAsia="Arial" w:hAnsi="Arial"/>
          <w:sz w:val="16"/>
          <w:szCs w:val="16"/>
          <w:i w:val="1"/>
          <w:iCs w:val="1"/>
          <w:color w:val="auto"/>
        </w:rPr>
        <w:t xml:space="preserve"> </w:t>
      </w:r>
      <w:r>
        <w:rPr>
          <w:rFonts w:ascii="Arial" w:cs="Arial" w:eastAsia="Arial" w:hAnsi="Arial"/>
          <w:sz w:val="16"/>
          <w:szCs w:val="16"/>
          <w:color w:val="auto"/>
        </w:rPr>
        <w:t>We own a 50% interest in Red Oak, which is currently developing a new pipeline that will provide crude oil transportation service from Cushing, Oklahoma, and the Permian Basin in West Texas to multiple destinations along the Texas Gulf Coast, including Corpus Christi, Ingleside, Houston and Beaumont, Texas. The pipeline system will provide approximately 1 million barrels per day of capacity and is supported by long-term shipper commitments. Initial service from Cushing to the Gulf Coast is targeted to commence in the first half of 2021, subject to receipt of applicable permits and regulatory approvals. In addition to contributing cash for construction of the Red Oak pipeline system, we have also entered into a pipeline capacity lease agreement with Red Oak whereby Red Oak has agreed to lease 260,000 barrels of capacity on our Sunrise II pipeline once the Red Oak pipeline system is operational. The capacity lease on Sunrise</w:t>
      </w:r>
    </w:p>
    <w:p>
      <w:pPr>
        <w:spacing w:after="0" w:line="3"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enable receipts from the Permian Basin by utilizing existing pipeline capacity.</w:t>
      </w:r>
    </w:p>
    <w:p>
      <w:pPr>
        <w:spacing w:after="0" w:line="23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Gulf Coast</w:t>
      </w:r>
    </w:p>
    <w:p>
      <w:pPr>
        <w:spacing w:after="0" w:line="306" w:lineRule="exact"/>
        <w:rPr>
          <w:sz w:val="20"/>
          <w:szCs w:val="20"/>
          <w:color w:val="auto"/>
        </w:rPr>
      </w:pPr>
    </w:p>
    <w:p>
      <w:pPr>
        <w:ind w:left="40" w:right="80" w:firstLine="648"/>
        <w:spacing w:after="0" w:line="272" w:lineRule="auto"/>
        <w:rPr>
          <w:sz w:val="20"/>
          <w:szCs w:val="20"/>
          <w:color w:val="auto"/>
        </w:rPr>
      </w:pPr>
      <w:r>
        <w:rPr>
          <w:rFonts w:ascii="Arial" w:cs="Arial" w:eastAsia="Arial" w:hAnsi="Arial"/>
          <w:sz w:val="17"/>
          <w:szCs w:val="17"/>
          <w:color w:val="auto"/>
        </w:rPr>
        <w:t>We own and/or operate pipelines in the Gulf Coast area with transportation and delivery into connecting carriers, terminal facilities and refineries, which include an interest in the Capline pipeline system. During the first quarter of 2019, the owners of the Capline pipeline system, which originates in St. James, Louisiana and terminates in Patoka, Illinois, contributed their undivided joint interests in the system to a newly formed entity, Capline Pipeline Company LLC (“Capline LLC”), in exchange for equity interests in such entity. After the contribution, Capline LLC owns 100% of the pipeline system. During the third quarter of 2019, the owners of Capline LLC sanctioned the reversal of the Capline pipeline system for southbound service and a connection to the Diamond Pipeline. Light crude oil service from the Memphis, Tennessee area to St. James, Louisiana is expected to begin in mid-2021 and heavy crude oil service from Patoka, Illinois to St. James, Louisiana is expected to begin in early 2022.</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Rocky Mountain</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own and operate pipelines that provide gathering services in the Bakken and the Powder River Basin. We own the Bakken North pipeline system that in 2019 was modified to accommodate bidirectional flow and can now move crude oil from the Bakken to the Enbridge mainline system at Regina, Saskatchewan or from the Enbridge mainline system to our terminal in Trenton, North Dakota. We own a UJI in a pipeline system that extends from the Canadian border to our terminal in Guernsey, Wyoming. This pipeline system receives crude oil from our Rangeland and Milk River Pipelines in Canada. In addition to these assets, our largest Rocky Mountain area systems include the following joint venture pipelines, both of which connect to our terminal in Cushing:</w:t>
      </w:r>
    </w:p>
    <w:p>
      <w:pPr>
        <w:spacing w:after="0" w:line="220" w:lineRule="exact"/>
        <w:rPr>
          <w:sz w:val="20"/>
          <w:szCs w:val="20"/>
          <w:color w:val="auto"/>
        </w:rPr>
      </w:pPr>
    </w:p>
    <w:p>
      <w:pPr>
        <w:ind w:right="80" w:firstLine="648"/>
        <w:spacing w:after="0" w:line="279" w:lineRule="auto"/>
        <w:rPr>
          <w:sz w:val="20"/>
          <w:szCs w:val="20"/>
          <w:color w:val="auto"/>
        </w:rPr>
      </w:pPr>
      <w:r>
        <w:rPr>
          <w:rFonts w:ascii="Arial" w:cs="Arial" w:eastAsia="Arial" w:hAnsi="Arial"/>
          <w:sz w:val="16"/>
          <w:szCs w:val="16"/>
          <w:i w:val="1"/>
          <w:iCs w:val="1"/>
          <w:color w:val="auto"/>
        </w:rPr>
        <w:t>Saddlehorn Pipeline</w:t>
      </w:r>
      <w:r>
        <w:rPr>
          <w:rFonts w:ascii="Arial" w:cs="Arial" w:eastAsia="Arial" w:hAnsi="Arial"/>
          <w:sz w:val="16"/>
          <w:szCs w:val="16"/>
          <w:color w:val="auto"/>
        </w:rPr>
        <w:t>. We own a 40% interest in Saddlehorn Pipeline LLC (“SP LLC”), which, through a UJI arrangement, owns 190,000 barrels per</w:t>
      </w:r>
      <w:r>
        <w:rPr>
          <w:rFonts w:ascii="Arial" w:cs="Arial" w:eastAsia="Arial" w:hAnsi="Arial"/>
          <w:sz w:val="16"/>
          <w:szCs w:val="16"/>
          <w:i w:val="1"/>
          <w:iCs w:val="1"/>
          <w:color w:val="auto"/>
        </w:rPr>
        <w:t xml:space="preserve"> </w:t>
      </w:r>
      <w:r>
        <w:rPr>
          <w:rFonts w:ascii="Arial" w:cs="Arial" w:eastAsia="Arial" w:hAnsi="Arial"/>
          <w:sz w:val="16"/>
          <w:szCs w:val="16"/>
          <w:color w:val="auto"/>
        </w:rPr>
        <w:t>day of capacity in the Saddlehorn Pipeline that extends from the Niobrara and DJ Basin to Cushing. Magellan serves as operator of the Saddlehorn Pipeline. The Saddlehorn Pipeline is supported by minimum volume commitments. In the third quarter of 2019, SP LLC announced a new Ft. Laramie origin on Saddlehorn Pipeline, along with a 100,000 barrel per day capacity expansion, which is expected to be available in late 2020 following the addition of incremental pumping and storage capabilities. In February 2020, we sold a 10% interest in SP LLC, and have retained a 30% interest.</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White Cliffs Pipeline. </w:t>
      </w:r>
      <w:r>
        <w:rPr>
          <w:rFonts w:ascii="Arial" w:cs="Arial" w:eastAsia="Arial" w:hAnsi="Arial"/>
          <w:sz w:val="18"/>
          <w:szCs w:val="18"/>
          <w:color w:val="auto"/>
        </w:rPr>
        <w:t>We own an approximate 36% interest in White Cliffs Pipeline LLC, which owns a pipeline system that consists of one crude</w:t>
      </w:r>
      <w:r>
        <w:rPr>
          <w:rFonts w:ascii="Arial" w:cs="Arial" w:eastAsia="Arial" w:hAnsi="Arial"/>
          <w:sz w:val="18"/>
          <w:szCs w:val="18"/>
          <w:i w:val="1"/>
          <w:iCs w:val="1"/>
          <w:color w:val="auto"/>
        </w:rPr>
        <w:t xml:space="preserve"> </w:t>
      </w:r>
      <w:r>
        <w:rPr>
          <w:rFonts w:ascii="Arial" w:cs="Arial" w:eastAsia="Arial" w:hAnsi="Arial"/>
          <w:sz w:val="18"/>
          <w:szCs w:val="18"/>
          <w:color w:val="auto"/>
        </w:rPr>
        <w:t>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A subsidiary of Energy Transfer LP serves as the operator of the pipelines. The NGL pipeline was converted from crude oil service during the fourth quarter of 2019 and is supported by long-term capacity lease and long-term throughput agreements.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Western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own and operate pipeline systems in our Western region including the following:</w:t>
      </w:r>
    </w:p>
    <w:p>
      <w:pPr>
        <w:spacing w:after="0" w:line="252"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i w:val="1"/>
          <w:iCs w:val="1"/>
          <w:color w:val="auto"/>
        </w:rPr>
        <w:t xml:space="preserve">Gathering. </w:t>
      </w:r>
      <w:r>
        <w:rPr>
          <w:rFonts w:ascii="Arial" w:cs="Arial" w:eastAsia="Arial" w:hAnsi="Arial"/>
          <w:sz w:val="17"/>
          <w:szCs w:val="17"/>
          <w:color w:val="auto"/>
        </w:rPr>
        <w:t>We own and operate gathering pipelines with aggregate capacity of over 150,000 barrels per day that source crude oil from the San</w:t>
      </w:r>
      <w:r>
        <w:rPr>
          <w:rFonts w:ascii="Arial" w:cs="Arial" w:eastAsia="Arial" w:hAnsi="Arial"/>
          <w:sz w:val="17"/>
          <w:szCs w:val="17"/>
          <w:i w:val="1"/>
          <w:iCs w:val="1"/>
          <w:color w:val="auto"/>
        </w:rPr>
        <w:t xml:space="preserve"> </w:t>
      </w:r>
      <w:r>
        <w:rPr>
          <w:rFonts w:ascii="Arial" w:cs="Arial" w:eastAsia="Arial" w:hAnsi="Arial"/>
          <w:sz w:val="17"/>
          <w:szCs w:val="17"/>
          <w:color w:val="auto"/>
        </w:rPr>
        <w:t>Joaquin Valley in California and connect to our Line 63 and Line 2000 pipelines, as well as other third-party pipelines and terminals.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i w:val="1"/>
          <w:iCs w:val="1"/>
          <w:color w:val="auto"/>
        </w:rPr>
        <w:t xml:space="preserve">Line 63 and Line 2000. </w:t>
      </w:r>
      <w:r>
        <w:rPr>
          <w:rFonts w:ascii="Arial" w:cs="Arial" w:eastAsia="Arial" w:hAnsi="Arial"/>
          <w:sz w:val="18"/>
          <w:szCs w:val="18"/>
          <w:color w:val="auto"/>
        </w:rPr>
        <w:t>We own and operate the Line 63 and Line 2000 pipelines, which have approximately 60,000 barrels per day and 110,000</w:t>
      </w:r>
      <w:r>
        <w:rPr>
          <w:rFonts w:ascii="Arial" w:cs="Arial" w:eastAsia="Arial" w:hAnsi="Arial"/>
          <w:sz w:val="18"/>
          <w:szCs w:val="18"/>
          <w:i w:val="1"/>
          <w:iCs w:val="1"/>
          <w:color w:val="auto"/>
        </w:rPr>
        <w:t xml:space="preserve"> </w:t>
      </w:r>
      <w:r>
        <w:rPr>
          <w:rFonts w:ascii="Arial" w:cs="Arial" w:eastAsia="Arial" w:hAnsi="Arial"/>
          <w:sz w:val="18"/>
          <w:szCs w:val="18"/>
          <w:color w:val="auto"/>
        </w:rPr>
        <w:t>barrels per day of pipeline capacity, respectively, and transport crude oil from the San Joaquin Valley to refineries and terminal facilities in the Los Angeles Basin and in Bakersfield, California. Additionally, we have a distribution pipeline system in the Los Angeles Basin that connects our storage assets with all major refineries and third-party pipelines and marine terminals in the Los Angeles Basin.</w:t>
      </w:r>
    </w:p>
    <w:p>
      <w:pPr>
        <w:spacing w:after="0" w:line="21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All American Pipeline. </w:t>
      </w:r>
      <w:r>
        <w:rPr>
          <w:rFonts w:ascii="Arial" w:cs="Arial" w:eastAsia="Arial" w:hAnsi="Arial"/>
          <w:sz w:val="18"/>
          <w:szCs w:val="18"/>
          <w:color w:val="auto"/>
        </w:rPr>
        <w:t>We own the All American Pipeline, which historically received crude oil from offshore oil producers at Las Flores,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and at Gaviota, California. The pipeline terminates at our Emidio Station. Between Gaviota and our Emidio Station, the All American Pipeline interconnects with our San Joaquin Valley Gathering System, Line 2000 and Line 63, as well as other third-party intrastate pipelines.</w:t>
      </w:r>
    </w:p>
    <w:p>
      <w:pPr>
        <w:spacing w:after="0" w:line="20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In May 2015, we experienced a crude oil release on the segment of the All American Pipeline known as Line 901 that runs from Las Flores to Gaviota in Santa Barbara County, California. The segment of the pipeline upstream of our Pentland station has been shut down since this incident. We are currently evaluating a replacement of the pipeline, subject to receipt of shipper commitments and regulatory approvals. See Note 19 to our Consolidated Financial Statements for additional information regarding the Line 901 incident.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Canada</w:t>
      </w:r>
    </w:p>
    <w:p>
      <w:pPr>
        <w:spacing w:after="0" w:line="252" w:lineRule="exact"/>
        <w:rPr>
          <w:sz w:val="20"/>
          <w:szCs w:val="20"/>
          <w:color w:val="auto"/>
        </w:rPr>
      </w:pPr>
    </w:p>
    <w:p>
      <w:pPr>
        <w:ind w:right="40" w:firstLine="648"/>
        <w:spacing w:after="0"/>
        <w:rPr>
          <w:sz w:val="20"/>
          <w:szCs w:val="20"/>
          <w:color w:val="auto"/>
        </w:rPr>
      </w:pPr>
      <w:r>
        <w:rPr>
          <w:rFonts w:ascii="Arial" w:cs="Arial" w:eastAsia="Arial" w:hAnsi="Arial"/>
          <w:sz w:val="18"/>
          <w:szCs w:val="18"/>
          <w:i w:val="1"/>
          <w:iCs w:val="1"/>
          <w:color w:val="auto"/>
        </w:rPr>
        <w:t xml:space="preserve">Rainbow Pipeline. </w:t>
      </w:r>
      <w:r>
        <w:rPr>
          <w:rFonts w:ascii="Arial" w:cs="Arial" w:eastAsia="Arial" w:hAnsi="Arial"/>
          <w:sz w:val="18"/>
          <w:szCs w:val="18"/>
          <w:color w:val="auto"/>
        </w:rPr>
        <w:t>We own and operate the Rainbow Pipeline, which is an approximately 195,000 barrel per day capacity pipeline that extends from</w:t>
      </w:r>
      <w:r>
        <w:rPr>
          <w:rFonts w:ascii="Arial" w:cs="Arial" w:eastAsia="Arial" w:hAnsi="Arial"/>
          <w:sz w:val="18"/>
          <w:szCs w:val="18"/>
          <w:i w:val="1"/>
          <w:iCs w:val="1"/>
          <w:color w:val="auto"/>
        </w:rPr>
        <w:t xml:space="preserve"> </w:t>
      </w:r>
      <w:r>
        <w:rPr>
          <w:rFonts w:ascii="Arial" w:cs="Arial" w:eastAsia="Arial" w:hAnsi="Arial"/>
          <w:sz w:val="18"/>
          <w:szCs w:val="18"/>
          <w:color w:val="auto"/>
        </w:rPr>
        <w:t>Zama, Alberta to Edmonton, Alberta. The pipeline transports both blended heavy and light crude oil and includes gathering and diluent pipelines. Rainbow Pipeline offers delivery optionality at Edmonton, Alberta, where it can connect to Enbridge, Trans Mountain and Pembina pipelines as well as the Imperial Oil Limited Strathcona Refinery. In addition to our existing Nipisi and Kemp River Truck Terminals connected to the Rainbow Pipeline system, we are currently constructing a new 50,000 barrel per day crude oil terminal in Mitsue, Alberta, designed to provide pipeline takeaway capacity for growing production from the Clearwater play of the Marten Hills area.</w:t>
      </w:r>
    </w:p>
    <w:p>
      <w:pPr>
        <w:spacing w:after="0" w:line="217" w:lineRule="exact"/>
        <w:rPr>
          <w:sz w:val="20"/>
          <w:szCs w:val="20"/>
          <w:color w:val="auto"/>
        </w:rPr>
      </w:pPr>
    </w:p>
    <w:p>
      <w:pPr>
        <w:jc w:val="both"/>
        <w:ind w:right="160" w:firstLine="648"/>
        <w:spacing w:after="0" w:line="297" w:lineRule="auto"/>
        <w:rPr>
          <w:sz w:val="20"/>
          <w:szCs w:val="20"/>
          <w:color w:val="auto"/>
        </w:rPr>
      </w:pPr>
      <w:r>
        <w:rPr>
          <w:rFonts w:ascii="Arial" w:cs="Arial" w:eastAsia="Arial" w:hAnsi="Arial"/>
          <w:sz w:val="16"/>
          <w:szCs w:val="16"/>
          <w:i w:val="1"/>
          <w:iCs w:val="1"/>
          <w:color w:val="auto"/>
        </w:rPr>
        <w:t xml:space="preserve">Rangeland Pipeline. </w:t>
      </w:r>
      <w:r>
        <w:rPr>
          <w:rFonts w:ascii="Arial" w:cs="Arial" w:eastAsia="Arial" w:hAnsi="Arial"/>
          <w:sz w:val="16"/>
          <w:szCs w:val="16"/>
          <w:color w:val="auto"/>
        </w:rPr>
        <w:t>We own and operate the Rangeland Pipeline system, which has the capacity to transport approximately 85,000 barrels per day</w:t>
      </w:r>
      <w:r>
        <w:rPr>
          <w:rFonts w:ascii="Arial" w:cs="Arial" w:eastAsia="Arial" w:hAnsi="Arial"/>
          <w:sz w:val="16"/>
          <w:szCs w:val="16"/>
          <w:i w:val="1"/>
          <w:iCs w:val="1"/>
          <w:color w:val="auto"/>
        </w:rPr>
        <w:t xml:space="preserve"> </w:t>
      </w:r>
      <w:r>
        <w:rPr>
          <w:rFonts w:ascii="Arial" w:cs="Arial" w:eastAsia="Arial" w:hAnsi="Arial"/>
          <w:sz w:val="16"/>
          <w:szCs w:val="16"/>
          <w:color w:val="auto"/>
        </w:rPr>
        <w:t>of diluent, light sweet crude oil and light sour crude oil either north to Edmonton, Alberta or south to the U.S./Canadian border near Cutbank, Montana. The Rangeland Pipeline system consists of three main segments. The North Gathering system begins at Medicine River and Rimbey truck terminal, and ships to Sundre truck terminal. The South Sour mainline delivers sour from the Sundre truck terminal to Glacier Pipeline, and MAPL delivers sweet from Sundre to Edmonton. The Pipeline also offers delivery optionality at Edmonton, Alberta, where it can connect to Enbridge pipelines and the IOL Refinery.</w:t>
      </w:r>
    </w:p>
    <w:p>
      <w:pPr>
        <w:spacing w:after="0" w:line="185"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i w:val="1"/>
          <w:iCs w:val="1"/>
          <w:color w:val="auto"/>
        </w:rPr>
        <w:t>South Saskatchewan Pipeline</w:t>
      </w:r>
      <w:r>
        <w:rPr>
          <w:rFonts w:ascii="Arial" w:cs="Arial" w:eastAsia="Arial" w:hAnsi="Arial"/>
          <w:sz w:val="18"/>
          <w:szCs w:val="18"/>
          <w:color w:val="auto"/>
        </w:rPr>
        <w:t>. We own and operate the South Saskatchewan system, which has approximately 70,000 barrels per day of capacity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 heavy crude oil from the Cantuar, Dollard, Rapdan and Gull Lake gathering areas in southern Saskatchewan to the Enbridge mainline system at the Regina terminal. We are currently working on expanding the South Saskatchewan Pipeline, which will provide incremental takeaway capacity of approximately 7,000 barrels per day.</w:t>
      </w:r>
    </w:p>
    <w:p>
      <w:pPr>
        <w:spacing w:after="0" w:line="21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Manito and Cactus Lakes Pipelines. </w:t>
      </w:r>
      <w:r>
        <w:rPr>
          <w:rFonts w:ascii="Arial" w:cs="Arial" w:eastAsia="Arial" w:hAnsi="Arial"/>
          <w:sz w:val="18"/>
          <w:szCs w:val="18"/>
          <w:color w:val="auto"/>
        </w:rPr>
        <w:t>We own and operate the Manito and Cactus Lakes Pipelines, which deliver heavy crude oil produced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Lloydminster producing area of Alberta to our Kerrobert Terminal and our Kerrobert Rail Terminal. The Kerrobert Terminal is connected to both the Enbridge mainline system and our Kerrobert Rail Terminal. The Manito and Cactus Lakes pipelines include blended crude oil lines with capacity of approximately 108,000 barrels per day and parallel diluent lines.</w:t>
      </w:r>
    </w:p>
    <w:p>
      <w:pPr>
        <w:spacing w:after="0" w:line="214"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i w:val="1"/>
          <w:iCs w:val="1"/>
          <w:color w:val="auto"/>
        </w:rPr>
        <w:t xml:space="preserve">Milk River Pipeline. </w:t>
      </w:r>
      <w:r>
        <w:rPr>
          <w:rFonts w:ascii="Arial" w:cs="Arial" w:eastAsia="Arial" w:hAnsi="Arial"/>
          <w:sz w:val="16"/>
          <w:szCs w:val="16"/>
          <w:color w:val="auto"/>
        </w:rPr>
        <w:t>We own and operate Milk River Pipeline system, which has approximately 108,000 barrels per day of capacity to transport</w:t>
      </w:r>
      <w:r>
        <w:rPr>
          <w:rFonts w:ascii="Arial" w:cs="Arial" w:eastAsia="Arial" w:hAnsi="Arial"/>
          <w:sz w:val="16"/>
          <w:szCs w:val="16"/>
          <w:i w:val="1"/>
          <w:iCs w:val="1"/>
          <w:color w:val="auto"/>
        </w:rPr>
        <w:t xml:space="preserve"> </w:t>
      </w:r>
      <w:r>
        <w:rPr>
          <w:rFonts w:ascii="Arial" w:cs="Arial" w:eastAsia="Arial" w:hAnsi="Arial"/>
          <w:sz w:val="16"/>
          <w:szCs w:val="16"/>
          <w:color w:val="auto"/>
        </w:rPr>
        <w:t>heavy crude oil from Milk River, Alberta to the U.S./Canadian border west of Coutts, Alberta where it connects with the Front Range Pipeline.</w:t>
      </w:r>
    </w:p>
    <w:p>
      <w:pPr>
        <w:spacing w:after="0" w:line="15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Wascana Pipeline. </w:t>
      </w:r>
      <w:r>
        <w:rPr>
          <w:rFonts w:ascii="Arial" w:cs="Arial" w:eastAsia="Arial" w:hAnsi="Arial"/>
          <w:sz w:val="18"/>
          <w:szCs w:val="18"/>
          <w:color w:val="auto"/>
        </w:rPr>
        <w:t>We own and operate the Wascana Pipeline, which has approximately 40,000 barrels per day of capacity to move sweet crude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Bakken North pipeline system to Enbridge’s mainline system at Regina, Saskatchewan. After the modifications done to the pipeline, the Wascana Pipeline is now bi-directional and able to deliver product from Regina, Saskatchewan to Trenton, North Dakota with a capacity of 15,000 barrels per day in North to South service.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Canadian NGL Pipelines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Co-Ed NGL Pipeline. </w:t>
      </w:r>
      <w:r>
        <w:rPr>
          <w:rFonts w:ascii="Arial" w:cs="Arial" w:eastAsia="Arial" w:hAnsi="Arial"/>
          <w:sz w:val="18"/>
          <w:szCs w:val="18"/>
          <w:color w:val="auto"/>
        </w:rPr>
        <w:t>We own and operate the Co-Ed NGL pipeline, which has approximately 70,000 barrels per day of capacity to transport NGL</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gathers from approximately 27 field gas processing plants located in Alberta, including all of the NGL produced at the Cochrane Straddle Plant for delivery to NGL facilities at Fort Saskatchewan. Co-Ed’s main volume capture regions are Southwest and Central Alberta, Cardium, Deep Basin, and Alberta Montney.</w:t>
      </w:r>
    </w:p>
    <w:p>
      <w:pPr>
        <w:spacing w:after="0" w:line="21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PPTC Pipeline. </w:t>
      </w:r>
      <w:r>
        <w:rPr>
          <w:rFonts w:ascii="Arial" w:cs="Arial" w:eastAsia="Arial" w:hAnsi="Arial"/>
          <w:sz w:val="18"/>
          <w:szCs w:val="18"/>
          <w:color w:val="auto"/>
        </w:rPr>
        <w:t>We own and operate the Plains Petroleum Transmission Company Pipeline (the “PPTC Pipeline”), which has approximately 15,500</w:t>
      </w:r>
      <w:r>
        <w:rPr>
          <w:rFonts w:ascii="Arial" w:cs="Arial" w:eastAsia="Arial" w:hAnsi="Arial"/>
          <w:sz w:val="18"/>
          <w:szCs w:val="18"/>
          <w:i w:val="1"/>
          <w:iCs w:val="1"/>
          <w:color w:val="auto"/>
        </w:rPr>
        <w:t xml:space="preserve"> </w:t>
      </w:r>
      <w:r>
        <w:rPr>
          <w:rFonts w:ascii="Arial" w:cs="Arial" w:eastAsia="Arial" w:hAnsi="Arial"/>
          <w:sz w:val="18"/>
          <w:szCs w:val="18"/>
          <w:color w:val="auto"/>
        </w:rPr>
        <w:t>barrels per day of capacity to transport NGL from Empress, Alberta to the Fort Whyte Terminal in Winnipeg, Manitoba. The PPTC Pipeline also provides access to several truck terminals and rail loading facilities.</w:t>
      </w:r>
    </w:p>
    <w:p>
      <w:pPr>
        <w:spacing w:after="0" w:line="20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Eastern Delivery System. </w:t>
      </w:r>
      <w:r>
        <w:rPr>
          <w:rFonts w:ascii="Arial" w:cs="Arial" w:eastAsia="Arial" w:hAnsi="Arial"/>
          <w:sz w:val="18"/>
          <w:szCs w:val="18"/>
          <w:color w:val="auto"/>
        </w:rPr>
        <w:t>We own and operate the Eastern Delivery System, which has various segments that transport propane and butane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Sarnia, Ontario and Windsor, Ontario and from Sarnia, Ontario to St. Clair, Michigan; refinery grade butane between Windsor, Ontario and Woodhaven, Michigan; and syncrude from Sarnia, Ontario to local refineries. The Eastern Delivery System also receives ethane from the Kinder Morgan Utopia Pipeline at Windsor, Ontario for delivery to petrochemical facilities in the Sarnia, Ontario area, as well as our facility in Sarnia, Ontario. These pipelines have a combined capacity of approximately 132,000 barrels per day.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Segment</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We generate revenue through a combination of month-to-month and multi-year agreements and processing arrangements.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Revenues generated in this segment include (i) storage and throughput fees at our crude and NGL storage terminals and natural gas storage facilities,</w:t>
      </w:r>
    </w:p>
    <w:p>
      <w:pPr>
        <w:spacing w:after="0" w:line="46" w:lineRule="exact"/>
        <w:rPr>
          <w:sz w:val="20"/>
          <w:szCs w:val="20"/>
          <w:color w:val="auto"/>
        </w:rPr>
      </w:pPr>
    </w:p>
    <w:p>
      <w:pPr>
        <w:ind w:right="180" w:firstLine="8"/>
        <w:spacing w:after="0" w:line="261" w:lineRule="auto"/>
        <w:tabs>
          <w:tab w:leader="none" w:pos="2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from natural gas and condensate processing services and from NGL fractionation and isomerization services and (iii) loading and unloading fees at our rail terminals.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December 31, 2019, we owned, operated or employed a variety of long-term physical assets throughout the United States and Canada in this segment, including:</w:t>
      </w:r>
    </w:p>
    <w:p>
      <w:pPr>
        <w:spacing w:after="0" w:line="197"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79 million barrels of crude oil storage capacity primarily at our terminalling and storage locations;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34 million barrels of NGL storage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63 billion cubic feet (“Bcf”) of natural gas storage working gas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25 Bcf of owned base gas;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seven natural gas processing plants located throughout Canada and the Gulf Coast area of the United States;</w:t>
      </w:r>
    </w:p>
    <w:p>
      <w:pPr>
        <w:spacing w:after="0" w:line="117"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condensate processing facility located in the Eagle Ford area of South Texas with an aggregate processing capacity of approximately 120,000 barrels per day;</w:t>
      </w:r>
    </w:p>
    <w:p>
      <w:pPr>
        <w:spacing w:after="0" w:line="62" w:lineRule="exact"/>
        <w:rPr>
          <w:rFonts w:ascii="Arial" w:cs="Arial" w:eastAsia="Arial" w:hAnsi="Arial"/>
          <w:sz w:val="18"/>
          <w:szCs w:val="18"/>
          <w:color w:val="auto"/>
        </w:rPr>
      </w:pPr>
    </w:p>
    <w:p>
      <w:pPr>
        <w:ind w:left="980" w:right="80" w:hanging="324"/>
        <w:spacing w:after="0" w:line="264"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eight fractionation plants located throughout Canada and the United States with an aggregate net processing capacity of approximately 211,500 barrels per day, and an isomerization and fractionation facility in California with an aggregate processing capacity of approximately 15,000 barrels per day;</w:t>
      </w:r>
    </w:p>
    <w:p>
      <w:pPr>
        <w:spacing w:after="0" w:line="73"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30 crude oil and NGL rail terminals located throughout the United States and Canada. See “Rail Facilities” below for an overview of various terminals and “Supply and Logistics” regarding our use of railcars;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six marine facilities in the United States;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430 miles of active pipelines that support our facilities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tabular presentation of our active Facilities segment storage and service assets in the United States and Canada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grouped by product and service type, with capacity and volume as indicated:</w:t>
      </w:r>
    </w:p>
    <w:p>
      <w:pPr>
        <w:sectPr>
          <w:pgSz w:w="11900" w:h="16838" w:orient="portrait"/>
          <w:cols w:equalWidth="0" w:num="1">
            <w:col w:w="11220"/>
          </w:cols>
          <w:pgMar w:left="240" w:top="125" w:right="439" w:bottom="1149" w:gutter="0" w:footer="0" w:header="0"/>
        </w:sect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Crude Oil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0585"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Cushing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058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Patoka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Mobile and Ten 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058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Corpus Christi </w:t>
      </w:r>
      <w:r>
        <w:rPr>
          <w:rFonts w:ascii="Arial" w:cs="Arial" w:eastAsia="Arial" w:hAnsi="Arial"/>
          <w:sz w:val="23"/>
          <w:szCs w:val="23"/>
          <w:i w:val="1"/>
          <w:iCs w:val="1"/>
          <w:color w:val="auto"/>
          <w:vertAlign w:val="superscript"/>
        </w:rPr>
        <w:t>(1)</w:t>
      </w:r>
    </w:p>
    <w:p>
      <w:pPr>
        <w:ind w:left="20"/>
        <w:spacing w:after="0"/>
        <w:rPr>
          <w:sz w:val="20"/>
          <w:szCs w:val="20"/>
          <w:color w:val="auto"/>
        </w:rPr>
      </w:pPr>
      <w:r>
        <w:rPr>
          <w:rFonts w:ascii="Arial" w:cs="Arial" w:eastAsia="Arial" w:hAnsi="Arial"/>
          <w:sz w:val="18"/>
          <w:szCs w:val="18"/>
          <w:i w:val="1"/>
          <w:iCs w:val="1"/>
          <w:color w:val="auto"/>
        </w:rPr>
        <w:t>Permian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2058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23"/>
          <w:szCs w:val="23"/>
          <w:i w:val="1"/>
          <w:iCs w:val="1"/>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NGL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0585"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Fort Saskatchewan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Sarnia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058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Empress Area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0585" cy="197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058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Natural Gas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0585"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Salt Caverns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Total Gas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Natural Gas Processing Facilities </w:t>
            </w:r>
            <w:r>
              <w:rPr>
                <w:rFonts w:ascii="Arial" w:cs="Arial" w:eastAsia="Arial" w:hAnsi="Arial"/>
                <w:sz w:val="9"/>
                <w:szCs w:val="9"/>
                <w:b w:val="1"/>
                <w:bCs w:val="1"/>
                <w:color w:val="auto"/>
              </w:rPr>
              <w:t>(3)</w:t>
            </w:r>
          </w:p>
        </w:tc>
        <w:tc>
          <w:tcPr>
            <w:tcW w:w="100" w:type="dxa"/>
            <w:vAlign w:val="bottom"/>
            <w:vMerge w:val="restart"/>
          </w:tcPr>
          <w:p>
            <w:pPr>
              <w:spacing w:after="0"/>
              <w:rPr>
                <w:sz w:val="11"/>
                <w:szCs w:val="11"/>
                <w:color w:val="auto"/>
              </w:rPr>
            </w:pPr>
          </w:p>
        </w:tc>
        <w:tc>
          <w:tcPr>
            <w:tcW w:w="18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Ownership Interest</w:t>
            </w:r>
          </w:p>
        </w:tc>
        <w:tc>
          <w:tcPr>
            <w:tcW w:w="100" w:type="dxa"/>
            <w:vAlign w:val="bottom"/>
            <w:vMerge w:val="restart"/>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 xml:space="preserve">Spec Product </w:t>
            </w:r>
            <w:r>
              <w:rPr>
                <w:rFonts w:ascii="Arial" w:cs="Arial" w:eastAsia="Arial" w:hAnsi="Arial"/>
                <w:sz w:val="9"/>
                <w:szCs w:val="9"/>
                <w:b w:val="1"/>
                <w:bCs w:val="1"/>
                <w:color w:val="auto"/>
                <w:w w:val="91"/>
              </w:rPr>
              <w:t>(4)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(Bcf/d)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United States Gulf Coast Area</w:t>
            </w:r>
          </w:p>
        </w:tc>
        <w:tc>
          <w:tcPr>
            <w:tcW w:w="18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Canada</w:t>
            </w:r>
          </w:p>
        </w:tc>
        <w:tc>
          <w:tcPr>
            <w:tcW w:w="1860" w:type="dxa"/>
            <w:vAlign w:val="bottom"/>
          </w:tcPr>
          <w:p>
            <w:pPr>
              <w:jc w:val="right"/>
              <w:ind w:right="155"/>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23"/>
                <w:szCs w:val="23"/>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Condensate Stabilization Facility</w:t>
            </w: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220" w:type="dxa"/>
            <w:vAlign w:val="bottom"/>
            <w:gridSpan w:val="2"/>
            <w:vMerge w:val="continu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7"/>
        </w:trPr>
        <w:tc>
          <w:tcPr>
            <w:tcW w:w="6220" w:type="dxa"/>
            <w:vAlign w:val="bottom"/>
            <w:tcBorders>
              <w:bottom w:val="single" w:sz="8" w:color="auto"/>
            </w:tcBorders>
            <w:gridSpan w:val="2"/>
            <w:vMerge w:val="continue"/>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Gardendale</w:t>
            </w: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1"/>
        </w:trPr>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NGL Fractionation and Isomerization Facilities</w:t>
            </w:r>
          </w:p>
        </w:tc>
        <w:tc>
          <w:tcPr>
            <w:tcW w:w="100" w:type="dxa"/>
            <w:vAlign w:val="bottom"/>
            <w:vMerge w:val="restart"/>
          </w:tcPr>
          <w:p>
            <w:pPr>
              <w:spacing w:after="0"/>
              <w:rPr>
                <w:sz w:val="11"/>
                <w:szCs w:val="11"/>
                <w:color w:val="auto"/>
              </w:rPr>
            </w:pPr>
          </w:p>
        </w:tc>
        <w:tc>
          <w:tcPr>
            <w:tcW w:w="18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Ownership Interest</w:t>
            </w:r>
          </w:p>
        </w:tc>
        <w:tc>
          <w:tcPr>
            <w:tcW w:w="100" w:type="dxa"/>
            <w:vAlign w:val="bottom"/>
            <w:vMerge w:val="restart"/>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 xml:space="preserve">Spec Product </w:t>
            </w:r>
            <w:r>
              <w:rPr>
                <w:rFonts w:ascii="Arial" w:cs="Arial" w:eastAsia="Arial" w:hAnsi="Arial"/>
                <w:sz w:val="9"/>
                <w:szCs w:val="9"/>
                <w:b w:val="1"/>
                <w:bCs w:val="1"/>
                <w:color w:val="auto"/>
                <w:w w:val="91"/>
              </w:rPr>
              <w:t>(4)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Empress</w:t>
            </w:r>
          </w:p>
        </w:tc>
        <w:tc>
          <w:tcPr>
            <w:tcW w:w="18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18,300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Fort Saskatchewan</w:t>
            </w:r>
          </w:p>
        </w:tc>
        <w:tc>
          <w:tcPr>
            <w:tcW w:w="1860" w:type="dxa"/>
            <w:vAlign w:val="bottom"/>
          </w:tcPr>
          <w:p>
            <w:pPr>
              <w:jc w:val="right"/>
              <w:ind w:right="155"/>
              <w:spacing w:after="0"/>
              <w:rPr>
                <w:sz w:val="20"/>
                <w:szCs w:val="20"/>
                <w:color w:val="auto"/>
              </w:rPr>
            </w:pPr>
            <w:r>
              <w:rPr>
                <w:rFonts w:ascii="Arial" w:cs="Arial" w:eastAsia="Arial" w:hAnsi="Arial"/>
                <w:sz w:val="18"/>
                <w:szCs w:val="18"/>
                <w:color w:val="auto"/>
              </w:rPr>
              <w:t>21-100%</w:t>
            </w:r>
          </w:p>
        </w:tc>
        <w:tc>
          <w:tcPr>
            <w:tcW w:w="100" w:type="dxa"/>
            <w:vAlign w:val="bottom"/>
          </w:tcPr>
          <w:p>
            <w:pPr>
              <w:spacing w:after="0"/>
              <w:rPr>
                <w:sz w:val="23"/>
                <w:szCs w:val="23"/>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Sarnia</w:t>
            </w:r>
          </w:p>
        </w:tc>
        <w:tc>
          <w:tcPr>
            <w:tcW w:w="1860" w:type="dxa"/>
            <w:vAlign w:val="bottom"/>
          </w:tcPr>
          <w:p>
            <w:pPr>
              <w:jc w:val="right"/>
              <w:ind w:right="155"/>
              <w:spacing w:after="0"/>
              <w:rPr>
                <w:sz w:val="20"/>
                <w:szCs w:val="20"/>
                <w:color w:val="auto"/>
              </w:rPr>
            </w:pPr>
            <w:r>
              <w:rPr>
                <w:rFonts w:ascii="Arial" w:cs="Arial" w:eastAsia="Arial" w:hAnsi="Arial"/>
                <w:sz w:val="18"/>
                <w:szCs w:val="18"/>
                <w:color w:val="auto"/>
              </w:rPr>
              <w:t>62-84%</w:t>
            </w:r>
          </w:p>
        </w:tc>
        <w:tc>
          <w:tcPr>
            <w:tcW w:w="100" w:type="dxa"/>
            <w:vAlign w:val="bottom"/>
          </w:tcPr>
          <w:p>
            <w:pPr>
              <w:spacing w:after="0"/>
              <w:rPr>
                <w:sz w:val="23"/>
                <w:szCs w:val="23"/>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55,600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Shafter</w:t>
            </w:r>
          </w:p>
        </w:tc>
        <w:tc>
          <w:tcPr>
            <w:tcW w:w="18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3"/>
                <w:szCs w:val="23"/>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10,900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Other</w:t>
            </w:r>
          </w:p>
        </w:tc>
        <w:tc>
          <w:tcPr>
            <w:tcW w:w="1860" w:type="dxa"/>
            <w:vAlign w:val="bottom"/>
          </w:tcPr>
          <w:p>
            <w:pPr>
              <w:jc w:val="right"/>
              <w:ind w:right="155"/>
              <w:spacing w:after="0"/>
              <w:rPr>
                <w:sz w:val="20"/>
                <w:szCs w:val="20"/>
                <w:color w:val="auto"/>
              </w:rPr>
            </w:pPr>
            <w:r>
              <w:rPr>
                <w:rFonts w:ascii="Arial" w:cs="Arial" w:eastAsia="Arial" w:hAnsi="Arial"/>
                <w:sz w:val="18"/>
                <w:szCs w:val="18"/>
                <w:color w:val="auto"/>
              </w:rPr>
              <w:t>82-100%</w:t>
            </w:r>
          </w:p>
        </w:tc>
        <w:tc>
          <w:tcPr>
            <w:tcW w:w="100" w:type="dxa"/>
            <w:vAlign w:val="bottom"/>
          </w:tcPr>
          <w:p>
            <w:pPr>
              <w:spacing w:after="0"/>
              <w:rPr>
                <w:sz w:val="23"/>
                <w:szCs w:val="23"/>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9,300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144,100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Loading</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Rail Facilities</w:t>
            </w:r>
          </w:p>
        </w:tc>
        <w:tc>
          <w:tcPr>
            <w:tcW w:w="100" w:type="dxa"/>
            <w:vAlign w:val="bottom"/>
            <w:vMerge w:val="restart"/>
          </w:tcPr>
          <w:p>
            <w:pPr>
              <w:spacing w:after="0"/>
              <w:rPr>
                <w:sz w:val="12"/>
                <w:szCs w:val="12"/>
                <w:color w:val="auto"/>
              </w:rPr>
            </w:pPr>
          </w:p>
        </w:tc>
        <w:tc>
          <w:tcPr>
            <w:tcW w:w="18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Ownership Interest</w:t>
            </w:r>
          </w:p>
        </w:tc>
        <w:tc>
          <w:tcPr>
            <w:tcW w:w="100" w:type="dxa"/>
            <w:vAlign w:val="bottom"/>
            <w:vMerge w:val="restart"/>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Capacity</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Crude Oil Rail Facilities</w:t>
            </w:r>
          </w:p>
        </w:tc>
        <w:tc>
          <w:tcPr>
            <w:tcW w:w="18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314,000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-3215005</wp:posOffset>
            </wp:positionV>
            <wp:extent cx="7220585" cy="197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0585"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-3566795</wp:posOffset>
            </wp:positionV>
            <wp:extent cx="7220585"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058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-2538095</wp:posOffset>
            </wp:positionV>
            <wp:extent cx="7220585"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058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722058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-1105535</wp:posOffset>
            </wp:positionV>
            <wp:extent cx="722058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-1800225</wp:posOffset>
            </wp:positionV>
            <wp:extent cx="7220585"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058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220585"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(MMBbls)</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31750</wp:posOffset>
            </wp:positionV>
            <wp:extent cx="8921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31750</wp:posOffset>
            </wp:positionV>
            <wp:extent cx="8921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57785</wp:posOffset>
            </wp:positionV>
            <wp:extent cx="8921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(MMBbls)</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57785</wp:posOffset>
            </wp:positionV>
            <wp:extent cx="8921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(Bcf)</w:t>
      </w:r>
    </w:p>
    <w:p>
      <w:pPr>
        <w:spacing w:after="0" w:line="4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63</w:t>
      </w: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Gas</w:t>
      </w:r>
    </w:p>
    <w:p>
      <w:pPr>
        <w:ind w:left="40"/>
        <w:spacing w:after="0" w:line="226" w:lineRule="auto"/>
        <w:rPr>
          <w:sz w:val="20"/>
          <w:szCs w:val="20"/>
          <w:color w:val="auto"/>
        </w:rPr>
      </w:pPr>
      <w:r>
        <w:rPr>
          <w:rFonts w:ascii="Arial" w:cs="Arial" w:eastAsia="Arial" w:hAnsi="Arial"/>
          <w:sz w:val="14"/>
          <w:szCs w:val="14"/>
          <w:b w:val="1"/>
          <w:bCs w:val="1"/>
          <w:color w:val="auto"/>
        </w:rPr>
        <w:t>Processing</w:t>
      </w:r>
    </w:p>
    <w:p>
      <w:pPr>
        <w:ind w:left="80"/>
        <w:spacing w:after="0" w:line="222" w:lineRule="auto"/>
        <w:rPr>
          <w:sz w:val="20"/>
          <w:szCs w:val="20"/>
          <w:color w:val="auto"/>
        </w:rPr>
      </w:pPr>
      <w:r>
        <w:rPr>
          <w:rFonts w:ascii="Arial" w:cs="Arial" w:eastAsia="Arial" w:hAnsi="Arial"/>
          <w:sz w:val="14"/>
          <w:szCs w:val="14"/>
          <w:b w:val="1"/>
          <w:bCs w:val="1"/>
          <w:color w:val="auto"/>
        </w:rPr>
        <w:t>Capacity</w:t>
      </w:r>
    </w:p>
    <w:p>
      <w:pPr>
        <w:ind w:left="160"/>
        <w:spacing w:after="0"/>
        <w:rPr>
          <w:sz w:val="20"/>
          <w:szCs w:val="20"/>
          <w:color w:val="auto"/>
        </w:rPr>
      </w:pPr>
      <w:r>
        <w:rPr>
          <w:rFonts w:ascii="Arial" w:cs="Arial" w:eastAsia="Arial" w:hAnsi="Arial"/>
          <w:sz w:val="14"/>
          <w:szCs w:val="14"/>
          <w:b w:val="1"/>
          <w:bCs w:val="1"/>
          <w:color w:val="auto"/>
        </w:rPr>
        <w:t>(Bcf/d)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57785</wp:posOffset>
            </wp:positionV>
            <wp:extent cx="9950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(Bbls/d)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120,000</w:t>
      </w:r>
    </w:p>
    <w:p>
      <w:pPr>
        <w:spacing w:after="0" w:line="200" w:lineRule="exact"/>
        <w:rPr>
          <w:sz w:val="20"/>
          <w:szCs w:val="20"/>
          <w:color w:val="auto"/>
        </w:rPr>
      </w:pPr>
    </w:p>
    <w:p>
      <w:pPr>
        <w:spacing w:after="0" w:line="233"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Net</w:t>
      </w:r>
    </w:p>
    <w:p>
      <w:pPr>
        <w:jc w:val="center"/>
        <w:ind w:right="260"/>
        <w:spacing w:after="0" w:line="226" w:lineRule="auto"/>
        <w:rPr>
          <w:sz w:val="20"/>
          <w:szCs w:val="20"/>
          <w:color w:val="auto"/>
        </w:rPr>
      </w:pPr>
      <w:r>
        <w:rPr>
          <w:rFonts w:ascii="Arial" w:cs="Arial" w:eastAsia="Arial" w:hAnsi="Arial"/>
          <w:sz w:val="14"/>
          <w:szCs w:val="14"/>
          <w:b w:val="1"/>
          <w:bCs w:val="1"/>
          <w:color w:val="auto"/>
        </w:rPr>
        <w:t>Capacity</w:t>
      </w:r>
    </w:p>
    <w:p>
      <w:pPr>
        <w:spacing w:after="0" w:line="1"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(Bbls/d)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28,300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68,100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90,000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31750</wp:posOffset>
            </wp:positionV>
            <wp:extent cx="9950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226,500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31750</wp:posOffset>
            </wp:positionV>
            <wp:extent cx="9950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57785</wp:posOffset>
            </wp:positionV>
            <wp:extent cx="9950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Unloading</w:t>
      </w:r>
    </w:p>
    <w:p>
      <w:pPr>
        <w:ind w:left="80"/>
        <w:spacing w:after="0" w:line="226" w:lineRule="auto"/>
        <w:rPr>
          <w:sz w:val="20"/>
          <w:szCs w:val="20"/>
          <w:color w:val="auto"/>
        </w:rPr>
      </w:pPr>
      <w:r>
        <w:rPr>
          <w:rFonts w:ascii="Arial" w:cs="Arial" w:eastAsia="Arial" w:hAnsi="Arial"/>
          <w:sz w:val="14"/>
          <w:szCs w:val="14"/>
          <w:b w:val="1"/>
          <w:bCs w:val="1"/>
          <w:color w:val="auto"/>
        </w:rPr>
        <w:t>Capacity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(Bbls/d)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350,000</w:t>
      </w:r>
    </w:p>
    <w:p>
      <w:pPr>
        <w:spacing w:after="0" w:line="223" w:lineRule="exact"/>
        <w:rPr>
          <w:sz w:val="20"/>
          <w:szCs w:val="20"/>
          <w:color w:val="auto"/>
        </w:rPr>
      </w:pPr>
    </w:p>
    <w:p>
      <w:pPr>
        <w:sectPr>
          <w:pgSz w:w="11900" w:h="16838" w:orient="portrait"/>
          <w:cols w:equalWidth="0" w:num="2">
            <w:col w:w="9860" w:space="360"/>
            <w:col w:w="1000"/>
          </w:cols>
          <w:pgMar w:left="240" w:top="125" w:right="439" w:bottom="11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240" w:top="125" w:right="439" w:bottom="1149"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8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Ownership Interest</w:t>
            </w:r>
          </w:p>
        </w:tc>
        <w:tc>
          <w:tcPr>
            <w:tcW w:w="1640" w:type="dxa"/>
            <w:vAlign w:val="bottom"/>
            <w:gridSpan w:val="2"/>
          </w:tcPr>
          <w:p>
            <w:pPr>
              <w:ind w:left="420"/>
              <w:spacing w:after="0"/>
              <w:rPr>
                <w:sz w:val="20"/>
                <w:szCs w:val="20"/>
                <w:color w:val="auto"/>
              </w:rPr>
            </w:pPr>
            <w:r>
              <w:rPr>
                <w:rFonts w:ascii="Arial" w:cs="Arial" w:eastAsia="Arial" w:hAnsi="Arial"/>
                <w:sz w:val="14"/>
                <w:szCs w:val="14"/>
                <w:b w:val="1"/>
                <w:bCs w:val="1"/>
                <w:color w:val="auto"/>
              </w:rPr>
              <w:t>Number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1640" w:type="dxa"/>
            <w:vAlign w:val="bottom"/>
            <w:gridSpan w:val="2"/>
          </w:tcPr>
          <w:p>
            <w:pPr>
              <w:ind w:left="420"/>
              <w:spacing w:after="0"/>
              <w:rPr>
                <w:sz w:val="20"/>
                <w:szCs w:val="20"/>
                <w:color w:val="auto"/>
              </w:rPr>
            </w:pPr>
            <w:r>
              <w:rPr>
                <w:rFonts w:ascii="Arial" w:cs="Arial" w:eastAsia="Arial" w:hAnsi="Arial"/>
                <w:sz w:val="14"/>
                <w:szCs w:val="14"/>
                <w:b w:val="1"/>
                <w:bCs w:val="1"/>
                <w:color w:val="auto"/>
              </w:rPr>
              <w:t>Rack Spots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Storage Spots</w:t>
            </w:r>
          </w:p>
        </w:tc>
        <w:tc>
          <w:tcPr>
            <w:tcW w:w="0" w:type="dxa"/>
            <w:vAlign w:val="bottom"/>
          </w:tcPr>
          <w:p>
            <w:pPr>
              <w:spacing w:after="0"/>
              <w:rPr>
                <w:sz w:val="1"/>
                <w:szCs w:val="1"/>
                <w:color w:val="auto"/>
              </w:rPr>
            </w:pPr>
          </w:p>
        </w:tc>
      </w:tr>
      <w:tr>
        <w:trPr>
          <w:trHeight w:val="270"/>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 xml:space="preserve">NGL Rail Facilities </w:t>
            </w:r>
            <w:r>
              <w:rPr>
                <w:rFonts w:ascii="Arial" w:cs="Arial" w:eastAsia="Arial" w:hAnsi="Arial"/>
                <w:sz w:val="23"/>
                <w:szCs w:val="23"/>
                <w:color w:val="auto"/>
                <w:vertAlign w:val="superscript"/>
              </w:rPr>
              <w:t>(5)</w:t>
            </w:r>
          </w:p>
        </w:tc>
        <w:tc>
          <w:tcPr>
            <w:tcW w:w="17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50-100%</w:t>
            </w:r>
          </w:p>
        </w:tc>
        <w:tc>
          <w:tcPr>
            <w:tcW w:w="100" w:type="dxa"/>
            <w:vAlign w:val="bottom"/>
            <w:tcBorders>
              <w:top w:val="single" w:sz="8" w:color="CCEEFF"/>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345</w:t>
            </w:r>
          </w:p>
        </w:tc>
        <w:tc>
          <w:tcPr>
            <w:tcW w:w="120" w:type="dxa"/>
            <w:vAlign w:val="bottom"/>
            <w:tcBorders>
              <w:top w:val="single" w:sz="8" w:color="CCEEFF"/>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own 50% of this storage capacity through our investment in Eagle Ford Terminals Corpus Christi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Amount includes approximately 2 million barrels of storage capacity associated with our crude oil rail terminal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While natural gas processing volumes and capacity amounts are presented, they currently are not a significant driver of our segment results.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Represents average volumes net to our share for the entire year.</w:t>
      </w:r>
    </w:p>
    <w:p>
      <w:pPr>
        <w:spacing w:after="0" w:line="117" w:lineRule="exact"/>
        <w:rPr>
          <w:sz w:val="20"/>
          <w:szCs w:val="20"/>
          <w:color w:val="auto"/>
        </w:rPr>
      </w:pPr>
    </w:p>
    <w:p>
      <w:pPr>
        <w:ind w:left="20" w:right="400" w:hanging="11"/>
        <w:spacing w:after="0" w:line="277" w:lineRule="auto"/>
        <w:rPr>
          <w:sz w:val="20"/>
          <w:szCs w:val="20"/>
          <w:color w:val="auto"/>
        </w:rPr>
      </w:pPr>
      <w:r>
        <w:rPr>
          <w:rFonts w:ascii="Arial" w:cs="Arial" w:eastAsia="Arial" w:hAnsi="Arial"/>
          <w:sz w:val="18"/>
          <w:szCs w:val="18"/>
          <w:color w:val="auto"/>
        </w:rPr>
        <w:t>Our NGL rail terminals are predominately utilized for internal purposes specifically for our supply and logistics activities. See our “Supply and Logistics Segment” discussion following this section for further discussion regarding the use of our rail terminals.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discussion contains a detailed description of our more significant Facilities segment assets.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Crude Oil Facilities</w:t>
      </w:r>
    </w:p>
    <w:p>
      <w:pPr>
        <w:spacing w:after="0" w:line="200" w:lineRule="exact"/>
        <w:rPr>
          <w:sz w:val="20"/>
          <w:szCs w:val="20"/>
          <w:color w:val="auto"/>
        </w:rPr>
      </w:pPr>
    </w:p>
    <w:p>
      <w:pPr>
        <w:sectPr>
          <w:pgSz w:w="11900" w:h="16838" w:orient="portrait"/>
          <w:cols w:equalWidth="0" w:num="2">
            <w:col w:w="140" w:space="500"/>
            <w:col w:w="10780"/>
          </w:cols>
          <w:pgMar w:left="240" w:top="125" w:right="239" w:bottom="1440" w:gutter="0" w:footer="0" w:header="0"/>
          <w:type w:val="continuous"/>
        </w:sectPr>
      </w:pPr>
    </w:p>
    <w:p>
      <w:pPr>
        <w:spacing w:after="0" w:line="5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 xml:space="preserve">Cushing Terminal. </w:t>
      </w:r>
      <w:r>
        <w:rPr>
          <w:rFonts w:ascii="Arial" w:cs="Arial" w:eastAsia="Arial" w:hAnsi="Arial"/>
          <w:sz w:val="16"/>
          <w:szCs w:val="16"/>
          <w:color w:val="auto"/>
        </w:rPr>
        <w:t>We are the largest provider of crude oil terminalling services in Cushing, Oklahoma, which is one of the largest physical trading</w:t>
      </w:r>
      <w:r>
        <w:rPr>
          <w:rFonts w:ascii="Arial" w:cs="Arial" w:eastAsia="Arial" w:hAnsi="Arial"/>
          <w:sz w:val="16"/>
          <w:szCs w:val="16"/>
          <w:i w:val="1"/>
          <w:iCs w:val="1"/>
          <w:color w:val="auto"/>
        </w:rPr>
        <w:t xml:space="preserve"> </w:t>
      </w:r>
      <w:r>
        <w:rPr>
          <w:rFonts w:ascii="Arial" w:cs="Arial" w:eastAsia="Arial" w:hAnsi="Arial"/>
          <w:sz w:val="16"/>
          <w:szCs w:val="16"/>
          <w:color w:val="auto"/>
        </w:rPr>
        <w:t>hubs in the United States and is the delivery point for crude oil futures contracts traded on the NYMEX. Our Cushing Terminal has been designated by the NYMEX as an approved delivery location for crude oil delivered under the NYMEX light sweet crude oil futures contract. As the NYMEX delivery point and a cash market hub, the Cushing Interchange serves as a source of refinery feedstock for Midwest and certain Gulf Coast refiners.</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Cushing Terminal is designed to serve the operational needs of refiners, with an emphasis on ensuring operational reliability and flexibility. Accordingly, we have access to all major inbound and outbound pipelines in Cushing (23 direct pipeline connections) and our facility is designed to handle multiple grades of crude oil while minimizing the interface and enabling deliveries to connecting carriers at their maximum rate. Since 1999, we have completed multiple expansions that have increased the capacity of our Cushing Terminal.</w:t>
      </w:r>
    </w:p>
    <w:p>
      <w:pPr>
        <w:spacing w:after="0" w:line="21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St. James Terminal. </w:t>
      </w:r>
      <w:r>
        <w:rPr>
          <w:rFonts w:ascii="Arial" w:cs="Arial" w:eastAsia="Arial" w:hAnsi="Arial"/>
          <w:sz w:val="18"/>
          <w:szCs w:val="18"/>
          <w:color w:val="auto"/>
        </w:rPr>
        <w:t>The crude oil interchange at St. James, Louisiana is one of the most liquid crude oil interchanges in the United States. Our</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is connected to major pipelines and other terminals and includes a manifold and header system that allows for receipts and deliveries with connecting pipelines at their maximum operating capacity. In addition, this facility includes a marine dock that is able to receive from, and deliver to, tankers and barges and is also connected to our rail unloading facility. See “Rail Facilities” below for further discussion.</w:t>
      </w:r>
    </w:p>
    <w:p>
      <w:pPr>
        <w:spacing w:after="0" w:line="214"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Patoka Terminal. </w:t>
      </w:r>
      <w:r>
        <w:rPr>
          <w:rFonts w:ascii="Arial" w:cs="Arial" w:eastAsia="Arial" w:hAnsi="Arial"/>
          <w:sz w:val="18"/>
          <w:szCs w:val="18"/>
          <w:color w:val="auto"/>
        </w:rPr>
        <w:t>Our Patoka Terminal includes crude oil storage and an associated manifold and header system at the Patoka Interchange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Illinois. Our terminal has access to all major pipelines and terminals at the Patoka Interchange, a growing regional hub serving both northbound and southbound movements.</w:t>
      </w:r>
    </w:p>
    <w:p>
      <w:pPr>
        <w:spacing w:after="0" w:line="208"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i w:val="1"/>
          <w:iCs w:val="1"/>
          <w:color w:val="auto"/>
        </w:rPr>
        <w:t xml:space="preserve">Mobile and Ten Mile Terminal. </w:t>
      </w:r>
      <w:r>
        <w:rPr>
          <w:rFonts w:ascii="Arial" w:cs="Arial" w:eastAsia="Arial" w:hAnsi="Arial"/>
          <w:sz w:val="16"/>
          <w:szCs w:val="16"/>
          <w:color w:val="auto"/>
        </w:rPr>
        <w:t>We own a marine terminal in Mobile, Alabama (the “Mobile Terminal”) and a terminal at our nearby Ten Mile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The facilities are pipeline connected. The Mobile Terminal is equipped with a ship/tanker dock, barge dock, truck unloading facilities and various third-party connections for crude oil movements to area refiners and our Ten Mile Facility is connected to our Gulf Coast area Pascagoula Pipeline.</w:t>
      </w:r>
    </w:p>
    <w:p>
      <w:pPr>
        <w:spacing w:after="0" w:line="17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Corpus Christi (Eagle Ford) Terminal. </w:t>
      </w:r>
      <w:r>
        <w:rPr>
          <w:rFonts w:ascii="Arial" w:cs="Arial" w:eastAsia="Arial" w:hAnsi="Arial"/>
          <w:sz w:val="18"/>
          <w:szCs w:val="18"/>
          <w:color w:val="auto"/>
        </w:rPr>
        <w:t>We own a 50% interest in Eagle Ford Terminals Corpus Christi LLC, a joint venture with a subsidiary of</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Eagle Ford Terminals owns a terminal in Corpus Christi, Texas that is capable of loading ocean going vessels with either crude oil or condensate. The facility has access to production from both the Eagle Ford and the Permian Basin through the Eagle Ford joint venture pipeline and was placed into service in the third quarter of 2019.</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Storage Facilities</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Fort Saskatchewan. </w:t>
      </w:r>
      <w:r>
        <w:rPr>
          <w:rFonts w:ascii="Arial" w:cs="Arial" w:eastAsia="Arial" w:hAnsi="Arial"/>
          <w:sz w:val="18"/>
          <w:szCs w:val="18"/>
          <w:color w:val="auto"/>
        </w:rPr>
        <w:t>The Fort Saskatchewan facility is located near Edmonton, Alberta in one of the key North American NGL hubs. The facility is a</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storage, fractionation and delivery facility for NGL and is connected to other major NGL plants and pipeline systems in the area. The facility’s primary assets include 30 storage caverns. The facility includes assets operated by us and assets operated by a third party. Our ownership in the various facility assets ranges from approximately 21% to 100%. See the section entitled “—NGL Fractionation and Isomerization Facilities” below for additional discussion of this facility.</w:t>
      </w:r>
    </w:p>
    <w:p>
      <w:pPr>
        <w:spacing w:after="0" w:line="21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Sarnia Area. </w:t>
      </w:r>
      <w:r>
        <w:rPr>
          <w:rFonts w:ascii="Arial" w:cs="Arial" w:eastAsia="Arial" w:hAnsi="Arial"/>
          <w:sz w:val="18"/>
          <w:szCs w:val="18"/>
          <w:color w:val="auto"/>
        </w:rPr>
        <w:t>Our Sarnia Area facilities in Southwestern Ontario consist of (i) our Sarnia facility, (ii) our Windsor storage terminal and (iii) our St.</w:t>
      </w:r>
      <w:r>
        <w:rPr>
          <w:rFonts w:ascii="Arial" w:cs="Arial" w:eastAsia="Arial" w:hAnsi="Arial"/>
          <w:sz w:val="18"/>
          <w:szCs w:val="18"/>
          <w:i w:val="1"/>
          <w:iCs w:val="1"/>
          <w:color w:val="auto"/>
        </w:rPr>
        <w:t xml:space="preserve"> </w:t>
      </w:r>
      <w:r>
        <w:rPr>
          <w:rFonts w:ascii="Arial" w:cs="Arial" w:eastAsia="Arial" w:hAnsi="Arial"/>
          <w:sz w:val="18"/>
          <w:szCs w:val="18"/>
          <w:color w:val="auto"/>
        </w:rPr>
        <w:t>Clair terminal. The Sarnia facility is a large NGL fractionation and storage facility located in the Sarnia Chemical Valley that contains multiple rail and truck loading spots. The Sarnia Area facilities are served by a network of 15 pipelines connected to various refineries, chemical plants and other pipeline systems in the area. This pipeline network also delivers product between our Sarnia facility and our Windsor storage terminal in addition to the delivery capability from our Sarnia facility to our St. Clair terminal.</w:t>
      </w:r>
    </w:p>
    <w:p>
      <w:pPr>
        <w:spacing w:after="0" w:line="215"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i w:val="1"/>
          <w:iCs w:val="1"/>
          <w:color w:val="auto"/>
        </w:rPr>
        <w:t xml:space="preserve">Empress Area. </w:t>
      </w:r>
      <w:r>
        <w:rPr>
          <w:rFonts w:ascii="Arial" w:cs="Arial" w:eastAsia="Arial" w:hAnsi="Arial"/>
          <w:sz w:val="18"/>
          <w:szCs w:val="18"/>
          <w:color w:val="auto"/>
        </w:rPr>
        <w:t>We own a network of seven NGL terminals (Fort Whyte, Moose Jaw, Rapid City, Stewart Valley, Dewdney, Empress and</w:t>
      </w:r>
      <w:r>
        <w:rPr>
          <w:rFonts w:ascii="Arial" w:cs="Arial" w:eastAsia="Arial" w:hAnsi="Arial"/>
          <w:sz w:val="18"/>
          <w:szCs w:val="18"/>
          <w:i w:val="1"/>
          <w:iCs w:val="1"/>
          <w:color w:val="auto"/>
        </w:rPr>
        <w:t xml:space="preserve"> </w:t>
      </w:r>
      <w:r>
        <w:rPr>
          <w:rFonts w:ascii="Arial" w:cs="Arial" w:eastAsia="Arial" w:hAnsi="Arial"/>
          <w:sz w:val="18"/>
          <w:szCs w:val="18"/>
          <w:color w:val="auto"/>
        </w:rPr>
        <w:t>Richardson). The facilities are complemented by various other NGL fractionation and extraction assets.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Storage Facilities</w:t>
      </w:r>
    </w:p>
    <w:p>
      <w:pPr>
        <w:spacing w:after="0" w:line="256"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We own two U.S. Federal Energy Regulatory Commission (“FERC”) regulated natural gas storage facilities located on the Gulf Coast that are certificated for 112 Bcf of working gas capacity, and as of December 31, 2019, we had an aggregate commercial working gas capacity of approximately 63 Bcf in service. Our facilities have aggregate certificated peak daily injection and withdrawal rates of 3.6 Bcf and 5.6 Bcf, respectively.</w:t>
      </w:r>
    </w:p>
    <w:p>
      <w:pPr>
        <w:spacing w:after="0" w:line="17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two natural gas storage facilities are strategically located within the Gulf Coast market and have a diverse group of customers, including liquefied natural gas (“LNG”) exporters, utilities, pipelines, producers, power generators and marketers whose storage needs vary from traditional seasonal storage services to hourly balancing. We are located near several major market hubs and our facilities have 15 physical interconnects with third-party interstate pipelines, intrastate pipelines and direct connect customers, serving markets in the Gulf Coast, Mid-Atlantic, Northeast, and Southeast regions of the United States.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Processing Facilities</w:t>
      </w:r>
    </w:p>
    <w:p>
      <w:pPr>
        <w:spacing w:after="0" w:line="256"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own and/or operate four straddle plants located in Western Canada. In addition to the processing capacity at our straddle plants, we have a long-term liquids supply contract relating to a third-party owned straddle plant with gross processing capacity of approximately 2.5 Bcf per day. We also own and operate three natural gas processing plants located in Louisiana and Alabama.</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Fractionation and Isomerization Facilities</w:t>
      </w:r>
    </w:p>
    <w:p>
      <w:pPr>
        <w:spacing w:after="0" w:line="25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Empress. </w:t>
      </w:r>
      <w:r>
        <w:rPr>
          <w:rFonts w:ascii="Arial" w:cs="Arial" w:eastAsia="Arial" w:hAnsi="Arial"/>
          <w:sz w:val="18"/>
          <w:szCs w:val="18"/>
          <w:color w:val="auto"/>
        </w:rPr>
        <w:t>We own the Empress fractionation facility, which is connected to and receives liquids from our Empress straddle plant. The facility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capable of producing spec NGL products and connects to our PPTC Pipeline network.</w:t>
      </w:r>
    </w:p>
    <w:p>
      <w:pPr>
        <w:spacing w:after="0" w:line="19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 xml:space="preserve">Fort Saskatchewan. </w:t>
      </w:r>
      <w:r>
        <w:rPr>
          <w:rFonts w:ascii="Arial" w:cs="Arial" w:eastAsia="Arial" w:hAnsi="Arial"/>
          <w:sz w:val="17"/>
          <w:szCs w:val="17"/>
          <w:color w:val="auto"/>
        </w:rPr>
        <w:t>Our Fort Saskatchewan fractionation facility has a design capacity of 85,000 barrels per day and produces spec propane, butane,</w:t>
      </w:r>
      <w:r>
        <w:rPr>
          <w:rFonts w:ascii="Arial" w:cs="Arial" w:eastAsia="Arial" w:hAnsi="Arial"/>
          <w:sz w:val="17"/>
          <w:szCs w:val="17"/>
          <w:i w:val="1"/>
          <w:iCs w:val="1"/>
          <w:color w:val="auto"/>
        </w:rPr>
        <w:t xml:space="preserve"> </w:t>
      </w:r>
      <w:r>
        <w:rPr>
          <w:rFonts w:ascii="Arial" w:cs="Arial" w:eastAsia="Arial" w:hAnsi="Arial"/>
          <w:sz w:val="17"/>
          <w:szCs w:val="17"/>
          <w:color w:val="auto"/>
        </w:rPr>
        <w:t>condensate and a propane and butane mix, which is sent to our Sarnia facility for further fractionation. Through our 21% ownership in the Keyera Fort Saskatchewan fractionation plant, we have additional fractionation capacity, net to our share, of approximately 17,300 barrels per day.</w:t>
      </w:r>
    </w:p>
    <w:p>
      <w:pPr>
        <w:spacing w:after="0" w:line="193"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i w:val="1"/>
          <w:iCs w:val="1"/>
          <w:color w:val="auto"/>
        </w:rPr>
        <w:t xml:space="preserve">Sarnia. </w:t>
      </w:r>
      <w:r>
        <w:rPr>
          <w:rFonts w:ascii="Arial" w:cs="Arial" w:eastAsia="Arial" w:hAnsi="Arial"/>
          <w:sz w:val="18"/>
          <w:szCs w:val="18"/>
          <w:color w:val="auto"/>
        </w:rPr>
        <w:t>The Sarnia Fractionator is the largest fractionation plant in Eastern Canada and receives NGL feedstock from the Enbridge Pipeline and</w:t>
      </w:r>
      <w:r>
        <w:rPr>
          <w:rFonts w:ascii="Arial" w:cs="Arial" w:eastAsia="Arial" w:hAnsi="Arial"/>
          <w:sz w:val="18"/>
          <w:szCs w:val="18"/>
          <w:i w:val="1"/>
          <w:iCs w:val="1"/>
          <w:color w:val="auto"/>
        </w:rPr>
        <w:t xml:space="preserve"> </w:t>
      </w:r>
      <w:r>
        <w:rPr>
          <w:rFonts w:ascii="Arial" w:cs="Arial" w:eastAsia="Arial" w:hAnsi="Arial"/>
          <w:sz w:val="18"/>
          <w:szCs w:val="18"/>
          <w:color w:val="auto"/>
        </w:rPr>
        <w:t>from refineries, gas plants and chemical plants in the area. The fractionation unit produces specification propane, isobutane, normal butane and natural gasoline. Our ownership in the various processing units at the Sarnia Fractionator ranges from 62% to 84%.</w:t>
      </w:r>
    </w:p>
    <w:p>
      <w:pPr>
        <w:spacing w:after="0" w:line="20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Shafter. </w:t>
      </w:r>
      <w:r>
        <w:rPr>
          <w:rFonts w:ascii="Arial" w:cs="Arial" w:eastAsia="Arial" w:hAnsi="Arial"/>
          <w:sz w:val="18"/>
          <w:szCs w:val="18"/>
          <w:color w:val="auto"/>
        </w:rPr>
        <w:t>Our Shafter facility located near Bakersfield, California provides isomerization and fractionation services to producers and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assets consist of approximately 200,000 barrels of NGL storage and a processing facility with butane isomerization capacity of approximately 15,000 barrels per day including NGL fractionation capacity of approximately 12,000 barrels per day.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Condensate Processing Facility</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Gardendale condensate processing facility located in La Salle County, Texas is designed to extract natural gas liquids from condensate. The facility is adjacent to our Gardendale terminal and rail facility and is connected to a third-party pipeline that delivers NGL to Mont Belvieu, Texas. The facility has a total processing capacity of 120,000 barrels per day and usable storage capacity of 160,000 barrels. Throughput at the Gardendale processing facility is supplied by long-term commitments from producers.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Rail Facilities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Loading Facilities</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own crude oil and condensate rail loading facilities located at or near Carr, Colorado; Tampa, Colorado; Gardendale, Texas; McCamey, Texas; Manitou, North Dakota; and Kerrobert, Saskatchewan.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Unloading Facilities</w:t>
      </w:r>
    </w:p>
    <w:p>
      <w:pPr>
        <w:spacing w:after="0" w:line="25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own three crude oil rail unloading facilities. Our St. James, Louisiana facility receives unit trains and has a capacity of 140,000 barrels per day. Our Yorktown, Virginia rail facility can receive unit trains and has an unload capacity of approximately 140,000 barrels per day. Our Bakersfield, California rail facility receives unit trains and has permitted capacity to unload 70,000 barrels per day.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Rail Facilities</w:t>
      </w:r>
    </w:p>
    <w:p>
      <w:pPr>
        <w:spacing w:after="0" w:line="252" w:lineRule="exact"/>
        <w:rPr>
          <w:sz w:val="20"/>
          <w:szCs w:val="20"/>
          <w:color w:val="auto"/>
        </w:rPr>
      </w:pPr>
    </w:p>
    <w:p>
      <w:pPr>
        <w:jc w:val="both"/>
        <w:ind w:right="340" w:firstLine="648"/>
        <w:spacing w:after="0" w:line="342" w:lineRule="auto"/>
        <w:rPr>
          <w:sz w:val="20"/>
          <w:szCs w:val="20"/>
          <w:color w:val="auto"/>
        </w:rPr>
      </w:pPr>
      <w:r>
        <w:rPr>
          <w:rFonts w:ascii="Arial" w:cs="Arial" w:eastAsia="Arial" w:hAnsi="Arial"/>
          <w:sz w:val="16"/>
          <w:szCs w:val="16"/>
          <w:color w:val="auto"/>
        </w:rPr>
        <w:t>We own 24 operational NGL rail facilities (including our Fort Saskatchewan rail facility, as well as facilities that can provide both crude oil and NGL service) strategically located near NGL storage, pipelines, gas production or propane distribution centers throughout the United States and Canada.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Logistics Segment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Supply and Logistics segment operations generally consist of the following merchant-related activities:</w:t>
      </w:r>
    </w:p>
    <w:p>
      <w:pPr>
        <w:spacing w:after="0" w:line="252"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purchase of U.S. and Canadian crude oil at the wellhead, and the bulk purchase of crude oil at pipeline, terminal and rail facilities;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extraction of NGL from gas processed at our facilities;</w:t>
      </w:r>
    </w:p>
    <w:p>
      <w:pPr>
        <w:spacing w:after="0" w:line="117"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operators of petrochemical facilities, exporters or other resellers; and</w:t>
      </w:r>
    </w:p>
    <w:p>
      <w:pPr>
        <w:spacing w:after="0" w:line="62"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vessels from various delivery points, market hub locations or directly to end users such as refineries, processors and fractionation facilities.</w:t>
      </w:r>
    </w:p>
    <w:p>
      <w:pPr>
        <w:spacing w:after="0" w:line="19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purchase and resale of crude oil and NGL results in us generating a margin, which is reduced by the transportation, facilities and other logistical costs associated with delivering the crude oil or NGL to market as well as related operating and general and administrative expenses. A portion of our results is impacted by overall market structure and the degree of market volatility, as well as variable operating expenses. Our activities are designed to limit downside exposure, while generating upside potential associated with opportunities inherent in volatile market conditions (including opportunities to benefit from fluctuating differentials and market structure). Opportunities to realize upside potential through our Supply and Logistics operations occur from time to time and are typically for short periods of time when there are local or regional infrastructure constraints. See “—Impact of Commodity Price Volatility and Dynamic Market Conditions on Our Business Model” below for further discussion.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to hedged working inventories associated with its merchant activities, as of December 31, 2019, our Supply and Logistics segment owned significant volumes of crude oil and NGL classified as long-term assets and linefill or minimum inventory requirements and employed a variety of owned or leased physical assets throughout the United States and Canada, including approximately:</w:t>
      </w:r>
    </w:p>
    <w:p>
      <w:pPr>
        <w:spacing w:after="0" w:line="208"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16 million barrels of crude oil and NGL linefill in pipelines owned by 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4 million barrels of crude oil and NGL utilized as linefill in pipelines owned by third parties or otherwise required as long-term inventory;</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760 trucks and 900 trailers;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8,000 crude oil and NGL railcars.</w:t>
      </w:r>
    </w:p>
    <w:p>
      <w:pPr>
        <w:spacing w:after="0" w:line="25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In connection with its operations, our Supply and Logistics segment secures transportation and facilities services from our other two segments as well as third-party service providers under month-to-month and multi-year arrangements. Intersegment fees are based on posted tariff rates, rates similar to those charged to third parties or rates that we believe approximate market rates.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average daily volume of our supply and logistics activities for the year ended December 31, 2019:</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580" w:type="dxa"/>
            <w:vAlign w:val="bottom"/>
          </w:tcPr>
          <w:p>
            <w:pPr>
              <w:jc w:val="right"/>
              <w:ind w:right="437"/>
              <w:spacing w:after="0"/>
              <w:rPr>
                <w:sz w:val="20"/>
                <w:szCs w:val="20"/>
                <w:color w:val="auto"/>
              </w:rPr>
            </w:pPr>
            <w:r>
              <w:rPr>
                <w:rFonts w:ascii="Arial" w:cs="Arial" w:eastAsia="Arial" w:hAnsi="Arial"/>
                <w:sz w:val="14"/>
                <w:szCs w:val="14"/>
                <w:b w:val="1"/>
                <w:bCs w:val="1"/>
                <w:color w:val="auto"/>
              </w:rPr>
              <w:t>Volumes</w:t>
            </w:r>
          </w:p>
        </w:tc>
      </w:tr>
      <w:tr>
        <w:trPr>
          <w:trHeight w:val="192"/>
        </w:trPr>
        <w:tc>
          <w:tcPr>
            <w:tcW w:w="98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(MBbls/d)</w:t>
            </w:r>
          </w:p>
        </w:tc>
      </w:tr>
      <w:tr>
        <w:trPr>
          <w:trHeight w:val="270"/>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Crude oil lease gathering purchases </w:t>
            </w:r>
            <w:r>
              <w:rPr>
                <w:rFonts w:ascii="Arial" w:cs="Arial" w:eastAsia="Arial" w:hAnsi="Arial"/>
                <w:sz w:val="23"/>
                <w:szCs w:val="23"/>
                <w:color w:val="auto"/>
                <w:vertAlign w:val="superscript"/>
              </w:rPr>
              <w:t>(1)</w:t>
            </w: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1,162</w:t>
            </w:r>
          </w:p>
        </w:tc>
      </w:tr>
      <w:tr>
        <w:trPr>
          <w:trHeight w:val="243"/>
        </w:trPr>
        <w:tc>
          <w:tcPr>
            <w:tcW w:w="9820" w:type="dxa"/>
            <w:vAlign w:val="bottom"/>
          </w:tcPr>
          <w:p>
            <w:pPr>
              <w:ind w:left="20"/>
              <w:spacing w:after="0"/>
              <w:rPr>
                <w:sz w:val="20"/>
                <w:szCs w:val="20"/>
                <w:color w:val="auto"/>
              </w:rPr>
            </w:pPr>
            <w:r>
              <w:rPr>
                <w:rFonts w:ascii="Arial" w:cs="Arial" w:eastAsia="Arial" w:hAnsi="Arial"/>
                <w:sz w:val="18"/>
                <w:szCs w:val="18"/>
                <w:color w:val="auto"/>
              </w:rPr>
              <w:t>NGL sales</w:t>
            </w:r>
          </w:p>
        </w:tc>
        <w:tc>
          <w:tcPr>
            <w:tcW w:w="1580" w:type="dxa"/>
            <w:vAlign w:val="bottom"/>
          </w:tcPr>
          <w:p>
            <w:pPr>
              <w:jc w:val="right"/>
              <w:ind w:right="77"/>
              <w:spacing w:after="0"/>
              <w:rPr>
                <w:sz w:val="20"/>
                <w:szCs w:val="20"/>
                <w:color w:val="auto"/>
              </w:rPr>
            </w:pPr>
            <w:r>
              <w:rPr>
                <w:rFonts w:ascii="Arial" w:cs="Arial" w:eastAsia="Arial" w:hAnsi="Arial"/>
                <w:sz w:val="18"/>
                <w:szCs w:val="18"/>
                <w:color w:val="auto"/>
              </w:rPr>
              <w:t>207</w:t>
            </w:r>
          </w:p>
        </w:tc>
      </w:tr>
      <w:tr>
        <w:trPr>
          <w:trHeight w:val="27"/>
        </w:trPr>
        <w:tc>
          <w:tcPr>
            <w:tcW w:w="9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9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Supply and Logistics segment total volumes</w:t>
            </w:r>
          </w:p>
        </w:tc>
        <w:tc>
          <w:tcPr>
            <w:tcW w:w="15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1,369</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Of this amount, approximately 767 MBbls/d were purchased in the Permian Basin.</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 xml:space="preserve">Crude Oil and NGL Purchases. </w:t>
      </w:r>
      <w:r>
        <w:rPr>
          <w:rFonts w:ascii="Arial" w:cs="Arial" w:eastAsia="Arial" w:hAnsi="Arial"/>
          <w:sz w:val="18"/>
          <w:szCs w:val="18"/>
          <w:color w:val="auto"/>
        </w:rPr>
        <w:t>We purchase crude oil and NGL from multiple producers under contracts and believe we have established long-term, broad-based relationships with the crude oil and NGL producers in our areas of operations.</w:t>
      </w:r>
    </w:p>
    <w:p>
      <w:pPr>
        <w:spacing w:after="0" w:line="19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crude oil contracts generally range in term from thirty-day evergreen to five years, with the majority ranging from thirty days to one year and a limited number of contracts with remaining terms extending up to ten years. We utilize our truck fleet, railcars and pipelines as well as leased railcars, third-party pipelines, trucks and barges to transport crude oil to market. From time to time, we enter into various types of purchase and exchange transactions including fixed-price purchase contracts, collars, financial swaps and crude oil and NGL-related futures contracts as hedging devices.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purchase NGL from producers, refiners and other NGL marketing companies under contracts that typically have ranged from immediate delivery to one year in term. In the last few years, we have implemented an increasing number of contracts with longer terms to ensure capacity utilization and base-load expansion projects. We also acquire NGL from gas shippers by paying an extraction right to remove the liquids from the gas flowing through our straddle plants at Empress, Alberta. We utilize our trucking fleet and pipeline network, as well as leased railcars, third-party tank trucks and third-party pipelines to transport NGL.</w:t>
      </w:r>
    </w:p>
    <w:p>
      <w:pPr>
        <w:spacing w:after="0" w:line="215"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In addition to purchasing crude oil from producers, we purchase both domestic and foreign crude oil in bulk at major hub locations, rail and dock facilities. We also purchase NGL in bulk at major pipeline terminal points and storage facilities from major integrated oil companies, large independent producers or other NGL marketing companies or processors. Crude oil and NGL are purchased in bulk when we believe additional opportunities exist to realize margins further downstream in the crude oil or NGL distribution chain. The opportunities to earn additional margins vary over time with changing market conditions. Accordingly, the margins associated with our bulk purchases will fluctuate from period to period.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Crude Oil and NGL Sales. </w:t>
      </w:r>
      <w:r>
        <w:rPr>
          <w:rFonts w:ascii="Arial" w:cs="Arial" w:eastAsia="Arial" w:hAnsi="Arial"/>
          <w:sz w:val="18"/>
          <w:szCs w:val="18"/>
          <w:color w:val="auto"/>
        </w:rPr>
        <w:t>The activities involved in the supply, logistics and distribution of crude oil and NGL are complex and require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knowledge of crude oil and NGL sources and end markets, as well as a familiarity with a number of factors including individual refinery demand for specific grades of crude oil, area market price structures, location of customers, various modes and availability of transportation facilities to deliver crude oil and NGL to our customers.</w:t>
      </w:r>
    </w:p>
    <w:p>
      <w:pPr>
        <w:spacing w:after="0" w:line="21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sell our crude oil to major integrated oil companies, independent refiners, exporters and other resellers in various types of sale and exchange transactions. Our crude oil sales contracts generally range in term from thirty-day evergreen to five years, with the majority ranging from thirty days to one year. We sell NGL primarily to propane and refined product retailers, petrochemical companies and refiners, and limited volumes to other marketers. The majority of our NGL contracts generally span a term of one year. For contracts greater than one year, pricing mechanisms are typically put in place to ensure any significant cost escalations are accounted for, which may include provisions for annual price negotiations designed to ensure both the buyer and seller remain at market-based pricing. We establish a margin for the crude oil and NGL we purchase by entering into physical sales contracts with third parties, or by entering into a future delivery obligation with respect to futures contracts on the NYMEX, ICE or over-the-counter exchanges. Through these transactions, we seek to maintain a position that is substantially balanced between purchases and sales and future delivery obligations. From time to time, we enter into various types of sale and exchange transactions, including fixed-price delivery contracts, collars, financial swaps and crude oil and NGL-related futures contracts as hedging devices.</w:t>
      </w:r>
    </w:p>
    <w:p>
      <w:pPr>
        <w:spacing w:after="0" w:line="20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i w:val="1"/>
          <w:iCs w:val="1"/>
          <w:color w:val="auto"/>
        </w:rPr>
        <w:t xml:space="preserve">Crude Oil and NGL Exchanges. </w:t>
      </w:r>
      <w:r>
        <w:rPr>
          <w:rFonts w:ascii="Arial" w:cs="Arial" w:eastAsia="Arial" w:hAnsi="Arial"/>
          <w:sz w:val="18"/>
          <w:szCs w:val="18"/>
          <w:color w:val="auto"/>
        </w:rPr>
        <w:t>We pursue exchange opportunities to enhance margins throughout the gathering and marketing process. When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arise to increase our margin or to acquire a grade, type or volume of crude oil or NGL that more closely matches our physical delivery requirement, location or the preferences of our customers, we exchange physical crude oil or NGL, as appropriate, with third parties. These exchanges are effected through contracts called exchange or buy/sell agreements. Through an exchange agreement, we agree to buy crude oil or NGL that differs in terms of geographic location, grade of crude oil or type of NGL, or physical delivery schedule from crude oil or NGL we have available for sale. Generally, we enter into exchanges to acquire crude oil or NGL at locations that are closer to our end markets, thereby reducing transportation costs and increasing our margin. We also exchange our crude oil to be physically delivered at a later date, if the exchange is expected to result in a higher margin net of storage costs, and we enter into exchanges based on the grade of crude 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spacing w:after="0" w:line="22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Credit. </w:t>
      </w:r>
      <w:r>
        <w:rPr>
          <w:rFonts w:ascii="Arial" w:cs="Arial" w:eastAsia="Arial" w:hAnsi="Arial"/>
          <w:sz w:val="18"/>
          <w:szCs w:val="18"/>
          <w:color w:val="auto"/>
        </w:rPr>
        <w:t>Our merchant activities involve the purchase of crude oil and NGL for resale and require significant extensions of credit by our suppliers.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we sell crude oil and NGL, we must determine the amount, if any, of credit to be extended to any given customer. We manage our exposure to credit risk through credit analysis, credit approvals, credit limits, prepayment, letters of credit and monitoring procedures.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the majority of our net-cash arrangements.</w:t>
      </w:r>
    </w:p>
    <w:p>
      <w:pPr>
        <w:spacing w:after="0" w:line="21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Because our typical sales transactions can involve large volumes of crude oil, the risk of nonpayment and nonperformance by customers is a major consideration in our business. We believe our sales are made to creditworthy entities or entities with adequate credit support. Generally, sales of crude oil are settled within 30 days of the month of delivery, and pipeline, transportation and terminalling services settle within 30 days from the date we issue an invoice for the provision of services.</w:t>
      </w:r>
    </w:p>
    <w:p>
      <w:pPr>
        <w:spacing w:after="0" w:line="214"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also have credit risk exposure related to our sales of NGL (principally propane); however, because our sales are typically in relatively small amounts to individual customers, we do not believe that these transactions pose a material concentration of credit risk. Typically, we enter into annual contracts to sell NGL on a forward basis, as well as to sell NGL on a current basis to local distributors and retailers. In certain cases our NGL customers prepay for their purchases, in amounts ranging up to 100% of their contracted amounts.</w:t>
      </w:r>
    </w:p>
    <w:p>
      <w:pPr>
        <w:spacing w:after="0" w:line="21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Certain activities in our Supply and Logistics segment are affected by seasonal aspects, primarily with respect to NGL supply and logistics activities, which are sensitive to weather-related demand, particularly during the approximate five-month peak heating season of November through March.</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Dynamic Market Conditions on Our Business Model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Through our three business segments, we are engaged in the transportation, storage, terminalling and marketing of crude oil, NGL and natural gas.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majority of our activities are focused on crude oil, which is the principal feedstock used by refineries in the production of transportation fuels.</w:t>
      </w:r>
    </w:p>
    <w:p>
      <w:pPr>
        <w:spacing w:after="0" w:line="24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Crude oil, NGL and natural gas commodity prices have historically been very volatile. For example, since the mid-1980s, NYMEX West Texas Intermediate (“WTI”) crude oil benchmark prices have ranged from a low of approximately $10 per barrel during 1986 to a high of over $147 per barrel during 2008. During 2019, WTI crude oil prices traded within a range of approximately $46 to $66 per barrel. There has also been volatility within the propane and butane markets as seen through the North American benchmark price located at Mont Belvieu, Texas. Specifically, over the last ten years, propane prices have ranged from a low of 25% of the WTI benchmark price for crude oil in 2015 to a high of 83% of the WTI benchmark price for crude oil in 2011. During 2019, propane averaged 40% of WTI and on a daily basis traded within a range of 29% to 63% of WTI. During the same ten-year period, butane has seen a price range from a low of 34% of the WTI benchmark price for crude oil in 2019 to a high of 108% of the WTI benchmark price for crude oil in 2017. During 2019, butane averaged 48% of WTI and on a daily basis traded within a range of 34% to 72% of WTI.</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Absent extended periods of lower crude oil or NGL prices that are below production replacement costs or higher crude oil or NGL prices that have a significant adverse impact on consumption, demand for the services we provide in our fee-based Transportation and Facilities segments and our financial results from these activities have little correlation to absolute commodity prices. Relative contribution levels will vary from quarter-to-quarter due to seasonal and other similar factors, but we project that (absent material outperformance in our Supply and Logistics business) our fee-based Transportation and Facilities segments should comprise over 90% of our aggregate segment results.</w:t>
      </w:r>
    </w:p>
    <w:p>
      <w:pPr>
        <w:spacing w:after="0" w:line="20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Results from our supply and logistics activities depend on our ability to sell crude oil and NGL at prices in excess of our aggregate cost. Although segment results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21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developing our business model and allocating our resources among our three segments, we attempt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has in the past, and may in the future present opportunities to realize incremental margins; however, when market conditions are more challenging (i.e., the supply and demand dynamics do not give rise to attractive differentials or spreads), our pipeline flows may be adversely impacted and/or our Supply and Logistics segment may not fully recover its costs on certain transactions.</w:t>
      </w:r>
    </w:p>
    <w:p>
      <w:pPr>
        <w:spacing w:after="0" w:line="2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executing our business model, we employ a variety of financial risk management tools and techniques, predominantly in our Supply and Logistics segment. These are discussed in greater detail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5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activity.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20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supply and logistics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Marathon Petroleum Corporation and its subsidiaries accounted for 12%, 14% and 19% of our revenues for the years ended December 31, 2019, 2018 and 2017, respectively. ExxonMobil Corporation and its subsidiaries accounted for 12%, 14% and 11% of our revenues for the years ended December 31, 2019, 2018 and 2017, respectively. Phillips 66 Company and its subsidiaries accounted for 11% of our revenues for each of the years ended December 31, 2019 and 2017. No other customers accounted for 10% or more of our revenues during any of the three years ended December 31, 2019.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16 to our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Competition among pipelines is based primarily on transportation charges, access to producing areas and supply regions and demand for crude oil and NGL by end users. Although new pipeline projects represent a source of competition for our business, there are also existing third-party owned pipelines with excess capacity in the vicinity of our operations that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for the foreseeable future. For example, over the last 18 months, several new pipeline projects for takeaway capacity from the Permian Basin, where we have significant operations, have been announced, are currently under construction or have been placed in service. Combined with current pipeline takeaway capacity, these pipeline projects have and will continue to result in excess Permian takeaway capacity relative to projected crude oil production volumes in the Permian Basin. In combination with incremental shipper commitments or dedications, the ratio of excess capacity to uncommitted barrels is expected to increase significantly, amplifying the competition for incremental barrels to fill available capacity on our assets and resulting in downward pressure on margins.</w:t>
      </w:r>
    </w:p>
    <w:p>
      <w:pPr>
        <w:spacing w:after="0" w:line="21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depending upon the specific movement, pipelines, which generally offer the lowest cost of transportation, may also face competition from other forms of transportation, such as truck,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21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also face competition with respect to our supply and logistics and facilities services. Our competitors include other crude oil and NGL pipeline and terminalling companies, other NGL processing and fractionation companies, the major integrated oil companies and their marketing affiliates, independent gatherers, private equity backed entities, banks that have established a trading platform, brokers and marketers of widely varying sizes, financial resources and experience. Some of these competitors have capital resources greater than ours. The addition of new pipelines supported by minimum volume commitments and/or acreage dedications could also amplify the level of competition for purchasing wellhead barrels, especially in the Permian Basin and thus impact our margins.</w:t>
      </w:r>
    </w:p>
    <w:p>
      <w:pPr>
        <w:spacing w:after="0" w:line="22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including regional storage facilities and utilities. Certain pipeline companies have storage facilities connected to their systems that compete with some of our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Our Business— Our operations are also subject to laws and regulations relating to protection of the environment and wildlife, operational safety, climate change and related matters that may expose us to significant costs and liabilities. The current laws and regulations affecting our business are subject to change and in the future we may be subject to additional laws and regulations, which could adversely impact our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certain, but not all, of the laws and regulations affecting our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operations involving the storage, treatment, processing and transportation of liquid and gaseous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and remedial liabilities and the issuance of injunctions or other orders that may subject us to additional operational constraints.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health and safety laws and regulations to which our operations are subject.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Safety/Integrity Management</w:t>
      </w:r>
    </w:p>
    <w:p>
      <w:pPr>
        <w:spacing w:after="0" w:line="25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Canada Energy Regulator (“CER”), formerly the National Energy Board, and provincial agencies.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HLPSA was amended by the Pipeline Safety Improvement Act of 2002 and the Pipeline Inspection, Protection, Enforcement and Safety Act of 2006. These amendments have resulted in the adoption of rules by the DOT that require transportation pipeline operators to implement integrity management programs, including frequent inspections, correction of identified anomalies and other measures, to ensure pipeline safety in “high consequence areas” such as high population areas, areas unusually sensitive to environmental damage, and commercially navigable waterways. In the United States, our costs associated with the inspection, testing and correction of identified anomalies were approximately $65 million in 2019. Based on currently available information, our preliminary estimate for 2020 is that we will incur approximately $58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$42 million in 2019, and our preliminary estimate for 2020 is that we will incur approximately $38 million of such costs.</w:t>
      </w:r>
    </w:p>
    <w:p>
      <w:pPr>
        <w:spacing w:after="0" w:line="20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PHMSA was reauthorized and the HLPSA was amended in 2011 and 2016. The regulatory changes precipitated by these actions have increased our cost to operate. For example, in October 2019, PHMSA published three final rules that create or expand reporting, inspection, maintenance and other pipeline safety obligations. We are in the process of assessing the impact of these rules on our future costs of operations and revenue from operations.</w:t>
      </w:r>
    </w:p>
    <w:p>
      <w:pPr>
        <w:spacing w:after="0" w:line="17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October 2015, the Governor of California signed the Oil Spill Response: Environmentally and Ecologically Sensitive Areas Bill (“AB-864”) which requires new and existing pipelines located near environmentally and ecologically sensitive areas connected to or located in the coastal zone to use best available technologies to reduce the amount of oil released in an oil spill to protect state waters and wildlife. Best available technology includes, but is not limited to, installation of leak detection technologies, automatic shutoff systems, or remote controlled sectionalized block valves, or any combination of these technologies based on a risk analysis conducted by the operator. The California Office of the State Fire Marshal is in the process of developing the regulations required by AB 864 and issued updated draft regulations in January 2019. The updated draft regulations (while not yet adopted) require that the risk analysis, plans for installation of best available technology and any exemption requests be submitted in 2020 and installation of best available technology, if required, be completed by July 2022. These deadlines could change depending upon the date the final regulations are adopted. Compliance with these new regulations will impact our pipeline operations in California and add to the cost to operate the pipelines subject to these rules.</w:t>
      </w:r>
    </w:p>
    <w:p>
      <w:pPr>
        <w:spacing w:after="0" w:line="194"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pacing w:after="0" w:line="20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DOT has generally adopted American Petroleum Institute Standard (“API”) 653 as the standard for the inspection, repair, alteration and reconstruction of steel aboveground petroleum storage tanks subject to DOT jurisdiction. API 653 requires regularly scheduled inspection and repair of tanks remaining in service. In the United States, our costs associated with this program were approximately $52 million in 2019. For 2020, we have budgeted approximately $57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Canada, the CER and provincial agencies regulate the safety and integrity management of pipelines and storage tanks used for hydrocarbon transmission. We have incurred and will continue to incur costs related to such regulatory requirements.</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continue to implement Pipeline, Facility and Cavern Integrity Management Programs to comply with applicable regulatory requirements and assist in our efforts to mitigate risk. Costs incurred for such integrity management activities were approximately $66 million in 2019. We are increasing our integrity dig and pipeline replacement projects to ensure safe and reliable operations as we seek to expand volumes on certain of our systems. Our preliminary estimate for 2020 is that we will incur approximately $95 million of costs on such projects.</w:t>
      </w:r>
    </w:p>
    <w:p>
      <w:pPr>
        <w:spacing w:after="0" w:line="21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cannot predict the potential costs associated with additional, future regulation. Significant additional expenses could be incurred, and additional operational requirements and constraints could be imposed, if new or more stringently interpreted pipeline safety requirements are implemented.</w:t>
      </w:r>
    </w:p>
    <w:p>
      <w:pPr>
        <w:spacing w:after="0" w:line="151" w:lineRule="exact"/>
        <w:rPr>
          <w:sz w:val="20"/>
          <w:szCs w:val="20"/>
          <w:color w:val="auto"/>
        </w:rPr>
      </w:pPr>
    </w:p>
    <w:p>
      <w:pPr>
        <w:jc w:val="center"/>
        <w:ind w:right="9000"/>
        <w:spacing w:after="0"/>
        <w:rPr>
          <w:sz w:val="20"/>
          <w:szCs w:val="20"/>
          <w:color w:val="auto"/>
        </w:rPr>
      </w:pPr>
      <w:r>
        <w:rPr>
          <w:rFonts w:ascii="Arial" w:cs="Arial" w:eastAsia="Arial" w:hAnsi="Arial"/>
          <w:sz w:val="15"/>
          <w:szCs w:val="15"/>
          <w:b w:val="1"/>
          <w:bCs w:val="1"/>
          <w:i w:val="1"/>
          <w:iCs w:val="1"/>
          <w:color w:val="auto"/>
        </w:rPr>
        <w:t>Occupational Safety and Health</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the United States, 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w:t>
      </w:r>
    </w:p>
    <w:p>
      <w:pPr>
        <w:spacing w:after="0" w:line="252"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subject to more rigorous and costly disposal requirements, resulting in additional capital expenditures or operating expenses.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“hazardous substance.” Canadian federal and provincial laws also impose liabilities for releases of certain substances into the environment.</w:t>
      </w:r>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are subject to the Environmental Protection Agency’s (“EPA”)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 In January 2016, the EPA finalized revisions to the Risk Management Plan (“RMP”) rules, including requirements for the use of third-party compliance audits, root cause analyses for facilities that experience releases, process hazard analyses and enhanced information-sharing provisions, effective March 2017. In November 2019, the EPA finalized revisions to the RMP rules, removing requirements related to public disclosure, third-party audits and post-incident root cause analyses, among others. However, several environmental groups and trade unions have challenged the EPA’s revised rule. OSHA has announced that it is considering similar revisions to the PSM rule, but, to date, has not issued a Notice of Proposed Rulemaking. The potential for further revisions to either the RMP or PSM rule is uncertain at this time.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52"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21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may experience releases of hydrocarbon products into the environment from our pipeline, rail, storage and other facility operations. We may also discover environmental impacts from past releases that were previously unidentified. The costs and liabilities associated with any such releases or environmental impacts could be significant and may not be covered by insurance; accordingly, such costs and liabilities could have a material adverse impact on our results of operations and/or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5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United States operations are subject to the United States Clean Air Act (“Clean Air Act”), comparable state laws and associated federal, state and local regulations. Our Canadian operations are also subject to federal and provincial air emission regulations, which are discussed in subsequent sections.</w:t>
      </w:r>
    </w:p>
    <w:p>
      <w:pPr>
        <w:spacing w:after="0" w:line="15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Initiatives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EPA has adopted rules for reporting the emission of carbon dioxide, methane and other greenhouse gases (“GHG”) from certain sources. Fewer than ten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June 2016, the EPA finalized regulations affecting new, modified and reconstructed sources of air emissions in the oil and natural gas sector (NSPS Subpart OOOOa) that require significant reductions in fugitive methane emissions from certain upstream and midstream oil and gas facilities. These new rules also require operators to implement fugitive emission leak detection and repair requirements for compressor stations. However, the EPA has taken several steps to delay implementation of its methane rules, and the agency proposed a rulemaking in June 2017 to stay the requirements for a period of two years and revisit implementation of the methane rules in their entirety. In September 2019, the EPA proposed changes to NSPS Subpart OOOOa that, if finalized, would remove methane-specific requirements from the rule, and could remove the natural gas transmission and storage segment from the list of covered activities entirely. It is not known when these rule changes will be finalized, and legal challenges to any final rulemaking are expected. As a result of these developments, the final scope of methane regulatory requirements or the cost to comply with such requirements is uncertain at this time. Several states have either proposed or finalized similar regulations related to the reduction of methane emissions from the oil and natural gas sector.</w:t>
      </w:r>
    </w:p>
    <w:p>
      <w:pPr>
        <w:spacing w:after="0" w:line="19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California has implemented a GHG cap-and-trade program, authorized under Assembly Bill 32 (“AB32”). Since its start in 2014, California’s cap-and-trade program has only applied to large industrial facilities with carbon dioxide equivalent emissions over 25,000 metric tons. The California Air Resources Board has published a list of facilities that are subject to this program. At this time, the list only includes one of our facilities, the Lone Star Gas Liquids facility in Shafter, California because it is a significant combustion and propane fractionation source. As a result, compliance instruments for GHG emissions have been purchased since 2013.</w:t>
      </w:r>
    </w:p>
    <w:p>
      <w:pPr>
        <w:spacing w:after="0" w:line="21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Effective January 1, 2015, the AB32 regulations also covered finished fuel providers and importers. California finished fuels providers (refiners and importers) are required to purchase GHG emission credits for finished fuel sold in or imported into California. Plains Marketing was included in this portion of the regulation due to propane imports and completed its first year of compliance in 2016. The compliance requirements of the GHG cap-and-trade program through 2020 are currently being phased in. Effective January 1, 2018, importers of finished fuels responsible for compliance costs associated with GHG has changed from the consignee to the importer on title of the product. Plains Midstream Canada is now included in this change to the rule due to its imports of propane into California and submitted its first compliance report in 2019.</w:t>
      </w:r>
    </w:p>
    <w:p>
      <w:pPr>
        <w:spacing w:after="0" w:line="20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Executive Order B-30-15 was signed by California’s Governor in mid-2015. This Executive Order requires a 40% reduction in GHG emissions from the 1990 baseline level by 2030. The current 2020 goals for GHG emissions reductions are at 15% below the 1990 baseline level. Compliance with this reduction requirement may necessitate the lowering of the threshold for industrial facilities required to participate in the GHG cap and trade program.</w:t>
      </w:r>
    </w:p>
    <w:p>
      <w:pPr>
        <w:spacing w:after="0" w:line="17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While it is not possible at this time to predict how federal or state governments may choose to regulate GHG emissions, any new regulatory restrictions on GHG emissions could result in material increased compliance costs, additional operating restrictions and an increase in the cost of feedstock and products produced by our refinery customers.</w:t>
      </w:r>
    </w:p>
    <w:p>
      <w:pPr>
        <w:spacing w:after="0" w:line="208" w:lineRule="exact"/>
        <w:rPr>
          <w:sz w:val="20"/>
          <w:szCs w:val="20"/>
          <w:color w:val="auto"/>
        </w:rPr>
      </w:pPr>
    </w:p>
    <w:p>
      <w:pPr>
        <w:ind w:right="20" w:firstLine="648"/>
        <w:spacing w:after="0" w:line="262" w:lineRule="auto"/>
        <w:rPr>
          <w:sz w:val="20"/>
          <w:szCs w:val="20"/>
          <w:color w:val="auto"/>
        </w:rPr>
      </w:pPr>
      <w:r>
        <w:rPr>
          <w:rFonts w:ascii="Arial" w:cs="Arial" w:eastAsia="Arial" w:hAnsi="Arial"/>
          <w:sz w:val="17"/>
          <w:szCs w:val="17"/>
          <w:color w:val="auto"/>
        </w:rPr>
        <w:t>In December 2015, the Paris Agreement was signed at the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annual Conference of Parties to the United Nations Framework Convention on Climate Change (“UNFCCC”). The Paris Agreement, which came into effect in November 2016, requires signatory parties to develop and implement carbon emission reduction policies with a goal of limiting the rise in average global temperatures to 2°C or less. The United States and Canada are currently signatories to the Agreement; however, in June 2017, President Trump stated that the United States would withdraw from the Paris Agreement, but may enter into a future international agreement related to GHGs. In August 2017, the U.S. State Department officially informed the United Nations of the intent of the United States to withdraw from the Paris Agreement. The earliest possible effective date for withdrawal by the United States is November 2020. The United States’ adherence to the exit process is uncertain and/or the terms on which the United States may reenter the Paris Agreement or a separately negotiated agreement are unclear at this time. The Paris Agreement is likely to become a significant driver for future potential GHG reduction programs in participating countries. Notwithstanding potential risks related to climate change, the International Energy Agency estimates that global energy demand will continue to rise and will not peak until after 2040 and that oil and gas will continue to represent a substantial percentage of global energy use over that time. Finally, to the extent increasing concentrations of GHGs in the Earth’s atmosphere may produce climate changes that have significant physical effects, such as increased frequency and severity of storms, droughts, floods and other climatic events, such events could have a material adverse effect on our assets, particularly those located in coastal or flood prone areas.</w:t>
      </w:r>
    </w:p>
    <w:p>
      <w:pPr>
        <w:spacing w:after="0" w:line="215"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i w:val="1"/>
          <w:iCs w:val="1"/>
          <w:color w:val="auto"/>
        </w:rPr>
        <w:t xml:space="preserve">Federal Regulations. </w:t>
      </w:r>
      <w:r>
        <w:rPr>
          <w:rFonts w:ascii="Arial" w:cs="Arial" w:eastAsia="Arial" w:hAnsi="Arial"/>
          <w:sz w:val="16"/>
          <w:szCs w:val="16"/>
          <w:color w:val="auto"/>
        </w:rPr>
        <w:t>Large emitters of GHG have been required to report their emissions under the Canadian Greenhouse Gas Emissions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since 2004. Effective January 1, 2018, the Federal Department of Environment and Climate Change lowered the reporting threshold for all facilities from 50 thousand tonnes per year (“kt/y”) to 10 kt/y GHG emissions. This has resulted in one additional PMC facility (for a total of four locations) being currently required to prepare annual reports of their emissions. The associated costs with this new reporting requirement is not considered to be material.</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December 2015, the UNFCCC ratified the Paris Agreement to accelerate climate change initiatives and to intensify the actions of member nations in the reduction of GHG emissions. This ratification also included requirements that all parties report on their emissions status and agreement for a review every five years to assess success among member nations in attaining objectives and targets under this agreement. The Government of Canada has implemented a pan-Canadian approach to pricing carbon pollution requiring all Canadian provinces and territories to have carbon pricing in place by 2018, which is now in effect. The provinces and territories were granted flexibility in deciding how they implement carbon pricing either by placing a direct price on carbon pollution or adopting a cap and trade system. The Provincial programs that fail to meet the Federal government’s requirements for their programs are required to adopt the Federal program. The Federal program includes two components: a direct price on carbon pollution (the Federal price on carbon pollution will start at $20/tonne in 2019 and rise by $10 a year to reach $50/tonne in 2022) and an output based pricing system (“OBPS”) designed to address competitiveness risk for large emitters.</w:t>
      </w:r>
    </w:p>
    <w:p>
      <w:pPr>
        <w:spacing w:after="0" w:line="20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In April 2018, the Federal Department of Environment and Climate Change introduced regulations designed to reduce methane emissions by up to 45% by 2025 (from 2012 levels) from oil and natural gas facilities. The scope and requirements of the proposed rule are similar to the EPA methane rules described above. Effective June 2017, the Federal Department of Environment and Climate Change has introduced the Multi Sector Air Pollutants Regulations which set air pollution emission standards across Canada for several industrial sectors that utilize applicable equipment regulated under this program. The regulations establish specific limits to the amount of nitrogen oxides emitted from gas fueled boilers, heaters and stationary spark-ignition engines above a specified power rating. Based on these regulations, reporting obligations exist that are associated with seven facilities with equipment that meets specifications of the program. The implications of these regulations coming into effect are not believed to be material.</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Provincial Regulations</w:t>
      </w:r>
    </w:p>
    <w:p>
      <w:pPr>
        <w:spacing w:after="0" w:line="25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Ontario</w:t>
      </w:r>
      <w:r>
        <w:rPr>
          <w:rFonts w:ascii="Arial" w:cs="Arial" w:eastAsia="Arial" w:hAnsi="Arial"/>
          <w:sz w:val="17"/>
          <w:szCs w:val="17"/>
          <w:color w:val="auto"/>
        </w:rPr>
        <w:t>. In February 2015, the Ontario Ministry of Environment and Climate Change issued a discussion paper that identified carbon pricing as a</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action necessary to reduce emissions of GHGs. In April 2015, the Ontario government announced it would be implementing a GHG cap and trade program, which would be implemented through the Western Climate Initiative (“WCI”), which included Quebec and California. Mandatory participants for the program were responsible for their emissions starting January 1, 2017. PMC’s facility at Sarnia was considered a mandatory participant in the program. In June 2018, the newly formed Ontario Provincial government repealed the provincial GHG cap and trade program with the passing of the Cap and Trade Cancellation Act. The lack of a provincial GHG program now subjects the province to the federal carbon pricing backstop program (OBPS) for large emitting facilities. According to the legislation, PMC’s facility at Sarnia is a mandatory participant under the OBPS. Compliance with the federal OBPS is not expected to have a material adverse effect on our operations.</w:t>
      </w:r>
    </w:p>
    <w:p>
      <w:pPr>
        <w:spacing w:after="0" w:line="206"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In July 2019, the Ontario government implemented the Emissions Performance Standards (“EPS”) regulation as an initial step to establishing a successor program to the repealed GHG cap and trade program. This program, when fully implemented would serve as a replacement for the federal OBPS. Efforts to comply with EPS requirements are not material at this time.</w:t>
      </w:r>
    </w:p>
    <w:p>
      <w:pPr>
        <w:spacing w:after="0" w:line="209"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In 2018, the Ontario government introduced an updated Sulphur Dioxide (“SO</w:t>
      </w:r>
      <w:r>
        <w:rPr>
          <w:rFonts w:ascii="Arial" w:cs="Arial" w:eastAsia="Arial" w:hAnsi="Arial"/>
          <w:sz w:val="11"/>
          <w:szCs w:val="11"/>
          <w:color w:val="auto"/>
        </w:rPr>
        <w:t>2</w:t>
      </w:r>
      <w:r>
        <w:rPr>
          <w:rFonts w:ascii="Arial" w:cs="Arial" w:eastAsia="Arial" w:hAnsi="Arial"/>
          <w:sz w:val="18"/>
          <w:szCs w:val="18"/>
          <w:color w:val="auto"/>
        </w:rPr>
        <w:t>”) standard which requires the reduction of SO2 from the current one hour average emission rate of 690 micrograms per cubic meter of air (“µg/m3”) to the new one hour standard of 100 µg/m3 by 2023 at industrial facilities. The introduction of this reduction measure requires evaluation of current emissions and may require equipment upgrades at our Sarnia facility. The evaluation process has not been concluded and the impact of the standard is still under review.</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648"/>
        <w:spacing w:after="0" w:line="270" w:lineRule="auto"/>
        <w:rPr>
          <w:sz w:val="20"/>
          <w:szCs w:val="20"/>
          <w:color w:val="auto"/>
        </w:rPr>
      </w:pPr>
      <w:r>
        <w:rPr>
          <w:rFonts w:ascii="Arial" w:cs="Arial" w:eastAsia="Arial" w:hAnsi="Arial"/>
          <w:sz w:val="16"/>
          <w:szCs w:val="16"/>
          <w:i w:val="1"/>
          <w:iCs w:val="1"/>
          <w:color w:val="auto"/>
        </w:rPr>
        <w:t xml:space="preserve">Alberta. </w:t>
      </w:r>
      <w:r>
        <w:rPr>
          <w:rFonts w:ascii="Arial" w:cs="Arial" w:eastAsia="Arial" w:hAnsi="Arial"/>
          <w:sz w:val="16"/>
          <w:szCs w:val="16"/>
          <w:color w:val="auto"/>
        </w:rPr>
        <w:t>The Alberta Climate Change and Emissions Management Act provided a framework for managing GHG emissions with the intent of</w:t>
      </w:r>
      <w:r>
        <w:rPr>
          <w:rFonts w:ascii="Arial" w:cs="Arial" w:eastAsia="Arial" w:hAnsi="Arial"/>
          <w:sz w:val="16"/>
          <w:szCs w:val="16"/>
          <w:i w:val="1"/>
          <w:iCs w:val="1"/>
          <w:color w:val="auto"/>
        </w:rPr>
        <w:t xml:space="preserve"> </w:t>
      </w:r>
      <w:r>
        <w:rPr>
          <w:rFonts w:ascii="Arial" w:cs="Arial" w:eastAsia="Arial" w:hAnsi="Arial"/>
          <w:sz w:val="16"/>
          <w:szCs w:val="16"/>
          <w:color w:val="auto"/>
        </w:rPr>
        <w:t>reducing specified gas emissions to 50% of 1990 levels by December 31, 2020. The Specified Gas Emitters Regulation (“SGER”) was the initial program introduced which imposed GHG emissions limits on large emitters and required reductions in GHG emissions intensity. In January 2018, the SGER was replaced with the Carbon Competitive Incentive Regulation (“CCIR”) for compliance years 2018 and 2019. In January 2020, the Emissions Management and Climate Resilience Act replaces the Climate Change and Emissions Management Act and the CCIR will be replaced with the Technology Innovation and Emissions Reduction (“TIER”) regulation. Compliance options under the TIER are similar to those under the previous SGER and CCIR programs such that a</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GHG fund credit purchase will be required if reduction targets identified under the program are not attained. PMC’s Empress VI facility is a mandatory participant under the TIER. For economic reasons, Ft. Saskatchewan and six other PMC facilities have opted in to be a part of the TIER program for 2020. By opting in, the fuel consumption at these asset locations avoid being subject to the federal fuel charge.</w:t>
      </w:r>
    </w:p>
    <w:p>
      <w:pPr>
        <w:spacing w:after="0" w:line="204"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Alberta repealed the provincial “Climate Leadership Act” in May 2019 and removed its provincial carbon pricing program. The province is now subject to the federal carbon pricing program effective January 1, 2020. Assets within the TIER program are exempt from the federal carbon pricing program but other fuel consumption as part of operations is subject to the federal levies. The federal fuel charge cost increase has been captured as part of the annual budgeting cycle.</w:t>
      </w:r>
    </w:p>
    <w:p>
      <w:pPr>
        <w:spacing w:after="0" w:line="215" w:lineRule="exact"/>
        <w:rPr>
          <w:sz w:val="20"/>
          <w:szCs w:val="20"/>
          <w:color w:val="auto"/>
        </w:rPr>
      </w:pPr>
    </w:p>
    <w:p>
      <w:pPr>
        <w:jc w:val="both"/>
        <w:ind w:right="340" w:firstLine="648"/>
        <w:spacing w:after="0" w:line="248" w:lineRule="auto"/>
        <w:rPr>
          <w:sz w:val="20"/>
          <w:szCs w:val="20"/>
          <w:color w:val="auto"/>
        </w:rPr>
      </w:pPr>
      <w:r>
        <w:rPr>
          <w:rFonts w:ascii="Arial" w:cs="Arial" w:eastAsia="Arial" w:hAnsi="Arial"/>
          <w:sz w:val="18"/>
          <w:szCs w:val="18"/>
          <w:color w:val="auto"/>
        </w:rPr>
        <w:t>In association with the federal methane reduction targets, the Alberta Energy Regulator amended Directive 60 to outline reduction requirements. New reporting measures and requirements for fugitive emission surveys came into force in January 2020. Cost for reporting and completing surveys have been captured within the 2020 and beyond annual operational budgets.</w:t>
      </w:r>
    </w:p>
    <w:p>
      <w:pPr>
        <w:spacing w:after="0" w:line="209"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i w:val="1"/>
          <w:iCs w:val="1"/>
          <w:color w:val="auto"/>
        </w:rPr>
        <w:t>Other Canadian Jurisdictions</w:t>
      </w:r>
      <w:r>
        <w:rPr>
          <w:rFonts w:ascii="Arial" w:cs="Arial" w:eastAsia="Arial" w:hAnsi="Arial"/>
          <w:sz w:val="18"/>
          <w:szCs w:val="18"/>
          <w:color w:val="auto"/>
        </w:rPr>
        <w:t>. Nova Scotia and Quebec Cap and Trade programs cover propane supplied by PMC into the Nova Scotia and Quebec</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PMC is required to purchase GHG emission credits and submit annual compliance reports under each province’s respective Cap and Trade program. Program compliance costs will be passed along to the purchaser. Effective April 1, 2019, the federal carbon pricing program came into effect for provinces that do not have a carbon pricing program in place. This includes Saskatchewan, Manitoba, Ontario and New Brunswick. Program compliance costs will be passed along to the purchaser.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52"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U.S.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State and Canadian federal and provincial laws also impose requirements relating to the prevention of oil releases and the remediation of areas.</w:t>
      </w:r>
    </w:p>
    <w:p>
      <w:pPr>
        <w:spacing w:after="0" w:line="214"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 addition, for over 35 years, the U.S. Army Corps of Engineers (the “Corps”) has authorized construction, maintenance and repair of pipelines under a streamlined nationwide permit program under the CWA known as Nationwide Permit 12 (“NWP”). The NWP program is supported by strong statutory and regulatory history and was originally approved by Congress in 1977. From time to time, environmental groups have challenged the NWP program; however, to date, federal courts have upheld the validity of NWP program under the CWA. We cannot predict whether future lawsuits will be filed to contest the validity of NWP; however, in the event that a court wholly or partially strikes down the NWP program, which we believe to be unlikely, we could face significant delays and financial costs when seeking project approvals from the Corps.</w:t>
      </w:r>
    </w:p>
    <w:p>
      <w:pPr>
        <w:spacing w:after="0" w:line="20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May 2015, the EPA published a final rule that attempted to clarify federal jurisdiction under the CWA over waters of the United States (“WOTUS”). This clarification greatly expanded the definition of WOTUS, thus increasing the jurisdiction of the Corps. Following the issuance of a presidential executive order to review the rule in January 2017, the EPA and the Corps proposed a rulemaking in June 2017 to repeal the May 2015 rule. The EPA and Corps also announced their intent to issue a new rule defining the CWA’s jurisdiction and finalized a stay delaying implementation of the rule for two years. Several states and environmental organizations announced their intent to challenge the stay and any attempt by the EPA and the Corps to rescind or revise the rule. On December 11, 2018, the EPA and the Corps released the pre-publication version of the Proposed 2018 Rule concerning the redefinition of WOTUS. The proposal narrowed the definition of the federal waters covered</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under the CWA’s key permitting programs such as Section 404 dredge and fill permits, Section 402 discharge permits, and Section 311 oil spill prevention plans. The Proposed Rule worked towards the administration’s larger goal of re-balancing the relationship between the federal government, tribal governments, and states by drawing boundaries between those waters subject to federal CWA requirements and those waters that states and tribal governments have flexibility to manage under their respective authorities. As written in the Proposed Rule, fewer waters would be federally regulated relative to the May 2015 rule, which would lessen CWA permitting burdens for oil and gas operations as well as reduce mitigation requirements.</w:t>
      </w:r>
    </w:p>
    <w:p>
      <w:pPr>
        <w:spacing w:after="0" w:line="18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January 23, 2020, the EPA and the Corps announced a pre-publication version of the 2020 Final Rule concerning the redefinition of WOTUS. The 2020 Final Rule provides the outer bounds of the federal waters covered under the CWA’s key permitting programs such as Section 404 dredge and fill permits, Section 402 discharge permits and Section 311 oil spill prevention plans. The Final Rule will take effect 60 days after being published in the Federal Register. In general, the 2020 Final Rule will result in fewer federally regulated waters under the CWA offering a streamlined list of only four clear categories of jurisdictional waters and 12 exclusions. A decrease in mitigation requirements is expected, with traditional wetland states (e.g., Louisiana) and states in the arid west (e.g., Texas) expected to be among the most affected by the new rule.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252"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New projects may require approvals and environmental analysis under federal, state and provincial laws, including the National Environmental Policy Act and the Endangered Species Act in the United States and the Species at Risk Act in Canada. The resulting costs and liabilities associated with lengthy regulatory review and approval requirements could materially and negatively affect the viability of such projects.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Regulation</w:t>
      </w:r>
    </w:p>
    <w:p>
      <w:pPr>
        <w:spacing w:after="0" w:line="252"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5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General Interstate Regulation in the United States. </w:t>
      </w:r>
      <w:r>
        <w:rPr>
          <w:rFonts w:ascii="Arial" w:cs="Arial" w:eastAsia="Arial" w:hAnsi="Arial"/>
          <w:sz w:val="18"/>
          <w:szCs w:val="18"/>
          <w:color w:val="auto"/>
        </w:rPr>
        <w:t>Our interstate common carrier liquids pipeline operations are subject to rate regulation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FERC under the Interstate Commerce Act (“ICA”). The ICA requires that tariff rates for liquids pipelines, which include both crude oil pipelines and refined products pipelines, be just and reasonable and non-discriminatory.</w:t>
      </w:r>
    </w:p>
    <w:p>
      <w:pPr>
        <w:spacing w:after="0" w:line="20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State Regulation in the United States. </w:t>
      </w:r>
      <w:r>
        <w:rPr>
          <w:rFonts w:ascii="Arial" w:cs="Arial" w:eastAsia="Arial" w:hAnsi="Arial"/>
          <w:sz w:val="18"/>
          <w:szCs w:val="18"/>
          <w:color w:val="auto"/>
        </w:rPr>
        <w:t>Our intrastate liquids pipeline transportation activities are subject to various state laws and regulations,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orders of state regulatory bodies, including the Railroad Commission of Texas (“TRRC”) and the California Public Utility Commission (“CPUC”). The CPUC prohibits certain of our subsidiaries from acting as guarantors of our senior notes and credit facilities.</w:t>
      </w:r>
    </w:p>
    <w:p>
      <w:pPr>
        <w:spacing w:after="0" w:line="20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i w:val="1"/>
          <w:iCs w:val="1"/>
          <w:color w:val="auto"/>
        </w:rPr>
        <w:t xml:space="preserve">U.S. Energy Policy Act of 1992 and Subsequent Developments. </w:t>
      </w:r>
      <w:r>
        <w:rPr>
          <w:rFonts w:ascii="Arial" w:cs="Arial" w:eastAsia="Arial" w:hAnsi="Arial"/>
          <w:sz w:val="16"/>
          <w:szCs w:val="16"/>
          <w:color w:val="auto"/>
        </w:rPr>
        <w:t>In October 1992, Congress passed the Energy Policy Act of 1992 (“EPAct”), which,</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Effective July 1, 2016, the annual index adjustment for the five year period ending June 30, 2021 will equal the producer price index for finished goods for the applicable year plus an adjustment factor of 1.23%. Pipelines may raise their rates to the rate ceiling level generated by application of the annual index adjustment factor each year; however, a shipper may challenge such increase if the increase in the pipeline’s rates is substantially in excess of the actual cost increases incurred by the pipeline during the relevant year. If the FERC’s annual index adjustment reduces the ceiling level such that it is lower than a pipeline’s filed rate, the pipeline must reduce its rate to conform with the lower ceiling. Indexing is the default methodology to change rates. The FERC, however, retained cost-of-service ratemaking, market-based rates and settlement rates as alternatives to the indexing approach that may be used in certain specified circumstances. Because the indexing methodology for the next five-year period is tied in part to an inflation index and is not based on our specific costs, the indexing methodology could hamper our ability to recover cost increases.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rate or rules as unduly discriminatory or preferential.</w:t>
      </w:r>
    </w:p>
    <w:p>
      <w:pPr>
        <w:spacing w:after="0" w:line="20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Pipeline Rate Regulation in the United States</w:t>
      </w:r>
      <w:r>
        <w:rPr>
          <w:rFonts w:ascii="Arial" w:cs="Arial" w:eastAsia="Arial" w:hAnsi="Arial"/>
          <w:sz w:val="16"/>
          <w:szCs w:val="16"/>
          <w:color w:val="auto"/>
        </w:rPr>
        <w:t>. The FERC historically has not investigated rates of liquids pipelines on its own initiative when those</w:t>
      </w:r>
      <w:r>
        <w:rPr>
          <w:rFonts w:ascii="Arial" w:cs="Arial" w:eastAsia="Arial" w:hAnsi="Arial"/>
          <w:sz w:val="16"/>
          <w:szCs w:val="16"/>
          <w:i w:val="1"/>
          <w:iCs w:val="1"/>
          <w:color w:val="auto"/>
        </w:rPr>
        <w:t xml:space="preserve"> </w:t>
      </w:r>
      <w:r>
        <w:rPr>
          <w:rFonts w:ascii="Arial" w:cs="Arial" w:eastAsia="Arial" w:hAnsi="Arial"/>
          <w:sz w:val="16"/>
          <w:szCs w:val="16"/>
          <w:color w:val="auto"/>
        </w:rPr>
        <w:t>rates have not been the subject of a protest or complaint by a shipper. The majority of our Transportation segment profit in the United States is produced by rates that are either grandfathered or set by agreement with one or more shippers. FERC issued an Advance Notice of Proposed Rulemaking on October 20, 2016 that addressed issues related to FERC’s indexing methodology and liquids pipeline reporting practices. If implemented, the proposals in this rulemaking could affect the profitability of certain liquids pipelines. On December 15, 2016, FERC issued a Notice of Inquiry regarding certain matters related to FERC’s income tax allowance policy. In 2018, FERC issued a revised policy statement (subsequently modified in a final rule issued in July 2018) in which it held that it will no longer permit an income tax allowance to be included in cost-of-service rates for interstate pipelines structured as master limited partnerships. The FERC also indicated that it will incorporate the effects of the revised policy statement in its next review of the oil pipeline index level, which will take effect in July 2021. See Item 1A. “Risk Factors—Risks Related to Our Business—Our assets are subject to federal, state and provincial regulation. Rate regulation or a successful challenge to the rates we charge on our U.S. and Canadian pipeline systems may reduce the amount of cash we generate.” for additional discussion on how our rates could be impacted by this policy change.</w:t>
      </w:r>
    </w:p>
    <w:p>
      <w:pPr>
        <w:spacing w:after="0" w:line="200"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i w:val="1"/>
          <w:iCs w:val="1"/>
          <w:color w:val="auto"/>
        </w:rPr>
        <w:t xml:space="preserve">Canadian Regulation. </w:t>
      </w:r>
      <w:r>
        <w:rPr>
          <w:rFonts w:ascii="Arial" w:cs="Arial" w:eastAsia="Arial" w:hAnsi="Arial"/>
          <w:sz w:val="16"/>
          <w:szCs w:val="16"/>
          <w:color w:val="auto"/>
        </w:rPr>
        <w:t>Our Canadian pipeline assets are subject to regulation by the CER and by provincial authorities. With respect to a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Trucking Regulation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Canadian trucking operations.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Regulation</w:t>
      </w:r>
    </w:p>
    <w:p>
      <w:pPr>
        <w:spacing w:after="0" w:line="25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own and operate a number of railcar loading and unloading facilities in the United States and Canada. In connection with these rail terminals, we own and lease a significant number of railcars. Our railcar operations are subject to the regulatory jurisdiction of the Federal Railroad Administration of the DOT, the OSHA, as well as other federal and state regulatory agencies and Canadian regulatory agencies for operations in Canada.</w:t>
      </w:r>
    </w:p>
    <w:p>
      <w:pPr>
        <w:spacing w:after="0" w:line="17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Railcar accidents involving trains carrying crude oil from North Dakota’s Bakken shale formation have led to increased regulatory scrutiny.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In December 2015, Congress passed the Fixing America’s Surface Transportation (“FAST”) Act which was subsequently signed by the President. This legislation clarified the parameters around the timeline and requirements for railcars hauling crude oil in the United States. We believe our railcar fleet is in compliance in all material respects with current standards for crude oil moved by rail.</w:t>
      </w:r>
    </w:p>
    <w:p>
      <w:pPr>
        <w:spacing w:after="0" w:line="21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December 2014, the North Dakota Industrial Commission adopted new standards to improve the safety of Bakken crude oil for transport. The new standard, Commission Order 25417, was effective April 1, 2015, and requires operators/producers to condition Bakken crude oil to certain vapor pressure limits. Under the order, all Bakken crude oil produced in North Dakota will be conditioned with no exceptions. The order requires operators/producers to separate light hydrocarbons from all Bakken crude oil to be transported and prohibits the blending of light hydrocarbons back into oil supplies prior to shipment. We are not directly responsible for the conditioning or stabilization of Bakken crude oil; however, under the order, it is our responsibility to notify the State of North Dakota upon discovering that Bakken crude oil received at our rail facility exceeds the permitted vapor pressure limits.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Border Regulation</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As a result of our cross border activities, including transportation and importation of crude oil, NGL and natural gas between the United States and Canada, we are subject to a variety of legal requirements pertaining to such activities including presidential permit requirements, export/import license requirements, tariffs, Canadian and U.S. customs and taxes and requirements relating to toxic substances. U.S. legal requirements relating to these activities include regulations adopted pursuant to the Short Supply Controls of the Export Administration Act (“EAA”), the North American Free Trade Agreement (“NAFTA”) and the Toxic Substances Control Act (“TSCA”), as well as presidential permit requirements of the U.S. Department of State. In addition, the importation and exportation of natural gas from and to the United States and Canada is subject to regulation by U.S. Customs and Border Protection, U.S. Department of Energy and the CER.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Anti-Manipulation Regulation</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approximately $1.2 million per violation per day (adjusted annually for inflation).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approximately $1.1 million (adjusted annually for inflation) or triple the monetary gain to the person for each violation.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Regulation</w:t>
      </w:r>
    </w:p>
    <w:p>
      <w:pPr>
        <w:spacing w:after="0" w:line="252"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Our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is a summary of the kinds of regulation that may impact our natural gas storage operations. However, our unitholders should not rely on such discussion as an exhaustive review of all regulatory considerations affecting our natural gas storage operations.</w:t>
      </w:r>
    </w:p>
    <w:p>
      <w:pPr>
        <w:spacing w:after="0" w:line="19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natural gas tariffs on file with the FERC. We have been granted market-based rate authorization for the services that our facilities provide. Market-based rate authority allows us to negotiate rates with individual customers based on market demand.</w:t>
      </w:r>
    </w:p>
    <w:p>
      <w:pPr>
        <w:spacing w:after="0" w:line="20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FERC also has authority over the siting, construction, and operation of United States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to ensure market transparency. FERC regulations require that buyers and sellers of more than a de minimis volume of natural gas report annual numbers and volumes of relevant transactions to the FERC. Our natural gas storage facilities are subject to these annual reporting requirements.</w:t>
      </w:r>
    </w:p>
    <w:p>
      <w:pPr>
        <w:spacing w:after="0" w:line="20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approximately $1.2 million per day for each violation (adjusted annually for inflation). FERC also has the authority to order disgorgement of profits from transactions deemed to violate the NGA and the EPAct 2005.</w:t>
      </w:r>
    </w:p>
    <w:p>
      <w:pPr>
        <w:spacing w:after="0" w:line="22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January 2020, PHMSA finalized a rule regarding the safety of underground natural gas storage facilities, which was published in the Federal Register on February 12, 2020. This rule maintains several elements from the earlier interim rule, incorporating API Recommended Practices 1170 and 1171 in PHMSA regulations; revises the definition of underground natural gas storage facility; and clarifies certain reporting and notification criteria. We do not anticipate that compliance with the final rule will have a significant adverse effect on our operations.</w:t>
      </w:r>
    </w:p>
    <w:p>
      <w:pPr>
        <w:spacing w:after="0" w:line="198"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 effect they could have on our business, financial condition, and results of operations or ability to make distributions to our unitholders.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Hazards and Insurance</w:t>
      </w:r>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22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Since the terrorist attacks of September 11, 2001,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or the Transportation Safety Administration guidance. We will institute, as appropriate, additional security measures or procedures indicated by the DOT or the Transportation Safety Administration. However, there can be no assurance that these or any other security measures would protect our facilities from an attack. Any future terrorist attacks on our facilities, those of our customers and, in some cases, those of our competitors, could have a material adverse effect on our business, whether insured or not.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Our real property holdings generally consist of: (i) parcels of land that we own in fee, (ii) surface leases and underground storage leases and</w:t>
      </w:r>
    </w:p>
    <w:p>
      <w:pPr>
        <w:spacing w:after="0" w:line="23" w:lineRule="exact"/>
        <w:rPr>
          <w:sz w:val="20"/>
          <w:szCs w:val="20"/>
          <w:color w:val="auto"/>
        </w:rPr>
      </w:pPr>
    </w:p>
    <w:p>
      <w:pPr>
        <w:ind w:right="60" w:firstLine="8"/>
        <w:spacing w:after="0" w:line="270" w:lineRule="auto"/>
        <w:tabs>
          <w:tab w:leader="none" w:pos="3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customary liens, restrictions or encumbrances. Except for challenges that we do not regard as material relative to our overall operations, we believe that we have satisfactory rights pursuant to all of our material leases, easements, rights-of-way, permits and licenses. Some of our real property rights (mainly for pipelines) may be subject to termination under agreements that provide for one or more of: periodic payments, term periods, renewal rights, abandonment of use, revocation by the licensor or grantor and possible relocation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5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GP LLC employs our domestic officers and personnel; our Canadian officers and personnel are employed by our subsidiary, PMCULC. To carry out our operations, our general partner or its affiliates (including PMCULC) employed approximately 5,000 employees at December 31, 2019. Of these employees, 175 are covered by five separate collective agreements, three of which are currently being negotiated, and the remaining two are open for renegotiation in 2023 and 2024. Our general partner and its affiliates consider employee relations to be good.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pacing w:after="0" w:line="25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The following is a brief summary of certain material tax considerations of owning and disposing of common units, however, the tax consequences of ownership of common units are complex and depend in part on the owner’s individual tax circumstances. This summary is based on the provisions of the Internal Revenue Code of 1986, as amended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 This summary does not address all aspects of U.S. federal income taxation or the tax considerations arising under the laws of any non-U.S., state, or local jurisdiction, or under U.S. federal estate and gift tax laws. It is the responsibility of each unitholder, either individually or through a tax advisor, to investigate the legal and tax consequences, under the laws of pertinent U.S. federal, states and localities of the unitholder’s investment in us. Further, it is the responsibility of each unitholder to file all U.S. federal, state and local tax returns that may be required of the unitholder. Also see Item 1A. “Risk Factors—Tax Risks to Common Unitholders.”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 Cash Distributions</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treated for U.S. federal income tax purposes as a partnership based upon our meeting the “Qualifying Income Exception” imposed by Section 7704 of the Code, which we must meet each year. The owners of our common units are considered partners in the Partnership so long as they do not loan their common units to others to cover short sales or otherwise dispose of those units. Accordingly, subject to the Bipartisan Budget Act audit rules, we generally are not liable for U.S. federal income taxes, and a common unitholder is required to report on the unitholder’s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including with respect to intercompany interest payments and dividend payments. Unitholders may be eligible for foreign tax credits with respect to allocable Canadian withholding and income taxes paid.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Allocations</w:t>
      </w:r>
    </w:p>
    <w:p>
      <w:pPr>
        <w:spacing w:after="0" w:line="25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A unitholder who disposes of common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Common Units</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the amount of all distributions made to the unitholder (including deemed distributions due to a decrease in the unitholder’s share of our nonrecourse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Partnership Losses</w:t>
      </w:r>
    </w:p>
    <w:p>
      <w:pPr>
        <w:spacing w:after="0" w:line="25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spacing w:after="0" w:line="22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to the basis and at-risk limitations described above,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income from other passive activities or investments, including investments in other publicly traded partnerships or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219"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For taxpayers other than corporations in taxable years beginning after December 31, 2017, and before January 1, 2026,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in each case, increased by the applicable inflation adjustment.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and in the case of taxable years beginning before January 1, 2022, any deduction allowable for depreciation, amortization, or depletion.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22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common units, this excess business interest may be carried forward and deducted by a unitholder in a future taxable year. Further, a unitholder’s basis in his or her common units will generally be increased by the amount of any excess business interest upon a disposition of such common units.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52"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25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 unitholder who sells common units will recognize gain or loss equal to the difference between the amount realized and the adjusted tax basis of those common units (taking into account any basis adjustments attributable to previously disallowed interest deductions).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to federal income taxes, unitholders will likely be subject to other taxes, including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even if they do not live in those jurisdictions. As our entire Canadian source income passes through Canadian taxable entities, our unitholders do not have a separate Canadian tax filing obligation as it relates to this income. Unitholders who are not resident in the United States may have additional tax reporting and payment requirements.</w:t>
      </w:r>
    </w:p>
    <w:p>
      <w:pPr>
        <w:spacing w:after="0" w:line="20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Common Units by Tax-Exempt Organizations and Certain Other Investors</w:t>
      </w:r>
    </w:p>
    <w:p>
      <w:pPr>
        <w:spacing w:after="0" w:line="25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federal income tax returns and to pay tax on the unitholder’s share of our taxable income and on gain realized from the sale or disposition of common units to the extent the gain is effectively connected with a U.S. trade or business of the non-U.S. unitholder.</w:t>
      </w:r>
    </w:p>
    <w:p>
      <w:pPr>
        <w:spacing w:after="0" w:line="20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Moreover, the transferee of an interest in a partnership that is engaged in a U.S. trade or business is generally required to withhold 10% of the amount realized by the transferor unless the transferor certifies that it is not a foreign person, and we are required to deduct and withhold from the transferee amounts that should have been withheld by the transferees but were not withheld. Because the “amount realized” includes a partner’s share of the partnership’s liabilities, 10% of the amount realized could exceed the total cash purchase price for the common units. However, pending the issuance of final regulations, the IRS has suspended the application of this withholding rule to transfers of publicly traded interests in publicly traded partnerships. If recently promulgated regulations are finalized as proposed, such regulations would provide, with respect to transfers of publicly traded interests in publicly traded partnerships effected through a broker, that the obligation to withhold is imposed on the transferor’s broker and that a partner “amount realized” does not include a partner’s share of a publicly traded partnership’s liabilities for purposes of determining the amount subject to withholding. However, it is not clear when such regulations will be finalized and if they will be finalized in their current form.</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Procedures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 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We make available, free of charge on our Internet website at </w:t>
      </w:r>
      <w:r>
        <w:rPr>
          <w:rFonts w:ascii="Arial" w:cs="Arial" w:eastAsia="Arial" w:hAnsi="Arial"/>
          <w:sz w:val="17"/>
          <w:szCs w:val="17"/>
          <w:i w:val="1"/>
          <w:iCs w:val="1"/>
          <w:color w:val="auto"/>
        </w:rPr>
        <w:t>http://www.plainsallamerican.com</w:t>
      </w:r>
      <w:r>
        <w:rPr>
          <w:rFonts w:ascii="Arial" w:cs="Arial" w:eastAsia="Arial" w:hAnsi="Arial"/>
          <w:sz w:val="17"/>
          <w:szCs w:val="17"/>
          <w:color w:val="auto"/>
        </w:rPr>
        <w:t xml:space="preserve">, our annual report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Arial" w:cs="Arial" w:eastAsia="Arial" w:hAnsi="Arial"/>
          <w:sz w:val="17"/>
          <w:szCs w:val="17"/>
          <w:i w:val="1"/>
          <w:iCs w:val="1"/>
          <w:color w:val="auto"/>
        </w:rPr>
        <w:t>http://www.sec.gov</w:t>
      </w:r>
      <w:r>
        <w:rPr>
          <w:rFonts w:ascii="Arial" w:cs="Arial" w:eastAsia="Arial" w:hAnsi="Arial"/>
          <w:sz w:val="17"/>
          <w:szCs w:val="17"/>
          <w:color w:val="auto"/>
        </w:rPr>
        <w:t>. Our website includes a significant amount of information about us, including financial and other information that could be deemed material to investors. Investors and others are encouraged to review such information. The information posted on our website is not incorporated by reference into this Annual Report on Form 10-K or any of our other filings with the SEC.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Our profitability depends on the volume of crude oil, natural gas and NGL shipped, processed, purchased, stored, fractionated and/or gathered at or through the use of our facilities, which can be negatively impacted by a variety of factors outside of our control.</w:t>
      </w:r>
    </w:p>
    <w:p>
      <w:pPr>
        <w:spacing w:after="0" w:line="174"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Our profitability could be materially impacted by a decline in the volume of crude oil, natural gas and NGL transported, gathered, stored or processed at or through our facilities. A material decrease in crude oil or natural gas production or crude oil refining, as a result of depressed commodity prices, natural decline rates attributable to crude oil and natural gas reservoirs, a decrease in exploration and development activities, supply disruptions, economic conditions, reduced demand, governmental or regulatory action or otherwise, could result in a decline in the volume of crude oil, natural gas or NGL handled by our facilities.</w:t>
      </w:r>
    </w:p>
    <w:p>
      <w:pPr>
        <w:spacing w:after="0" w:line="21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Drilling activity, crude oil production and benchmark crude oil prices can fluctuate significantly over time. If producers reduce drilling activity in response to future declines in benchmark crude oil prices, reduced capital market access, increased capital raising costs for producers or adverse governmental or regulatory action, it could adversely impact production. In turn, such developments could lead to reduced throughput on our pipelines and at our other facilities, which, depending on the level of production declines, could have a material adverse effect on our business.</w:t>
      </w:r>
    </w:p>
    <w:p>
      <w:pPr>
        <w:spacing w:after="0" w:line="19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Also, except with respect to some of our recently constructed pipeline assets, third-party shippers generally do not have long-term contractual commitments to ship crude oil on our pipelines. A decision by a shipper to substantially reduce or cease to ship volumes of crude oil on our pipelines could cause a significant decline in our revenues.</w:t>
      </w:r>
    </w:p>
    <w:p>
      <w:pPr>
        <w:spacing w:after="0" w:line="208"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To maintain the volumes of crude oil we purchase in connection with our operations, we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impair our ability to secure additional supplies of crude oil.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profitability can be negatively affected by a variety of factors stemming from competition in our industry, including risks associated with the general capacity overbuild of midstream energy infrastructure in some of the areas where we operate.</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face competition in all aspects of our business and can give no assurances that we will be able to compete effectively against our competitors. In general, competition comes from a wide variety of participants in a wide variety of contexts, including new entrants and existing participants and in connection with day-to-day business, expansion capital projects, acquisitions and joint venture activities. Some of our competitors have capital resources many times greater than ours or control greater supplies of crude oil, natural gas or NGL.</w:t>
      </w:r>
    </w:p>
    <w:p>
      <w:pPr>
        <w:spacing w:after="0" w:line="214" w:lineRule="exact"/>
        <w:rPr>
          <w:sz w:val="20"/>
          <w:szCs w:val="20"/>
          <w:color w:val="auto"/>
        </w:rPr>
      </w:pPr>
    </w:p>
    <w:p>
      <w:pPr>
        <w:ind w:right="880" w:firstLine="648"/>
        <w:spacing w:after="0" w:line="291" w:lineRule="auto"/>
        <w:rPr>
          <w:sz w:val="20"/>
          <w:szCs w:val="20"/>
          <w:color w:val="auto"/>
        </w:rPr>
      </w:pPr>
      <w:r>
        <w:rPr>
          <w:rFonts w:ascii="Arial" w:cs="Arial" w:eastAsia="Arial" w:hAnsi="Arial"/>
          <w:sz w:val="16"/>
          <w:szCs w:val="16"/>
          <w:color w:val="auto"/>
        </w:rPr>
        <w:t>A significant driver of competition in some of the markets where we operate (including, for example, the Eagle Ford, Permian Basin, and Rockies/Bakken areas) stems from the rapid development of new midstream energy infrastructure capacity that was driven by the combination of</w:t>
      </w:r>
    </w:p>
    <w:p>
      <w:pPr>
        <w:ind w:right="80" w:firstLine="8"/>
        <w:spacing w:after="0" w:line="267" w:lineRule="auto"/>
        <w:tabs>
          <w:tab w:leader="none" w:pos="2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us, many of these areas have become, or in the future may become, overbuilt, resulting in an excess of midstream energy infrastructure capacity. For example, several new pipeline projects have been placed in service or are currently under construction, and such projects have resulted in, and may contribute to future, excess takeaway capacity in certain areas where we operate. In addition, as an established participant in some markets, we also face competition from aggressive new entrants to the market who are willing to provide services at a lower rate of return in order to establish relationships and gain a foothold in the market. In addition, our Supply and Logistics segment is a customer of our Transportation and Facilities segments (See Note 21 to our Consolidated Financial Statements for a discussion of our operating segments). Competition that impacts our Supply and Logistics activities could result in a reduction in the use of our Transportation and Facilities assets by our Supply and Logistics segment. All of these competitive effects put downward pressure on our throughput and margins and, together with other adverse competitive effects, could have a significant adverse impact on our financial position, cash flows and ability to pay or increase distributions to our unitholders.</w:t>
      </w:r>
    </w:p>
    <w:p>
      <w:pPr>
        <w:spacing w:after="0" w:line="214"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With respect to our crude oil activities, our competitors include other crude oil pipelines, the major integrated oil companies, their marketing affiliates, refiners, private equity-backed entities, and independent gatherers, brokers and marketers of widely varying sizes, financial resources and experience. We compete against these companies on the basis of many factors, including geographic proximity to production areas, market access, rates, terms of service, connection costs and other factors.</w:t>
      </w:r>
    </w:p>
    <w:p>
      <w:pPr>
        <w:spacing w:after="0" w:line="214" w:lineRule="exact"/>
        <w:rPr>
          <w:sz w:val="20"/>
          <w:szCs w:val="20"/>
          <w:color w:val="auto"/>
        </w:rPr>
      </w:pPr>
    </w:p>
    <w:p>
      <w:pPr>
        <w:ind w:right="100" w:firstLine="608"/>
        <w:spacing w:after="0" w:line="286" w:lineRule="auto"/>
        <w:rPr>
          <w:sz w:val="20"/>
          <w:szCs w:val="20"/>
          <w:color w:val="auto"/>
        </w:rPr>
      </w:pPr>
      <w:r>
        <w:rPr>
          <w:rFonts w:ascii="Arial" w:cs="Arial" w:eastAsia="Arial" w:hAnsi="Arial"/>
          <w:sz w:val="17"/>
          <w:szCs w:val="17"/>
          <w:color w:val="auto"/>
        </w:rPr>
        <w:t>With respect to our natural gas storage operations, the principal elements of competition are rates, terms of service, supply and market access and flexibility of service. Our natural gas storage facilities compete with several other storage providers, including regional storage facilities and utilities. Certain pipeline companies have existing storage facilities connected to their systems that compete with some of our facilities.</w:t>
      </w:r>
    </w:p>
    <w:p>
      <w:pPr>
        <w:spacing w:after="0" w:line="19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With regard to our NGL operations, we compete with large oil, natural gas and natural gas liquids companies that may, relative to us,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supply and demand, which can be caused by a variety of factors outside of our control, can negatively affect our operating results.</w:t>
      </w:r>
    </w:p>
    <w:p>
      <w:pPr>
        <w:spacing w:after="0" w:line="27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Supply and demand for crude oil and other hydrocarbon products we handle is dependent upon a variety of factors, including price, current and future economic conditions, fuel conservation measures, alternative fuel adoption, governmental regulation, including climate change regulations, and technological advances in fuel economy and energy generation devices. For example, the adoption of legislation or regulatory programs to reduce emissions of greenhouse gases could increase the cost of consuming crude oil and other hydrocarbon products, thereby causing a reduction in the demand for such products. Given that crude oil and petroleum products are global commodities, demand can also be significantly influenced by developments in other countries and markets, particularly in key consumption markets like China. For example, the recent coronavirus outbreak in China resulted in a meaningful drop in the demand for crude oil and petroleum products. Ultimately, this can lead to a reduction in demand for the services we provide. Demand also depends on the ability and willingness of shippers having access to our transportation assets to satisfy their demand by deliveries through those assets. The supply of crude oil depends on a variety of global political and economic factors, including the reliance of foreign governments on petroleum revenues. Excess global supply of crude oil may negatively impact our operating results by decreasing the price of crude oil and making production and transportation less profitable in areas we service.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shutdowns,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spacing w:after="0" w:line="21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Also, increased supply of NGL products could reduce the value of NGL we handle and reduce the margins realized by us.</w:t>
      </w:r>
    </w:p>
    <w:p>
      <w:pPr>
        <w:spacing w:after="0" w:line="21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NGL and products produced from NGL also compete with products from global markets. Any reduced demand or increased supply for ethane, propane, normal butane, iso-butane or natural gasoline in the markets we access for any of the reasons stated above could adversely affect demand for the services we provide as well as NGL prices, which could negatively impact our operating results.</w:t>
      </w:r>
    </w:p>
    <w:p>
      <w:pPr>
        <w:spacing w:after="0" w:line="208" w:lineRule="exact"/>
        <w:rPr>
          <w:sz w:val="20"/>
          <w:szCs w:val="20"/>
          <w:color w:val="auto"/>
        </w:rPr>
      </w:pPr>
    </w:p>
    <w:p>
      <w:pPr>
        <w:ind w:right="140"/>
        <w:spacing w:after="0" w:line="340" w:lineRule="auto"/>
        <w:rPr>
          <w:sz w:val="20"/>
          <w:szCs w:val="20"/>
          <w:color w:val="auto"/>
        </w:rPr>
      </w:pPr>
      <w:r>
        <w:rPr>
          <w:rFonts w:ascii="Arial" w:cs="Arial" w:eastAsia="Arial" w:hAnsi="Arial"/>
          <w:sz w:val="15"/>
          <w:szCs w:val="15"/>
          <w:b w:val="1"/>
          <w:bCs w:val="1"/>
          <w:i w:val="1"/>
          <w:iCs w:val="1"/>
          <w:color w:val="auto"/>
        </w:rPr>
        <w:t>A natural disaster, catastrophe, terrorist attack (including eco-terrorist attacks), process safety failure or other event, including pipeline or facility accidents and cyber or other attacks on our electronic and computer systems, could interrupt our operations and/or result in severe personal injury, property damage and environmental damage, which could have a material adverse effect on our financial position, results of operations and cash flows.</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Some of our operations involve risks of personal injury, property damage and environmental damage that could curtail our operations and otherwise materially adversely affect our cash flow. Virtually all of our operations are exposed to potential natural disasters or other natural events, including hurricanes, tornadoes, storms, floods, earthquakes, shifting soil and/or landslides. The location of some of our assets and our customers’ assets in the U.S. Gulf Coast region makes them particularly vulnerable to hurricane or tropical storm risk. Our facilities and operations are also vulnerable to accidents caused by process safety failures, equipment failures or human error. In addition, since the September 11, 2001 terrorist attacks, the U.S. government has issued warnings that energy assets, specifically the nation’s pipeline infrastructure, may be future targets of terrorist organizations. Terrorists may target our physical facilities and hackers may attack our electronic and computer systems.</w:t>
      </w:r>
    </w:p>
    <w:p>
      <w:pPr>
        <w:spacing w:after="0" w:line="20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If one or more of our pipelines or other facilities, including electronic and computer systems, or any facilities or businesses that deliver products, supplies or services to us or that we rely on in order to operate our business, are damaged by severe weather or any other disaster, accident, catastrophe, terrorist attack or event, our operations could be significantly interrupted. These interruptions could involve significant damage or injury to people, property or the environment, and repairs could take from a week or less for minor incidents to six months or more for major interruptions.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19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our operations and/or make it more difficult for us to obtain the approvals, permits, licenses or real property interests we need in order to operate our assets or complete planned growth projects.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our information and operations, and expose us to liability, which would cause our business and reputation to suffer.</w:t>
      </w:r>
    </w:p>
    <w:p>
      <w:pPr>
        <w:spacing w:after="0" w:line="197"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We are reliant on the continuous and uninterrupted operation of our information technology systems. User access of our sites and information technology systems are critical elements to our operations, as is cloud security and protection against cyber security incidents. In the ordinary course of our business, we collect and store sensitive data in our data centers and on our networks, including intellectual property, proprietary business information, information regarding our customers, suppliers, royalty owners and business partners, and personally identifiable information of our employees. The secure processing, maintenance and transmission of this information is critical to our operations and business strategy.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our operations, damage to our reputation, and loss of confidence in our services, which could adversely affect our business.</w:t>
      </w:r>
    </w:p>
    <w:p>
      <w:pPr>
        <w:spacing w:after="0" w:line="20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information technology infrastructure is critical to the efficient operation of our business and essential to our ability to perform day-to-day operations. Potential risks to our IT systems include unauthorized attempts to extract business sensitive, confidential or personal information, denial of access extortion, corruption of information or disruption of business processes, or by inadvertent or intentional actions by our employees or vendors. Breaches in our information technology infrastructure or physical facilities, or other disruptions, could result in damage to our assets, safety incidents, damage to the environment, remediation costs, potential liability, regulatory enforcement, violation of privacy or securities laws and regulations or the loss of contracts, any of which could have a material adverse effect on our operations, financial position and results of operations.</w:t>
      </w:r>
    </w:p>
    <w:p>
      <w:pPr>
        <w:spacing w:after="0" w:line="2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self-insure and thus do not carry insurance specifically for cybersecurity events; however, certain of our insurance policies may allow for coverage of associated damages resulting from such events. If we were to incur a significant liability for which we were not fully insured, or if we incurred costs in excess of reserves established for uninsured or self-insured risks, it could have a material adverse effect on our financial position, results of operations and cash flows.</w:t>
      </w: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face opposition to the development or operation of our pipelines and facilities from various groups and our business may be subject to societal and political pressures.</w:t>
      </w:r>
    </w:p>
    <w:p>
      <w:pPr>
        <w:spacing w:after="0" w:line="197"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We may face opposition to the development or operation of our pipelines and facilities from environmental groups, landowners, tribal groups,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194"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Our business plans are based upon the assumption that societal sentiment will continue to enable, and existing regulations will stay intact, for the future development, transportation and use of carbon-based fuels. Policy decisions relating to the production, refining, transportation and marketing of carbon-based fuels are subject to political pressures, the media’s negative portrayal of the industry in which we operate and the influence and protests of environmental and other special interest groups. Such negative sentiment regarding the fossil fuel industry could influence consumer preferences and government or regulatory actions, which could, in turn, have an adverse impact on our business.</w:t>
      </w:r>
    </w:p>
    <w:p>
      <w:pPr>
        <w:spacing w:after="0" w:line="20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Recently, activists concerned about the potential effects of climate change have directed their attention towards sources of funding for fossil-fuel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consequently could both indirectly affect demand for our services and directly affect our ability to fund construction or other capital projects.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results of our Supply and Logistics segment are influenced by the overall forward market for crude oil and NGL, and certain market structures, the absence of pricing volatility and other market factors may adversely impact our results.</w:t>
      </w:r>
    </w:p>
    <w:p>
      <w:pPr>
        <w:spacing w:after="0" w:line="19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Results from our Supply and Logistics segment are dependent on a variety of factors affecting the markets for crude oil and NGL, including regional and international supply and demand imbalances, takeaway availability and constraints, transportation costs and the overall forward market for crude oil. Periods when differentials are wide or when there is volatility in the forward market structure are generally more favorable for our Supply and Logistics segment. During periods where the infrastructure is over-built and/or there is a lack of volatility in the pricing structure our results may be negatively impacted. Depending on the overall duration of these transition periods, how we have allocated our assets to particular strategies and the time length of our crude oil purchase and sale contracts and storage agreements, these periods may have either an adverse or beneficial effect on our aggregate segment results. In the past, the results from our Supply and Logistics segment have varied significantly based on market conditions and this segment may continue to experience highly variable results as a result of future changes to the markets for crude oil and NGL.</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fully implement or realize expected returns or other anticipated benefits associated with planned growth projects.</w:t>
      </w:r>
    </w:p>
    <w:p>
      <w:pPr>
        <w:spacing w:after="0" w:line="264"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have a number of organic growth projects that involve the construction of new midstream energy infrastructure assets or the expansion or modification of existing assets. Many of these projects involve numerous regulatory, environmental, commercial, economic, weather-related, political and legal uncertainties that are beyond our control, including the following:</w:t>
      </w:r>
    </w:p>
    <w:p>
      <w:pPr>
        <w:spacing w:after="0" w:line="208" w:lineRule="exact"/>
        <w:rPr>
          <w:sz w:val="20"/>
          <w:szCs w:val="20"/>
          <w:color w:val="auto"/>
        </w:rPr>
      </w:pPr>
    </w:p>
    <w:p>
      <w:pPr>
        <w:ind w:left="980" w:right="60" w:hanging="324"/>
        <w:spacing w:after="0" w:line="342" w:lineRule="auto"/>
        <w:tabs>
          <w:tab w:leader="none" w:pos="9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15" w:lineRule="exact"/>
        <w:rPr>
          <w:rFonts w:ascii="Arial" w:cs="Arial" w:eastAsia="Arial" w:hAnsi="Arial"/>
          <w:sz w:val="16"/>
          <w:szCs w:val="16"/>
          <w:color w:val="auto"/>
        </w:rPr>
      </w:pPr>
    </w:p>
    <w:p>
      <w:pPr>
        <w:ind w:left="980" w:right="26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face opposition to our planned growth projects from environmental groups, landowners, local groups and other advocates, including lawsuits or other actions designed to disrupt or delay our planned projects;</w:t>
      </w:r>
    </w:p>
    <w:p>
      <w:pPr>
        <w:spacing w:after="0" w:line="62" w:lineRule="exact"/>
        <w:rPr>
          <w:rFonts w:ascii="Arial" w:cs="Arial" w:eastAsia="Arial" w:hAnsi="Arial"/>
          <w:sz w:val="18"/>
          <w:szCs w:val="18"/>
          <w:color w:val="auto"/>
        </w:rPr>
      </w:pPr>
    </w:p>
    <w:p>
      <w:pPr>
        <w:ind w:left="980" w:hanging="324"/>
        <w:spacing w:after="0" w:line="342" w:lineRule="auto"/>
        <w:tabs>
          <w:tab w:leader="none" w:pos="9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not be able to obtain, or we may be significantly delayed in obtaining, all of the rights of way or other real property interests we need to complete such projects, or the costs we incur in order to obtain such rights of way or other interests may be greater than we anticipated;</w:t>
      </w:r>
    </w:p>
    <w:p>
      <w:pPr>
        <w:spacing w:after="0" w:line="15" w:lineRule="exact"/>
        <w:rPr>
          <w:rFonts w:ascii="Arial" w:cs="Arial" w:eastAsia="Arial" w:hAnsi="Arial"/>
          <w:sz w:val="16"/>
          <w:szCs w:val="16"/>
          <w:color w:val="auto"/>
        </w:rPr>
      </w:pPr>
    </w:p>
    <w:p>
      <w:pPr>
        <w:ind w:left="980" w:right="20" w:hanging="324"/>
        <w:spacing w:after="0" w:line="286" w:lineRule="auto"/>
        <w:tabs>
          <w:tab w:leader="none" w:pos="9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Despite the fact that we will expend significant amounts of capital during the construction phase of these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57" w:lineRule="exact"/>
        <w:rPr>
          <w:rFonts w:ascii="Arial" w:cs="Arial" w:eastAsia="Arial" w:hAnsi="Arial"/>
          <w:sz w:val="17"/>
          <w:szCs w:val="17"/>
          <w:color w:val="auto"/>
        </w:rPr>
      </w:pPr>
    </w:p>
    <w:p>
      <w:pPr>
        <w:ind w:left="980" w:hanging="324"/>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construct pipelines, facilities or other assets in anticipation of market demand that dissipates or market growth that never materializes;</w:t>
      </w:r>
    </w:p>
    <w:p>
      <w:pPr>
        <w:spacing w:after="0" w:line="140" w:lineRule="exact"/>
        <w:rPr>
          <w:rFonts w:ascii="Arial" w:cs="Arial" w:eastAsia="Arial" w:hAnsi="Arial"/>
          <w:sz w:val="16"/>
          <w:szCs w:val="16"/>
          <w:color w:val="auto"/>
        </w:rPr>
      </w:pPr>
    </w:p>
    <w:p>
      <w:pPr>
        <w:ind w:left="980" w:hanging="324"/>
        <w:spacing w:after="0" w:line="259"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we budgeted and the time it takes to complete construction of these projects and place them into commercial service could be significantly longer than planned; and</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completion or success of our projects may depend on the completion or success of third-party facilities over which we have no control.</w:t>
      </w:r>
    </w:p>
    <w:p>
      <w:pPr>
        <w:spacing w:after="0" w:line="27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a result of these uncertainties, the anticipated benefits associated with our capital projects may not be achieved or could be delayed. In turn, this could negatively impact our cash flow and our ability to make or increase cash distributions to our partners.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Loss of our investment grade credit rating or the ability to receive open credit could negatively affect our borrowing costs, ability to purchase crude oil, NGL and natural gas supplies or to capitalize on market opportunities.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business is dependent on our ability to maintain an attractive credit rating and continue to receive open credit from our suppliers and trade counterparties. Our senior unsecured debt is currently rated as “investment grade” by Standard &amp; Poor’s and Fitch Ratings Inc. In August 2017, Moody’s Investors Service downgraded its rating of our senior unsecured debt to a level below investment grade. A further downgrade by Standard &amp; Poor’s or Fitch Ratings, Inc. to a level below our current ratings levels assigned by such rating agencies could increase our borrowing costs, reduce our borrowing capacity and cause our counterparties to reduce the amount of open credit we receive from them. This could negatively impact our ability to capitalize on market opportunities. For example, our ability to utilize our crude oil storage capacity for merchant activities to capture contango market opportunities is dependent upon having adequate credit facilities, both in terms of the total amount of credit facilities and the cost of such credit facilities, which enables us to finance the storage of the crude oil from the time we complete the purchase of the crude oil until the time we complete the sale of the crude oil. Loss of our remaining investment grade credit ratings could also adversely impact our cash flows, our ability to make distributions at our current levels and the value of our outstanding equity and debt securities.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divestitures and joint ventures involve risks that may adversely affect our business.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acquisition involves potential risks, including:</w:t>
      </w:r>
    </w:p>
    <w:p>
      <w:pPr>
        <w:spacing w:after="0" w:line="252"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performance from the acquired businesses or assets that is below the forecasts we used in evaluating the acquisition;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significant increase in our indebtedness and working capital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117" w:lineRule="exact"/>
        <w:rPr>
          <w:rFonts w:ascii="Arial" w:cs="Arial" w:eastAsia="Arial" w:hAnsi="Arial"/>
          <w:sz w:val="18"/>
          <w:szCs w:val="18"/>
          <w:color w:val="auto"/>
        </w:rPr>
      </w:pPr>
    </w:p>
    <w:p>
      <w:pPr>
        <w:ind w:left="980" w:right="380" w:hanging="324"/>
        <w:spacing w:after="0" w:line="264"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for which we are either not fully insured or indemnified, including liabilities arising from the operation of the acquired businesses or assets prior to our acquisition;</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our historical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5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Any of these factors could adversely affect our ability to achieve anticipated levels of cash flows from our acquisitions, realize other anticipated benefits and our ability to pay distributions to our partners or meet our debt service requirements.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ability to execute our growth strategy is in part dependent on our ability to raise capital through strategic divestitures or sales of interests to</w:t>
      </w:r>
    </w:p>
    <w:p>
      <w:pPr>
        <w:spacing w:after="0" w:line="6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strategic partners. If we are unable to successfully complete planned divestitures, we may be unable to fund our capital needs or we may have to raise additional funding in the capital markets. In addition, in connection with our divestitures, we may agree to retain responsibility for certain liabilities that relate to our period of ownership, which could adversely impact our future financial performance.</w:t>
      </w:r>
    </w:p>
    <w:p>
      <w:pPr>
        <w:spacing w:after="0" w:line="20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also involved in many strategic joint ventures and other joint ownership arrangements. We may not always be in complete alignment with our joint venture or joint owner counterparties; we may have differing strategic or commercial objectives or we may disagree on governance matters with respect to the joint venture entity or the jointly owned assets. When we enter into joint ventures or joint ownership arrangements we may be subject to the risk that our counterparties do not fund their obligations. In some joint ventures and joint ownership arrangements we may not be responsible for construction or operation of such projects and will rely on our joint venture or joint owner counterparties for such services. Joint ventures and joint ownership arrangements may also require us to expend additional internal resources that could otherwise be directed to other projects. If we are unable to successfully execute and manage our existing and proposed joint venture and joint owner projects, it could adversely impact our financial and operating results.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implementation of our strategy requires access to new capital. Tightened capital markets or other factors that increase our cost of capital could impair our ability to grow.</w:t>
      </w:r>
    </w:p>
    <w:p>
      <w:pPr>
        <w:spacing w:after="0" w:line="19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continuously consider potential acquisitions and opportunities for expansion capital projects. Acquisition transactions can be effected quickly, may occur at any time and may be significant in size relative to our existing assets and operations. Our ability to fund our capital projects and make acquisitions depends on whether we can access the necessary financing to fund these activities. Any limitations on our access to capital or increase in the cost of that capital could significantly impair the implementation of our strategy. Our ability to maintain our targeted credit profile, including maintaining our credit ratings, could affect our cost of capital as well as our ability to execute our strategy. In addition, 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19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Due to these factors, we cannot be certain that funding for our capital needs will be available from bank credit arrangements, capital markets or other sources on acceptable terms. If funding is not available when needed, or is available only on unfavorable terms, we may be unable to implement our development plans, enhance our existing business, complete acquisitions and construction projects, take advantage of business opportunities or respond to competitive pressures, any of which could have a material adverse effect on our revenues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credit risk of our customers and other counterparties we transact within the ordinary course of our business activities.</w:t>
      </w:r>
    </w:p>
    <w:p>
      <w:pPr>
        <w:spacing w:after="0" w:line="27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Risks of nonpayment and nonperformance by customers or other counterparties are a significant consideration in our business. Although we have credit risk management policies and procedures that are designed to mitigate and limit our exposure in this area, there can be no assurance that we have adequately assessed and managed the creditworthiness of our existing or future counterparties or that there will not be an unanticipated deterioration in their creditworthiness or unexpected instances of nonpayment or nonperformance, all of which could have an adverse impact on our cash flow and our ability to pay or increase our cash distributions to our partners.</w:t>
      </w:r>
    </w:p>
    <w:p>
      <w:pPr>
        <w:spacing w:after="0" w:line="21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a number of minimum volume commitment contracts that support pipelines in our Transportation segment. In addition, certain of the pipelines in which we own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our profitability and earnings.</w:t>
      </w:r>
    </w:p>
    <w:p>
      <w:pPr>
        <w:spacing w:after="0" w:line="19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such operators and other parties.</w:t>
      </w:r>
    </w:p>
    <w:p>
      <w:pPr>
        <w:spacing w:after="0" w:line="21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Further, to the extent one or more of our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our revenue and cash flows and our ability to make cash distributions to our unitholders.</w:t>
      </w:r>
    </w:p>
    <w:p>
      <w:pPr>
        <w:spacing w:after="0" w:line="21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231F20"/>
        </w:rPr>
        <w:t>We have also undertaken numerous projects that require cooperation with and performance by joint venture co-owners. In addition, in connection with various acquisition, divestiture, joint venture and other transactions, we often receive indemnifications from various parties for certain risks or liabilities. Nonperformance by any of these parties could result in increased costs or other adverse consequences that could decrease our earnings and returns.</w:t>
      </w:r>
    </w:p>
    <w:p>
      <w:pPr>
        <w:spacing w:after="0" w:line="174"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231F20"/>
        </w:rPr>
        <w:t>We also rely to a significant degree on the banks that lend to us under our revolving credit facility for financial liquidity, and any failure of those banks to perform on their obligations to us could significantly impair our liquidity. Furthermore, nonpayment by the counterparties to our interest rate, commodity and/or foreign currency derivatives could expose us to additional interest rate, commodity price and/or foreign currency risk.</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risk policies cannot eliminate all risks. In addition, any non-compliance with our risk policies could result in significant financial losses.</w:t>
      </w:r>
    </w:p>
    <w:p>
      <w:pPr>
        <w:spacing w:after="0" w:line="26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Generally, it is our policy to establish a margin for crude oil or other products we purchase by selling such products for physical delivery to third-party users, or by entering into a future delivery obligation under derivative contracts.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 resulting from price changes. We are also exposed to basis risk when crude oil or other products are purchased against one pricing index and sold against a different index. Moreover, we are exposed to some risks that are not hedged, including risks on certain of our inventory, such as linefill, which must be maintained in order to transport crude oil on our pipelines. In an effort to maintain a balanced position, specifically authorized personnel can purchase or sell crude oil, refined products and NGL, up to predefined limits and authorizations. Although this activity is monitored independently by our risk management function, it exposes us to commodity price risks within these limits.</w:t>
      </w:r>
    </w:p>
    <w:p>
      <w:pPr>
        <w:spacing w:after="0" w:line="20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addition, our operations involve the risk of non-compliance with our risk policies. We have taken steps within our organization to implement processes and procedures designed to detect unauthorized trading; however, we can provide no assurance that these steps will detect and prevent all violations of our risk policies and procedures, particularly if deception, collusion or other intentional misconduct is involved.</w:t>
      </w:r>
    </w:p>
    <w:p>
      <w:pPr>
        <w:spacing w:after="0" w:line="19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Our operations are also subject to laws and regulations relating to protection of the environment and wildlife, operational safety, climate change and related matters that may expose us to significant costs and liabilities. The current laws and regulations affecting our business are subject to change and in the future we may be subject to additional laws and regulations, which could adversely impact our business.</w:t>
      </w:r>
    </w:p>
    <w:p>
      <w:pPr>
        <w:spacing w:after="0" w:line="19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operations involving the storage, treatment, processing, and transportation of liquid hydrocarbons, including crude oil, NGL and refined products, as well as our operations involving the storage of natural gas, are subject to stringent federal, state, and local laws and regulations governing the discharge of materials into the environment. Our operations are also subject to laws and regulations relating to protection of the environment and wildlife, operational safety, climate change and related matters. Compliance with all of these laws and regulations increases our overall cost of doing business, including our capital costs to construct, maintain and upgrade equipment and facilities. Also, new or additional regulations, new interpretations of existing requirements or changes in our operations could trigger new permitting requirements applicable to our operations, which could result in increased costs or delays of, or denial of rights to conduct, our development programs. The failure to comply with any such laws and regulations could result in the assessment of administrative, civil, and criminal penalties, the imposition of investigatory and remedial liabilities, the issuance of injunctions that may subject us to additional operational requirements and constraints, or claims of damages to property or persons resulting from our operations. In addition, criminal violations of certain environmental laws, or in some cases even the allegation of criminal violations, may result in the temporary suspension or outright debarment from participating in government contracts. The laws and regulations applicable to our operations are subject to change and interpretation by the relevant governmental agency, including the possibility that exemptions we currently qualify for may be modified or changed in ways that require us to incur significant additional compliance costs. Our business and operations may also become subject to additional laws or regulations. Any new laws or regulations, or changes to or interpretations of existing laws or regulations, adverse to us could have a material adverse effect on our operations, revenues, expenses and profitability.</w:t>
      </w:r>
    </w:p>
    <w:p>
      <w:pPr>
        <w:spacing w:after="0" w:line="21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have a history of incremental additions to the miles of pipelines we own, both through acquisitions and expansion capital projects. We have also increased our terminal and storage capacity and operate several facilities on or near navigable waters and domestic water supplies. Although we have implemented programs intended to maintain the integrity of our assets (discussed below), as we acquire additional assets we are at risk for an increase in the number of releases of liquid hydrocarbons into the environment. These releases expose us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Our refined products terminal assets are also subject to significant compliance costs and liabilities. In addition, because of the increased volatility of refined products and their tendency to migrate farther and faster than crude oil when released,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648"/>
        <w:spacing w:after="0" w:line="254" w:lineRule="auto"/>
        <w:rPr>
          <w:sz w:val="20"/>
          <w:szCs w:val="20"/>
          <w:color w:val="auto"/>
        </w:rPr>
      </w:pPr>
      <w:r>
        <w:rPr>
          <w:rFonts w:ascii="Arial" w:cs="Arial" w:eastAsia="Arial" w:hAnsi="Arial"/>
          <w:sz w:val="17"/>
          <w:szCs w:val="17"/>
          <w:color w:val="auto"/>
        </w:rPr>
        <w:t>We currently devote substantial resources to comply with DOT-mandated pipeline integrity rules. The DOT regulations include requirements for the establishment of pipeline integrity management programs and for protection of “high consequence areas” where a pipeline leak or rupture could produce significant adverse consequences. Pipeline safety regulations are revised frequently. For example, in October 2019, PHMSA published three final rules that create or expand reporting, inspection, maintenance, and other pipeline safety obligations. We are in the process of assessing the impact of these rules on our future costs of operations and revenue from operations. PHMSA is working on two additional rules related to gas pipeline safety that are expected to modify pipeline repair criteria and extend regulatory safety requirements to certain gathering lines in rural areas. These additional rulemakings are expected to be effective by mid-2020. The adoption of new regulations requiring more comprehensive or stringent safety standards could require us to install new or modified safety controls, pursue new capital projects, or conduct maintenance programs on an accelerated basis, all of which could require us to incur increased operational costs that could be significant.</w:t>
      </w:r>
    </w:p>
    <w:p>
      <w:pPr>
        <w:spacing w:after="0" w:line="20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Although we continue to focus on pipeline and facility integrity management as a primary operational emphasis, doing so requires substantial time and resources and cannot eliminate all risk of releases. We have an internal review process pursuant to which we examine various aspects of our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we may elect (as a result of our own internal initiatives) to spend substantial sums to enhance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but any such expenditures could be significant. See “Environmental — General” in Note 19 to our Consolidated Financial Statements. In addition, despite our pipeline and facility integrity management efforts, we can provide no assurance that our pipelines and facilities will not experience leaks or releases or that we will be able to fully comply with all of the federal, state and local laws and regulations applicable to the operation of our pipelines or facilities; any such leaks or releases could be material and could have a significant adverse impact on our reputation, financial position, cash flows and ability to pay or increase distributions to our unitholders.</w:t>
      </w:r>
    </w:p>
    <w:p>
      <w:pPr>
        <w:spacing w:after="0" w:line="21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assets are subject to federal, state and provincial regulation. Rate regulation or a successful challenge to the rates we charge on our U.S. and Canadian pipeline systems may reduce the amount of cash we generate.</w:t>
      </w:r>
    </w:p>
    <w:p>
      <w:pPr>
        <w:spacing w:after="0" w:line="19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Our U.S. interstate common carrier liquids pipelines are subject to regulation by the FERC under the ICA. The ICA requires that tariff rates and terms and conditions of service for liquids pipelines be just and reasonable and non-discriminatory. We are also subject to the Pipeline Safety Regulations of the DOT. Our intrastate pipeline transportation activities are subject to various state laws and regulations as well as orders of regulatory bodies.</w:t>
      </w:r>
    </w:p>
    <w:p>
      <w:pPr>
        <w:spacing w:after="0" w:line="17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our U.S. interstate common carrier liquids pipelines subject to FERC regulation under the ICA, shippers may protest our pipeline tariff filings or file complaints against our existing rates or complaints alleging that we are engaging in discriminating behavior. The FERC can also investigate on its own initiative. Under certain circumstances, the FERC could limit our ability to set rates based on our costs, or could order us to reduce our rates and could require the payment of reparations to complaining shippers for up to two years prior to the complaint. Natural gas storage facilities are subject to regulation by the FERC, the DOT, and certain state agencies.</w:t>
      </w:r>
    </w:p>
    <w:p>
      <w:pPr>
        <w:spacing w:after="0" w:line="21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March 2018, FERC issued a revised policy statement (subsequently modified in a final rule issued in July 2018) in which it held that it will no longer permit an income tax allowance to be included in cost-of-service rates for interstate pipelines structured as master limited partnerships. The FERC also indicated that it will incorporate the effects of the revised policy statement in its next review of the oil pipeline index level, which will take effect in July 2021. We do not have cost-of-service rates that would be impacted by this policy change; our FERC regulated tariffs are either grandfathered or based on negotiated rates. However, depending on how the FERC incorporates its most recent tax policy statement into its next index review, the policy could potentially have a negative impact on the FERC adder to the PPI-FG Index, which in turn could have a negative effect on our ability to increase our index-based rates. The policy could impact future (i.e., July 2021 and later) tariff escalations on our FERC regulated pipelines, as well as some of our state-regulated pipelines that have negotiated rates with escalations tied to the FERC 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we routinely monitor the public filings and proceedings of other parties with the FERC and other regulatory agencies in an effort to identify issues that could potentially impact our business. Under certain circumstances we may choose to intervene in such third-party proceedings in order to express our support for, or our opposition to, various issues raised by the parties to such proceedings. For example, if we believe that a petition filed with, or order issued by, the FERC is improper, overbroad other otherwise flawed, we may attempt to intervene in such proceedings for the purpose of protesting such petition or order and requesting appropriate action such as a clarification, rehearing or other remedy. Despite such efforts, we can provide no assurance that the FERC and other agencies that regulate our business will not issue future orders or declarations that increase our costs or otherwise adversely affect our operations.</w:t>
      </w:r>
    </w:p>
    <w:p>
      <w:pPr>
        <w:spacing w:after="0" w:line="21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FERC issued a Notice of Inquiry on April 19, 2018 (Certificate Policy Statement NOI), thereby initiating a review of its policies on certification of natural gas pipelines and storage facilities, including an examination of its long-standing Policy Statement on Certification of New Interstate Natural Gas Pipeline Facilities, issued in 1999, that is used to determine whether to grant certificates for new pipeline and storage projects and expansions. Comments on the Certificate Policy Statement NOI were due on July 25, 2018, and we are unable to predict what, if any, changes may be proposed as a result of the NOI that will affect our natural gas storage business or when such proposals, if any, might become effective.</w:t>
      </w:r>
    </w:p>
    <w:p>
      <w:pPr>
        <w:spacing w:after="0" w:line="20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operations cross the U.S./Canada border and are subject to cross-border regulation.</w:t>
      </w:r>
    </w:p>
    <w:p>
      <w:pPr>
        <w:spacing w:after="0" w:line="252"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Our cross border activities subject us to regulatory matters, including import and export licenses, tariffs, Canadian and U.S. customs and tax issues and toxic substance certifications. Such regulations include the Short Supply Controls of the EAA, the NAFTA and the TSCA. Violations of these licensing, tariff and tax reporting requirements could result in the imposition of significant administrative, civil and criminal penalties.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purchases and sales of crude oil, natural gas and NGL, and hedging activities, expose us to potential regulatory risks.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FTC, the FERC and the CFTC hold statutory authority to monitor certain segments of the physical and futures energy commodities markets. These agencies have imposed broad regulations prohibiting fraud and manipulation of such markets. With regard to our physical purchases and sales of crude oil, natural gas or NGL and any related hedging activities that we undertake, we are required to observe the market-related regulations enforced by these agencies, which hold substantial enforcement authority. Our purchases and sales may also be subject to certain reporting and other requirements. Additionally, to the extent that we enter into transportation contracts with common carrier pipelines that are subject to FERC regulation, we are subject to FERC requirements related to the use of such capacity. Any failure on our part to comply with the regulations and policies of the FERC, the FTC or the CFTC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The enactment and implementation of derivatives legislation could have an adverse impact on our ability to use derivative instruments to reduce the effect of commodity price, interest rate and other risks associated with our business and increase the working capital requirement to conduct these hedging activities.</w:t>
      </w:r>
    </w:p>
    <w:p>
      <w:pPr>
        <w:spacing w:after="0" w:line="20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(the “Dodd-Frank Act”), enacted on July 21, 2010, established federal oversight and regulation of derivative markets and entities, such as us, that participate in those markets. The Dodd-Frank Act requires the CFTC and the SEC to promulgate rules and regulations implementing the Dodd-Frank Act. Although the CFTC has finalized certain regulations, others remain to be finalized or implemented and it is not possible at this time to predict when this will be accomplished.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firstLine="648"/>
        <w:spacing w:after="0" w:line="248" w:lineRule="auto"/>
        <w:rPr>
          <w:sz w:val="20"/>
          <w:szCs w:val="20"/>
          <w:color w:val="auto"/>
        </w:rPr>
      </w:pPr>
      <w:r>
        <w:rPr>
          <w:rFonts w:ascii="Arial" w:cs="Arial" w:eastAsia="Arial" w:hAnsi="Arial"/>
          <w:sz w:val="18"/>
          <w:szCs w:val="18"/>
          <w:color w:val="auto"/>
        </w:rPr>
        <w:t>In January 2020,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us is uncertain at this time.</w:t>
      </w:r>
    </w:p>
    <w:p>
      <w:pPr>
        <w:spacing w:after="0" w:line="209" w:lineRule="exact"/>
        <w:rPr>
          <w:sz w:val="20"/>
          <w:szCs w:val="20"/>
          <w:color w:val="auto"/>
        </w:rPr>
      </w:pPr>
    </w:p>
    <w:p>
      <w:pPr>
        <w:ind w:right="160" w:firstLine="648"/>
        <w:spacing w:after="0" w:line="285" w:lineRule="auto"/>
        <w:rPr>
          <w:sz w:val="20"/>
          <w:szCs w:val="20"/>
          <w:color w:val="auto"/>
        </w:rPr>
      </w:pPr>
      <w:r>
        <w:rPr>
          <w:rFonts w:ascii="Arial" w:cs="Arial" w:eastAsia="Arial" w:hAnsi="Arial"/>
          <w:sz w:val="16"/>
          <w:szCs w:val="16"/>
          <w:color w:val="auto"/>
        </w:rPr>
        <w:t>The CFTC has designated certain interest rate swaps and credit default swaps for mandatory clearing, and the associated rules require us, in connection with covered derivative activities, to comply with clearing and trade-execution requirements or take steps to qualify for an exemption from such requirements. We do not utilize credit default swaps and we qualify for, and expect to continue to qualify for, the end-user exception from the mandatory clearing requirements for swaps entered into to hedge our interest rate risks. Should the CFTC designate commodity derivatives for mandatory clearing, we would expect to qualify for an end-user exception from the mandatory clearing requirements for swaps entered into to hedge our commodity price</w:t>
      </w:r>
    </w:p>
    <w:p>
      <w:pPr>
        <w:spacing w:after="0" w:line="2"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risk. However, the majority of our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82"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Certain banking regulators and the CFTC have adopted final rules establishing minimum margin requirements for uncleared swaps. Although we qualify for the end-user exception from margin requirements for swaps entered into to hedge commercial risks, if any of our swaps do not qualify for the commercial end-user exception, or if we are otherwise required to post additional cash margin or collateral it could reduce our ability to execute hedges necessary to reduce commodity price exposures and protect cash flows. Posting of additional cash margin or collateral could affect our liquidity (defined as unrestricted cash on hand plus available capacity under our credit facilities) and reduce our ability to use cash for capital expenditures or other partnership purposes.</w:t>
      </w:r>
    </w:p>
    <w:p>
      <w:pPr>
        <w:spacing w:after="0" w:line="22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Even if we ourselves are not required to post additional cash margin or collateral for our derivative contracts, the banks and other derivatives dealers who are our contractual counterparties will be required to comply with other new requirements under the Dodd-Frank Act and related rules. The costs of such compliance may be passed on to customers such as ourselves, thus decreasing the benefits to us of hedging transactions or reducing our profitability. In addition, implementation of the Dodd-Frank Act and related rules and regulations could reduce the overall liquidity and depth of the markets for financial and other derivatives we utilize in connection with our business, which could expose us to additional risks or limit the opportunities we are able to capture by limiting the extent to which we are able to execute our hedging strategies.</w:t>
      </w:r>
    </w:p>
    <w:p>
      <w:pPr>
        <w:spacing w:after="0" w:line="20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Finally, the Dodd-Frank Act was intended, in part, to reduce the volatility of oil and gas prices, which some legislators attributed to speculative trading in derivatives and commodity instruments related to oil and gas. Our financial results could be adversely affected if a consequence of the Dodd-Frank Act and implementing regulations is lower commodity prices.</w:t>
      </w:r>
    </w:p>
    <w:p>
      <w:pPr>
        <w:spacing w:after="0" w:line="208"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full impact of the Dodd-Frank Act and related regulatory requirements upon our business will not be known until the regulations are implemented and the market for derivatives contracts has adjusted. The Dodd-Frank Act and any new regulations could significantly increase the cost of derivative contracts, materially alter the terms of derivative contracts, reduce the availability of derivatives to protect against risks we encounter, reduce our ability to monetize or restructure our existing derivative contracts. If we reduce our use of derivatives as a result of the Dodd-Frank Act and regulations implementing the Dodd-Frank Act, our results of operations may become more volatile and our cash flows may be less predictable. Any of these consequences could have a material adverse effect on us, our financial condition and our results of operations.</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Legislation and regulatory initiatives relating to hydraulic fracturing or other drilling activities could reduce domestic production of crude oil and natural gas.</w:t>
      </w:r>
    </w:p>
    <w:p>
      <w:pPr>
        <w:spacing w:after="0" w:line="19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We do not perform hydraulic fracturing, but many of the producers using our pipelines do. Hydraulic fracturing has been subject to increased scrutiny and there have been a variety of legislative and regulatory proposals to prohibit, restrict, or more closely regulate various forms of hydraulic fracturing. Any legislation or regulatory initiatives that curtail hydraulic fracturing or otherwise limit producers’ ability to drill or complete wells could reduce the production of crude oil and natural gas in the United States or Canada, and could thereby reduce demand for our transportation, terminalling and storage services as well as our supply and logistics services.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Climate change laws and regulations restricting emissions of greenhouse gases could result in increased operating costs and reduced demand for crude oil and natural gas, while potential physical effects of climate change could disrupt crude oil production and cause us to incur significant costs in preparing for or responding to those effects.</w:t>
      </w:r>
    </w:p>
    <w:p>
      <w:pPr>
        <w:spacing w:after="0" w:line="20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response to findings that emissions of GHGs present an endangerment to public health and the environment, the EPA has adopted regulations under existing provisions of the federal Clean Air Act to reduce GHG emissions. For example, in June 2016, the EPA finalized new regulations, known as Subpart OOOOa, that set emissions standards for methane and volatile organic compounds from new and modified oil and natural gas production and natural gas processing and transmission facilities. However, there have been attempts to modify these regulations, and litigation concerning the regulations is ongoing.</w:t>
      </w:r>
    </w:p>
    <w:p>
      <w:pPr>
        <w:spacing w:after="0" w:line="21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While Congress has from time to time considered legislation to reduce emissions of GHGs, no significant legislation to reduce GHG emissions has been adopted at the federal level. In the absence of federal climate legislation, a number of state and regional GHG restrictions have emerged. Analogous regulations are or may be implemented in Canada. Any future laws and regulations that limit emissions of GHGs could adversely affect demand for oil and natural gas that operators, some of whom are our customers, produce and could thereby reduce demand for our midstream services.</w:t>
      </w:r>
    </w:p>
    <w:p>
      <w:pPr>
        <w:spacing w:after="0" w:line="18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Moreover, activists concerned about the potential effects of climate change have directed their attention at sources of funding for fossil-fuel energy companies, which has resulted in certain sources of capital restricting or eliminating their investment in oil and natural gas activities. Additionally, activist shareholders have introduced proposals that may seek to force companies to adopt aggressive emission reduction targets or restrict more carbon-intensive activities. Separately, activists may also pursue other means of curtailing oil and gas operations, such as through litigation. While we cannot predict the outcomes of such activities, they could make it more difficult for operators to engage in exploration and production activities, ultimately reducing demand for our services. Finally, many scientists have concluded that increasing concentrations of GHGs in the Earth’s atmosphere may produce significant physical effects, such as increased frequency and severity of storms, droughts, floods and other climatic events; if any such effects were to occur, they have the potential to cause physical damage to our assets and thus could have an adverse effect on our financial condition 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 the future encounter increased costs related to, and lack of availability of, insurance.</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Over the last several years, as the scale and scope of our business activities has expanded, the breadth and depth of available insurance markets has contracted. As a result of these factors and other market conditions, as well as the fact that we have experienced several incidents over the last several years, premiums and deductibles for certain insurance policies have increased substantially. Accordingly, we can give no assurance that we will be able to maintain adequate insurance in the future at rates or on other terms we consider commercially reasonable. In addition, although we believe that we currently maintain adequate insurance coverage, insurance will not cover many types of interruptions or events that might occur and will not cover all risks associated with our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our financial position, results of operations and cash flows.</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terms of our indebtedness may limit our ability to borrow additional funds or capitalize on business opportunities. In addition, our future debt level may limit our future financial and operating flexibility.</w:t>
      </w:r>
    </w:p>
    <w:p>
      <w:pPr>
        <w:spacing w:after="0" w:line="19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As of December 31, 2019, the face value of our consolidated debt outstanding was approximately $9.75 billion, consisting of approximately $9.2 billion face value of long-term debt (including senior notes, term loan borrowings and finance lease obligations) and approximately $0.5 billion of short-term borrowings. As of December 31, 2019, we had approximately $2.5 billion of liquidity available, including cash and cash equivalents and available borrowing capacity under our senior unsecured revolving credit facility and our senior secured hedged inventory facility, subject to continued covenant compliance. Lower Adjusted EBITDA could increase our leverage ratios and effectively reduce our ability to incur additional indebtedness.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our current or future indebtedness could have significant effects on our operations, including, among other things:</w:t>
      </w:r>
    </w:p>
    <w:p>
      <w:pPr>
        <w:spacing w:after="0" w:line="252" w:lineRule="exact"/>
        <w:rPr>
          <w:sz w:val="20"/>
          <w:szCs w:val="20"/>
          <w:color w:val="auto"/>
        </w:rPr>
      </w:pPr>
    </w:p>
    <w:p>
      <w:pPr>
        <w:ind w:left="980" w:right="4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significant portion of our cash flow will be dedicated to the payment of principal and interest on our indebtedness and may not be available for other purposes, including the payment of distributions on our units and capital expenditures;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credit rating agencies may view our debt level negatively;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6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covenants contained in our existing debt arrangements will require us to continue to meet financial tests that may adversely affect our flexibility in planning for and reacting to changes in our business;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ability to obtain additional financing for working capital, capital expenditures, acquisitions and general partnership purposes may be limited;</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at a competitive disadvantage relative to similar companies that have less debt;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more vulnerable to adverse economic and industry conditions as a result of our significant debt level.</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facilities treat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pacing w:after="0" w:line="21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ability to access capital markets to raise capital on favorable terms will be affected by our debt level, our operating and financial performance, the amount of our current maturities and debt maturing in the next several years, and by prevailing market conditions. Moreover,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bank credit, as opposed to long-term public debt securities or equity securities, or sell assets.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pay cash distributions at expected rates.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our business and the trading price of our units.</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December 31, 2019, the face value of our consolidated debt was approximately $9.75 billion, of which approximately $9.1 billion was at fixed interest rates and approximately $0.6 billion was at variable interest rates. We are exposed to market risk due to the short-term nature of our commercial paper borrowings and the floating interest rates on our credit facilities. Our results of operations, cash flows and financial position could be adversely affected by significant increases in interest rates above current levels. Additionally, increases in interest rates could adversely affect our Supply and Logistics segment results by increasing interest costs associated with the storage of hedged crude oil and NGL inventory. Further, the trading price of our common units may be sensitive to changes in interest rates and any rise in interest rates could adversely impact such trading price.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our operating results.</w:t>
      </w:r>
    </w:p>
    <w:p>
      <w:pPr>
        <w:spacing w:after="0" w:line="25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Because we are a U.S. dollar reporting company and also conduct operations in Canada, we are exposed to currency fluctuations and exchange rate risks that may adversely affect the U.S. dollar value of our earnings, cash flow and partners’ capital under applicable accounting rules. For example, as the U.S. dollar appreciates against the Canadian dollar, the U.S. dollar value of our Canadian dollar denominated earnings is reduced for U.S. reporting purposes.</w:t>
      </w:r>
    </w:p>
    <w:p>
      <w:pPr>
        <w:spacing w:after="0" w:line="17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business requires the retention and recruitment of a skilled workforce, and difficulties recruiting and retaining our workforce could result in a failure to implement our business plans.</w:t>
      </w:r>
    </w:p>
    <w:p>
      <w:pPr>
        <w:spacing w:after="0" w:line="19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Our operations and management require the retention and recruitment of a skilled workforce, including engineers, technical personnel and other professionals. We and our affiliates compete with other companies in the energy industry for this skilled workforce. If we are unable to (i) retain current employees; and/or (ii) recruit new employees of comparable knowledge and experience, our business could be negatively impacted. In addition, we could experience increased costs to retain and recruit these professionals.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long-term assets could reduce our earnings.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At December 31, 2019, we had approximately $15.4 billion of net property and equipment, $981 million of linefill and base gas, $2.5 billion of goodwill, $3.7 billion of investments accounted for under the equity method of accounting and $707 million of net intangible assets capitalized on our balance sheet. GAAP requires an assessment for impairment on an annual basis or in certain circumstances, including when there is an indication that the carrying value of property and equipment may not be recoverable or a determination that it is more likely than not that a reporting unit’s carrying value is in excess of the reporting unit’s fair value. If we were to determine that any of our property and equipment, linefill and base gas, goodwill, intangibles or equity method investments was impaired, we could be required to take an immediate charge to earnings, which could adversely impact our operating results, with a corresponding reduction of partners’ capital and increase in balance sheet leverage as measured by debt-to-total capitalization. See Note 6 to our Consolidated Financial Statements for additional information regarding impairments.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 and marine transportation of crude oil have inherent operating risks.</w:t>
      </w:r>
    </w:p>
    <w:p>
      <w:pPr>
        <w:spacing w:after="0" w:line="25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supply and logistics operations include purchasing crude oil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termination of contracts, governmental fines, penalties or restrictions on conducting business, higher insurance rates and damage to our reputation and customer relationships generally. Although certain of these risks may be covered under our insurance program, any of these circumstances or events could increase our costs or lower our revenues.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use or availability of third-party assets for certain of our operations.</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Certain of our business activities require the use or availability of third-party assets over which we may have little or no control. If at any time the availability of these assets is limited or denied, and if access to alternative assets cannot be arranged, it could have an adverse effect on our business, results of operations and cash flow.</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Non-utilization of certain assets could significantly reduce our profitability due to fixed costs incurred to obtain the right to use such assets.</w:t>
      </w:r>
    </w:p>
    <w:p>
      <w:pPr>
        <w:spacing w:after="0" w:line="26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From time to time in connection with our business, we may lease or otherwise secure the right to use certain assets (such as railcars, trucks, barges, ships, pipeline capacity, storage capacity and other similar assets) with the expectation that the revenues we generate through the use of such assets will be greater than the fixed costs we incur pursuant to the applicable leases or other arrangements. However, when such assets are not utilized or are under-utilized, our profitability could be negatively impacted because the revenues we earn are either non-existent or reduced, but we remain obligated to continue paying any applicable fixed charges, in addition to the potential of incurring other costs attributable to the non-utilization of such assets. Non-utilization of assets we lease or otherwise secure the right to use in connection with our business could have a significant negative impact on our profitability and cash flows.</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Many of our assets have been in service for many years and require significant expenditures to maintain them. As a result, our maintenance or repair costs may increase in the future.</w:t>
      </w:r>
    </w:p>
    <w:p>
      <w:pPr>
        <w:spacing w:after="0" w:line="19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pipelines, terminals, storage and processing and fractionation assets are generally long-lived assets, and many of them have been in service for many years. The age and condition of our assets could result in increased maintenance or repair expenditures in the future. Any significant increase in these expenditures could adversely affect our results of operations, financial position or cash flows, as well as our ability to make cash distributions to our unitholders.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own all of the land on which our pipelines and facilities are located, which could result in disruptions to our operations.</w:t>
      </w:r>
    </w:p>
    <w:p>
      <w:pPr>
        <w:spacing w:after="0" w:line="25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do not own all of the land on which our pipelines and facilities have been constructed, and therefore are potentially subject to more onerous terms and/or increased costs to retain necessary land use if we do not have valid rights-of-way or if such rights-of-way lapse or terminate. In some instances, we obtain the rights to construct and operate our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Indian landowner, bars condemnation of any interest in the allotment. Consequently, the inability to condemn such allotted lands under circumstances where existing pipeline rights-of-way may soon lapse or terminate serves as an additional potential impediment for pipeline operations. In September 2018, the Fourth Circuit Court of Appeals reversed a decision of the United States Forest Service (“USFS”) issuing a permit for the construction of a pipeline and granting a right of way across the Appalachian Trail, ruling that the USFS lacked statutory authority. This decision may make it more difficult to obtain permits and rights of way on certain federal lands and may be used as precedent to challenge existing and future permits and rights of way. We cannot guarantee that we will always be able to renew existing rights-of-way or obtain new rights-of-way on favorable terms or without experiencing significant delays and costs. Any loss of rights with respect to real property, through our inability to renew right-of-way contracts or otherwise, could have a material adverse effect on our business, results of operations, and financial position.</w:t>
      </w:r>
    </w:p>
    <w:p>
      <w:pPr>
        <w:spacing w:after="0" w:line="1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For various operating and commercial reasons, we may not be able to perform all of our obligations under our contracts, which could lead to increased costs and negatively impact our financial results.</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Various operational and commercial factors could result in an inability on our part to satisfy our contractual commitments and obligations. For example, in connection with our provision of firm storage services and hub services to our natural gas storage customers, we enter into contracts that obligate us to honor our customers’ requests to inject gas into our storage facilities, withdraw gas from our facilities and wheel gas through our facilities, in each case subject to volume, timing and other limitations set forth in such contracts. The following factors could adversely impact our ability to perform our obligations under these contracts:</w:t>
      </w:r>
    </w:p>
    <w:p>
      <w:pPr>
        <w:spacing w:after="0" w:line="215" w:lineRule="exact"/>
        <w:rPr>
          <w:sz w:val="20"/>
          <w:szCs w:val="20"/>
          <w:color w:val="auto"/>
        </w:rPr>
      </w:pPr>
    </w:p>
    <w:p>
      <w:pPr>
        <w:ind w:left="980" w:right="2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failure on the part of our storage facilities to perform as we expect them to, whether due to malfunction of equipment or facilities or realization of other operational risks;</w:t>
      </w:r>
    </w:p>
    <w:p>
      <w:pPr>
        <w:spacing w:after="0" w:line="62"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operating pressure of our storage facilities (affected in varying degree, depending on the type of storage cavern, by total volume of working and base gas, and temperature);</w:t>
      </w:r>
    </w:p>
    <w:p>
      <w:pPr>
        <w:spacing w:after="0" w:line="62" w:lineRule="exact"/>
        <w:rPr>
          <w:rFonts w:ascii="Arial" w:cs="Arial" w:eastAsia="Arial" w:hAnsi="Arial"/>
          <w:sz w:val="18"/>
          <w:szCs w:val="18"/>
          <w:color w:val="auto"/>
        </w:rPr>
      </w:pPr>
    </w:p>
    <w:p>
      <w:pPr>
        <w:ind w:left="980" w:hanging="324"/>
        <w:spacing w:after="0" w:line="253"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variety of commercial decisions we make from time to time in connection with the management and operation of our storage facilities. Examples include, without limitation, decisions with respect to matters such as (i) the aggregate amount of commitments we are willing to make with respect to wheeling, injection, and withdrawal services, which could exceed our capabilities at any given time for various reasons, (ii) the timing of scheduled and unplanned maintenance or repairs, which can impact equipment availability and capacity, (iii) the schedule for and rate at which we conduct opportunistic leaching activities at our facilities in connection with the expansion of existing salt caverns, which can impact the amount of storage capacity we have available to satisfy our customers’ requests, (iv) the timing and aggregate volume of any base gas park and/or loan transactions we consummate, which can directly affect the operating pressure of our storage facilities and (v) the amount of compression capacity and other gas handling equipment that we install at our facilities to support gas wheeling, injection and withdrawal activities; and</w:t>
      </w:r>
    </w:p>
    <w:p>
      <w:pPr>
        <w:spacing w:after="0" w:line="89" w:lineRule="exact"/>
        <w:rPr>
          <w:rFonts w:ascii="Arial" w:cs="Arial" w:eastAsia="Arial" w:hAnsi="Arial"/>
          <w:sz w:val="18"/>
          <w:szCs w:val="18"/>
          <w:color w:val="auto"/>
        </w:rPr>
      </w:pPr>
    </w:p>
    <w:p>
      <w:pPr>
        <w:ind w:left="980" w:right="54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operating conditions due to hurricanes, extreme weather events or conditions, and operational problems or issues with third-party pipelines, storage or production facilities.</w:t>
      </w:r>
    </w:p>
    <w:p>
      <w:pPr>
        <w:spacing w:after="0" w:line="19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Although we manage and monitor all of these various factors in connection with the ongoing operation of our natural gas storage facilities with the goal of performing all of our contractual commitments and obligations and optimizing our revenue, one or more of the above factors may adversely impact our ability to satisfy our injection, withdrawal or wheeling obligations under our storage contracts. In such event, we may be liable to our customers for losses or damages they suffer and/or we may need to incur costs or expenses in order to permit us to satisfy our obligations.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If we fail to obtain materials in the quantity and the quality we need, and at commercially acceptable prices, whether due to tariffs, quotas or other factors, our results of operations, financial condition and cash flows could be materially and adversely affected.</w:t>
      </w:r>
    </w:p>
    <w:p>
      <w:pPr>
        <w:spacing w:after="0" w:line="174"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Our business requires access to steel and other materials to construct and maintain new and existing pipelines and facilities. If we experience a shortage in the supply of these materials or are unable to source sufficient quantities of high quality materials at acceptable prices and in a timely manner, it could materially and adversely affect our ability to construct new infrastructure and maintain our existing assets.</w:t>
      </w:r>
    </w:p>
    <w:p>
      <w:pPr>
        <w:spacing w:after="0" w:line="19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some of the materials used in our business are imported. Existing and future import duties and quotas could materially increase our costs of procuring imported or domestic steel and/or create shortages or difficulties in procuring sufficient quantities of steel meeting our required technical specifications. A material increase in our costs of construction and maintenance or any significant delays in our ability to complete our infrastructure projects could have a material adverse effect on our financial position, results of operations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reimbursements due to our general partner may be substantial and will reduce our cash available for distribution to unitholders.</w:t>
      </w:r>
    </w:p>
    <w:p>
      <w:pPr>
        <w:spacing w:after="0" w:line="264"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Prior to making any distribution on our common units, we will reimburse our general partner and its affiliates, including officers and directors of the general partner, for all expenses incurred on our behalf. In addition, we are required to pay all direct and indirect expenses of the Plains Entities, other than income taxes of any of the PAGP Entities. The reimbursement of expenses and the payment of fees and expenses could adversely affect our ability to make distributions. The general partner has sole discretion to determine the amount of these expenses. In addition, our general partner and its affiliates may provide us with services for which we will be charged reasonable fees as determined by the general partner.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our performance and the establishment of financial reserves.</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levels of financial reserves and working capital borrowings, and not solely on profitability, which is affected by non-cash items.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Series A and Series B preferred unitholders. Therefore, cash distributions might be made during periods when we record losses and might not be made during periods when we record profits.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preferred units have rights, preferences and privileges that are not held by, and are preferential to the rights of, holders of our common units.</w:t>
      </w:r>
    </w:p>
    <w:p>
      <w:pPr>
        <w:spacing w:after="0" w:line="27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Our Series A preferred units and Series B preferred units (together, our “preferred units”) rank senior to all of our other classes or series of equity securities with respect to distribution rights and rights upon liquidation. These preferences could adversely affect the market price for our common units, or could make it more difficult for us to sell our common units in the future.</w:t>
      </w:r>
    </w:p>
    <w:p>
      <w:pPr>
        <w:spacing w:after="0" w:line="20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distributions on the preferred units accrue and are cumulative, at the rate of 8% per annum with respect to our Series A preferred units and 6.125% with respect to our Series B preferred units on the original issue price. Our Series A preferred units are convertible into common units by the holders of such units or by us in certain circumstances. Our Series B preferred units are not convertible into common units, but are redeemable by us in certain circumstances. Our obligation to pay distributions on our preferred units, or on the common units issued following the conversion of our Series A preferred units, could impact our liquidity and reduce the amount of cash flow available for working capital, capital expenditures, growth opportunities, acquisitions, and other general partnership purposes. Our obligations to the holders of preferred units could also limit our ability to obtain additional financing or increase our borrowing costs, which could have an adverse effect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not be able to remove our general partner even if they wish to do so.</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Our general partner manages and operates the Partnership. If unitholders are dissatisfied with the performance of our general partner, they currently have little practical ability to remove our general partner. Our general partner may not be removed except upon the vote of the holders of at least 66</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20"/>
          <w:szCs w:val="20"/>
          <w:color w:val="auto"/>
          <w:vertAlign w:val="subscript"/>
        </w:rPr>
        <w:t>3</w:t>
      </w:r>
      <w:r>
        <w:rPr>
          <w:rFonts w:ascii="Arial" w:cs="Arial" w:eastAsia="Arial" w:hAnsi="Arial"/>
          <w:sz w:val="16"/>
          <w:szCs w:val="16"/>
          <w:color w:val="auto"/>
        </w:rPr>
        <w:t>% of our outstanding units (including units held by our general partner or its affiliates). Because AAP owns approximately 34% of our outstanding common units and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spacing w:after="0" w:line="20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the following provisions of our partnership agreement may discourage a person or group from attempting to remove our general partner or otherwise change our management:</w:t>
      </w:r>
    </w:p>
    <w:p>
      <w:pPr>
        <w:spacing w:after="0" w:line="197" w:lineRule="exact"/>
        <w:rPr>
          <w:sz w:val="20"/>
          <w:szCs w:val="20"/>
          <w:color w:val="auto"/>
        </w:rPr>
      </w:pPr>
    </w:p>
    <w:p>
      <w:pPr>
        <w:ind w:left="980" w:right="200" w:hanging="324"/>
        <w:spacing w:after="0" w:line="264"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except that such shares constituting up to 19.9% of the total shares outstanding may be voted in the election of PAGP GP directors;</w:t>
      </w:r>
    </w:p>
    <w:p>
      <w:pPr>
        <w:spacing w:after="0" w:line="208"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PAGP GP Board is composed of three classes of directors, which limits our unitholders’ ability to make significant changes to the board in any given year; and</w:t>
      </w:r>
    </w:p>
    <w:p>
      <w:pPr>
        <w:spacing w:after="0" w:line="62"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9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a result of these provisions, the price at which our common units will trade may be lower because of the absence or reduction of a takeover premium in the trading price.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common units without unitholder approval, which would dilute a unitholder’s existing ownership interests.</w:t>
      </w:r>
    </w:p>
    <w:p>
      <w:pPr>
        <w:spacing w:after="0" w:line="25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general partner may cause us to issue an unlimited number of common units without unitholder approval (subject to applicable NYSE rules). We may also issue at any time an unlimited number of equity securities ranking junior or senior to the common units without unitholder approval (subject to applicable NYSE rules). The issuance of additional common units or other equity securities of equal or senior rank may have the following effects:</w:t>
      </w:r>
    </w:p>
    <w:p>
      <w:pPr>
        <w:spacing w:after="0" w:line="174"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existing unitholder’s proportionate ownership interest in the Partnership will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52"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 addition, our Series A preferred units are convertible into common units at any time after January 28, 2018 by the holders of such units, or under certain circumstances, at our option. If a substantial portion of the Series A preferred units were converted into common units, common unitholders could experience significant dilution. In addition, if holders of such converted Series A preferred units were to dispose of a substantial portion of these common units in the public market, whether in a single transaction or series of transactions, it could adversely affect the market price for our common units. In addition, these sales, or the possibility that these sales may occur, could make it more difficult for us to sell our common units in the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unitholders to sell their units at an undesirable time or price.</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Unitholders may not have limited liability if a court finds that unitholder actions constitute control of our business and unitholders may have liability to repay distributions under certain circumstances.</w:t>
      </w:r>
    </w:p>
    <w:p>
      <w:pPr>
        <w:spacing w:after="0" w:line="19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5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spacing w:after="0" w:line="214"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Furthermore,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 could arise among our general partner and us or the unitholders.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conflicts may include the following:</w:t>
      </w:r>
    </w:p>
    <w:p>
      <w:pPr>
        <w:spacing w:after="0" w:line="252"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 our partnership agreement, we reimburse the general partner for the costs of managing and for operating the partnership;</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 of cash expenditures, borrowings and reserves in any quarter may affect available cash to pay quarterly distributions to unitholders;</w:t>
      </w:r>
    </w:p>
    <w:p>
      <w:pPr>
        <w:spacing w:after="0" w:line="140" w:lineRule="exact"/>
        <w:rPr>
          <w:rFonts w:ascii="Arial" w:cs="Arial" w:eastAsia="Arial" w:hAnsi="Arial"/>
          <w:sz w:val="16"/>
          <w:szCs w:val="16"/>
          <w:color w:val="auto"/>
        </w:rPr>
      </w:pPr>
    </w:p>
    <w:p>
      <w:pPr>
        <w:ind w:left="980" w:right="140" w:hanging="324"/>
        <w:spacing w:after="0" w:line="273" w:lineRule="auto"/>
        <w:tabs>
          <w:tab w:leader="none" w:pos="97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spacing w:after="0" w:line="70" w:lineRule="exact"/>
        <w:rPr>
          <w:rFonts w:ascii="Arial" w:cs="Arial" w:eastAsia="Arial" w:hAnsi="Arial"/>
          <w:sz w:val="17"/>
          <w:szCs w:val="17"/>
          <w:color w:val="auto"/>
        </w:rPr>
      </w:pPr>
    </w:p>
    <w:p>
      <w:pPr>
        <w:ind w:left="980" w:right="52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general partner would not breach our partnership agreement by exercising its call rights to purchase limited partnership interests or by assigning its call rights to one of its affiliates or to us.</w:t>
      </w:r>
    </w:p>
    <w:p>
      <w:pPr>
        <w:spacing w:after="0" w:line="19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The control of our general partner may be transferred to a third party without unitholder consent. A change of control may result in defaults under certain of our debt instruments and the triggering of payment obligations under compensation arrangements.</w:t>
      </w:r>
    </w:p>
    <w:p>
      <w:pPr>
        <w:spacing w:after="0" w:line="17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ultimate owners of our general partner to directly or indirectly transfer their ownership interest in our general partner to a third party. Any new owner of our general partner would, subject to obtaining any approvals or consents required under the applicable governing documents for the PAGP entities, be able to replace the board of directors and officers with its own choices and to control their decisions and actions.</w:t>
      </w:r>
    </w:p>
    <w:p>
      <w:pPr>
        <w:spacing w:after="0" w:line="21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Debt Securities</w:t>
      </w:r>
    </w:p>
    <w:p>
      <w:pPr>
        <w:spacing w:after="0" w:line="25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w:t>
      </w:r>
    </w:p>
    <w:p>
      <w:pPr>
        <w:spacing w:after="0" w:line="20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debt securities are effectively subordinated to claims of our secured creditors and to any existing and future indebtedness and other obligations of our subsidiaries, including trade payables, other than subsidiaries that may guarantee our debt securities in the future. In the event of the insolvency, bankruptcy, liquidation, reorganization, dissolution or winding up of the business of a subsidiary, other than a subsidiary that may guarantee our debt securities in the future, creditors of that subsidiary would generally have the right to be paid in full before any distribution is made to us or the holders of our debt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27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leverage is significant in relation to our partners’ capital. At December 31, 2019, the face value of our total outstanding long-term debt was approximately $9.2 billion, and the face value of our total outstanding short-term debt was approximately $0.5 billion. We will be prohibited from making cash distributions during an event of default under any of our indebtedness.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21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leverage could have important consequences to investors in our debt securities. We will require substantial cash flow to meet our principal and interest obligations with respect to our debt securities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facilities to service our indebtedness, although the principal amount of our debt securities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20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transfer our debt securities may be limited by the absence of an organized trading market.</w:t>
      </w:r>
    </w:p>
    <w:p>
      <w:pPr>
        <w:spacing w:after="0" w:line="252"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We do not currently intend to apply for listing of our debt securities on any securities exchange or stock market. The liquidity of any market for our debt securities will depend on the number of holders of those debt securities, the interest of securities dealers in making a market in those debt securities and other factors. Accordingly, we can give no assurance as to the development, continuation or liquidity of any market for the debt securities.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 which may restrict our ability to receive funds from such subsidiaries and make payments on our debt securities.</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our debt securities, or to repurchase our debt securities upon the occurrence of a change of control, we may be required to adopt one or more alternatives, such as a refinancing of our debt securities. We can give no assurance that we would be able to refinance our debt securities.</w:t>
      </w: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our debt securities or to repay them at maturity.</w:t>
      </w:r>
    </w:p>
    <w:p>
      <w:pPr>
        <w:spacing w:after="0" w:line="19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Unlike a corporation, our partnership agreement requires us to distribute, on a quarterly basis, 100% of our available cash to our unitholders of record.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98" w:lineRule="exact"/>
        <w:rPr>
          <w:sz w:val="20"/>
          <w:szCs w:val="20"/>
          <w:color w:val="auto"/>
        </w:rPr>
      </w:pPr>
    </w:p>
    <w:p>
      <w:pPr>
        <w:ind w:left="980" w:right="72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comply with applicable law or any loan agreement, security agreement, mortgage, debt instrument or other agreement or obligation;</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provide funds to make payments on the preferred units;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provide funds for distributions to our common unitholders for any one or more of the next four calendar quarters.</w:t>
      </w:r>
    </w:p>
    <w:p>
      <w:pPr>
        <w:spacing w:after="0" w:line="11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256"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b w:val="1"/>
          <w:bCs w:val="1"/>
          <w:i w:val="1"/>
          <w:iCs w:val="1"/>
          <w:color w:val="auto"/>
        </w:rPr>
        <w:t>Our tax treatment depends on our status as a partnership for U.S. federal income tax purposes and not being subject to a material amount of entity-level taxation. If the Internal Revenue Service (“IRS”) were to treat us as a corporation for federal income tax purposes, or we become subject to entity-level taxation for state or foreign tax purposes, our cash available for distributions to our unitholders would be substantially reduced.</w:t>
      </w:r>
    </w:p>
    <w:p>
      <w:pPr>
        <w:spacing w:after="0" w:line="17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anticipated after-tax economic benefit of an investment in our common units depends largely on our being treated as a partnership for federal income tax purposes. A publicly traded partnership such as us may be treated as a corporation for federal income tax purposes unless it satisfies a “qualifying income” requirement, as defined in Section 7704 of the Internal Revenue Code of 1986, as amended. Based upon our current operations and current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16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If we were treated as a corporation for federal income tax purposes, we would pay federal income tax on our taxable income at the corporate tax rate, and would likely pay state income taxes at varying rates. Distributions to our unitholders would generally be taxed again as corporate distributions, and no income, gains, losses or deductions would flow through to our unitholders. Because a tax would be imposed upon us as a corporation, the cash available for distributions to our unitholders would be substantially reduced. Therefore, treatment of us as a corporation would result in a material reduction in cash flow and after-tax return to our unitholders, likely causing a substantial reduction in the value of our common units.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addition, several states have been evaluating ways to subject partnerships to entity-level taxation through the imposition of state income, franchise and other forms of taxation. For example, we are subject to entity-level tax on the portion of our income apportioned to Texas. Imposition of any similar taxes or additional federal or foreign taxes on us will reduce the cash available for distribution to our unitholders.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19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present U.S. federal income tax treatment of publicly traded partnerships, including us, or an investment in our common units may be modified by administrative, legislative or judicial changes or differing interpretations at any time. From time to time, members of Congress have proposed and considered substantive changes to the existing U.S. federal income tax laws that would affect publicly traded partnerships, including a prior legislative proposal that would have eliminated the qualifying income exception to the treatment of all publicly-traded partnerships as corporations upon which we rely for our treatment as a partnership for U.S. federal income tax purposes. For example, the “Clean Energy for America Act,” which is similar to legislation that was commonly proposed during the Obama Administration, was introduced in the Senate on May 2, 2019. If enacted, this proposal would, among other things, repeal the qualifying income exception within Section 7704(d)(1)(E) of the Code upon which we rely for our status as a partnership for U.S. federal income tax purposes.</w:t>
      </w:r>
    </w:p>
    <w:p>
      <w:pPr>
        <w:spacing w:after="0" w:line="21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our ability to qualify as a partnership in the future.</w:t>
      </w:r>
    </w:p>
    <w:p>
      <w:pPr>
        <w:spacing w:after="0" w:line="208" w:lineRule="exact"/>
        <w:rPr>
          <w:sz w:val="20"/>
          <w:szCs w:val="20"/>
          <w:color w:val="auto"/>
        </w:rPr>
      </w:pPr>
    </w:p>
    <w:p>
      <w:pPr>
        <w:ind w:right="80" w:firstLine="729"/>
        <w:spacing w:after="0" w:line="276" w:lineRule="auto"/>
        <w:rPr>
          <w:sz w:val="20"/>
          <w:szCs w:val="20"/>
          <w:color w:val="auto"/>
        </w:rPr>
      </w:pPr>
      <w:r>
        <w:rPr>
          <w:rFonts w:ascii="Arial" w:cs="Arial" w:eastAsia="Arial" w:hAnsi="Arial"/>
          <w:sz w:val="17"/>
          <w:szCs w:val="17"/>
          <w:color w:val="auto"/>
        </w:rPr>
        <w:t>Any modification to the U.S. federal income tax laws and interpretations thereof may or may not be retroactively applied and could make it more difficult or impossible for us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an investment in our common units. You are urged to consult with your own tax advisor with respect to the status of regulatory or administrative developments and proposals and their potential effect on your investment in our common units.</w:t>
      </w:r>
    </w:p>
    <w:p>
      <w:pPr>
        <w:spacing w:after="0" w:line="20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distribution to our unitholders might be substantially reduced.</w:t>
      </w:r>
    </w:p>
    <w:p>
      <w:pPr>
        <w:spacing w:after="0" w:line="20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These rules are not applicable for tax years beginning on or prior to December 31, 2017.</w:t>
      </w:r>
    </w:p>
    <w:p>
      <w:pPr>
        <w:spacing w:after="0" w:line="20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the IRS or Canada Revenue Agency (“CRA”) contests the federal income tax positions or inter-country allocations we take, the market for our common units may be adversely impacted and the cost of any IRS or CRA contest or incremental taxes paid will reduce our cash available for distribution or debt service.</w:t>
      </w:r>
    </w:p>
    <w:p>
      <w:pPr>
        <w:spacing w:after="0" w:line="20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IRS has made no determination as to our status as a partnership for federal income tax purposes or as to any other matter affecting us. The IRS or CRA may adopt positions that differ from the positions we take or challenge the inter-country allocations we make. It may be necessary to resort to administrative or court proceedings to sustain some or all of the positions we take. A court may not agree with some or all of the positions we take. Any contest with the IRS or CRA may materially and adversely impact the market for our common units and the price at which they trade. In addition, our costs of any contest with the IRS or CRA and any incremental taxes required to be paid will be borne indirectly by our unitholders and our general</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partner because the costs will reduce our cash available for distribution or debt service. See Note 15 for additional information regarding CRA challenge of intercompany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unitholders may be required to pay taxes on their share of our income even if they do not receive any cash distributions from us.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Because our unitholders will be treated as partners to whom we will allocate taxable income that could be different in amount than the cash we distribute, they will be required to pay any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gain or loss on the disposition of our common units could be more or less than expected.</w:t>
      </w:r>
    </w:p>
    <w:p>
      <w:pPr>
        <w:spacing w:after="0" w:line="25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If a unitholder sells common units, the unitholder will recognize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2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be subject to limitation on their ability to deduct interest expense incurred by us.</w:t>
      </w:r>
    </w:p>
    <w:p>
      <w:pPr>
        <w:spacing w:after="0" w:line="2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general, we are entitled to a deduction for interest paid or accrued on indebtedness properly allocable to our trade or business during our taxable year. However, under the Tax Cuts and Jobs Act, for taxable years beginning after December 31, 2017,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 and in the case of taxable years beginning before January 1, 2022, any deduction allowable for depreciation, amortization, or depletion to the extent such depreciation, amortization, or depletion is not capitalized into cost of goods sold with respect to inventory. If our “business interest” is subject to limitation under these rules, our unitholders will be limited in their ability to deduct their share of any interest expense that has been allocated to them. As a result, unitholders may be subject to limitation on their ability to deduct interest expense incurred by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entities face unique tax issues from owning our common units that may result in adverse tax consequences to them.</w:t>
      </w:r>
    </w:p>
    <w:p>
      <w:pPr>
        <w:spacing w:after="0" w:line="25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and will be taxable to them. With respect to taxable years beginning after December 31, 2017, subject to the proposed aggregation rules for certain similarly situated businesses or activities issued by the Treasury Department, a tax-exempt entity with more than one unrelated trade or business (including by attribution from investment in a partnership such as ours) is required to compute the unrelated business taxable income of such tax-exempt entity separately with respect to each such trade or business (including for purposes of determining any net operating loss deduction). As a result, for years beginning after December 31, 2017, it may not be possible for tax-exempt entities to utilize losses from an investment in our partnership to offset unrelated business taxable income from another unrelated trade or business and vice versa. Tax-exempt entities should consult a tax advisor before investing in our common units.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unitholders will be subject to U.S. taxes and withholding with respect to their income and gain from owning our units.</w:t>
      </w:r>
    </w:p>
    <w:p>
      <w:pPr>
        <w:spacing w:after="0" w:line="25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Non-U.S. unitholders are generally taxed and subject to income tax filing requirements by the United States on income effectively connected with a U.S. trade or business (“effectively connected income”).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 to the extent the gain is effectively connected with a U.S. trade or business of the Non-U.S. unitholder.</w:t>
      </w:r>
    </w:p>
    <w:p>
      <w:pPr>
        <w:spacing w:after="0" w:line="18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Moreover, the transferee of an interest in a partnership that is engaged in a U.S. trade or business is generally required to withhold 10% of the amount realized by the transferor unless the transferor certifies that it is not a foreign person, and we are required to deduct and withhold from the transferee amounts that should have been withheld by the transferees but were not withheld. Because the “amount realized” includes a partner’s share of the partnership’s liabilities, 10% of the amount realized could exceed the total cash purchase price for the units. However, pending the issuance of final regulations, the IRS has suspended the application of this withholding rule to transfers of publicly traded interests in publicly traded partnerships. If recently promulgated regulations are finalized as proposed, such regulations would provide, with respect to transfers of publicly traded interests in publicly traded partnerships effected through a broker, that the obligation to withhold is imposed on the transferor’s broker and that a partner’s “amount realized” does not include a partner’s share of a publicly traded partnership’s liabilities for purposes of determining the amount subject to withholding. However, it is not clear when such regulations will be finalized and if they will be finalized in their current form. Non-U.S. unitholders should consult a tax advisor before investing in our common units.</w:t>
      </w:r>
    </w:p>
    <w:p>
      <w:pPr>
        <w:spacing w:after="0" w:line="2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19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unitholders will likely be subject to state, local and non-U.S. taxes and return filing requirements in states and jurisdictions where they do not live as a result of investing in our units.</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to U.S. federal income taxes, our unitholders will likely be subject to other taxes, including foreign,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multiple states that currently impose a personal income tax on individuals and an income tax on corporations and other entities. It is our unitholders’ responsibility to file all U.S. federal, state, local and non-U.S. tax returns, as applicable. Unitholders should consult with their own tax advisors regarding the filing of such tax returns, the payment of such taxes, and the deductibility of any taxes paid.</w:t>
      </w:r>
    </w:p>
    <w:p>
      <w:pPr>
        <w:spacing w:after="0" w:line="21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174" w:lineRule="exact"/>
        <w:rPr>
          <w:sz w:val="20"/>
          <w:szCs w:val="20"/>
          <w:color w:val="auto"/>
        </w:rPr>
      </w:pPr>
    </w:p>
    <w:p>
      <w:pPr>
        <w:ind w:right="80" w:firstLine="729"/>
        <w:spacing w:after="0" w:line="279" w:lineRule="auto"/>
        <w:rPr>
          <w:sz w:val="20"/>
          <w:szCs w:val="20"/>
          <w:color w:val="auto"/>
        </w:rPr>
      </w:pPr>
      <w:r>
        <w:rPr>
          <w:rFonts w:ascii="Arial" w:cs="Arial" w:eastAsia="Arial" w:hAnsi="Arial"/>
          <w:sz w:val="17"/>
          <w:szCs w:val="17"/>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many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19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 successful IRS challenge to these methods or allocations could adversely affect the amount, character, and timing of taxable income or loss being allocated to our unitholders. It also could affect the amount of gain from our unitholders’ sale of</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common units and could have a negative impact on the value of the common units or result in audit adjustments to our unitholders’ tax returns without the benefit of additional deductions.</w:t>
      </w:r>
    </w:p>
    <w:p>
      <w:pPr>
        <w:spacing w:after="0" w:line="19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A unitholder whose common units are the subject of a securities loan (e.g., a loan to a “short seller” to cover a short sale of common units) may be considered to have disposed of those common units. If so, such unitholder would no longer be treated for tax purposes as a partner with respect to those common units during the period of the loan and may recognize gain or loss from the disposition.</w:t>
      </w:r>
    </w:p>
    <w:p>
      <w:pPr>
        <w:spacing w:after="0" w:line="193"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Because there are no specific rules governing the federal income tax consequences of loaning a partnership interest, a unitholder whose common units are the subject of a securities loan may be considered to have disposed of the loaned units. In that case, the unitholder may no longer be treated for tax purposes as a partner with respect to those common units during the period of the loan to the short seller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may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common units.</w:t>
      </w:r>
    </w:p>
    <w:p>
      <w:pPr>
        <w:spacing w:after="0" w:line="194"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7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certain deductions for (i) depreciation and amortization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income from our non-U.S. businesses is not eligible for the 20% deduction for qualified publicly traded partnership income.</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Pursuant to the Tax Cuts and Jobs Acts, a unitholder is generally allowed to a deduction equal to 20% of our “qualified publicly traded partnership income” that is allocated to such unitholder. For purposes of the deduction, the term qualified publicly traded partnership income includes the net amount of such unitholder’s allocable share of our income that is effectively connected to our U.S. trade or business activities. Because our non-U.S. business operations earn income that is not effectively connected with a U.S. trade or business, unitholders may not apply the 20% deduction for qualified publicly traded partnership income to that portion of our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Series B Preferred Unitholders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spacing w:after="0" w:line="20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tax treatment of distributions on our Series B Preferred Units is uncertain. We will treat the holders of Series B Preferred Units as partners for tax purposes and will treat distributions on the Series B Preferred Units as guaranteed payments for the use of capital that will generally be taxable to the holders of Series B Preferred Units as ordinary income. A holder of our Series B Preferred Units could recognize taxable income from the accrual of such income even in the absence of a contemporaneous cash distribution. We anticipate accruing and making the guaranteed payment distributions semi-annually on May 15th and November 15th through November 15th, 2022, commencing November 15, 2017, and after November 15, 2022 quarterly on February 15th, May 15th, August 15th and November 15th. Because the guaranteed payment for each unit must accrue as income to a holder during the taxable year of the accrual, the guaranteed payment attributable to the period beginning November 15th and ending December 31st will accrue to the holder of record of a Series B Preferred Unit on December 31st for such period. If you are a taxpayer reporting your income using the accrual method, or using a taxable year other than the</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calendar year, you should consult your tax advisor with respect to the consequences of our guaranteed payment distribution accrual and reporting convention. Otherwise, the holders of Series B Preferred Units are generally not anticipated to share in the partnership’s items of income, gain, loss or deduction, except to the extent necessary to (i) achieve parity with the Series A Preferred Units or (ii) provide, to the extent possible, the Series B Preferred Units with the benefit of the liquidation preference. The Partnership will not allocate any share of our nonrecourse liabilities to the holders of Series B Preferred Units. If the Series B Preferred Units were treated as indebtedness for tax purposes, rather than as guaranteed payments for the use of capital, distributions likely would be treated as payments of interest by us to the holders of Series B Preferred Units.</w:t>
      </w:r>
    </w:p>
    <w:p>
      <w:pPr>
        <w:spacing w:after="0" w:line="20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Although we expect that a substantial portion of the income we earn will be eligible for the 20% deduction for qualified publicly traded partnership income, recently issued final Treasury Regulations provide that income attributable to a guaranteed payment for the use of capital is not eligible for the 20% deduction for qualified business income. As a result, income attributable to a guaranteed payment for use of capital recognized by holders of our Series B Preferred Units is not eligible for the 20% deduction for qualified business income.</w:t>
      </w:r>
    </w:p>
    <w:p>
      <w:pPr>
        <w:spacing w:after="0" w:line="21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 holder of Series B Preferred Units will be required to recognize gain or loss on a sale of Series B Units equal to the difference between the amount realized by such holder and such holder’s tax basis in the Series B Preferred Units. The amount realized generally will equal the sum of the cash and the fair market value of other property such holder receives in exchange for such Series B Preferred Units. Subject to general rules requiring a blended basis among multiple partnership interests, the tax basis of a Series B Preferred Unit will generally be equal to the sum of the cash and the fair market value of other property paid by the holder to acquire such Series B Preferred Unit. Gain or loss recognized by a holder on the sale or exchange of a Series B Preferred Unit held for more than one year generally will be taxable as long-term capital gain or loss. Because holders of Series B Preferred Units will generally not be allocated a share of our items of depreciation, depletion or amortization, it is not anticipated that such holders would be required to recharacterize any portion of their gain as ordinary income as a result of the recapture rules.</w:t>
      </w:r>
    </w:p>
    <w:p>
      <w:pPr>
        <w:spacing w:after="0" w:line="20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Investment in the Series B Preferred Units by tax-exempt investors, such as employee benefit plans and individual retirement accounts, and non-U.S. persons raises issues unique to them. The treatment of guaranteed payments for the use of capital to tax-exempt investors is not certain and such payments may be treated as unrelated business taxable income for U.S. federal income tax purposes. Although the issue is not free from doubt, we will treat a substantial portion of our distributions to non-U.S. holders of the Series B Preferred Units as “effectively connected income” (which will subject holders to U.S. net income taxation and possibly the branch profits tax) that is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holders of our Series B Preferred Units are urged to consult a tax advisor with respect to the consequences of owning our Series B Preferred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this item is included in Note 19 to our Consolidated Financial Statements, and is incorporated herein by reference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34" w:lineRule="exact"/>
        <w:rPr>
          <w:sz w:val="20"/>
          <w:szCs w:val="20"/>
          <w:color w:val="auto"/>
        </w:rPr>
      </w:pPr>
    </w:p>
    <w:p>
      <w:pPr>
        <w:jc w:val="center"/>
        <w:ind w:right="902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Units, Related Unitholder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Distributions</w:t>
      </w:r>
    </w:p>
    <w:p>
      <w:pPr>
        <w:spacing w:after="0" w:line="256" w:lineRule="exact"/>
        <w:rPr>
          <w:sz w:val="20"/>
          <w:szCs w:val="20"/>
          <w:color w:val="auto"/>
        </w:rPr>
      </w:pPr>
    </w:p>
    <w:p>
      <w:pPr>
        <w:ind w:right="820" w:firstLine="648"/>
        <w:spacing w:after="0" w:line="308" w:lineRule="auto"/>
        <w:rPr>
          <w:sz w:val="20"/>
          <w:szCs w:val="20"/>
          <w:color w:val="auto"/>
        </w:rPr>
      </w:pPr>
      <w:r>
        <w:rPr>
          <w:rFonts w:ascii="Arial" w:cs="Arial" w:eastAsia="Arial" w:hAnsi="Arial"/>
          <w:sz w:val="17"/>
          <w:szCs w:val="17"/>
          <w:color w:val="auto"/>
        </w:rPr>
        <w:t>Our common units are listed and traded on the New York Stock Exchange under the symbol “PAA.” As of February 12, 2020, there were 728,050,904 common units outstanding and approximately 108,000 record holders and beneficial owners (held in street name).</w:t>
      </w:r>
    </w:p>
    <w:p>
      <w:pPr>
        <w:spacing w:after="0" w:line="174" w:lineRule="exact"/>
        <w:rPr>
          <w:sz w:val="20"/>
          <w:szCs w:val="20"/>
          <w:color w:val="auto"/>
        </w:rPr>
      </w:pPr>
    </w:p>
    <w:p>
      <w:pPr>
        <w:ind w:right="160" w:firstLine="648"/>
        <w:spacing w:after="0" w:line="293" w:lineRule="auto"/>
        <w:rPr>
          <w:sz w:val="20"/>
          <w:szCs w:val="20"/>
          <w:color w:val="auto"/>
        </w:rPr>
      </w:pPr>
      <w:r>
        <w:rPr>
          <w:rFonts w:ascii="Arial" w:cs="Arial" w:eastAsia="Arial" w:hAnsi="Arial"/>
          <w:sz w:val="17"/>
          <w:szCs w:val="17"/>
          <w:color w:val="auto"/>
        </w:rPr>
        <w:t>The following table presents cash distributions per common unit pertaining to the quarter presented, which were declared and paid in the following calendar quarter (see the “Cash Distribution Policy” section below for a discussion of our policy regarding distribution payments):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First Quarter</w:t>
            </w:r>
          </w:p>
        </w:tc>
        <w:tc>
          <w:tcPr>
            <w:tcW w:w="22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 Quarter</w:t>
            </w:r>
          </w:p>
        </w:tc>
        <w:tc>
          <w:tcPr>
            <w:tcW w:w="240" w:type="dxa"/>
            <w:vAlign w:val="bottom"/>
          </w:tcPr>
          <w:p>
            <w:pPr>
              <w:spacing w:after="0"/>
              <w:rPr>
                <w:sz w:val="16"/>
                <w:szCs w:val="16"/>
                <w:color w:val="auto"/>
              </w:rPr>
            </w:pPr>
          </w:p>
        </w:tc>
        <w:tc>
          <w:tcPr>
            <w:tcW w:w="1440" w:type="dxa"/>
            <w:vAlign w:val="bottom"/>
          </w:tcPr>
          <w:p>
            <w:pPr>
              <w:jc w:val="right"/>
              <w:ind w:right="276"/>
              <w:spacing w:after="0"/>
              <w:rPr>
                <w:sz w:val="20"/>
                <w:szCs w:val="20"/>
                <w:color w:val="auto"/>
              </w:rPr>
            </w:pPr>
            <w:r>
              <w:rPr>
                <w:rFonts w:ascii="Arial" w:cs="Arial" w:eastAsia="Arial" w:hAnsi="Arial"/>
                <w:sz w:val="14"/>
                <w:szCs w:val="14"/>
                <w:b w:val="1"/>
                <w:bCs w:val="1"/>
                <w:color w:val="auto"/>
              </w:rPr>
              <w:t>Fourth Quarter</w:t>
            </w:r>
          </w:p>
        </w:tc>
      </w:tr>
      <w:tr>
        <w:trPr>
          <w:trHeight w:val="250"/>
        </w:trPr>
        <w:tc>
          <w:tcPr>
            <w:tcW w:w="4360" w:type="dxa"/>
            <w:vAlign w:val="bottom"/>
            <w:tcBorders>
              <w:top w:val="single" w:sz="8" w:color="CCEEFF"/>
              <w:bottom w:val="single" w:sz="8" w:color="CCEEFF"/>
            </w:tcBorders>
            <w:shd w:val="clear" w:color="auto" w:fill="CCEEFF"/>
          </w:tcPr>
          <w:p>
            <w:pPr>
              <w:jc w:val="right"/>
              <w:ind w:right="3890"/>
              <w:spacing w:after="0"/>
              <w:rPr>
                <w:sz w:val="20"/>
                <w:szCs w:val="20"/>
                <w:color w:val="auto"/>
              </w:rPr>
            </w:pPr>
            <w:r>
              <w:rPr>
                <w:rFonts w:ascii="Arial" w:cs="Arial" w:eastAsia="Arial" w:hAnsi="Arial"/>
                <w:sz w:val="18"/>
                <w:szCs w:val="18"/>
                <w:b w:val="1"/>
                <w:bCs w:val="1"/>
                <w:color w:val="auto"/>
                <w:w w:val="89"/>
              </w:rPr>
              <w:t>2019</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0.36</w:t>
            </w:r>
          </w:p>
        </w:tc>
      </w:tr>
      <w:tr>
        <w:trPr>
          <w:trHeight w:val="243"/>
        </w:trPr>
        <w:tc>
          <w:tcPr>
            <w:tcW w:w="4360" w:type="dxa"/>
            <w:vAlign w:val="bottom"/>
          </w:tcPr>
          <w:p>
            <w:pPr>
              <w:jc w:val="right"/>
              <w:ind w:right="389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6"/>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0.30</w:t>
            </w:r>
          </w:p>
        </w:tc>
      </w:tr>
    </w:tbl>
    <w:p>
      <w:pPr>
        <w:spacing w:after="0" w:line="36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Our common units are also used as a form of compensation to our employees and PAGP GP directors. See Note 18 to our Consolidated Financial Statements for additional information regarding our equity-indexed compensation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following graph compares the total unitholder return performance of our common units with the performance of: (i) the Standard &amp; Poor’s 500 Stock Index (“S&amp;P 500”) and (ii) the Alerian MLP Index. The Alerian MLP Index is a composite of the most prominent energy master limited partnerships that provides investors with a comprehensive benchmark for this asset class. The graph assumes that $100 was invested in our common units and each comparison index beginning on December 31, 2014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135255</wp:posOffset>
            </wp:positionV>
            <wp:extent cx="5848985" cy="29159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4898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12/31/2018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12/31/2019</w:t>
            </w: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51.45</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S&amp;P 500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101.38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113.51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138.29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132.23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173.86</w:t>
            </w:r>
          </w:p>
        </w:tc>
      </w:tr>
      <w:tr>
        <w:trPr>
          <w:trHeight w:val="27"/>
        </w:trPr>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Alerian MLP Index</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67.41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79.75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74.55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65.29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69.57</w:t>
            </w:r>
          </w:p>
        </w:tc>
      </w:tr>
      <w:tr>
        <w:trPr>
          <w:trHeight w:val="27"/>
        </w:trPr>
        <w:tc>
          <w:tcPr>
            <w:tcW w:w="3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for any quarter ending prior to liquidation, all of our cash and cash equivalents on hand at the end of each quarter less reserves established in the reasonable discretion of our general partner for future requirements to:</w:t>
      </w:r>
    </w:p>
    <w:p>
      <w:pPr>
        <w:spacing w:after="0" w:line="214" w:lineRule="exact"/>
        <w:rPr>
          <w:sz w:val="20"/>
          <w:szCs w:val="20"/>
          <w:color w:val="auto"/>
        </w:rPr>
      </w:pPr>
    </w:p>
    <w:p>
      <w:pPr>
        <w:ind w:left="980" w:right="120" w:hanging="324"/>
        <w:spacing w:after="0" w:line="277"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for the proper conduct of our business and the business of our operating partnerships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comply with applicable law or any loan agreement, security agreement, mortgage, debt instrument or other agreement or obligation; or</w:t>
      </w:r>
    </w:p>
    <w:p>
      <w:pPr>
        <w:spacing w:after="0" w:line="128" w:lineRule="exact"/>
        <w:rPr>
          <w:rFonts w:ascii="Arial" w:cs="Arial" w:eastAsia="Arial" w:hAnsi="Arial"/>
          <w:sz w:val="17"/>
          <w:szCs w:val="17"/>
          <w:color w:val="auto"/>
        </w:rPr>
      </w:pPr>
    </w:p>
    <w:p>
      <w:pPr>
        <w:ind w:left="980" w:right="400" w:hanging="324"/>
        <w:spacing w:after="0" w:line="277"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funds for distributions to our Series A and Series B preferred unitholders or distributions to our common unitholders for any one or more of the next four calendar quarters.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spacing w:after="0" w:line="19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Under the terms of our partnership agreement, our Series A preferred units and our Series B preferred units rank senior to all classes or series of equity securities in us with respect to distribution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56"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The historical financial information below was derived from our audited Consolidated Financial Statements as of December 31, 2019, 2018, 2017, 2016 and 2015 and for the years then ended. The selected financial data should be read in conjunction with Item 7. “Management’s Discussion and Analysis of Financial Condition and Results of Operations,” and the Consolidated Financial Statements, including the notes thereto, in Item 8. “Financial Statements and Supplementary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4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89"/>
              </w:rPr>
              <w:t>2017</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7"/>
                <w:szCs w:val="17"/>
                <w:color w:val="auto"/>
              </w:rPr>
            </w:pPr>
          </w:p>
        </w:tc>
      </w:tr>
      <w:tr>
        <w:trPr>
          <w:trHeight w:val="196"/>
        </w:trPr>
        <w:tc>
          <w:tcPr>
            <w:tcW w:w="4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80" w:type="dxa"/>
            <w:vAlign w:val="bottom"/>
            <w:gridSpan w:val="5"/>
          </w:tcPr>
          <w:p>
            <w:pPr>
              <w:jc w:val="center"/>
              <w:ind w:right="211"/>
              <w:spacing w:after="0"/>
              <w:rPr>
                <w:sz w:val="20"/>
                <w:szCs w:val="20"/>
                <w:color w:val="auto"/>
              </w:rPr>
            </w:pPr>
            <w:r>
              <w:rPr>
                <w:rFonts w:ascii="Arial" w:cs="Arial" w:eastAsia="Arial" w:hAnsi="Arial"/>
                <w:sz w:val="14"/>
                <w:szCs w:val="14"/>
                <w:b w:val="1"/>
                <w:bCs w:val="1"/>
                <w:color w:val="auto"/>
                <w:w w:val="92"/>
              </w:rPr>
              <w:t>(in millions, except per unit data and volumes)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33,669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34,055</w:t>
            </w:r>
          </w:p>
        </w:tc>
        <w:tc>
          <w:tcPr>
            <w:tcW w:w="5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26,223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20,182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23,152</w:t>
            </w:r>
          </w:p>
        </w:tc>
        <w:tc>
          <w:tcPr>
            <w:tcW w:w="6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1,988</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1,262</w:t>
            </w:r>
          </w:p>
        </w:tc>
        <w:tc>
          <w:tcPr>
            <w:tcW w:w="60" w:type="dxa"/>
            <w:vAlign w:val="bottom"/>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2,180</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2,216</w:t>
            </w:r>
          </w:p>
        </w:tc>
        <w:tc>
          <w:tcPr>
            <w:tcW w:w="5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858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730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906</w:t>
            </w:r>
          </w:p>
        </w:tc>
        <w:tc>
          <w:tcPr>
            <w:tcW w:w="6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PAA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2,171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903</w:t>
            </w:r>
          </w:p>
        </w:tc>
        <w:tc>
          <w:tcPr>
            <w:tcW w:w="60" w:type="dxa"/>
            <w:vAlign w:val="bottom"/>
          </w:tcPr>
          <w:p>
            <w:pPr>
              <w:spacing w:after="0"/>
              <w:rPr>
                <w:sz w:val="21"/>
                <w:szCs w:val="21"/>
                <w:color w:val="auto"/>
              </w:rPr>
            </w:pPr>
          </w:p>
        </w:tc>
      </w:tr>
      <w:tr>
        <w:trPr>
          <w:trHeight w:val="216"/>
        </w:trPr>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unit data:</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Basic net income per common unit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2.70</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2.77</w:t>
            </w:r>
          </w:p>
        </w:tc>
        <w:tc>
          <w:tcPr>
            <w:tcW w:w="5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0.96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0.43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0.78</w:t>
            </w:r>
          </w:p>
        </w:tc>
        <w:tc>
          <w:tcPr>
            <w:tcW w:w="6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common unit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2.65</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0.95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0.77</w:t>
            </w:r>
          </w:p>
        </w:tc>
        <w:tc>
          <w:tcPr>
            <w:tcW w:w="60" w:type="dxa"/>
            <w:vAlign w:val="bottom"/>
          </w:tcPr>
          <w:p>
            <w:pPr>
              <w:spacing w:after="0"/>
              <w:rPr>
                <w:sz w:val="21"/>
                <w:szCs w:val="21"/>
                <w:color w:val="auto"/>
              </w:rPr>
            </w:pP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 xml:space="preserve">Declared distributions per common unit </w:t>
            </w:r>
            <w:r>
              <w:rPr>
                <w:rFonts w:ascii="Arial" w:cs="Arial" w:eastAsia="Arial" w:hAnsi="Arial"/>
                <w:sz w:val="23"/>
                <w:szCs w:val="23"/>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1.38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c>
          <w:tcPr>
            <w:tcW w:w="5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1.95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2.65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23"/>
                <w:szCs w:val="23"/>
                <w:color w:val="auto"/>
              </w:rPr>
            </w:pPr>
          </w:p>
        </w:tc>
      </w:tr>
      <w:tr>
        <w:trPr>
          <w:trHeight w:val="270"/>
        </w:trPr>
        <w:tc>
          <w:tcPr>
            <w:tcW w:w="48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Balance sheet data (at end of period):</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15,355</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14,787</w:t>
            </w:r>
          </w:p>
        </w:tc>
        <w:tc>
          <w:tcPr>
            <w:tcW w:w="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14,089</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13,872</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13,474</w:t>
            </w:r>
          </w:p>
        </w:tc>
        <w:tc>
          <w:tcPr>
            <w:tcW w:w="60" w:type="dxa"/>
            <w:vAlign w:val="bottom"/>
          </w:tcPr>
          <w:p>
            <w:pPr>
              <w:spacing w:after="0"/>
              <w:rPr>
                <w:sz w:val="21"/>
                <w:szCs w:val="21"/>
                <w:color w:val="auto"/>
              </w:rPr>
            </w:pP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23"/>
                <w:szCs w:val="23"/>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28,677</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25,511</w:t>
            </w:r>
          </w:p>
        </w:tc>
        <w:tc>
          <w:tcPr>
            <w:tcW w:w="5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25,351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24,210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22,288</w:t>
            </w:r>
          </w:p>
        </w:tc>
        <w:tc>
          <w:tcPr>
            <w:tcW w:w="60" w:type="dxa"/>
            <w:vAlign w:val="bottom"/>
          </w:tcPr>
          <w:p>
            <w:pPr>
              <w:spacing w:after="0"/>
              <w:rPr>
                <w:sz w:val="23"/>
                <w:szCs w:val="23"/>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9,187</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9,183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10,124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10,375</w:t>
            </w:r>
          </w:p>
        </w:tc>
        <w:tc>
          <w:tcPr>
            <w:tcW w:w="60" w:type="dxa"/>
            <w:vAlign w:val="bottom"/>
          </w:tcPr>
          <w:p>
            <w:pPr>
              <w:spacing w:after="0"/>
              <w:rPr>
                <w:sz w:val="21"/>
                <w:szCs w:val="21"/>
                <w:color w:val="auto"/>
              </w:rPr>
            </w:pP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 xml:space="preserve">Long-term operating lease liabilities </w:t>
            </w:r>
            <w:r>
              <w:rPr>
                <w:rFonts w:ascii="Arial" w:cs="Arial" w:eastAsia="Arial" w:hAnsi="Arial"/>
                <w:sz w:val="23"/>
                <w:szCs w:val="23"/>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387</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9,691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9,920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11,839</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11,374</w:t>
            </w:r>
          </w:p>
        </w:tc>
        <w:tc>
          <w:tcPr>
            <w:tcW w:w="60" w:type="dxa"/>
            <w:vAlign w:val="bottom"/>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Partners’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13,195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12,002</w:t>
            </w:r>
          </w:p>
        </w:tc>
        <w:tc>
          <w:tcPr>
            <w:tcW w:w="5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10,958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8,816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7,939</w:t>
            </w:r>
          </w:p>
        </w:tc>
        <w:tc>
          <w:tcPr>
            <w:tcW w:w="6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48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Other data:</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2,499</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1,358</w:t>
            </w:r>
          </w:p>
        </w:tc>
        <w:tc>
          <w:tcPr>
            <w:tcW w:w="60" w:type="dxa"/>
            <w:vAlign w:val="bottom"/>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(1,765)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(813)</w:t>
            </w:r>
          </w:p>
        </w:tc>
        <w:tc>
          <w:tcPr>
            <w:tcW w:w="5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(1,570)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(1,273)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(2,530)</w:t>
            </w:r>
          </w:p>
        </w:tc>
        <w:tc>
          <w:tcPr>
            <w:tcW w:w="6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by/(used in) financing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5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23"/>
                <w:szCs w:val="23"/>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 capital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1,323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289</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1"/>
                <w:szCs w:val="21"/>
                <w:color w:val="auto"/>
              </w:rPr>
            </w:pPr>
          </w:p>
        </w:tc>
      </w:tr>
      <w:tr>
        <w:trPr>
          <w:trHeight w:val="243"/>
        </w:trPr>
        <w:tc>
          <w:tcPr>
            <w:tcW w:w="4840" w:type="dxa"/>
            <w:vAlign w:val="bottom"/>
          </w:tcPr>
          <w:p>
            <w:pPr>
              <w:ind w:left="120"/>
              <w:spacing w:after="0"/>
              <w:rPr>
                <w:sz w:val="20"/>
                <w:szCs w:val="20"/>
                <w:color w:val="auto"/>
              </w:rPr>
            </w:pPr>
            <w:r>
              <w:rPr>
                <w:rFonts w:ascii="Arial" w:cs="Arial" w:eastAsia="Arial" w:hAnsi="Arial"/>
                <w:sz w:val="18"/>
                <w:szCs w:val="18"/>
                <w:color w:val="auto"/>
              </w:rPr>
              <w:t>Expansion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1,340</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1,888</w:t>
            </w:r>
          </w:p>
        </w:tc>
        <w:tc>
          <w:tcPr>
            <w:tcW w:w="5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1,135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1,405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2,170</w:t>
            </w:r>
          </w:p>
        </w:tc>
        <w:tc>
          <w:tcPr>
            <w:tcW w:w="6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Maintenance capital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287</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247</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21"/>
                <w:szCs w:val="21"/>
                <w:color w:val="auto"/>
              </w:rPr>
            </w:pPr>
          </w:p>
        </w:tc>
      </w:tr>
      <w:tr>
        <w:trPr>
          <w:trHeight w:val="878"/>
        </w:trPr>
        <w:tc>
          <w:tcPr>
            <w:tcW w:w="4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200" w:type="dxa"/>
            <w:vAlign w:val="bottom"/>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080" w:type="dxa"/>
            <w:vAlign w:val="bottom"/>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44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1200" w:type="dxa"/>
            <w:vAlign w:val="bottom"/>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4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Volumes </w:t>
            </w:r>
            <w:r>
              <w:rPr>
                <w:rFonts w:ascii="Arial" w:cs="Arial" w:eastAsia="Arial" w:hAnsi="Arial"/>
                <w:sz w:val="23"/>
                <w:szCs w:val="23"/>
                <w:b w:val="1"/>
                <w:bCs w:val="1"/>
                <w:color w:val="auto"/>
                <w:vertAlign w:val="superscript"/>
              </w:rPr>
              <w:t>(3) (4)</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20" w:type="dxa"/>
            <w:vAlign w:val="bottom"/>
          </w:tcPr>
          <w:p>
            <w:pPr>
              <w:ind w:left="140"/>
              <w:spacing w:after="0" w:line="176" w:lineRule="exact"/>
              <w:rPr>
                <w:sz w:val="20"/>
                <w:szCs w:val="20"/>
                <w:color w:val="auto"/>
              </w:rPr>
            </w:pPr>
            <w:r>
              <w:rPr>
                <w:rFonts w:ascii="Arial" w:cs="Arial" w:eastAsia="Arial" w:hAnsi="Arial"/>
                <w:sz w:val="18"/>
                <w:szCs w:val="18"/>
                <w:color w:val="auto"/>
                <w:w w:val="93"/>
              </w:rPr>
              <w:t>Transportation segment (average daily volumes in thousands of</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00"/>
              <w:spacing w:after="0"/>
              <w:rPr>
                <w:sz w:val="20"/>
                <w:szCs w:val="20"/>
                <w:color w:val="auto"/>
              </w:rPr>
            </w:pPr>
            <w:r>
              <w:rPr>
                <w:rFonts w:ascii="Arial" w:cs="Arial" w:eastAsia="Arial" w:hAnsi="Arial"/>
                <w:sz w:val="18"/>
                <w:szCs w:val="18"/>
                <w:color w:val="auto"/>
              </w:rPr>
              <w:t>barrels per day):</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Tariff activities</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1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5,083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4,523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43"/>
        </w:trPr>
        <w:tc>
          <w:tcPr>
            <w:tcW w:w="4920" w:type="dxa"/>
            <w:vAlign w:val="bottom"/>
          </w:tcPr>
          <w:p>
            <w:pPr>
              <w:ind w:left="120"/>
              <w:spacing w:after="0"/>
              <w:rPr>
                <w:sz w:val="20"/>
                <w:szCs w:val="20"/>
                <w:color w:val="auto"/>
              </w:rPr>
            </w:pPr>
            <w:r>
              <w:rPr>
                <w:rFonts w:ascii="Arial" w:cs="Arial" w:eastAsia="Arial" w:hAnsi="Arial"/>
                <w:sz w:val="18"/>
                <w:szCs w:val="18"/>
                <w:color w:val="auto"/>
              </w:rPr>
              <w:t>Trucking</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1440" w:type="dxa"/>
            <w:vAlign w:val="bottom"/>
            <w:gridSpan w:val="3"/>
          </w:tcPr>
          <w:p>
            <w:pPr>
              <w:jc w:val="right"/>
              <w:ind w:right="7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Transportation segment total volumes</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6,893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5,186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4,637</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 segment:</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920" w:type="dxa"/>
            <w:vAlign w:val="bottom"/>
          </w:tcPr>
          <w:p>
            <w:pPr>
              <w:ind w:left="140"/>
              <w:spacing w:after="0" w:line="193" w:lineRule="exact"/>
              <w:rPr>
                <w:sz w:val="20"/>
                <w:szCs w:val="20"/>
                <w:color w:val="auto"/>
              </w:rPr>
            </w:pPr>
            <w:r>
              <w:rPr>
                <w:rFonts w:ascii="Arial" w:cs="Arial" w:eastAsia="Arial" w:hAnsi="Arial"/>
                <w:sz w:val="18"/>
                <w:szCs w:val="18"/>
                <w:color w:val="auto"/>
                <w:w w:val="93"/>
              </w:rPr>
              <w:t>Liquids storage (average monthly capacity in millions of barrels)</w:t>
            </w:r>
          </w:p>
        </w:tc>
        <w:tc>
          <w:tcPr>
            <w:tcW w:w="1200" w:type="dxa"/>
            <w:vAlign w:val="bottom"/>
          </w:tcPr>
          <w:p>
            <w:pPr>
              <w:jc w:val="right"/>
              <w:ind w:right="72"/>
              <w:spacing w:after="0" w:line="193" w:lineRule="exact"/>
              <w:rPr>
                <w:sz w:val="20"/>
                <w:szCs w:val="20"/>
                <w:color w:val="auto"/>
              </w:rPr>
            </w:pPr>
            <w:r>
              <w:rPr>
                <w:rFonts w:ascii="Arial" w:cs="Arial" w:eastAsia="Arial" w:hAnsi="Arial"/>
                <w:sz w:val="18"/>
                <w:szCs w:val="18"/>
                <w:color w:val="auto"/>
              </w:rPr>
              <w:t>110</w:t>
            </w:r>
          </w:p>
        </w:tc>
        <w:tc>
          <w:tcPr>
            <w:tcW w:w="10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Arial" w:cs="Arial" w:eastAsia="Arial" w:hAnsi="Arial"/>
                <w:sz w:val="18"/>
                <w:szCs w:val="18"/>
                <w:color w:val="auto"/>
              </w:rPr>
              <w:t>109</w:t>
            </w:r>
          </w:p>
        </w:tc>
        <w:tc>
          <w:tcPr>
            <w:tcW w:w="1440" w:type="dxa"/>
            <w:vAlign w:val="bottom"/>
            <w:gridSpan w:val="3"/>
          </w:tcPr>
          <w:p>
            <w:pPr>
              <w:jc w:val="right"/>
              <w:ind w:right="70"/>
              <w:spacing w:after="0" w:line="193"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72"/>
              <w:spacing w:after="0" w:line="193"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6"/>
                <w:szCs w:val="16"/>
                <w:color w:val="auto"/>
              </w:rPr>
            </w:pPr>
          </w:p>
        </w:tc>
        <w:tc>
          <w:tcPr>
            <w:tcW w:w="1200" w:type="dxa"/>
            <w:vAlign w:val="bottom"/>
          </w:tcPr>
          <w:p>
            <w:pPr>
              <w:jc w:val="right"/>
              <w:ind w:right="72"/>
              <w:spacing w:after="0" w:line="19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18"/>
        </w:trPr>
        <w:tc>
          <w:tcPr>
            <w:tcW w:w="4920" w:type="dxa"/>
            <w:vAlign w:val="bottom"/>
          </w:tcPr>
          <w:p>
            <w:pPr>
              <w:ind w:left="300"/>
              <w:spacing w:after="0" w:line="118" w:lineRule="exact"/>
              <w:rPr>
                <w:sz w:val="20"/>
                <w:szCs w:val="20"/>
                <w:color w:val="auto"/>
              </w:rPr>
            </w:pPr>
            <w:r>
              <w:rPr>
                <w:rFonts w:ascii="Arial" w:cs="Arial" w:eastAsia="Arial" w:hAnsi="Arial"/>
                <w:sz w:val="12"/>
                <w:szCs w:val="12"/>
                <w:color w:val="auto"/>
              </w:rPr>
              <w:t>(5)</w:t>
            </w:r>
          </w:p>
        </w:tc>
        <w:tc>
          <w:tcPr>
            <w:tcW w:w="1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shd w:val="clear" w:color="auto" w:fill="CCEEFF"/>
          </w:tcPr>
          <w:p>
            <w:pPr>
              <w:ind w:left="140"/>
              <w:spacing w:after="0" w:line="142" w:lineRule="exact"/>
              <w:rPr>
                <w:sz w:val="20"/>
                <w:szCs w:val="20"/>
                <w:color w:val="auto"/>
              </w:rPr>
            </w:pPr>
            <w:r>
              <w:rPr>
                <w:rFonts w:ascii="Arial" w:cs="Arial" w:eastAsia="Arial" w:hAnsi="Arial"/>
                <w:sz w:val="16"/>
                <w:szCs w:val="16"/>
                <w:color w:val="auto"/>
              </w:rPr>
              <w:t>Natural gas storage (average monthly working capacity in</w:t>
            </w:r>
          </w:p>
        </w:tc>
        <w:tc>
          <w:tcPr>
            <w:tcW w:w="12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40" w:type="dxa"/>
            <w:vAlign w:val="bottom"/>
            <w:gridSpan w:val="3"/>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billions of cubic feet)</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4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140"/>
              <w:spacing w:after="0" w:line="163" w:lineRule="exact"/>
              <w:rPr>
                <w:sz w:val="20"/>
                <w:szCs w:val="20"/>
                <w:color w:val="auto"/>
              </w:rPr>
            </w:pPr>
            <w:r>
              <w:rPr>
                <w:rFonts w:ascii="Arial" w:cs="Arial" w:eastAsia="Arial" w:hAnsi="Arial"/>
                <w:sz w:val="18"/>
                <w:szCs w:val="18"/>
                <w:color w:val="auto"/>
                <w:w w:val="94"/>
              </w:rPr>
              <w:t>NGL fractionation (average volumes in thousands of barrels per</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920" w:type="dxa"/>
            <w:vAlign w:val="bottom"/>
            <w:vMerge w:val="continue"/>
          </w:tcPr>
          <w:p>
            <w:pPr>
              <w:spacing w:after="0"/>
              <w:rPr>
                <w:sz w:val="10"/>
                <w:szCs w:val="10"/>
                <w:color w:val="auto"/>
              </w:rPr>
            </w:pPr>
          </w:p>
        </w:tc>
        <w:tc>
          <w:tcPr>
            <w:tcW w:w="1200" w:type="dxa"/>
            <w:vAlign w:val="bottom"/>
            <w:vMerge w:val="restart"/>
          </w:tcPr>
          <w:p>
            <w:pPr>
              <w:jc w:val="right"/>
              <w:ind w:right="7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1440" w:type="dxa"/>
            <w:vAlign w:val="bottom"/>
            <w:gridSpan w:val="3"/>
            <w:vMerge w:val="restart"/>
          </w:tcPr>
          <w:p>
            <w:pPr>
              <w:jc w:val="right"/>
              <w:ind w:right="7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0"/>
                <w:szCs w:val="10"/>
                <w:color w:val="auto"/>
              </w:rPr>
            </w:pPr>
          </w:p>
        </w:tc>
        <w:tc>
          <w:tcPr>
            <w:tcW w:w="1200" w:type="dxa"/>
            <w:vAlign w:val="bottom"/>
            <w:vMerge w:val="restart"/>
          </w:tcPr>
          <w:p>
            <w:pPr>
              <w:jc w:val="right"/>
              <w:ind w:right="7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4920" w:type="dxa"/>
            <w:vAlign w:val="bottom"/>
          </w:tcPr>
          <w:p>
            <w:pPr>
              <w:ind w:left="300"/>
              <w:spacing w:after="0" w:line="202" w:lineRule="exact"/>
              <w:rPr>
                <w:sz w:val="20"/>
                <w:szCs w:val="20"/>
                <w:color w:val="auto"/>
              </w:rPr>
            </w:pPr>
            <w:r>
              <w:rPr>
                <w:rFonts w:ascii="Arial" w:cs="Arial" w:eastAsia="Arial" w:hAnsi="Arial"/>
                <w:sz w:val="18"/>
                <w:szCs w:val="18"/>
                <w:color w:val="auto"/>
              </w:rPr>
              <w:t>day)</w:t>
            </w: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shd w:val="clear" w:color="auto" w:fill="CCEEFF"/>
          </w:tcPr>
          <w:p>
            <w:pPr>
              <w:ind w:left="220"/>
              <w:spacing w:after="0" w:line="142" w:lineRule="exact"/>
              <w:rPr>
                <w:sz w:val="20"/>
                <w:szCs w:val="20"/>
                <w:color w:val="auto"/>
              </w:rPr>
            </w:pPr>
            <w:r>
              <w:rPr>
                <w:rFonts w:ascii="Arial" w:cs="Arial" w:eastAsia="Arial" w:hAnsi="Arial"/>
                <w:sz w:val="16"/>
                <w:szCs w:val="16"/>
                <w:color w:val="auto"/>
              </w:rPr>
              <w:t>Facilities segment total volumes (average monthly volumes in</w:t>
            </w:r>
          </w:p>
        </w:tc>
        <w:tc>
          <w:tcPr>
            <w:tcW w:w="12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40" w:type="dxa"/>
            <w:vAlign w:val="bottom"/>
            <w:gridSpan w:val="3"/>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millions of barrels)</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4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Supply and Logistics segment (average daily volumes in thousands</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barrels per day):</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20"/>
              <w:spacing w:after="0"/>
              <w:rPr>
                <w:sz w:val="20"/>
                <w:szCs w:val="20"/>
                <w:color w:val="auto"/>
              </w:rPr>
            </w:pPr>
            <w:r>
              <w:rPr>
                <w:rFonts w:ascii="Arial" w:cs="Arial" w:eastAsia="Arial" w:hAnsi="Arial"/>
                <w:sz w:val="18"/>
                <w:szCs w:val="18"/>
                <w:color w:val="auto"/>
              </w:rPr>
              <w:t>Crude oil lease gathering purchases</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1,054</w:t>
            </w:r>
          </w:p>
        </w:tc>
        <w:tc>
          <w:tcPr>
            <w:tcW w:w="1440" w:type="dxa"/>
            <w:vAlign w:val="bottom"/>
            <w:gridSpan w:val="3"/>
          </w:tcPr>
          <w:p>
            <w:pPr>
              <w:jc w:val="right"/>
              <w:ind w:right="7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NGL sales</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64"/>
        </w:trPr>
        <w:tc>
          <w:tcPr>
            <w:tcW w:w="4920" w:type="dxa"/>
            <w:vAlign w:val="bottom"/>
          </w:tcPr>
          <w:p>
            <w:pPr>
              <w:ind w:left="220"/>
              <w:spacing w:after="0"/>
              <w:rPr>
                <w:sz w:val="20"/>
                <w:szCs w:val="20"/>
                <w:color w:val="auto"/>
              </w:rPr>
            </w:pPr>
            <w:r>
              <w:rPr>
                <w:rFonts w:ascii="Arial" w:cs="Arial" w:eastAsia="Arial" w:hAnsi="Arial"/>
                <w:sz w:val="18"/>
                <w:szCs w:val="18"/>
                <w:color w:val="auto"/>
              </w:rPr>
              <w:t>Supply and Logistics segment total volumes</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60" w:hanging="11"/>
        <w:spacing w:after="0" w:line="277" w:lineRule="auto"/>
        <w:rPr>
          <w:sz w:val="20"/>
          <w:szCs w:val="20"/>
          <w:color w:val="auto"/>
        </w:rPr>
      </w:pPr>
      <w:r>
        <w:rPr>
          <w:rFonts w:ascii="Arial" w:cs="Arial" w:eastAsia="Arial" w:hAnsi="Arial"/>
          <w:sz w:val="18"/>
          <w:szCs w:val="18"/>
          <w:color w:val="auto"/>
        </w:rPr>
        <w:t>Represents cash distributions declared and paid per unit during the year presented. See Note 12 to our Consolidated Financial Statements for further discussion regarding our distributions.</w:t>
      </w:r>
    </w:p>
    <w:p>
      <w:pPr>
        <w:spacing w:after="0" w:line="62" w:lineRule="exact"/>
        <w:rPr>
          <w:sz w:val="20"/>
          <w:szCs w:val="20"/>
          <w:color w:val="auto"/>
        </w:rPr>
      </w:pPr>
    </w:p>
    <w:p>
      <w:pPr>
        <w:ind w:left="20" w:right="240" w:hanging="11"/>
        <w:spacing w:after="0" w:line="264" w:lineRule="auto"/>
        <w:rPr>
          <w:sz w:val="20"/>
          <w:szCs w:val="20"/>
          <w:color w:val="auto"/>
        </w:rPr>
      </w:pPr>
      <w:r>
        <w:rPr>
          <w:rFonts w:ascii="Arial" w:cs="Arial" w:eastAsia="Arial" w:hAnsi="Arial"/>
          <w:sz w:val="18"/>
          <w:szCs w:val="18"/>
          <w:color w:val="auto"/>
        </w:rPr>
        <w:t xml:space="preserve">On January 1, 2019, we adopted Accounting Standards Update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using the optional transitional method. Prior period amounts have not been adjusted and continue to be reported in accordance with our historic accounting under Accounting Standards Codification Topic 840.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Average volumes are calculated as the total volumes (attributable to our interest) for the year divided by the number of days or months in the year.</w:t>
      </w:r>
    </w:p>
    <w:p>
      <w:pPr>
        <w:spacing w:after="0" w:line="140" w:lineRule="exact"/>
        <w:rPr>
          <w:sz w:val="20"/>
          <w:szCs w:val="20"/>
          <w:color w:val="auto"/>
        </w:rPr>
      </w:pPr>
    </w:p>
    <w:p>
      <w:pPr>
        <w:ind w:left="20" w:right="160" w:hanging="11"/>
        <w:spacing w:after="0" w:line="259" w:lineRule="auto"/>
        <w:rPr>
          <w:sz w:val="20"/>
          <w:szCs w:val="20"/>
          <w:color w:val="auto"/>
        </w:rPr>
      </w:pPr>
      <w:r>
        <w:rPr>
          <w:rFonts w:ascii="Arial" w:cs="Arial" w:eastAsia="Arial" w:hAnsi="Arial"/>
          <w:sz w:val="18"/>
          <w:szCs w:val="18"/>
          <w:color w:val="auto"/>
        </w:rPr>
        <w:t>Facilities segment total volumes is calculated as the sum of: (i) liquids storage capacity; (ii) natural gas storage working capacity divided by 6 to account for the 6:1 thousand cubic feet (“mcf”) of natural gas to crude British thermal unit (“Btu”) equivalent ratio and further divided by 1,000 to convert to monthly volumes in millions; and (iii) NGL fractionation volumes multiplied by the number of days in the year and divided by the number of months in the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200" w:lineRule="exact"/>
        <w:rPr>
          <w:sz w:val="20"/>
          <w:szCs w:val="20"/>
          <w:color w:val="auto"/>
        </w:rPr>
      </w:pPr>
    </w:p>
    <w:p>
      <w:pPr>
        <w:sectPr>
          <w:pgSz w:w="11900" w:h="16838" w:orient="portrait"/>
          <w:cols w:equalWidth="0" w:num="2">
            <w:col w:w="140" w:space="500"/>
            <w:col w:w="10720"/>
          </w:cols>
          <w:pgMar w:left="240" w:top="125"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52"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Outlook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Operations—Analysis of Operating Segments” for further discussion.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Net income for the year ended December 31, 2019 of $2.180 billion was relatively flat compared to net income of $2.216 billion recognized for the year ended December 31, 2018. The significant items impacting income for the comparative period included:</w:t>
      </w:r>
    </w:p>
    <w:p>
      <w:pPr>
        <w:spacing w:after="0" w:line="197" w:lineRule="exact"/>
        <w:rPr>
          <w:sz w:val="20"/>
          <w:szCs w:val="20"/>
          <w:color w:val="auto"/>
        </w:rPr>
      </w:pPr>
    </w:p>
    <w:p>
      <w:pPr>
        <w:ind w:left="980" w:right="40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Favorable results from our Supply and Logistics segment due to the realization of favorable crude oil differentials, primarily in the Permian Basin and Canada, and higher NGL margins;</w:t>
      </w:r>
    </w:p>
    <w:p>
      <w:pPr>
        <w:spacing w:after="0" w:line="197"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Favorable results from our Transportation segment, primarily from our pipelines in the Permian Basin region, driven by higher volumes from increased production and our recently completed capital expansion projects;</w:t>
      </w:r>
    </w:p>
    <w:p>
      <w:pPr>
        <w:spacing w:after="0" w:line="197"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decrease in income tax expense primarily due to lower year-over-year income as impacted by fluctuations in the derivative mark-to-market valuations in our Canadian operations;</w:t>
      </w:r>
    </w:p>
    <w:p>
      <w:pPr>
        <w:spacing w:after="0" w:line="197" w:lineRule="exact"/>
        <w:rPr>
          <w:rFonts w:ascii="Arial" w:cs="Arial" w:eastAsia="Arial" w:hAnsi="Arial"/>
          <w:sz w:val="18"/>
          <w:szCs w:val="18"/>
          <w:color w:val="auto"/>
        </w:rPr>
      </w:pPr>
    </w:p>
    <w:p>
      <w:pPr>
        <w:ind w:left="980" w:right="100" w:hanging="324"/>
        <w:spacing w:after="0" w:line="286" w:lineRule="auto"/>
        <w:tabs>
          <w:tab w:leader="none" w:pos="97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non-cash gain of $269 million recognized during the 2019 period related to a fair value adjustment resulting from the accounting for the contribution of our undivided joint interest in the Capline pipeline system for an equity interest in Capline Pipeline Company LLC compared to a gain of $200 million recognized in 2018 related to the sale of a portion of our interest in BridgeTex Pipeline Company LLC;</w:t>
      </w:r>
    </w:p>
    <w:p>
      <w:pPr>
        <w:spacing w:after="0" w:line="192" w:lineRule="exact"/>
        <w:rPr>
          <w:rFonts w:ascii="Arial" w:cs="Arial" w:eastAsia="Arial" w:hAnsi="Arial"/>
          <w:sz w:val="17"/>
          <w:szCs w:val="17"/>
          <w:color w:val="auto"/>
        </w:rPr>
      </w:pPr>
    </w:p>
    <w:p>
      <w:pPr>
        <w:ind w:left="980" w:right="64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unfavorable impact of the mark-to-market of certain derivative instruments, resulting from gains recognized during the 2018 period compared to losses recognized in the 2019 period;</w:t>
      </w:r>
    </w:p>
    <w:p>
      <w:pPr>
        <w:spacing w:after="0" w:line="19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unfavorable impact of a net loss on asset sales and asset impairments of $28 million in 2019 compared to a net gain of $114 million in 2018; and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26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Higher depreciation and amortization expense in 2019 primarily due to the additional depreciation expense associated with the completion of various capital expansion projects.</w:t>
      </w:r>
    </w:p>
    <w:p>
      <w:pPr>
        <w:spacing w:after="0" w:line="197"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See further discussion of our operating results in the “—Results of Operations—Analysis of Operating Segments” and “—Other Income and Expenses” sections below. See the “Outlook—Market Overview and Outlook” section below for a discussion of the market and our current outlook.</w:t>
      </w:r>
    </w:p>
    <w:p>
      <w:pPr>
        <w:spacing w:after="0" w:line="15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invested approximately $1.3 billion in expansion capital during 2019, primarily related to projects under development in the Permian Basin. See the “—Acquisitions, Capital Projects and Divestitures” section below for additional information.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paid approximately $1.2 billion of cash distributions to our common unitholders and our Series A and B preferred unitholders during 2019.</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Leverage Reduction Plan Completion and Financial Policy Update</w:t>
      </w:r>
    </w:p>
    <w:p>
      <w:pPr>
        <w:spacing w:after="0" w:line="25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August 2017, we announced that we were implementing an action plan to strengthen our balance sheet, reduce leverage, enhance our distribution coverage, minimize new issuances of common equity and position the Partnership for future distribution growth. The action plan (“Leverage Reduction Plan”), which was endorsed by the PAGP GP Board, included our intent to achieve certain objectives. During 2017 and 2018, we made meaningful progress in executing our Leverage Reduction Plan and in April 2019, we announced our achievement of the remaining objectives. Concurrent with the completion of the Leverage Reduction Plan, we completed a review of our approach to our capital allocation process, targeted leverage metrics and distribution management policies. As part of the April 2019 announcement, we provided several updates regarding our financial policy, including the following actions:</w:t>
      </w:r>
    </w:p>
    <w:p>
      <w:pPr>
        <w:spacing w:after="0" w:line="19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Lowering our targeted long-term debt to Adjusted EBITDA leverage ratio by 0.5x to a range of 3.0x to 3.5x;</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Establishing a long-term sustainable minimum annual distribution coverage level of 130% underpinned by predominantly fee-based cash flows; and</w:t>
      </w:r>
    </w:p>
    <w:p>
      <w:pPr>
        <w:spacing w:after="0" w:line="275" w:lineRule="exact"/>
        <w:rPr>
          <w:rFonts w:ascii="Arial" w:cs="Arial" w:eastAsia="Arial" w:hAnsi="Arial"/>
          <w:sz w:val="16"/>
          <w:szCs w:val="16"/>
          <w:color w:val="auto"/>
        </w:rPr>
      </w:pPr>
    </w:p>
    <w:p>
      <w:pPr>
        <w:ind w:left="660" w:right="440" w:hanging="328"/>
        <w:spacing w:after="0" w:line="308"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adoption of an annual cycle for setting the common unit distribution level and intention to increase common unit distributions in the future contingent on achieving and maintaining targeted leverage and coverage ratios and subject to an annual review process.</w:t>
      </w:r>
    </w:p>
    <w:p>
      <w:pPr>
        <w:spacing w:after="0" w:line="17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These actions reflect our dedication to optimizing sustainable unitholder value while also preserving and enhancing our financial flexibility, further reducing leverage and improving our credit profile, with an objective of achieving mid-BBB equivalent credit ratings over time. Consistent with those objectives, we announced that we intend to continue to focus on activities to enhance investment returns and reinforce capital discipline through asset optimization, joint ventures, potential divestitures and similar arrangements.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Capital Projects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Projects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completed a number of acquisitions and capital projects in 2019, 2018 and 2017 that have impacted our results of operations. The following table summarizes our expenditures for acquisition capital, expansion capital and maintenance capital for such periods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3940" w:type="dxa"/>
            <w:vAlign w:val="bottom"/>
            <w:tcBorders>
              <w:bottom w:val="single" w:sz="8" w:color="CCEEFF"/>
            </w:tcBorders>
          </w:tcPr>
          <w:p>
            <w:pPr>
              <w:spacing w:after="0"/>
              <w:rPr>
                <w:sz w:val="17"/>
                <w:szCs w:val="17"/>
                <w:color w:val="auto"/>
              </w:rPr>
            </w:pPr>
          </w:p>
        </w:tc>
        <w:tc>
          <w:tcPr>
            <w:tcW w:w="26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r>
      <w:tr>
        <w:trPr>
          <w:trHeight w:val="27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(1) (2)</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1,323</w:t>
            </w:r>
          </w:p>
        </w:tc>
      </w:tr>
      <w:tr>
        <w:trPr>
          <w:trHeight w:val="27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3"/>
                <w:szCs w:val="23"/>
                <w:color w:val="auto"/>
                <w:vertAlign w:val="superscript"/>
              </w:rPr>
              <w:t>(1) (3)</w:t>
            </w:r>
          </w:p>
        </w:tc>
        <w:tc>
          <w:tcPr>
            <w:tcW w:w="880" w:type="dxa"/>
            <w:vAlign w:val="bottom"/>
          </w:tcPr>
          <w:p>
            <w:pPr>
              <w:spacing w:after="0"/>
              <w:rPr>
                <w:sz w:val="23"/>
                <w:szCs w:val="23"/>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1,340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1,135</w:t>
            </w:r>
          </w:p>
        </w:tc>
      </w:tr>
      <w:tr>
        <w:trPr>
          <w:trHeight w:val="27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(3)</w:t>
            </w:r>
          </w:p>
        </w:tc>
        <w:tc>
          <w:tcPr>
            <w:tcW w:w="8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247</w:t>
            </w:r>
          </w:p>
        </w:tc>
      </w:tr>
      <w:tr>
        <w:trPr>
          <w:trHeight w:val="237"/>
        </w:trPr>
        <w:tc>
          <w:tcPr>
            <w:tcW w:w="39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1,677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2,705</w:t>
            </w:r>
          </w:p>
        </w:tc>
      </w:tr>
      <w:tr>
        <w:trPr>
          <w:trHeight w:val="27"/>
        </w:trPr>
        <w:tc>
          <w:tcPr>
            <w:tcW w:w="39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3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26"/>
        </w:trPr>
        <w:tc>
          <w:tcPr>
            <w:tcW w:w="3940" w:type="dxa"/>
            <w:vAlign w:val="bottom"/>
            <w:tcBorders>
              <w:bottom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hanging="11"/>
        <w:spacing w:after="0" w:line="264" w:lineRule="auto"/>
        <w:rPr>
          <w:sz w:val="20"/>
          <w:szCs w:val="20"/>
          <w:color w:val="auto"/>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73" w:lineRule="exact"/>
        <w:rPr>
          <w:sz w:val="20"/>
          <w:szCs w:val="20"/>
          <w:color w:val="auto"/>
        </w:rPr>
      </w:pPr>
    </w:p>
    <w:p>
      <w:pPr>
        <w:ind w:right="20" w:hanging="11"/>
        <w:spacing w:after="0" w:line="277" w:lineRule="auto"/>
        <w:rPr>
          <w:sz w:val="20"/>
          <w:szCs w:val="20"/>
          <w:color w:val="auto"/>
        </w:rPr>
      </w:pPr>
      <w:r>
        <w:rPr>
          <w:rFonts w:ascii="Arial" w:cs="Arial" w:eastAsia="Arial" w:hAnsi="Arial"/>
          <w:sz w:val="18"/>
          <w:szCs w:val="18"/>
          <w:color w:val="auto"/>
        </w:rPr>
        <w:t>Acquisition capital for 2017 primarily includes the Alpha Crude Connector Gathering System acquisition completed in February 2017. See Note 7 to our Consolidated Financial Statements for additional information on acquisitions.</w:t>
      </w:r>
    </w:p>
    <w:p>
      <w:pPr>
        <w:spacing w:after="0" w:line="62" w:lineRule="exact"/>
        <w:rPr>
          <w:sz w:val="20"/>
          <w:szCs w:val="20"/>
          <w:color w:val="auto"/>
        </w:rPr>
      </w:pPr>
    </w:p>
    <w:p>
      <w:pPr>
        <w:jc w:val="both"/>
        <w:ind w:right="440" w:hanging="11"/>
        <w:spacing w:after="0" w:line="264"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Capital Projects</w:t>
      </w:r>
    </w:p>
    <w:p>
      <w:pPr>
        <w:spacing w:after="0" w:line="200" w:lineRule="exact"/>
        <w:rPr>
          <w:sz w:val="20"/>
          <w:szCs w:val="20"/>
          <w:color w:val="auto"/>
        </w:rPr>
      </w:pPr>
    </w:p>
    <w:p>
      <w:pPr>
        <w:sectPr>
          <w:pgSz w:w="11900" w:h="16838" w:orient="portrait"/>
          <w:cols w:equalWidth="0" w:num="2">
            <w:col w:w="140" w:space="520"/>
            <w:col w:w="10740"/>
          </w:cols>
          <w:pgMar w:left="240" w:top="125" w:right="259" w:bottom="1440" w:gutter="0" w:footer="0" w:header="0"/>
          <w:type w:val="continuous"/>
        </w:sectPr>
      </w:pPr>
    </w:p>
    <w:p>
      <w:pPr>
        <w:spacing w:after="0" w:line="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2019 projects primarily included the construction and expansion of pipeline systems and storage and terminal facilities. The following table summarizes our 2019, 2018 and 2017 projects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7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Complementary Permian Basin Projects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217</w:t>
            </w:r>
          </w:p>
        </w:tc>
      </w:tr>
      <w:tr>
        <w:trPr>
          <w:trHeight w:val="270"/>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 xml:space="preserve">Permian Basin Takeaway Pipeline Projects </w:t>
            </w:r>
            <w:r>
              <w:rPr>
                <w:rFonts w:ascii="Arial" w:cs="Arial" w:eastAsia="Arial" w:hAnsi="Arial"/>
                <w:sz w:val="23"/>
                <w:szCs w:val="23"/>
                <w:color w:val="auto"/>
                <w:vertAlign w:val="superscript"/>
              </w:rPr>
              <w:t>(1) (2)</w:t>
            </w:r>
          </w:p>
        </w:tc>
        <w:tc>
          <w:tcPr>
            <w:tcW w:w="34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59</w:t>
            </w:r>
          </w:p>
        </w:tc>
      </w:tr>
      <w:tr>
        <w:trPr>
          <w:trHeight w:val="27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Other Long-Haul Pipeline Projects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r>
      <w:tr>
        <w:trPr>
          <w:trHeight w:val="270"/>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 xml:space="preserve">Selected Facilities Projects </w:t>
            </w:r>
            <w:r>
              <w:rPr>
                <w:rFonts w:ascii="Arial" w:cs="Arial" w:eastAsia="Arial" w:hAnsi="Arial"/>
                <w:sz w:val="23"/>
                <w:szCs w:val="23"/>
                <w:color w:val="auto"/>
                <w:vertAlign w:val="superscript"/>
              </w:rPr>
              <w:t>(1) (3)</w:t>
            </w:r>
          </w:p>
        </w:tc>
        <w:tc>
          <w:tcPr>
            <w:tcW w:w="34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134</w:t>
            </w:r>
          </w:p>
        </w:tc>
      </w:tr>
      <w:tr>
        <w:trPr>
          <w:trHeight w:val="250"/>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Diamond Pipeline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318</w:t>
            </w:r>
          </w:p>
        </w:tc>
      </w:tr>
      <w:tr>
        <w:trPr>
          <w:trHeight w:val="243"/>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Other Projects</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392</w:t>
            </w: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8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1,888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1,135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240" w:hanging="11"/>
        <w:spacing w:after="0" w:line="277" w:lineRule="auto"/>
        <w:rPr>
          <w:sz w:val="20"/>
          <w:szCs w:val="20"/>
          <w:color w:val="auto"/>
        </w:rPr>
      </w:pPr>
      <w:r>
        <w:rPr>
          <w:rFonts w:ascii="Arial" w:cs="Arial" w:eastAsia="Arial" w:hAnsi="Arial"/>
          <w:sz w:val="18"/>
          <w:szCs w:val="18"/>
          <w:color w:val="auto"/>
        </w:rPr>
        <w:t>These projects will continue into 2020. See “—Liquidity and Capital Resources—Acquisitions, Investments, Expansion Capital Expenditures and Divestitures —2020 Capital Projects.”</w:t>
      </w:r>
    </w:p>
    <w:p>
      <w:pPr>
        <w:spacing w:after="0" w:line="62" w:lineRule="exact"/>
        <w:rPr>
          <w:sz w:val="20"/>
          <w:szCs w:val="20"/>
          <w:color w:val="auto"/>
        </w:rPr>
      </w:pPr>
    </w:p>
    <w:p>
      <w:pPr>
        <w:ind w:left="20" w:right="180" w:hanging="11"/>
        <w:spacing w:after="0" w:line="277" w:lineRule="auto"/>
        <w:rPr>
          <w:sz w:val="20"/>
          <w:szCs w:val="20"/>
          <w:color w:val="auto"/>
        </w:rPr>
      </w:pPr>
      <w:r>
        <w:rPr>
          <w:rFonts w:ascii="Arial" w:cs="Arial" w:eastAsia="Arial" w:hAnsi="Arial"/>
          <w:sz w:val="18"/>
          <w:szCs w:val="18"/>
          <w:color w:val="auto"/>
        </w:rPr>
        <w:t>Represents pipeline projects with takeaway capacity out of the Permian Basin, including (i) our 65% interest in the Cactus II Pipeline, (ii) our 16% interest in Wink to Webster Pipeline and (iii) our Sunrise expansion.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Includes projects at our St. James, Fort Saskatchewan and Cushing terminals.</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expansion capital programs consist of investments in midstream infrastructure projects that build upon our core assets and operations. For the years presented, substantially all of the expansion capital was invested in our fee-based Transportation and Facilities segments. The majority of this expansion capital consists of highly-contracted projects that complement our broader system capabilities and support the long-term needs of the upstream and downstream sectors of the industry value chain.</w:t>
      </w:r>
    </w:p>
    <w:p>
      <w:pPr>
        <w:spacing w:after="0" w:line="214"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We currently expect to spend approximately $1.4 billion for expansion capital in 2020. See “—Liquidity and Capital Resources—Acquisitions, Investments, Expansion Capital Expenditures and Divestitures —2020 Capital Projects” and “Outlook—Market Overview and Outlook”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continually evaluate potential sales of non-core assets and/or sales of partial interests in assets to strategic joint venture partners. The following table summarizes the proceeds received for sales of such assets, which were previously reported in our Transportation and Facilities segments, during the years ended December 31, 2019, 2018 and 2017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3940" w:type="dxa"/>
            <w:vAlign w:val="bottom"/>
            <w:tcBorders>
              <w:bottom w:val="single" w:sz="8" w:color="CCEEFF"/>
            </w:tcBorders>
          </w:tcPr>
          <w:p>
            <w:pPr>
              <w:spacing w:after="0"/>
              <w:rPr>
                <w:sz w:val="17"/>
                <w:szCs w:val="17"/>
                <w:color w:val="auto"/>
              </w:rPr>
            </w:pPr>
          </w:p>
        </w:tc>
        <w:tc>
          <w:tcPr>
            <w:tcW w:w="25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70"/>
        </w:trPr>
        <w:tc>
          <w:tcPr>
            <w:tcW w:w="6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Proceeds from divestitures </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1,334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1,083</w:t>
            </w:r>
          </w:p>
        </w:tc>
      </w:tr>
      <w:tr>
        <w:trPr>
          <w:trHeight w:val="432"/>
        </w:trPr>
        <w:tc>
          <w:tcPr>
            <w:tcW w:w="3940" w:type="dxa"/>
            <w:vAlign w:val="bottom"/>
            <w:tcBorders>
              <w:bottom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100" w:hanging="652"/>
        <w:spacing w:after="0" w:line="227" w:lineRule="auto"/>
        <w:tabs>
          <w:tab w:leader="none" w:pos="648"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Includes proceeds from our formation of Red River Pipeline Company LLC in May 2019. See Note 12 to our Consolidated Financial Statements for additional information.</w:t>
      </w:r>
    </w:p>
    <w:p>
      <w:pPr>
        <w:spacing w:after="0" w:line="33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Proceeds from asset sales were used to fund our expansion capital program and reduce debt levels. See “—Liquidity and Capital Resources” for additional discussion of our divestiture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20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believe that the assumptions, judgments and estimates involved in the accounting for our (i) estimated fair value of assets and liabilities acquired and identification of associated goodwill and intangible assets, (ii) impairment assessments of goodwill and intangible assets, (iii) fair value of derivatives,</w:t>
      </w:r>
    </w:p>
    <w:p>
      <w:pPr>
        <w:ind w:right="60" w:firstLine="8"/>
        <w:spacing w:after="0" w:line="271" w:lineRule="auto"/>
        <w:tabs>
          <w:tab w:leader="none" w:pos="30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accruals and contingent liabilities, (v) equity-indexed compensation plan accruals, (vi) property and equipment, depreciation and amortization expense, asset retirement obligations and impairments, (vii) allowance for doubtful accounts and (viii)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further as follows. For further information on all of our significant accounting policies, see Note 2 to our Consolidated Financial Statements.</w:t>
      </w:r>
    </w:p>
    <w:p>
      <w:pPr>
        <w:spacing w:after="0" w:line="206"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Fair Value of Assets and Liabilities Acquired and Identification of Associated Goodwill and Intangible Assets. </w:t>
      </w:r>
      <w:r>
        <w:rPr>
          <w:rFonts w:ascii="Arial" w:cs="Arial" w:eastAsia="Arial" w:hAnsi="Arial"/>
          <w:sz w:val="17"/>
          <w:szCs w:val="17"/>
          <w:color w:val="auto"/>
        </w:rPr>
        <w:t>In accordance with FASB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spacing w:after="0" w:line="20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 party assessments.</w:t>
      </w:r>
    </w:p>
    <w:p>
      <w:pPr>
        <w:spacing w:after="0" w:line="208"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i w:val="1"/>
          <w:iCs w:val="1"/>
          <w:color w:val="auto"/>
        </w:rPr>
        <w:t xml:space="preserve">Impairment Assessments of Goodwill and Intangible Assets. </w:t>
      </w:r>
      <w:r>
        <w:rPr>
          <w:rFonts w:ascii="Arial" w:cs="Arial" w:eastAsia="Arial" w:hAnsi="Arial"/>
          <w:sz w:val="18"/>
          <w:szCs w:val="18"/>
          <w:color w:val="auto"/>
        </w:rPr>
        <w:t>Goodwill and intangible assets with indefinite lives are not amortized but are instead</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periodically assessed for impairment. See Note 8 to our Consolidated Financial Statements for further discussion of goodwill. Intangible assets with finite lives are amortized over their estimated useful life as determined by management.</w:t>
      </w:r>
    </w:p>
    <w:p>
      <w:pPr>
        <w:spacing w:after="0" w:line="20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Impairment testing entails estimating future net cash flows relating to the business, based on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19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 xml:space="preserve">Fair Value of Derivatives. </w:t>
      </w:r>
      <w:r>
        <w:rPr>
          <w:rFonts w:ascii="Arial" w:cs="Arial" w:eastAsia="Arial" w:hAnsi="Arial"/>
          <w:sz w:val="17"/>
          <w:szCs w:val="17"/>
          <w:color w:val="auto"/>
        </w:rPr>
        <w:t>The fair value of a derivative at a particular period end does not reflect the end results of a particular transaction, and will</w:t>
      </w:r>
      <w:r>
        <w:rPr>
          <w:rFonts w:ascii="Arial" w:cs="Arial" w:eastAsia="Arial" w:hAnsi="Arial"/>
          <w:sz w:val="17"/>
          <w:szCs w:val="17"/>
          <w:i w:val="1"/>
          <w:iCs w:val="1"/>
          <w:color w:val="auto"/>
        </w:rPr>
        <w:t xml:space="preserve"> </w:t>
      </w:r>
      <w:r>
        <w:rPr>
          <w:rFonts w:ascii="Arial" w:cs="Arial" w:eastAsia="Arial" w:hAnsi="Arial"/>
          <w:sz w:val="17"/>
          <w:szCs w:val="17"/>
          <w:color w:val="auto"/>
        </w:rPr>
        <w:t>most likely not reflect the gain or loss at the conclusion of a transaction. We reflect estimates for these items based on our internal records and information from third parties. We have commodity derivatives, interest rate derivatives and foreign currency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197"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We also have embedded derivatives that are recorded at fair value on our Consolidated Balance Sheets. These embedded derivatives are valued using models that contain inputs, some of which involve management judgment.</w:t>
      </w:r>
    </w:p>
    <w:p>
      <w:pPr>
        <w:spacing w:after="0" w:line="1" w:lineRule="exact"/>
        <w:rPr>
          <w:sz w:val="20"/>
          <w:szCs w:val="20"/>
          <w:color w:val="auto"/>
        </w:rPr>
      </w:pPr>
    </w:p>
    <w:p>
      <w:pPr>
        <w:ind w:right="400" w:firstLine="648"/>
        <w:spacing w:after="0" w:line="254" w:lineRule="auto"/>
        <w:rPr>
          <w:sz w:val="20"/>
          <w:szCs w:val="20"/>
          <w:color w:val="auto"/>
        </w:rPr>
      </w:pPr>
      <w:r>
        <w:rPr>
          <w:rFonts w:ascii="Arial" w:cs="Arial" w:eastAsia="Arial" w:hAnsi="Arial"/>
          <w:sz w:val="18"/>
          <w:szCs w:val="18"/>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13 to our Consolidated Financial Statements for a discussion regarding our derivatives and risk management activities.</w:t>
      </w:r>
    </w:p>
    <w:p>
      <w:pPr>
        <w:spacing w:after="0" w:line="21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i w:val="1"/>
          <w:iCs w:val="1"/>
          <w:color w:val="auto"/>
        </w:rPr>
        <w:t xml:space="preserve">Accruals and Contingent Liabilities. </w:t>
      </w:r>
      <w:r>
        <w:rPr>
          <w:rFonts w:ascii="Arial" w:cs="Arial" w:eastAsia="Arial" w:hAnsi="Arial"/>
          <w:sz w:val="16"/>
          <w:szCs w:val="16"/>
          <w:color w:val="auto"/>
        </w:rPr>
        <w:t>We record accruals or liabilities for, among other things, environmental remediation, natural resource damage</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assessments, governmental fines and penalties, potential legal claims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$14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9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 xml:space="preserve">Equity-Indexed Compensation Plan Accruals. </w:t>
      </w:r>
      <w:r>
        <w:rPr>
          <w:rFonts w:ascii="Arial" w:cs="Arial" w:eastAsia="Arial" w:hAnsi="Arial"/>
          <w:sz w:val="16"/>
          <w:szCs w:val="16"/>
          <w:color w:val="auto"/>
        </w:rPr>
        <w:t>We accrue compensation expense (referred to herein as equity-indexed compensation expense) for</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equity-indexed compensation awards. Under GAAP, we are required to estimate the fair value of our outstanding equity-indexed compensation awards and recognize that fair value as compensation expense over the service period. For equity-indexed compensation awards that contain a performance condition, the fair value of the award is recognized as equity-indexed compensation expense only if the attainment of the performance condition is considered probable. Uncertainties involved in this estimate include future levels of four quarter trailing distributable cash flow (“DCF”) per common unit (or in some instances, per common unit and common equivalent unit) and whether or not a performance condition will be attained. In addition, the common unit price at the end of each period (and at the time of vesting) will impact the amount of compensation expense recorded in each period for certain awards. We cannot provide assurance that the actual fair value of our equity-indexed compensation awards will not vary significantly from estimated amounts.</w:t>
      </w:r>
    </w:p>
    <w:p>
      <w:pPr>
        <w:spacing w:after="0" w:line="19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recognized equity-indexed compensation expense of $34 million, $79 million and $41 million in 2019, 2018 and 2017, respectively, related to awards granted under our various equity-indexed compensation plans. A hypothetical variance of 5% in our aggregate estimate for the equity-indexed compensation expense would have an impact on our total costs and expenses of less than 1%. See Note 18 to our Consolidated Financial Statements for a discussion regarding our equity-indexed compensation plans.</w:t>
      </w:r>
    </w:p>
    <w:p>
      <w:pPr>
        <w:spacing w:after="0" w:line="21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i w:val="1"/>
          <w:iCs w:val="1"/>
          <w:color w:val="auto"/>
        </w:rPr>
        <w:t xml:space="preserve">Property and Equipment, Depreciation and Amortization Expense, Asset Retirement Obligations and Impairments. </w:t>
      </w:r>
      <w:r>
        <w:rPr>
          <w:rFonts w:ascii="Arial" w:cs="Arial" w:eastAsia="Arial" w:hAnsi="Arial"/>
          <w:sz w:val="16"/>
          <w:szCs w:val="16"/>
          <w:color w:val="auto"/>
        </w:rPr>
        <w:t>We compute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using the straight-line method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9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87"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an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5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addition, when we evaluate property and equipment and other long-lived assets for recoverability, it may also be necessary to review related depreciation estimates and methods.</w:t>
      </w:r>
    </w:p>
    <w:p>
      <w:pPr>
        <w:spacing w:after="0" w:line="197"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A change in our outlook or use could result in impairments that may be material to our results of operations or financial condition. See the “— Outlook— Market Overview and Outlook” section below and Note 6 to our Consolidated Financial Statements for additional information.</w:t>
      </w:r>
    </w:p>
    <w:p>
      <w:pPr>
        <w:spacing w:after="0" w:line="17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perform credit evaluations of our customers and grant credit based on past payment history,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anticipated industry conditions. Customer payments are regularly monitored and a provision for doubtful accounts is established based on specific situations and overall industry conditions. Our history of bad debt losses has been minimal (less than $2 million in the aggregate over the years ended December 31, 2019, 2018 and 2017) and generally limited to specific customer circumstances; however, credit risks can change suddenly and without notice. See Note 2 to our Consolidated Financial Statements for additional discussion.</w:t>
      </w:r>
    </w:p>
    <w:p>
      <w:pPr>
        <w:spacing w:after="0" w:line="21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Inventory Valuations. </w:t>
      </w:r>
      <w:r>
        <w:rPr>
          <w:rFonts w:ascii="Arial" w:cs="Arial" w:eastAsia="Arial" w:hAnsi="Arial"/>
          <w:sz w:val="18"/>
          <w:szCs w:val="18"/>
          <w:color w:val="auto"/>
        </w:rPr>
        <w:t>Inventory, including long-term inventory, primarily consists of crude oil and NGL and is valued at the lower of cost or net</w:t>
      </w:r>
      <w:r>
        <w:rPr>
          <w:rFonts w:ascii="Arial" w:cs="Arial" w:eastAsia="Arial" w:hAnsi="Arial"/>
          <w:sz w:val="18"/>
          <w:szCs w:val="18"/>
          <w:i w:val="1"/>
          <w:iCs w:val="1"/>
          <w:color w:val="auto"/>
        </w:rPr>
        <w:t xml:space="preserve"> </w:t>
      </w:r>
      <w:r>
        <w:rPr>
          <w:rFonts w:ascii="Arial" w:cs="Arial" w:eastAsia="Arial" w:hAnsi="Arial"/>
          <w:sz w:val="18"/>
          <w:szCs w:val="18"/>
          <w:color w:val="auto"/>
        </w:rPr>
        <w:t>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2019, 2018 and 2017, we recorded charges of $11 million, $8 million and $35 million, respectively, related to the valuation adjustment of our crude oil inventory due to declines in prices. See Note 5 to our Consolidated Financial Statements for further discussion regarding inventory.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See Note 2 to our Consolidated Financial Statements for information regarding the effect of recent accounting pronouncements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an overview of our consolidated financial results calculated in accordance with GAAP (in millions, except per unit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89"/>
              </w:rPr>
              <w:t>Variance</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2019-2018</w:t>
            </w: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2018-2017</w:t>
            </w: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Transportation Segment Adjusted EBITDA </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1,722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1,508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1,287</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700" w:type="dxa"/>
            <w:vAlign w:val="bottom"/>
          </w:tcPr>
          <w:p>
            <w:pPr>
              <w:ind w:left="20"/>
              <w:spacing w:after="0"/>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3"/>
                <w:szCs w:val="23"/>
                <w:color w:val="auto"/>
                <w:vertAlign w:val="superscript"/>
              </w:rPr>
              <w:t>(1)</w:t>
            </w:r>
          </w:p>
        </w:tc>
        <w:tc>
          <w:tcPr>
            <w:tcW w:w="220" w:type="dxa"/>
            <w:vAlign w:val="bottom"/>
          </w:tcPr>
          <w:p>
            <w:pPr>
              <w:spacing w:after="0"/>
              <w:rPr>
                <w:sz w:val="23"/>
                <w:szCs w:val="23"/>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734</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76"/>
        </w:trPr>
        <w:tc>
          <w:tcPr>
            <w:tcW w:w="3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Supply and Logistics Segment Adjusted</w:t>
            </w: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60</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unconsolidated entities</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3700" w:type="dxa"/>
            <w:vAlign w:val="bottom"/>
          </w:tcPr>
          <w:p>
            <w:pPr>
              <w:ind w:left="120"/>
              <w:spacing w:after="0"/>
              <w:rPr>
                <w:sz w:val="20"/>
                <w:szCs w:val="20"/>
                <w:color w:val="auto"/>
              </w:rPr>
            </w:pPr>
            <w:r>
              <w:rPr>
                <w:rFonts w:ascii="Arial" w:cs="Arial" w:eastAsia="Arial" w:hAnsi="Arial"/>
                <w:sz w:val="18"/>
                <w:szCs w:val="18"/>
                <w:color w:val="auto"/>
              </w:rPr>
              <w:t>Selected items impacting comparability -</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20"/>
              <w:spacing w:after="0"/>
              <w:rPr>
                <w:sz w:val="20"/>
                <w:szCs w:val="20"/>
                <w:color w:val="auto"/>
              </w:rPr>
            </w:pPr>
            <w:r>
              <w:rPr>
                <w:rFonts w:ascii="Arial" w:cs="Arial" w:eastAsia="Arial" w:hAnsi="Arial"/>
                <w:sz w:val="18"/>
                <w:szCs w:val="18"/>
                <w:color w:val="auto"/>
              </w:rPr>
              <w:t>Segment Adjusted EBITDA</w:t>
            </w:r>
          </w:p>
        </w:tc>
        <w:tc>
          <w:tcPr>
            <w:tcW w:w="22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33</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Gains/(losses) on asset sales and asset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impairments, net</w:t>
            </w:r>
          </w:p>
        </w:tc>
        <w:tc>
          <w:tcPr>
            <w:tcW w:w="22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investment in unconsolidated entities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(510)</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700" w:type="dxa"/>
            <w:vAlign w:val="bottom"/>
          </w:tcPr>
          <w:p>
            <w:pPr>
              <w:ind w:left="120"/>
              <w:spacing w:after="0"/>
              <w:rPr>
                <w:sz w:val="20"/>
                <w:szCs w:val="20"/>
                <w:color w:val="auto"/>
              </w:rPr>
            </w:pPr>
            <w:r>
              <w:rPr>
                <w:rFonts w:ascii="Arial" w:cs="Arial" w:eastAsia="Arial" w:hAnsi="Arial"/>
                <w:sz w:val="18"/>
                <w:szCs w:val="18"/>
                <w:color w:val="auto"/>
              </w:rPr>
              <w:t>Net income attributable to noncontrolling</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20"/>
              <w:spacing w:after="0"/>
              <w:rPr>
                <w:sz w:val="20"/>
                <w:szCs w:val="20"/>
                <w:color w:val="auto"/>
              </w:rPr>
            </w:pPr>
            <w:r>
              <w:rPr>
                <w:rFonts w:ascii="Arial" w:cs="Arial" w:eastAsia="Arial" w:hAnsi="Arial"/>
                <w:sz w:val="18"/>
                <w:szCs w:val="18"/>
                <w:color w:val="auto"/>
              </w:rPr>
              <w:t>interests</w:t>
            </w:r>
          </w:p>
        </w:tc>
        <w:tc>
          <w:tcPr>
            <w:tcW w:w="22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PAA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2,171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2,216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856</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common unit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0.96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Diluted net income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0.95</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717</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Diluted weighted average common units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718</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117" w:lineRule="exact"/>
        <w:rPr>
          <w:sz w:val="20"/>
          <w:szCs w:val="20"/>
          <w:color w:val="auto"/>
        </w:rPr>
      </w:pPr>
    </w:p>
    <w:p>
      <w:pPr>
        <w:ind w:left="660" w:right="320" w:hanging="652"/>
        <w:spacing w:after="0" w:line="238" w:lineRule="auto"/>
        <w:tabs>
          <w:tab w:leader="none" w:pos="648"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Segment Adjusted EBITDA is the measure of segment performance that is utilized by our Chief Operating Decision Maker (“CODM”) to assess performance and allocate resources among our operating segments. This measure is adjusted for certain items, including those that our CODM believes impact comparability of results across periods. See Note 21 to our Consolidated Financial Statements for additional discussion of such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and gains and losses on significant asset sales by, unconsolidated entities), gains and losses on asset sales and asset impairments and gains on investments in unconsolidated entities, adjusted for certain selected items impacting comparability (“Adjusted EBITDA”) and Implied DCF.</w:t>
      </w:r>
    </w:p>
    <w:p>
      <w:pPr>
        <w:spacing w:after="0" w:line="20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214"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and Implied DCF are reconciled to Net Income, the most directly comparable measure as reported in accordance with GAAP, and should be viewed in addition to, and not in lieu of, our Consolidated Financial Statements and accompanying notes.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these non-GAAP financial performance measures from Net Income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Variance</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7"/>
          </w:tcPr>
          <w:p>
            <w:pPr>
              <w:jc w:val="right"/>
              <w:ind w:right="531"/>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2019-2018</w:t>
            </w:r>
          </w:p>
        </w:tc>
        <w:tc>
          <w:tcPr>
            <w:tcW w:w="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2018-2017</w:t>
            </w: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7"/>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Add/(Subtract):</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432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44</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20" w:type="dxa"/>
            <w:vAlign w:val="bottom"/>
          </w:tcPr>
          <w:p>
            <w:pPr>
              <w:ind w:left="120"/>
              <w:spacing w:after="0"/>
              <w:rPr>
                <w:sz w:val="20"/>
                <w:szCs w:val="20"/>
                <w:color w:val="auto"/>
              </w:rPr>
            </w:pPr>
            <w:r>
              <w:rPr>
                <w:rFonts w:ascii="Arial" w:cs="Arial" w:eastAsia="Arial" w:hAnsi="Arial"/>
                <w:sz w:val="18"/>
                <w:szCs w:val="18"/>
                <w:color w:val="auto"/>
                <w:w w:val="91"/>
              </w:rPr>
              <w:t>(Gains)/losses on asset sales and asset impairments, net</w:t>
            </w:r>
          </w:p>
        </w:tc>
        <w:tc>
          <w:tcPr>
            <w:tcW w:w="180" w:type="dxa"/>
            <w:vAlign w:val="bottom"/>
          </w:tcPr>
          <w:p>
            <w:pPr>
              <w:spacing w:after="0"/>
              <w:rPr>
                <w:sz w:val="21"/>
                <w:szCs w:val="21"/>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109</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1"/>
              </w:rPr>
              <w:t>(205) %</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investment in unconsolidated entities</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76"/>
        </w:trPr>
        <w:tc>
          <w:tcPr>
            <w:tcW w:w="4320" w:type="dxa"/>
            <w:vAlign w:val="bottom"/>
          </w:tcPr>
          <w:p>
            <w:pPr>
              <w:ind w:left="140"/>
              <w:spacing w:after="0" w:line="176" w:lineRule="exact"/>
              <w:rPr>
                <w:sz w:val="20"/>
                <w:szCs w:val="20"/>
                <w:color w:val="auto"/>
              </w:rPr>
            </w:pPr>
            <w:r>
              <w:rPr>
                <w:rFonts w:ascii="Arial" w:cs="Arial" w:eastAsia="Arial" w:hAnsi="Arial"/>
                <w:sz w:val="18"/>
                <w:szCs w:val="18"/>
                <w:color w:val="auto"/>
              </w:rPr>
              <w:t>Depreciation and amortization of unconsolidated</w:t>
            </w:r>
          </w:p>
        </w:tc>
        <w:tc>
          <w:tcPr>
            <w:tcW w:w="180" w:type="dxa"/>
            <w:vAlign w:val="bottom"/>
          </w:tcPr>
          <w:p>
            <w:pPr>
              <w:spacing w:after="0"/>
              <w:rPr>
                <w:sz w:val="15"/>
                <w:szCs w:val="15"/>
                <w:color w:val="auto"/>
              </w:rPr>
            </w:pPr>
          </w:p>
        </w:tc>
        <w:tc>
          <w:tcPr>
            <w:tcW w:w="700" w:type="dxa"/>
            <w:vAlign w:val="bottom"/>
            <w:vMerge w:val="restart"/>
          </w:tcPr>
          <w:p>
            <w:pPr>
              <w:jc w:val="right"/>
              <w:ind w:right="7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7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ind w:right="51"/>
              <w:spacing w:after="0"/>
              <w:rPr>
                <w:sz w:val="20"/>
                <w:szCs w:val="20"/>
                <w:color w:val="auto"/>
              </w:rPr>
            </w:pPr>
            <w:r>
              <w:rPr>
                <w:rFonts w:ascii="Arial" w:cs="Arial" w:eastAsia="Arial" w:hAnsi="Arial"/>
                <w:sz w:val="18"/>
                <w:szCs w:val="18"/>
                <w:color w:val="auto"/>
              </w:rPr>
              <w:t>45</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5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restart"/>
          </w:tcPr>
          <w:p>
            <w:pPr>
              <w:jc w:val="right"/>
              <w:ind w:right="7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entities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Selected Items Impacting Comparability:</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360"/>
              <w:spacing w:after="0" w:line="176" w:lineRule="exact"/>
              <w:rPr>
                <w:sz w:val="20"/>
                <w:szCs w:val="20"/>
                <w:color w:val="auto"/>
              </w:rPr>
            </w:pPr>
            <w:r>
              <w:rPr>
                <w:rFonts w:ascii="Arial" w:cs="Arial" w:eastAsia="Arial" w:hAnsi="Arial"/>
                <w:sz w:val="18"/>
                <w:szCs w:val="18"/>
                <w:color w:val="auto"/>
              </w:rPr>
              <w:t>(Gains)/losses from derivative activities net of</w:t>
            </w:r>
          </w:p>
        </w:tc>
        <w:tc>
          <w:tcPr>
            <w:tcW w:w="180" w:type="dxa"/>
            <w:vAlign w:val="bottom"/>
          </w:tcPr>
          <w:p>
            <w:pPr>
              <w:spacing w:after="0"/>
              <w:rPr>
                <w:sz w:val="15"/>
                <w:szCs w:val="15"/>
                <w:color w:val="auto"/>
              </w:rPr>
            </w:pPr>
          </w:p>
        </w:tc>
        <w:tc>
          <w:tcPr>
            <w:tcW w:w="700" w:type="dxa"/>
            <w:vAlign w:val="bottom"/>
            <w:vMerge w:val="restart"/>
          </w:tcPr>
          <w:p>
            <w:pPr>
              <w:jc w:val="right"/>
              <w:ind w:right="7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8"/>
                <w:szCs w:val="18"/>
                <w:color w:val="auto"/>
              </w:rPr>
              <w:t>(46)</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51"/>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restart"/>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inventory valuation adjustments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360"/>
              <w:spacing w:after="0" w:line="176" w:lineRule="exact"/>
              <w:rPr>
                <w:sz w:val="20"/>
                <w:szCs w:val="20"/>
                <w:color w:val="auto"/>
              </w:rPr>
            </w:pPr>
            <w:r>
              <w:rPr>
                <w:rFonts w:ascii="Arial" w:cs="Arial" w:eastAsia="Arial" w:hAnsi="Arial"/>
                <w:sz w:val="18"/>
                <w:szCs w:val="18"/>
                <w:color w:val="auto"/>
                <w:w w:val="97"/>
              </w:rPr>
              <w:t>Deficiencies under minimum volume commitments,</w:t>
            </w:r>
          </w:p>
        </w:tc>
        <w:tc>
          <w:tcPr>
            <w:tcW w:w="180" w:type="dxa"/>
            <w:vAlign w:val="bottom"/>
          </w:tcPr>
          <w:p>
            <w:pPr>
              <w:spacing w:after="0"/>
              <w:rPr>
                <w:sz w:val="15"/>
                <w:szCs w:val="15"/>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ind w:right="51"/>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restart"/>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net </w:t>
            </w:r>
            <w:r>
              <w:rPr>
                <w:rFonts w:ascii="Arial" w:cs="Arial" w:eastAsia="Arial" w:hAnsi="Arial"/>
                <w:sz w:val="23"/>
                <w:szCs w:val="23"/>
                <w:color w:val="auto"/>
                <w:vertAlign w:val="superscript"/>
              </w:rPr>
              <w:t>(4)</w:t>
            </w: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60"/>
              <w:spacing w:after="0"/>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180" w:type="dxa"/>
            <w:vAlign w:val="bottom"/>
          </w:tcPr>
          <w:p>
            <w:pPr>
              <w:spacing w:after="0"/>
              <w:rPr>
                <w:sz w:val="23"/>
                <w:szCs w:val="23"/>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60"/>
              <w:spacing w:after="0"/>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(8)</w:t>
            </w:r>
          </w:p>
        </w:tc>
        <w:tc>
          <w:tcPr>
            <w:tcW w:w="18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Selected Items Impacting Comparability - Segment</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60"/>
              <w:spacing w:after="0"/>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3"/>
                <w:szCs w:val="23"/>
                <w:color w:val="auto"/>
                <w:vertAlign w:val="superscript"/>
              </w:rPr>
              <w:t>(2)</w:t>
            </w:r>
          </w:p>
        </w:tc>
        <w:tc>
          <w:tcPr>
            <w:tcW w:w="18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360"/>
              <w:spacing w:after="0" w:line="176" w:lineRule="exact"/>
              <w:rPr>
                <w:sz w:val="20"/>
                <w:szCs w:val="20"/>
                <w:color w:val="auto"/>
              </w:rPr>
            </w:pPr>
            <w:r>
              <w:rPr>
                <w:rFonts w:ascii="Arial" w:cs="Arial" w:eastAsia="Arial" w:hAnsi="Arial"/>
                <w:sz w:val="18"/>
                <w:szCs w:val="18"/>
                <w:color w:val="auto"/>
              </w:rPr>
              <w:t>Net loss on early repayment of senior</w:t>
            </w:r>
          </w:p>
        </w:tc>
        <w:tc>
          <w:tcPr>
            <w:tcW w:w="180" w:type="dxa"/>
            <w:vAlign w:val="bottom"/>
          </w:tcPr>
          <w:p>
            <w:pPr>
              <w:spacing w:after="0"/>
              <w:rPr>
                <w:sz w:val="15"/>
                <w:szCs w:val="15"/>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00" w:type="dxa"/>
            <w:vAlign w:val="bottom"/>
            <w:vMerge w:val="restart"/>
          </w:tcPr>
          <w:p>
            <w:pPr>
              <w:jc w:val="right"/>
              <w:ind w:right="51"/>
              <w:spacing w:after="0"/>
              <w:rPr>
                <w:sz w:val="20"/>
                <w:szCs w:val="20"/>
                <w:color w:val="auto"/>
              </w:rPr>
            </w:pPr>
            <w:r>
              <w:rPr>
                <w:rFonts w:ascii="Arial" w:cs="Arial" w:eastAsia="Arial" w:hAnsi="Arial"/>
                <w:sz w:val="18"/>
                <w:szCs w:val="18"/>
                <w:color w:val="auto"/>
              </w:rPr>
              <w:t>40</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3"/>
            <w:vMerge w:val="restart"/>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restart"/>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line="230" w:lineRule="exact"/>
              <w:rPr>
                <w:sz w:val="20"/>
                <w:szCs w:val="20"/>
                <w:color w:val="auto"/>
              </w:rPr>
            </w:pPr>
            <w:r>
              <w:rPr>
                <w:rFonts w:ascii="Arial" w:cs="Arial" w:eastAsia="Arial" w:hAnsi="Arial"/>
                <w:sz w:val="18"/>
                <w:szCs w:val="18"/>
                <w:color w:val="auto"/>
              </w:rPr>
              <w:t xml:space="preserve">notes </w:t>
            </w:r>
            <w:r>
              <w:rPr>
                <w:rFonts w:ascii="Arial" w:cs="Arial" w:eastAsia="Arial" w:hAnsi="Arial"/>
                <w:sz w:val="23"/>
                <w:szCs w:val="23"/>
                <w:color w:val="auto"/>
                <w:vertAlign w:val="superscript"/>
              </w:rPr>
              <w:t>(9)</w:t>
            </w:r>
          </w:p>
        </w:tc>
        <w:tc>
          <w:tcPr>
            <w:tcW w:w="1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320" w:type="dxa"/>
            <w:vAlign w:val="bottom"/>
            <w:tcBorders>
              <w:top w:val="single" w:sz="8" w:color="CCEEFF"/>
            </w:tcBorders>
            <w:shd w:val="clear" w:color="auto" w:fill="CCEEFF"/>
          </w:tcPr>
          <w:p>
            <w:pPr>
              <w:ind w:left="360"/>
              <w:spacing w:after="0" w:line="156" w:lineRule="exact"/>
              <w:rPr>
                <w:sz w:val="20"/>
                <w:szCs w:val="20"/>
                <w:color w:val="auto"/>
              </w:rPr>
            </w:pPr>
            <w:r>
              <w:rPr>
                <w:rFonts w:ascii="Arial" w:cs="Arial" w:eastAsia="Arial" w:hAnsi="Arial"/>
                <w:sz w:val="18"/>
                <w:szCs w:val="18"/>
                <w:color w:val="auto"/>
                <w:w w:val="97"/>
              </w:rPr>
              <w:t>Selected Items Impacting Comparability - Adjusted</w:t>
            </w: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569</w:t>
            </w: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(422)</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(10)</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320" w:type="dxa"/>
            <w:vAlign w:val="bottom"/>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2,082</w:t>
            </w:r>
          </w:p>
        </w:tc>
        <w:tc>
          <w:tcPr>
            <w:tcW w:w="140" w:type="dxa"/>
            <w:vAlign w:val="bottom"/>
            <w:tcBorders>
              <w:right w:val="single" w:sz="8" w:color="auto"/>
            </w:tcBorders>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(11)</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(483)</w:t>
            </w:r>
          </w:p>
        </w:tc>
        <w:tc>
          <w:tcPr>
            <w:tcW w:w="14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320" w:type="dxa"/>
            <w:vAlign w:val="bottom"/>
          </w:tcPr>
          <w:p>
            <w:pPr>
              <w:ind w:left="140"/>
              <w:spacing w:after="0"/>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176"/>
        </w:trPr>
        <w:tc>
          <w:tcPr>
            <w:tcW w:w="4320" w:type="dxa"/>
            <w:vAlign w:val="bottom"/>
          </w:tcPr>
          <w:p>
            <w:pPr>
              <w:ind w:left="200"/>
              <w:spacing w:after="0" w:line="176" w:lineRule="exact"/>
              <w:rPr>
                <w:sz w:val="20"/>
                <w:szCs w:val="20"/>
                <w:color w:val="auto"/>
              </w:rPr>
            </w:pPr>
            <w:r>
              <w:rPr>
                <w:rFonts w:ascii="Arial" w:cs="Arial" w:eastAsia="Arial" w:hAnsi="Arial"/>
                <w:sz w:val="18"/>
                <w:szCs w:val="18"/>
                <w:color w:val="auto"/>
              </w:rPr>
              <w:t>Adjusted equity earnings in unconsolidated entities,</w:t>
            </w:r>
          </w:p>
        </w:tc>
        <w:tc>
          <w:tcPr>
            <w:tcW w:w="180" w:type="dxa"/>
            <w:vAlign w:val="bottom"/>
          </w:tcPr>
          <w:p>
            <w:pPr>
              <w:spacing w:after="0"/>
              <w:rPr>
                <w:sz w:val="15"/>
                <w:szCs w:val="15"/>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restart"/>
          </w:tcPr>
          <w:p>
            <w:pPr>
              <w:jc w:val="right"/>
              <w:ind w:right="7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0"/>
              <w:spacing w:after="0" w:line="230" w:lineRule="exact"/>
              <w:rPr>
                <w:sz w:val="20"/>
                <w:szCs w:val="20"/>
                <w:color w:val="auto"/>
              </w:rPr>
            </w:pPr>
            <w:r>
              <w:rPr>
                <w:rFonts w:ascii="Arial" w:cs="Arial" w:eastAsia="Arial" w:hAnsi="Arial"/>
                <w:sz w:val="18"/>
                <w:szCs w:val="18"/>
                <w:color w:val="auto"/>
              </w:rPr>
              <w:t xml:space="preserve">net of distributions </w:t>
            </w:r>
            <w:r>
              <w:rPr>
                <w:rFonts w:ascii="Arial" w:cs="Arial" w:eastAsia="Arial" w:hAnsi="Arial"/>
                <w:sz w:val="23"/>
                <w:szCs w:val="23"/>
                <w:color w:val="auto"/>
                <w:vertAlign w:val="superscript"/>
              </w:rPr>
              <w:t>(13)</w:t>
            </w: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(14)</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3"/>
              </w:rPr>
              <w:t>N/A</w:t>
            </w:r>
          </w:p>
        </w:tc>
        <w:tc>
          <w:tcPr>
            <w:tcW w:w="2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Implied DCF</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1,312</w:t>
            </w:r>
          </w:p>
        </w:tc>
        <w:tc>
          <w:tcPr>
            <w:tcW w:w="140" w:type="dxa"/>
            <w:vAlign w:val="bottom"/>
            <w:tcBorders>
              <w:right w:val="single" w:sz="8" w:color="auto"/>
            </w:tcBorders>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(15)</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1,307</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Common unit distributions </w:t>
            </w:r>
            <w:r>
              <w:rPr>
                <w:rFonts w:ascii="Arial" w:cs="Arial" w:eastAsia="Arial" w:hAnsi="Arial"/>
                <w:sz w:val="23"/>
                <w:szCs w:val="23"/>
                <w:color w:val="auto"/>
                <w:vertAlign w:val="superscript"/>
              </w:rPr>
              <w:t>(14)</w:t>
            </w: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(1,004)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(1,386)</w:t>
            </w:r>
          </w:p>
        </w:tc>
        <w:tc>
          <w:tcPr>
            <w:tcW w:w="14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320" w:type="dxa"/>
            <w:vAlign w:val="bottom"/>
          </w:tcPr>
          <w:p>
            <w:pPr>
              <w:ind w:left="20"/>
              <w:spacing w:after="0"/>
              <w:rPr>
                <w:sz w:val="20"/>
                <w:szCs w:val="20"/>
                <w:color w:val="auto"/>
              </w:rPr>
            </w:pPr>
            <w:r>
              <w:rPr>
                <w:rFonts w:ascii="Arial" w:cs="Arial" w:eastAsia="Arial" w:hAnsi="Arial"/>
                <w:sz w:val="18"/>
                <w:szCs w:val="18"/>
                <w:color w:val="auto"/>
              </w:rPr>
              <w:t xml:space="preserve">Implied DCF Excess/(Shortage) </w:t>
            </w:r>
            <w:r>
              <w:rPr>
                <w:rFonts w:ascii="Arial" w:cs="Arial" w:eastAsia="Arial" w:hAnsi="Arial"/>
                <w:sz w:val="23"/>
                <w:szCs w:val="23"/>
                <w:color w:val="auto"/>
                <w:vertAlign w:val="superscript"/>
              </w:rPr>
              <w:t>(16)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88" w:name="page89"/>
    <w:bookmarkEnd w:id="8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0" w:hanging="11"/>
        <w:spacing w:after="0" w:line="264" w:lineRule="auto"/>
        <w:rPr>
          <w:sz w:val="20"/>
          <w:szCs w:val="20"/>
          <w:color w:val="auto"/>
        </w:rPr>
      </w:pPr>
      <w:r>
        <w:rPr>
          <w:rFonts w:ascii="Arial" w:cs="Arial" w:eastAsia="Arial" w:hAnsi="Arial"/>
          <w:sz w:val="18"/>
          <w:szCs w:val="18"/>
          <w:color w:val="auto"/>
        </w:rPr>
        <w:t>Over the past several years, we have increased our participation in strategic pipeline joint ventures accounted for under the equity method of accounting. We exclude our proportionate share of the depreciation and amortization expense of, and gains and losses on significant asset sales by, such unconsolidated entities when reviewing Adjusted EBITDA, similar to our consolidated assets.</w:t>
      </w:r>
    </w:p>
    <w:p>
      <w:pPr>
        <w:spacing w:after="0" w:line="73" w:lineRule="exact"/>
        <w:rPr>
          <w:sz w:val="20"/>
          <w:szCs w:val="20"/>
          <w:color w:val="auto"/>
        </w:rPr>
      </w:pPr>
    </w:p>
    <w:p>
      <w:pPr>
        <w:ind w:right="2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See Note 13 to our Consolidated Financial Statements for a comprehensive discussion regarding our derivatives and risk management activities.</w:t>
      </w:r>
    </w:p>
    <w:p>
      <w:pPr>
        <w:spacing w:after="0" w:line="84" w:lineRule="exact"/>
        <w:rPr>
          <w:sz w:val="20"/>
          <w:szCs w:val="20"/>
          <w:color w:val="auto"/>
        </w:rPr>
      </w:pPr>
    </w:p>
    <w:p>
      <w:pPr>
        <w:ind w:hanging="11"/>
        <w:spacing w:after="0" w:line="273" w:lineRule="auto"/>
        <w:rPr>
          <w:sz w:val="20"/>
          <w:szCs w:val="20"/>
          <w:color w:val="auto"/>
        </w:rPr>
      </w:pPr>
      <w:r>
        <w:rPr>
          <w:rFonts w:ascii="Arial" w:cs="Arial" w:eastAsia="Arial" w:hAnsi="Arial"/>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for additional inventory disclosures.</w:t>
      </w:r>
    </w:p>
    <w:p>
      <w:pPr>
        <w:spacing w:after="0" w:line="70" w:lineRule="exact"/>
        <w:rPr>
          <w:sz w:val="20"/>
          <w:szCs w:val="20"/>
          <w:color w:val="auto"/>
        </w:rPr>
      </w:pPr>
    </w:p>
    <w:p>
      <w:pPr>
        <w:ind w:hanging="11"/>
        <w:spacing w:after="0" w:line="269" w:lineRule="auto"/>
        <w:rPr>
          <w:sz w:val="20"/>
          <w:szCs w:val="20"/>
          <w:color w:val="auto"/>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75" w:lineRule="exact"/>
        <w:rPr>
          <w:sz w:val="20"/>
          <w:szCs w:val="20"/>
          <w:color w:val="auto"/>
        </w:rPr>
      </w:pPr>
    </w:p>
    <w:p>
      <w:pPr>
        <w:ind w:right="20" w:hanging="11"/>
        <w:spacing w:after="0" w:line="272" w:lineRule="auto"/>
        <w:rPr>
          <w:sz w:val="20"/>
          <w:szCs w:val="20"/>
          <w:color w:val="auto"/>
        </w:rPr>
      </w:pPr>
      <w:r>
        <w:rPr>
          <w:rFonts w:ascii="Arial" w:cs="Arial" w:eastAsia="Arial" w:hAnsi="Arial"/>
          <w:sz w:val="17"/>
          <w:szCs w:val="17"/>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18 to our Consolidated Financial Statements for a comprehensive discussion regarding our equity-indexed compensation plans.</w:t>
      </w:r>
    </w:p>
    <w:p>
      <w:pPr>
        <w:spacing w:after="0" w:line="70" w:lineRule="exact"/>
        <w:rPr>
          <w:sz w:val="20"/>
          <w:szCs w:val="20"/>
          <w:color w:val="auto"/>
        </w:rPr>
      </w:pPr>
    </w:p>
    <w:p>
      <w:pPr>
        <w:jc w:val="both"/>
        <w:ind w:right="60" w:hanging="11"/>
        <w:spacing w:after="0" w:line="312" w:lineRule="auto"/>
        <w:rPr>
          <w:sz w:val="20"/>
          <w:szCs w:val="20"/>
          <w:color w:val="auto"/>
        </w:rPr>
      </w:pPr>
      <w:r>
        <w:rPr>
          <w:rFonts w:ascii="Arial" w:cs="Arial" w:eastAsia="Arial" w:hAnsi="Arial"/>
          <w:sz w:val="16"/>
          <w:szCs w:val="16"/>
          <w:color w:val="auto"/>
        </w:rPr>
        <w:t>During the periods presented, there were fluctuations in the value of the Canadian dollar (“CAD”) to the U.S. dollar (“USD”), resulting in non-cash gains and losses that were not related to our core operating results for the period and were thus classified as a selected item impacting comparability. See Note 13 to our Consolidated Financial Statements for discussion regarding our currency exchange rate risk hedging activities.</w:t>
      </w:r>
    </w:p>
    <w:p>
      <w:pPr>
        <w:spacing w:after="0" w:line="39" w:lineRule="exact"/>
        <w:rPr>
          <w:sz w:val="20"/>
          <w:szCs w:val="20"/>
          <w:color w:val="auto"/>
        </w:rPr>
      </w:pPr>
    </w:p>
    <w:p>
      <w:pPr>
        <w:ind w:right="260" w:hanging="11"/>
        <w:spacing w:after="0" w:line="342" w:lineRule="auto"/>
        <w:rPr>
          <w:sz w:val="20"/>
          <w:szCs w:val="20"/>
          <w:color w:val="auto"/>
        </w:rPr>
      </w:pPr>
      <w:r>
        <w:rPr>
          <w:rFonts w:ascii="Arial" w:cs="Arial" w:eastAsia="Arial" w:hAnsi="Arial"/>
          <w:sz w:val="16"/>
          <w:szCs w:val="16"/>
          <w:color w:val="auto"/>
        </w:rPr>
        <w:t>Includes costs recognized during the period related to the Line 901 incident that occurred in May 2015, net of amounts we believe are probable of recovery from insurance. See Note 19 to our Consolidated Financial Statements for additional information regarding the Line 901 incident.</w:t>
      </w:r>
    </w:p>
    <w:p>
      <w:pPr>
        <w:spacing w:after="0" w:line="16" w:lineRule="exact"/>
        <w:rPr>
          <w:sz w:val="20"/>
          <w:szCs w:val="20"/>
          <w:color w:val="auto"/>
        </w:rPr>
      </w:pPr>
    </w:p>
    <w:p>
      <w:pPr>
        <w:ind w:right="180" w:hanging="11"/>
        <w:spacing w:after="0" w:line="277" w:lineRule="auto"/>
        <w:rPr>
          <w:sz w:val="20"/>
          <w:szCs w:val="20"/>
          <w:color w:val="auto"/>
        </w:rPr>
      </w:pPr>
      <w:r>
        <w:rPr>
          <w:rFonts w:ascii="Arial" w:cs="Arial" w:eastAsia="Arial" w:hAnsi="Arial"/>
          <w:sz w:val="18"/>
          <w:szCs w:val="18"/>
          <w:color w:val="auto"/>
        </w:rPr>
        <w:t>Includes acquisition-related expenses associated with the ACC Acquisition in February 2017. See Note 7 to our Consolidated Financial Statements for additional information.</w:t>
      </w:r>
    </w:p>
    <w:p>
      <w:pPr>
        <w:spacing w:after="0" w:line="62" w:lineRule="exact"/>
        <w:rPr>
          <w:sz w:val="20"/>
          <w:szCs w:val="20"/>
          <w:color w:val="auto"/>
        </w:rPr>
      </w:pPr>
    </w:p>
    <w:p>
      <w:pPr>
        <w:ind w:right="100" w:hanging="11"/>
        <w:spacing w:after="0" w:line="342" w:lineRule="auto"/>
        <w:rPr>
          <w:sz w:val="20"/>
          <w:szCs w:val="20"/>
          <w:color w:val="auto"/>
        </w:rPr>
      </w:pPr>
      <w:r>
        <w:rPr>
          <w:rFonts w:ascii="Arial" w:cs="Arial" w:eastAsia="Arial" w:hAnsi="Arial"/>
          <w:sz w:val="16"/>
          <w:szCs w:val="16"/>
          <w:color w:val="auto"/>
        </w:rPr>
        <w:t>The 2017 period includes net losses incurred in connection with the early redemption of our (i) $600 million, 6.50% senior notes due May 2018 and (ii) $350 million, 8.75% senior notes due May 2019. See Note 11 to our Consolidated Financial Statements for additional information.</w:t>
      </w:r>
    </w:p>
    <w:p>
      <w:pPr>
        <w:spacing w:after="0" w:line="200" w:lineRule="exact"/>
        <w:rPr>
          <w:sz w:val="20"/>
          <w:szCs w:val="20"/>
          <w:color w:val="auto"/>
        </w:rPr>
      </w:pPr>
    </w:p>
    <w:p>
      <w:pPr>
        <w:sectPr>
          <w:pgSz w:w="11900" w:h="16838" w:orient="portrait"/>
          <w:cols w:equalWidth="0" w:num="2">
            <w:col w:w="140" w:space="520"/>
            <w:col w:w="10740"/>
          </w:cols>
          <w:pgMar w:left="240" w:top="125" w:right="259" w:bottom="1440" w:gutter="0" w:footer="0" w:header="0"/>
          <w:type w:val="continuous"/>
        </w:sect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0" w:hanging="652"/>
        <w:spacing w:after="0" w:line="227" w:lineRule="auto"/>
        <w:tabs>
          <w:tab w:leader="none" w:pos="652"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Other income/(expense), net per our Consolidated Statements of Operations, adjusted for selected items impacting comparability (“Adjusted Other income/(expense), net”) is included in Adjusted EBITDA and excluded from Segment Adjusted EBITDA.</w:t>
      </w:r>
    </w:p>
    <w:p>
      <w:pPr>
        <w:spacing w:after="0" w:line="71"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47"/>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93" w:lineRule="exact"/>
        <w:rPr>
          <w:rFonts w:ascii="Arial" w:cs="Arial" w:eastAsia="Arial" w:hAnsi="Arial"/>
          <w:sz w:val="22"/>
          <w:szCs w:val="22"/>
          <w:color w:val="auto"/>
          <w:vertAlign w:val="superscript"/>
        </w:rPr>
      </w:pPr>
    </w:p>
    <w:p>
      <w:pPr>
        <w:ind w:left="660" w:right="60" w:hanging="652"/>
        <w:spacing w:after="0" w:line="227" w:lineRule="auto"/>
        <w:tabs>
          <w:tab w:leader="none" w:pos="652"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94" w:lineRule="exact"/>
        <w:rPr>
          <w:rFonts w:ascii="Arial" w:cs="Arial" w:eastAsia="Arial" w:hAnsi="Arial"/>
          <w:sz w:val="23"/>
          <w:szCs w:val="23"/>
          <w:color w:val="auto"/>
          <w:vertAlign w:val="superscript"/>
        </w:rPr>
      </w:pPr>
    </w:p>
    <w:p>
      <w:pPr>
        <w:ind w:left="660" w:right="120" w:hanging="652"/>
        <w:spacing w:after="0" w:line="227" w:lineRule="auto"/>
        <w:tabs>
          <w:tab w:leader="none" w:pos="652"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and gains and losses on significant asset sales).</w:t>
      </w:r>
    </w:p>
    <w:p>
      <w:pPr>
        <w:spacing w:after="0" w:line="60"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93" w:lineRule="exact"/>
        <w:rPr>
          <w:rFonts w:ascii="Arial" w:cs="Arial" w:eastAsia="Arial" w:hAnsi="Arial"/>
          <w:sz w:val="23"/>
          <w:szCs w:val="23"/>
          <w:color w:val="auto"/>
          <w:vertAlign w:val="superscript"/>
        </w:rPr>
      </w:pPr>
    </w:p>
    <w:p>
      <w:pPr>
        <w:ind w:left="660" w:right="140" w:hanging="652"/>
        <w:spacing w:after="0" w:line="258" w:lineRule="auto"/>
        <w:tabs>
          <w:tab w:leader="none" w:pos="652" w:val="left"/>
        </w:tabs>
        <w:numPr>
          <w:ilvl w:val="0"/>
          <w:numId w:val="47"/>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which were issued in October 2017, is payable semi-annually in arrears on May 15 and November 15. A pro-rated initial distribution on the Series B preferred units was paid on November 15, 2017. See Note 12 to our Consolidated Financial Statements for additional information regarding our preferred units.</w:t>
      </w:r>
    </w:p>
    <w:p>
      <w:pPr>
        <w:spacing w:after="0" w:line="81" w:lineRule="exact"/>
        <w:rPr>
          <w:rFonts w:ascii="Arial" w:cs="Arial" w:eastAsia="Arial" w:hAnsi="Arial"/>
          <w:sz w:val="22"/>
          <w:szCs w:val="22"/>
          <w:color w:val="auto"/>
          <w:vertAlign w:val="superscript"/>
        </w:rPr>
      </w:pPr>
    </w:p>
    <w:p>
      <w:pPr>
        <w:ind w:left="660" w:right="380" w:hanging="652"/>
        <w:spacing w:after="0" w:line="267" w:lineRule="auto"/>
        <w:tabs>
          <w:tab w:leader="none" w:pos="652"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Excess DCF is retained to establish reserves for future distributions, capital expenditures and other partnership purposes. DCF shortages may be funded from previously established reserves, cash on hand or from borrowings under our credit facilities or commercial paper program.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5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20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and gains and losses on significant asset sales by,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21 to our Consolidated Financial Statements for a reconciliation of Segment Adjusted EBITDA to Net income attributable to PAA.</w:t>
      </w:r>
    </w:p>
    <w:p>
      <w:pPr>
        <w:spacing w:after="0" w:line="20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segment analysis involves an element of judgment relating to the allocations between segments. In connection with its operations, the Supply and Logistics segment secures transportation and facilities services from our other two segments as well as third-party service providers under month-to-month and multi-year arrangements. Intersegment transportation service rates are conducted at posted tariff rates, rates similar to those charged to third parties or rates that we believe approximate market. Facilities segment services are also obtained at rates generally consistent with rates charged to third parties for similar services.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20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89"/>
              </w:rPr>
              <w:t>Variance</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2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2019-2018</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0"/>
        </w:trPr>
        <w:tc>
          <w:tcPr>
            <w:tcW w:w="3620" w:type="dxa"/>
            <w:vAlign w:val="bottom"/>
            <w:gridSpan w:val="2"/>
          </w:tcPr>
          <w:p>
            <w:pPr>
              <w:ind w:left="20"/>
              <w:spacing w:after="0"/>
              <w:rPr>
                <w:sz w:val="20"/>
                <w:szCs w:val="20"/>
                <w:color w:val="auto"/>
              </w:rPr>
            </w:pPr>
            <w:r>
              <w:rPr>
                <w:rFonts w:ascii="Arial" w:cs="Arial" w:eastAsia="Arial" w:hAnsi="Arial"/>
                <w:sz w:val="18"/>
                <w:szCs w:val="18"/>
                <w:color w:val="auto"/>
                <w:w w:val="90"/>
              </w:rPr>
              <w:t xml:space="preserve">Segment general and administrative expenses </w:t>
            </w:r>
            <w:r>
              <w:rPr>
                <w:rFonts w:ascii="Arial" w:cs="Arial" w:eastAsia="Arial" w:hAnsi="Arial"/>
                <w:sz w:val="23"/>
                <w:szCs w:val="23"/>
                <w:color w:val="auto"/>
                <w:w w:val="90"/>
                <w:vertAlign w:val="superscript"/>
              </w:rPr>
              <w:t>(2)</w:t>
            </w:r>
          </w:p>
        </w:tc>
        <w:tc>
          <w:tcPr>
            <w:tcW w:w="22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290</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Depreciation and amortization of</w:t>
            </w:r>
          </w:p>
        </w:tc>
        <w:tc>
          <w:tcPr>
            <w:tcW w:w="220" w:type="dxa"/>
            <w:vAlign w:val="bottom"/>
          </w:tcPr>
          <w:p>
            <w:pPr>
              <w:spacing w:after="0"/>
              <w:rPr>
                <w:sz w:val="15"/>
                <w:szCs w:val="15"/>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7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vMerge w:val="restart"/>
          </w:tcPr>
          <w:p>
            <w:pPr>
              <w:jc w:val="right"/>
              <w:ind w:right="71"/>
              <w:spacing w:after="0"/>
              <w:rPr>
                <w:sz w:val="20"/>
                <w:szCs w:val="20"/>
                <w:color w:val="auto"/>
              </w:rPr>
            </w:pPr>
            <w:r>
              <w:rPr>
                <w:rFonts w:ascii="Arial" w:cs="Arial" w:eastAsia="Arial" w:hAnsi="Arial"/>
                <w:sz w:val="18"/>
                <w:szCs w:val="18"/>
                <w:color w:val="auto"/>
              </w:rPr>
              <w:t>45</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620" w:type="dxa"/>
            <w:vAlign w:val="bottom"/>
            <w:gridSpan w:val="2"/>
          </w:tcPr>
          <w:p>
            <w:pPr>
              <w:ind w:left="300"/>
              <w:spacing w:after="0"/>
              <w:rPr>
                <w:sz w:val="20"/>
                <w:szCs w:val="20"/>
                <w:color w:val="auto"/>
              </w:rPr>
            </w:pPr>
            <w:r>
              <w:rPr>
                <w:rFonts w:ascii="Arial" w:cs="Arial" w:eastAsia="Arial" w:hAnsi="Arial"/>
                <w:sz w:val="18"/>
                <w:szCs w:val="18"/>
                <w:color w:val="auto"/>
              </w:rPr>
              <w:t>unconsolidated entities</w:t>
            </w:r>
          </w:p>
        </w:tc>
        <w:tc>
          <w:tcPr>
            <w:tcW w:w="2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(Gains)/losses from derivative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6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Deficiencies under minimum volume</w:t>
            </w:r>
          </w:p>
        </w:tc>
        <w:tc>
          <w:tcPr>
            <w:tcW w:w="220" w:type="dxa"/>
            <w:vAlign w:val="bottom"/>
          </w:tcPr>
          <w:p>
            <w:pPr>
              <w:spacing w:after="0"/>
              <w:rPr>
                <w:sz w:val="15"/>
                <w:szCs w:val="15"/>
                <w:color w:val="auto"/>
              </w:rPr>
            </w:pPr>
          </w:p>
        </w:tc>
        <w:tc>
          <w:tcPr>
            <w:tcW w:w="740" w:type="dxa"/>
            <w:vAlign w:val="bottom"/>
            <w:vMerge w:val="restart"/>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7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vMerge w:val="restart"/>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ind w:left="300"/>
              <w:spacing w:after="0"/>
              <w:rPr>
                <w:sz w:val="20"/>
                <w:szCs w:val="20"/>
                <w:color w:val="auto"/>
              </w:rPr>
            </w:pPr>
            <w:r>
              <w:rPr>
                <w:rFonts w:ascii="Arial" w:cs="Arial" w:eastAsia="Arial" w:hAnsi="Arial"/>
                <w:sz w:val="18"/>
                <w:szCs w:val="18"/>
                <w:color w:val="auto"/>
              </w:rPr>
              <w:t>commitments, net</w:t>
            </w:r>
          </w:p>
        </w:tc>
        <w:tc>
          <w:tcPr>
            <w:tcW w:w="2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Line 901 incident</w:t>
            </w:r>
          </w:p>
        </w:tc>
        <w:tc>
          <w:tcPr>
            <w:tcW w:w="220" w:type="dxa"/>
            <w:vAlign w:val="bottom"/>
          </w:tcPr>
          <w:p>
            <w:pPr>
              <w:spacing w:after="0"/>
              <w:rPr>
                <w:sz w:val="23"/>
                <w:szCs w:val="23"/>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Significant acquisition-related expenses</w:t>
            </w:r>
          </w:p>
        </w:tc>
        <w:tc>
          <w:tcPr>
            <w:tcW w:w="2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1,287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0.68</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2"/>
              </w:rPr>
              <w:t>Variance</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97"/>
        </w:trPr>
        <w:tc>
          <w:tcPr>
            <w:tcW w:w="364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242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95"/>
              </w:rPr>
              <w:t>Year Ended December 31,</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2019-2018</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2018-2017</w:t>
            </w:r>
          </w:p>
        </w:tc>
        <w:tc>
          <w:tcPr>
            <w:tcW w:w="700" w:type="dxa"/>
            <w:vAlign w:val="bottom"/>
            <w:tcBorders>
              <w:bottom w:val="single" w:sz="8" w:color="auto"/>
            </w:tcBorders>
          </w:tcPr>
          <w:p>
            <w:pPr>
              <w:spacing w:after="0"/>
              <w:rPr>
                <w:sz w:val="17"/>
                <w:szCs w:val="17"/>
                <w:color w:val="auto"/>
              </w:rPr>
            </w:pPr>
          </w:p>
        </w:tc>
      </w:tr>
      <w:tr>
        <w:trPr>
          <w:trHeight w:val="201"/>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9"/>
                <w:szCs w:val="9"/>
                <w:b w:val="1"/>
                <w:bCs w:val="1"/>
                <w:color w:val="auto"/>
              </w:rPr>
              <w:t>(4)</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85"/>
              </w:rPr>
              <w:t>Volumes</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w:t>
            </w:r>
          </w:p>
        </w:tc>
      </w:tr>
      <w:tr>
        <w:trPr>
          <w:trHeight w:val="245"/>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Tariff activities volumes</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gridSpan w:val="2"/>
          </w:tcPr>
          <w:p>
            <w:pPr>
              <w:ind w:left="120"/>
              <w:spacing w:after="0"/>
              <w:rPr>
                <w:sz w:val="20"/>
                <w:szCs w:val="20"/>
                <w:color w:val="auto"/>
              </w:rPr>
            </w:pPr>
            <w:r>
              <w:rPr>
                <w:rFonts w:ascii="Arial" w:cs="Arial" w:eastAsia="Arial" w:hAnsi="Arial"/>
                <w:sz w:val="18"/>
                <w:szCs w:val="18"/>
                <w:color w:val="auto"/>
              </w:rPr>
              <w:t>Crude oil pipelines (by region):</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4,690</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3,732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2,855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70"/>
        </w:trPr>
        <w:tc>
          <w:tcPr>
            <w:tcW w:w="3640" w:type="dxa"/>
            <w:vAlign w:val="bottom"/>
            <w:gridSpan w:val="2"/>
          </w:tcPr>
          <w:p>
            <w:pPr>
              <w:ind w:left="340"/>
              <w:spacing w:after="0"/>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360</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70"/>
        </w:trPr>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(5)</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420</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3640" w:type="dxa"/>
            <w:vAlign w:val="bottom"/>
            <w:gridSpan w:val="2"/>
          </w:tcPr>
          <w:p>
            <w:pPr>
              <w:ind w:left="320"/>
              <w:spacing w:after="0"/>
              <w:rPr>
                <w:sz w:val="20"/>
                <w:szCs w:val="20"/>
                <w:color w:val="auto"/>
              </w:rPr>
            </w:pPr>
            <w:r>
              <w:rPr>
                <w:rFonts w:ascii="Arial" w:cs="Arial" w:eastAsia="Arial" w:hAnsi="Arial"/>
                <w:sz w:val="18"/>
                <w:szCs w:val="18"/>
                <w:color w:val="auto"/>
              </w:rPr>
              <w:t>Gulf Coast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349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393</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3640" w:type="dxa"/>
            <w:vAlign w:val="bottom"/>
            <w:gridSpan w:val="2"/>
          </w:tcPr>
          <w:p>
            <w:pPr>
              <w:ind w:left="320"/>
              <w:spacing w:after="0"/>
              <w:rPr>
                <w:sz w:val="20"/>
                <w:szCs w:val="20"/>
                <w:color w:val="auto"/>
              </w:rPr>
            </w:pPr>
            <w:r>
              <w:rPr>
                <w:rFonts w:ascii="Arial" w:cs="Arial" w:eastAsia="Arial" w:hAnsi="Arial"/>
                <w:sz w:val="18"/>
                <w:szCs w:val="18"/>
                <w:color w:val="auto"/>
              </w:rPr>
              <w:t>Western</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184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6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Canada</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7"/>
        </w:trPr>
        <w:tc>
          <w:tcPr>
            <w:tcW w:w="3640" w:type="dxa"/>
            <w:vAlign w:val="bottom"/>
            <w:gridSpan w:val="2"/>
          </w:tcPr>
          <w:p>
            <w:pPr>
              <w:ind w:left="120"/>
              <w:spacing w:after="0"/>
              <w:rPr>
                <w:sz w:val="20"/>
                <w:szCs w:val="20"/>
                <w:color w:val="auto"/>
              </w:rPr>
            </w:pPr>
            <w:r>
              <w:rPr>
                <w:rFonts w:ascii="Arial" w:cs="Arial" w:eastAsia="Arial" w:hAnsi="Arial"/>
                <w:sz w:val="18"/>
                <w:szCs w:val="18"/>
                <w:color w:val="auto"/>
              </w:rPr>
              <w:t>Crude oil pipelines</w:t>
            </w:r>
          </w:p>
        </w:tc>
        <w:tc>
          <w:tcPr>
            <w:tcW w:w="9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6,613</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4,913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NGL pipelines</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7"/>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Tariff activities total volumes</w:t>
            </w:r>
          </w:p>
        </w:tc>
        <w:tc>
          <w:tcPr>
            <w:tcW w:w="9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5,791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5,083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Trucking volumes</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304"/>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Transportation segment total volumes</w:t>
            </w:r>
          </w:p>
        </w:tc>
        <w:tc>
          <w:tcPr>
            <w:tcW w:w="9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24"/>
                <w:szCs w:val="24"/>
                <w:color w:val="auto"/>
              </w:rPr>
            </w:pP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5,186</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ectPr>
          <w:pgSz w:w="11900" w:h="16838" w:orient="portrait"/>
          <w:cols w:equalWidth="0" w:num="1">
            <w:col w:w="11400"/>
          </w:cols>
          <w:pgMar w:left="240" w:top="125" w:right="25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ind w:left="20" w:right="62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21 to our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year divided by the number of days in the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52"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following is a discussion of items impacting Transportation segment operating results for the year ended December 31, 2019 compared to the year ended December 31, 2018. For a discussion of the 2018-2017 comparative period, see Item 7. “Management’s Discussion and Analysis of Financial Condition and Results of Operations—Results of Operations—Transportation Segment” included in our 2018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Equity Earnings in Unconsolidated Entities and Volumes. </w:t>
      </w:r>
      <w:r>
        <w:rPr>
          <w:rFonts w:ascii="Arial" w:cs="Arial" w:eastAsia="Arial" w:hAnsi="Arial"/>
          <w:sz w:val="18"/>
          <w:szCs w:val="18"/>
          <w:color w:val="auto"/>
        </w:rPr>
        <w:t>The following table presents variances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purchases and related costs and equity earnings in unconsolidated entities by region:</w:t>
      </w:r>
    </w:p>
    <w:p>
      <w:pPr>
        <w:spacing w:after="0" w:line="243" w:lineRule="exact"/>
        <w:rPr>
          <w:sz w:val="20"/>
          <w:szCs w:val="20"/>
          <w:color w:val="auto"/>
        </w:rPr>
      </w:pPr>
    </w:p>
    <w:p>
      <w:pPr>
        <w:jc w:val="center"/>
        <w:ind w:left="4720"/>
        <w:spacing w:after="0"/>
        <w:rPr>
          <w:sz w:val="20"/>
          <w:szCs w:val="20"/>
          <w:color w:val="auto"/>
        </w:rPr>
      </w:pPr>
      <w:r>
        <w:rPr>
          <w:rFonts w:ascii="Arial" w:cs="Arial" w:eastAsia="Arial" w:hAnsi="Arial"/>
          <w:sz w:val="14"/>
          <w:szCs w:val="14"/>
          <w:b w:val="1"/>
          <w:bCs w:val="1"/>
          <w:color w:val="auto"/>
        </w:rPr>
        <w:t>Favorable/(Unfavorable) Variance</w:t>
      </w:r>
    </w:p>
    <w:p>
      <w:pPr>
        <w:spacing w:after="0" w:line="4" w:lineRule="exact"/>
        <w:rPr>
          <w:sz w:val="20"/>
          <w:szCs w:val="20"/>
          <w:color w:val="auto"/>
        </w:rPr>
      </w:pPr>
    </w:p>
    <w:p>
      <w:pPr>
        <w:jc w:val="center"/>
        <w:ind w:left="4720"/>
        <w:spacing w:after="0"/>
        <w:rPr>
          <w:sz w:val="20"/>
          <w:szCs w:val="20"/>
          <w:color w:val="auto"/>
        </w:rPr>
      </w:pPr>
      <w:r>
        <w:rPr>
          <w:rFonts w:ascii="Arial" w:cs="Arial" w:eastAsia="Arial" w:hAnsi="Arial"/>
          <w:sz w:val="14"/>
          <w:szCs w:val="14"/>
          <w:b w:val="1"/>
          <w:bCs w:val="1"/>
          <w:color w:val="auto"/>
        </w:rPr>
        <w:t>2019-2018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13335</wp:posOffset>
            </wp:positionV>
            <wp:extent cx="33445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Revenues</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Purchases and Related</w:t>
            </w:r>
          </w:p>
        </w:tc>
        <w:tc>
          <w:tcPr>
            <w:tcW w:w="220" w:type="dxa"/>
            <w:vAlign w:val="bottom"/>
          </w:tcPr>
          <w:p>
            <w:pPr>
              <w:spacing w:after="0"/>
              <w:rPr>
                <w:sz w:val="14"/>
                <w:szCs w:val="14"/>
                <w:color w:val="auto"/>
              </w:rPr>
            </w:pPr>
          </w:p>
        </w:tc>
        <w:tc>
          <w:tcPr>
            <w:tcW w:w="14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Equity Earnings</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Permian Basin region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18"/>
                <w:szCs w:val="18"/>
                <w:color w:val="auto"/>
              </w:rPr>
              <w:t>South Texas / Eagle Ford region</w:t>
            </w: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Central region</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18"/>
                <w:szCs w:val="18"/>
                <w:color w:val="auto"/>
              </w:rPr>
              <w:t>Gulf Coast region</w:t>
            </w:r>
          </w:p>
        </w:tc>
        <w:tc>
          <w:tcPr>
            <w:tcW w:w="32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Rocky Mountain region</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18"/>
                <w:szCs w:val="18"/>
                <w:color w:val="auto"/>
              </w:rPr>
              <w:t>Western</w:t>
            </w:r>
          </w:p>
        </w:tc>
        <w:tc>
          <w:tcPr>
            <w:tcW w:w="32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Canada region</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9"/>
              </w:rPr>
              <w:t>Other regions, trucking and pipeline loss allowance revenue</w:t>
            </w:r>
          </w:p>
        </w:tc>
        <w:tc>
          <w:tcPr>
            <w:tcW w:w="3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9"/>
        </w:trPr>
        <w:tc>
          <w:tcPr>
            <w:tcW w:w="4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variance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Below is a discussion of the significant drivers impacting net revenues and equity earnings in unconsolidated entities for the comparative period presented:</w:t>
      </w:r>
    </w:p>
    <w:p>
      <w:pPr>
        <w:spacing w:after="0" w:line="197" w:lineRule="exact"/>
        <w:rPr>
          <w:sz w:val="20"/>
          <w:szCs w:val="20"/>
          <w:color w:val="auto"/>
        </w:rPr>
      </w:pPr>
    </w:p>
    <w:p>
      <w:pPr>
        <w:ind w:left="980" w:right="20" w:hanging="324"/>
        <w:spacing w:after="0" w:line="293" w:lineRule="auto"/>
        <w:tabs>
          <w:tab w:leader="none" w:pos="975"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Permian Basin region. </w:t>
      </w:r>
      <w:r>
        <w:rPr>
          <w:rFonts w:ascii="Arial" w:cs="Arial" w:eastAsia="Arial" w:hAnsi="Arial"/>
          <w:sz w:val="16"/>
          <w:szCs w:val="16"/>
          <w:color w:val="auto"/>
        </w:rPr>
        <w:t>Total revenues, net of purchases and related costs, increased by approximately $192 million for the year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2019 compared to the year ended December 31, 2018 primarily due to higher volumes from increased production and our recently completed capital expansion projects. These increases included (i) higher volumes on our gathering systems of approximately 321,000 barrels per day, (ii) higher volumes of approximately 391,000 barrels per day on our intra-basin pipelines and (iii) a volume increase of approximately 246,000 barrels per day on our long-haul pipelines, including our Sunrise II pipeline, which was placed into service in the fourth quarter of 2018, and the Cactus II pipeline, which was placed into service in the third quarter of 2019, as discussed below.</w:t>
      </w:r>
    </w:p>
    <w:p>
      <w:pPr>
        <w:spacing w:after="0" w:line="191" w:lineRule="exact"/>
        <w:rPr>
          <w:rFonts w:ascii="Arial" w:cs="Arial" w:eastAsia="Arial" w:hAnsi="Arial"/>
          <w:sz w:val="16"/>
          <w:szCs w:val="16"/>
          <w:i w:val="1"/>
          <w:iCs w:val="1"/>
          <w:color w:val="auto"/>
        </w:rPr>
      </w:pPr>
    </w:p>
    <w:p>
      <w:pPr>
        <w:ind w:left="980"/>
        <w:spacing w:after="0" w:line="264" w:lineRule="auto"/>
        <w:rPr>
          <w:rFonts w:ascii="Arial" w:cs="Arial" w:eastAsia="Arial" w:hAnsi="Arial"/>
          <w:sz w:val="16"/>
          <w:szCs w:val="16"/>
          <w:i w:val="1"/>
          <w:iCs w:val="1"/>
          <w:color w:val="auto"/>
        </w:rPr>
      </w:pPr>
      <w:r>
        <w:rPr>
          <w:rFonts w:ascii="Arial" w:cs="Arial" w:eastAsia="Arial" w:hAnsi="Arial"/>
          <w:sz w:val="18"/>
          <w:szCs w:val="18"/>
          <w:color w:val="auto"/>
        </w:rPr>
        <w:t>Equity earnings decreased in 2019 compared to 2018 primarily due to the sale of a 30% interest in BridgeTex Pipeline Company, LLC at the end of the third quarter of 2018, partially offset by equity earnings from our 65% interest in Cactus II pipeline, which was placed into service in the third quarter of 2019.</w:t>
      </w:r>
    </w:p>
    <w:p>
      <w:pPr>
        <w:spacing w:after="0" w:line="208" w:lineRule="exact"/>
        <w:rPr>
          <w:rFonts w:ascii="Arial" w:cs="Arial" w:eastAsia="Arial" w:hAnsi="Arial"/>
          <w:sz w:val="16"/>
          <w:szCs w:val="16"/>
          <w:i w:val="1"/>
          <w:iCs w:val="1"/>
          <w:color w:val="auto"/>
        </w:rPr>
      </w:pPr>
    </w:p>
    <w:p>
      <w:pPr>
        <w:ind w:left="980" w:right="140" w:hanging="324"/>
        <w:spacing w:after="0" w:line="308" w:lineRule="auto"/>
        <w:tabs>
          <w:tab w:leader="none" w:pos="975"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South Texas / Eagle Ford region. </w:t>
      </w:r>
      <w:r>
        <w:rPr>
          <w:rFonts w:ascii="Arial" w:cs="Arial" w:eastAsia="Arial" w:hAnsi="Arial"/>
          <w:sz w:val="17"/>
          <w:szCs w:val="17"/>
          <w:color w:val="auto"/>
        </w:rPr>
        <w:t>Equity earnings from our 50% interest in Eagle Ford Pipeline LLC for 2019 compared to 2018 was favorably</w:t>
      </w:r>
      <w:r>
        <w:rPr>
          <w:rFonts w:ascii="Arial" w:cs="Arial" w:eastAsia="Arial" w:hAnsi="Arial"/>
          <w:sz w:val="17"/>
          <w:szCs w:val="17"/>
          <w:i w:val="1"/>
          <w:iCs w:val="1"/>
          <w:color w:val="auto"/>
        </w:rPr>
        <w:t xml:space="preserve"> </w:t>
      </w:r>
      <w:r>
        <w:rPr>
          <w:rFonts w:ascii="Arial" w:cs="Arial" w:eastAsia="Arial" w:hAnsi="Arial"/>
          <w:sz w:val="17"/>
          <w:szCs w:val="17"/>
          <w:color w:val="auto"/>
        </w:rPr>
        <w:t>impacted by higher volumes and the recognition of revenue associated with deficiencies under minimum volume commitments.</w:t>
      </w:r>
    </w:p>
    <w:p>
      <w:pPr>
        <w:spacing w:after="0" w:line="173" w:lineRule="exact"/>
        <w:rPr>
          <w:rFonts w:ascii="Arial" w:cs="Arial" w:eastAsia="Arial" w:hAnsi="Arial"/>
          <w:sz w:val="17"/>
          <w:szCs w:val="17"/>
          <w:i w:val="1"/>
          <w:iCs w:val="1"/>
          <w:color w:val="auto"/>
        </w:rPr>
      </w:pPr>
    </w:p>
    <w:p>
      <w:pPr>
        <w:ind w:left="980" w:right="140" w:hanging="324"/>
        <w:spacing w:after="0" w:line="264" w:lineRule="auto"/>
        <w:tabs>
          <w:tab w:leader="none" w:pos="975"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increase in revenues for the year ended December 31, 2019 compared to the year ended December 31, 2018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volumes on certain of our pipelines in the Central region, including our Red River pipeline, and the recognition of previously deferred revenue in 2019 associated with deficiencies under minimum volume commitments.</w:t>
      </w:r>
    </w:p>
    <w:p>
      <w:pPr>
        <w:spacing w:after="0" w:line="208" w:lineRule="exact"/>
        <w:rPr>
          <w:rFonts w:ascii="Arial" w:cs="Arial" w:eastAsia="Arial" w:hAnsi="Arial"/>
          <w:sz w:val="18"/>
          <w:szCs w:val="18"/>
          <w:i w:val="1"/>
          <w:iCs w:val="1"/>
          <w:color w:val="auto"/>
        </w:rPr>
      </w:pPr>
    </w:p>
    <w:p>
      <w:pPr>
        <w:ind w:left="980" w:right="20" w:hanging="324"/>
        <w:spacing w:after="0" w:line="264" w:lineRule="auto"/>
        <w:tabs>
          <w:tab w:leader="none" w:pos="975"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Gulf Coast region. </w:t>
      </w:r>
      <w:r>
        <w:rPr>
          <w:rFonts w:ascii="Arial" w:cs="Arial" w:eastAsia="Arial" w:hAnsi="Arial"/>
          <w:sz w:val="18"/>
          <w:szCs w:val="18"/>
          <w:color w:val="auto"/>
        </w:rPr>
        <w:t>The decrease in volumes for the year ended December 31, 2019 compared to the year ended December 31, 2018 was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 the Capline pipeline being taken out of service in the fourth quarter of 2018 and (ii) a decrease in throughput on a lower tariff rate pipeline, which did not result in a significant impact on revenue.</w:t>
      </w:r>
    </w:p>
    <w:p>
      <w:pPr>
        <w:spacing w:after="0" w:line="208" w:lineRule="exact"/>
        <w:rPr>
          <w:rFonts w:ascii="Arial" w:cs="Arial" w:eastAsia="Arial" w:hAnsi="Arial"/>
          <w:sz w:val="18"/>
          <w:szCs w:val="18"/>
          <w:i w:val="1"/>
          <w:iCs w:val="1"/>
          <w:color w:val="auto"/>
        </w:rPr>
      </w:pPr>
    </w:p>
    <w:p>
      <w:pPr>
        <w:ind w:left="980"/>
        <w:spacing w:after="0" w:line="276" w:lineRule="auto"/>
        <w:rPr>
          <w:rFonts w:ascii="Arial" w:cs="Arial" w:eastAsia="Arial" w:hAnsi="Arial"/>
          <w:sz w:val="18"/>
          <w:szCs w:val="18"/>
          <w:i w:val="1"/>
          <w:iCs w:val="1"/>
          <w:color w:val="auto"/>
        </w:rPr>
      </w:pPr>
      <w:r>
        <w:rPr>
          <w:rFonts w:ascii="Arial" w:cs="Arial" w:eastAsia="Arial" w:hAnsi="Arial"/>
          <w:sz w:val="17"/>
          <w:szCs w:val="17"/>
          <w:color w:val="auto"/>
        </w:rPr>
        <w:t>In the first quarter of 2019, the owners of the Capline pipeline system contributed their undivided joint interests in the system for equity interests in a legal entity. As a result, revenues and expenses from the Capline pipeline system that were previously consolidated are reflected as equity earnings. The unfavorable equity earnings variance for the year ended December 31, 2019 compared to the year ended December 31, 2018 was due to our share of operating costs from our 54.13% interest in Capline Pipeline Company LLC reflected in equity earnings in the 2019 period, whereas such costs were reflected in field operating costs in the 2018 period.</w:t>
      </w:r>
    </w:p>
    <w:p>
      <w:pPr>
        <w:spacing w:after="0" w:line="199" w:lineRule="exact"/>
        <w:rPr>
          <w:rFonts w:ascii="Arial" w:cs="Arial" w:eastAsia="Arial" w:hAnsi="Arial"/>
          <w:sz w:val="18"/>
          <w:szCs w:val="18"/>
          <w:i w:val="1"/>
          <w:iCs w:val="1"/>
          <w:color w:val="auto"/>
        </w:rPr>
      </w:pPr>
    </w:p>
    <w:p>
      <w:pPr>
        <w:ind w:left="980" w:right="6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In the third quarter of 2019, the owners of Capline Pipeline Company LLC sanctioned the reversal of the Capline pipeline system and a connection to Diamond Pipeline.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200" w:hanging="324"/>
        <w:spacing w:after="0" w:line="277" w:lineRule="auto"/>
        <w:tabs>
          <w:tab w:leader="none" w:pos="975"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Rocky Mountain region. </w:t>
      </w:r>
      <w:r>
        <w:rPr>
          <w:rFonts w:ascii="Arial" w:cs="Arial" w:eastAsia="Arial" w:hAnsi="Arial"/>
          <w:sz w:val="18"/>
          <w:szCs w:val="18"/>
          <w:color w:val="auto"/>
        </w:rPr>
        <w:t>The decrease in revenues for the year ended December 31, 2019 compared to the year ended December 31, 2018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sale of one of our pipelines in the second quarter of 2018.</w:t>
      </w:r>
    </w:p>
    <w:p>
      <w:pPr>
        <w:spacing w:after="0" w:line="197" w:lineRule="exact"/>
        <w:rPr>
          <w:rFonts w:ascii="Arial" w:cs="Arial" w:eastAsia="Arial" w:hAnsi="Arial"/>
          <w:sz w:val="18"/>
          <w:szCs w:val="18"/>
          <w:i w:val="1"/>
          <w:iCs w:val="1"/>
          <w:color w:val="auto"/>
        </w:rPr>
      </w:pPr>
    </w:p>
    <w:p>
      <w:pPr>
        <w:ind w:left="980" w:right="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The favorable equity earnings variances for the year ended December 31, 2019 compared to the year ended December 31, 2018 were primarily driven by favorable results from our 40% interest in Saddlehorn Pipeline Company, LLC due to higher volumes from committed shippers, partially offset by a decrease from our 35.7% interest in White Cliffs Pipeline, LLC due to lower volumes as one crude oil line was taken out of service in May 2019 for conversion to NGL service.</w:t>
      </w:r>
    </w:p>
    <w:p>
      <w:pPr>
        <w:spacing w:after="0" w:line="213" w:lineRule="exact"/>
        <w:rPr>
          <w:rFonts w:ascii="Arial" w:cs="Arial" w:eastAsia="Arial" w:hAnsi="Arial"/>
          <w:sz w:val="18"/>
          <w:szCs w:val="18"/>
          <w:i w:val="1"/>
          <w:iCs w:val="1"/>
          <w:color w:val="auto"/>
        </w:rPr>
      </w:pPr>
    </w:p>
    <w:p>
      <w:pPr>
        <w:ind w:left="980" w:right="200" w:hanging="324"/>
        <w:spacing w:after="0" w:line="277" w:lineRule="auto"/>
        <w:tabs>
          <w:tab w:leader="none" w:pos="975"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Western region. </w:t>
      </w:r>
      <w:r>
        <w:rPr>
          <w:rFonts w:ascii="Arial" w:cs="Arial" w:eastAsia="Arial" w:hAnsi="Arial"/>
          <w:sz w:val="18"/>
          <w:szCs w:val="18"/>
          <w:color w:val="auto"/>
        </w:rPr>
        <w:t>The increase in revenues and volumes for the year ended December 31, 2019 compared to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higher volumes moved from our Bakersfield rail terminal into our area pipelines.</w:t>
      </w:r>
    </w:p>
    <w:p>
      <w:pPr>
        <w:spacing w:after="0" w:line="197" w:lineRule="exact"/>
        <w:rPr>
          <w:rFonts w:ascii="Arial" w:cs="Arial" w:eastAsia="Arial" w:hAnsi="Arial"/>
          <w:sz w:val="18"/>
          <w:szCs w:val="18"/>
          <w:i w:val="1"/>
          <w:iCs w:val="1"/>
          <w:color w:val="auto"/>
        </w:rPr>
      </w:pPr>
    </w:p>
    <w:p>
      <w:pPr>
        <w:ind w:left="980" w:right="120" w:hanging="324"/>
        <w:spacing w:after="0" w:line="264" w:lineRule="auto"/>
        <w:tabs>
          <w:tab w:leader="none" w:pos="975"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Canada region. </w:t>
      </w:r>
      <w:r>
        <w:rPr>
          <w:rFonts w:ascii="Arial" w:cs="Arial" w:eastAsia="Arial" w:hAnsi="Arial"/>
          <w:sz w:val="18"/>
          <w:szCs w:val="18"/>
          <w:color w:val="auto"/>
        </w:rPr>
        <w:t>The increase in revenues for the year ended December 31, 2019 compared to the year ended December 31, 2018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tariffs on certain of our Canadian crude oil pipelines and related system assets, partially offset by unfavorable foreign exchange impacts.</w:t>
      </w:r>
    </w:p>
    <w:p>
      <w:pPr>
        <w:spacing w:after="0" w:line="208" w:lineRule="exact"/>
        <w:rPr>
          <w:rFonts w:ascii="Arial" w:cs="Arial" w:eastAsia="Arial" w:hAnsi="Arial"/>
          <w:sz w:val="18"/>
          <w:szCs w:val="18"/>
          <w:i w:val="1"/>
          <w:iCs w:val="1"/>
          <w:color w:val="auto"/>
        </w:rPr>
      </w:pPr>
    </w:p>
    <w:p>
      <w:pPr>
        <w:jc w:val="both"/>
        <w:ind w:left="980" w:hanging="324"/>
        <w:spacing w:after="0" w:line="264" w:lineRule="auto"/>
        <w:tabs>
          <w:tab w:leader="none" w:pos="975"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regions, trucking and pipeline loss allowance. </w:t>
      </w:r>
      <w:r>
        <w:rPr>
          <w:rFonts w:ascii="Arial" w:cs="Arial" w:eastAsia="Arial" w:hAnsi="Arial"/>
          <w:sz w:val="18"/>
          <w:szCs w:val="18"/>
          <w:color w:val="auto"/>
        </w:rPr>
        <w:t>The increase in other revenues for the year ended December 31, 2019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was primarily due to greater pipeline loss allowance revenue in 2019 driven by higher volumes and, to a lesser extent, higher prices.</w:t>
      </w:r>
    </w:p>
    <w:p>
      <w:pPr>
        <w:spacing w:after="0" w:line="20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Adjustments: Deficiencies under minimum volume commitments, net. </w:t>
      </w:r>
      <w:r>
        <w:rPr>
          <w:rFonts w:ascii="Arial" w:cs="Arial" w:eastAsia="Arial" w:hAnsi="Arial"/>
          <w:sz w:val="16"/>
          <w:szCs w:val="16"/>
          <w:color w:val="auto"/>
        </w:rPr>
        <w:t>Many industry infrastructure projects developed and completed over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years were underpinned by long-term 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spacing w:after="0" w:line="194"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For the year ended December 31, 2019, the recognition of previously deferred revenue exceeded amounts billed to counterparties associated with deficiencies under minimum volume commitments. For the year ended December 31, 2018, amounts billed to counterparties exceeded revenue recognized during the period that was previously deferred.</w:t>
      </w:r>
    </w:p>
    <w:p>
      <w:pPr>
        <w:spacing w:after="0" w:line="20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for the year ended December 31, 2019 compared to the year ended December 31, 2018</w:t>
      </w:r>
      <w:r>
        <w:rPr>
          <w:rFonts w:ascii="Arial" w:cs="Arial" w:eastAsia="Arial" w:hAnsi="Arial"/>
          <w:sz w:val="17"/>
          <w:szCs w:val="17"/>
          <w:i w:val="1"/>
          <w:iCs w:val="1"/>
          <w:color w:val="auto"/>
        </w:rPr>
        <w:t xml:space="preserve"> </w:t>
      </w:r>
      <w:r>
        <w:rPr>
          <w:rFonts w:ascii="Arial" w:cs="Arial" w:eastAsia="Arial" w:hAnsi="Arial"/>
          <w:sz w:val="17"/>
          <w:szCs w:val="17"/>
          <w:color w:val="auto"/>
        </w:rPr>
        <w:t>was primarily due to the continued expansion of our Transportation segment operations including costs associated with personnel, power-related costs and property taxes. The expansion activities included projects placed in service in the fourth quarter of 2018, including our Sunrise II pipeline expansion within the Permian Basin region. Field operating costs were also impacted by an increase of estimated costs associated with the Line 901 incident (which impact our field operating costs but are excluded from Segment Adjusted EBITDA and thus are reflected as an “Adjustment” in the table above). See Note 19 to our Consolidated Financial Statements for additional information regarding the Line 901 incident. The increase in field operating costs was partially offset by the favorable impact of reflecting operating costs associated with the Capline pipeline system in equity earnings for the 2019 period that were included in field operating costs for the 2018 period, as discussed above.</w:t>
      </w:r>
    </w:p>
    <w:p>
      <w:pPr>
        <w:spacing w:after="0" w:line="206"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i w:val="1"/>
          <w:iCs w:val="1"/>
          <w:color w:val="auto"/>
        </w:rPr>
        <w:t xml:space="preserve">Segment General and Administrative Expenses. </w:t>
      </w:r>
      <w:r>
        <w:rPr>
          <w:rFonts w:ascii="Arial" w:cs="Arial" w:eastAsia="Arial" w:hAnsi="Arial"/>
          <w:sz w:val="16"/>
          <w:szCs w:val="16"/>
          <w:color w:val="auto"/>
        </w:rPr>
        <w:t>The decrease in segment general and administrative expenses for the year ended December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year ended December 31, 2018 was primarily due to a decrease in equity-indexed compensation expense due to fewer awards outstanding in 2019. A portion of equity-indexed compensation expense was associated with awards that will or may be settled in common units (which impact our general and administrative expenses but are excluded from Segment Adjusted EBITDA and thus are reflected as an “Adjustment” in the table above).</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Maintenance capital consists of capital expenditures for the replacement and/or refurbishment of partially or fully depreciated</w:t>
      </w:r>
      <w:r>
        <w:rPr>
          <w:rFonts w:ascii="Arial" w:cs="Arial" w:eastAsia="Arial" w:hAnsi="Arial"/>
          <w:sz w:val="16"/>
          <w:szCs w:val="16"/>
          <w:i w:val="1"/>
          <w:iCs w:val="1"/>
          <w:color w:val="auto"/>
        </w:rPr>
        <w:t xml:space="preserve"> </w:t>
      </w:r>
      <w:r>
        <w:rPr>
          <w:rFonts w:ascii="Arial" w:cs="Arial" w:eastAsia="Arial" w:hAnsi="Arial"/>
          <w:sz w:val="16"/>
          <w:szCs w:val="16"/>
          <w:color w:val="auto"/>
        </w:rPr>
        <w:t>assets in order to maintain the operating and/or earnings capacity of our existing assets. The increase in maintenance capital for the year ended December 31, 2019 compared to the year ended December 31, 2018 was primarily due to pump replacement projects and enhancements to our gathering systems in the Permian Basin region, partially offset by lower costs due to the completion of several large integrity management projects.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56"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Variance</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2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7"/>
          </w:tcPr>
          <w:p>
            <w:pPr>
              <w:jc w:val="center"/>
              <w:ind w:left="414"/>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2019-2018</w:t>
            </w:r>
          </w:p>
        </w:tc>
        <w:tc>
          <w:tcPr>
            <w:tcW w:w="4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gridSpan w:val="2"/>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5"/>
        </w:trPr>
        <w:tc>
          <w:tcPr>
            <w:tcW w:w="3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1,171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1,173</w:t>
            </w:r>
          </w:p>
        </w:tc>
        <w:tc>
          <w:tcPr>
            <w:tcW w:w="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0"/>
        </w:trPr>
        <w:tc>
          <w:tcPr>
            <w:tcW w:w="362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3"/>
                <w:szCs w:val="23"/>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0"/>
        </w:trPr>
        <w:tc>
          <w:tcPr>
            <w:tcW w:w="3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0"/>
        </w:trPr>
        <w:tc>
          <w:tcPr>
            <w:tcW w:w="3620" w:type="dxa"/>
            <w:vAlign w:val="bottom"/>
            <w:gridSpan w:val="3"/>
          </w:tcPr>
          <w:p>
            <w:pPr>
              <w:ind w:left="20"/>
              <w:spacing w:after="0"/>
              <w:rPr>
                <w:sz w:val="20"/>
                <w:szCs w:val="20"/>
                <w:color w:val="auto"/>
              </w:rPr>
            </w:pPr>
            <w:r>
              <w:rPr>
                <w:rFonts w:ascii="Arial" w:cs="Arial" w:eastAsia="Arial" w:hAnsi="Arial"/>
                <w:sz w:val="18"/>
                <w:szCs w:val="18"/>
                <w:color w:val="auto"/>
                <w:w w:val="90"/>
              </w:rPr>
              <w:t xml:space="preserve">Segment general and administrative expenses </w:t>
            </w:r>
            <w:r>
              <w:rPr>
                <w:rFonts w:ascii="Arial" w:cs="Arial" w:eastAsia="Arial" w:hAnsi="Arial"/>
                <w:sz w:val="23"/>
                <w:szCs w:val="23"/>
                <w:color w:val="auto"/>
                <w:w w:val="90"/>
                <w:vertAlign w:val="superscript"/>
              </w:rPr>
              <w:t>(2)</w:t>
            </w:r>
          </w:p>
        </w:tc>
        <w:tc>
          <w:tcPr>
            <w:tcW w:w="220" w:type="dxa"/>
            <w:vAlign w:val="bottom"/>
          </w:tcPr>
          <w:p>
            <w:pPr>
              <w:spacing w:after="0"/>
              <w:rPr>
                <w:sz w:val="23"/>
                <w:szCs w:val="23"/>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2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20" w:type="dxa"/>
            <w:vAlign w:val="bottom"/>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3"/>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gridSpan w:val="4"/>
            <w:vMerge w:val="restart"/>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2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4"/>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20" w:type="dxa"/>
            <w:vAlign w:val="bottom"/>
            <w:gridSpan w:val="3"/>
          </w:tcPr>
          <w:p>
            <w:pPr>
              <w:ind w:left="140"/>
              <w:spacing w:after="0"/>
              <w:rPr>
                <w:sz w:val="20"/>
                <w:szCs w:val="20"/>
                <w:color w:val="auto"/>
              </w:rPr>
            </w:pPr>
            <w:r>
              <w:rPr>
                <w:rFonts w:ascii="Arial" w:cs="Arial" w:eastAsia="Arial" w:hAnsi="Arial"/>
                <w:sz w:val="18"/>
                <w:szCs w:val="18"/>
                <w:color w:val="auto"/>
              </w:rPr>
              <w:t>(Gains)/losses from derivative activities</w:t>
            </w:r>
          </w:p>
        </w:tc>
        <w:tc>
          <w:tcPr>
            <w:tcW w:w="220" w:type="dxa"/>
            <w:vAlign w:val="bottom"/>
          </w:tcPr>
          <w:p>
            <w:pPr>
              <w:spacing w:after="0"/>
              <w:rPr>
                <w:sz w:val="23"/>
                <w:szCs w:val="23"/>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620" w:type="dxa"/>
            <w:vAlign w:val="bottom"/>
            <w:gridSpan w:val="3"/>
            <w:shd w:val="clear" w:color="auto" w:fill="CCEEFF"/>
          </w:tcPr>
          <w:p>
            <w:pPr>
              <w:ind w:left="140"/>
              <w:spacing w:after="0" w:line="176" w:lineRule="exact"/>
              <w:rPr>
                <w:sz w:val="20"/>
                <w:szCs w:val="20"/>
                <w:color w:val="auto"/>
              </w:rPr>
            </w:pPr>
            <w:r>
              <w:rPr>
                <w:rFonts w:ascii="Arial" w:cs="Arial" w:eastAsia="Arial" w:hAnsi="Arial"/>
                <w:sz w:val="18"/>
                <w:szCs w:val="18"/>
                <w:color w:val="auto"/>
              </w:rPr>
              <w:t>Deficiencies under minimum volume</w:t>
            </w:r>
          </w:p>
        </w:tc>
        <w:tc>
          <w:tcPr>
            <w:tcW w:w="22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3"/>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commitments, net</w:t>
            </w:r>
          </w:p>
        </w:tc>
        <w:tc>
          <w:tcPr>
            <w:tcW w:w="220" w:type="dxa"/>
            <w:vAlign w:val="bottom"/>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2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Equity-indexed compensation expense</w:t>
            </w: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right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9"/>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705</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734</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20" w:type="dxa"/>
            <w:vAlign w:val="bottom"/>
            <w:gridSpan w:val="3"/>
          </w:tcPr>
          <w:p>
            <w:pPr>
              <w:ind w:left="20"/>
              <w:spacing w:after="0"/>
              <w:rPr>
                <w:sz w:val="20"/>
                <w:szCs w:val="20"/>
                <w:color w:val="auto"/>
              </w:rPr>
            </w:pPr>
            <w:r>
              <w:rPr>
                <w:rFonts w:ascii="Arial" w:cs="Arial" w:eastAsia="Arial" w:hAnsi="Arial"/>
                <w:sz w:val="18"/>
                <w:szCs w:val="18"/>
                <w:color w:val="auto"/>
              </w:rPr>
              <w:t>Maintenance capital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114</w:t>
            </w:r>
          </w:p>
        </w:tc>
        <w:tc>
          <w:tcPr>
            <w:tcW w:w="20" w:type="dxa"/>
            <w:vAlign w:val="bottom"/>
            <w:tcBorders>
              <w:bottom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0.47</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0.47</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Variance</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7"/>
          </w:tcPr>
          <w:p>
            <w:pPr>
              <w:jc w:val="center"/>
              <w:ind w:left="414"/>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2019-2018</w:t>
            </w:r>
          </w:p>
        </w:tc>
        <w:tc>
          <w:tcPr>
            <w:tcW w:w="4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9"/>
                <w:szCs w:val="9"/>
                <w:b w:val="1"/>
                <w:bCs w:val="1"/>
                <w:color w:val="auto"/>
              </w:rPr>
              <w:t>(4)</w:t>
            </w:r>
          </w:p>
        </w:tc>
        <w:tc>
          <w:tcPr>
            <w:tcW w:w="220" w:type="dxa"/>
            <w:vAlign w:val="bottom"/>
          </w:tcPr>
          <w:p>
            <w:pPr>
              <w:spacing w:after="0"/>
              <w:rPr>
                <w:sz w:val="17"/>
                <w:szCs w:val="17"/>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5"/>
              </w:rPr>
              <w:t>Volumes</w:t>
            </w:r>
          </w:p>
        </w:tc>
        <w:tc>
          <w:tcPr>
            <w:tcW w:w="44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85"/>
              </w:rPr>
              <w:t>Volumes</w:t>
            </w:r>
          </w:p>
        </w:tc>
        <w:tc>
          <w:tcPr>
            <w:tcW w:w="680" w:type="dxa"/>
            <w:vAlign w:val="bottom"/>
          </w:tcPr>
          <w:p>
            <w:pPr>
              <w:jc w:val="right"/>
              <w:ind w:right="3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3520" w:type="dxa"/>
            <w:vAlign w:val="bottom"/>
            <w:tcBorders>
              <w:top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Liquids storage (average monthly capacity in</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ind w:left="340"/>
              <w:spacing w:after="0"/>
              <w:rPr>
                <w:sz w:val="20"/>
                <w:szCs w:val="20"/>
                <w:color w:val="auto"/>
              </w:rPr>
            </w:pPr>
            <w:r>
              <w:rPr>
                <w:rFonts w:ascii="Arial" w:cs="Arial" w:eastAsia="Arial" w:hAnsi="Arial"/>
                <w:sz w:val="18"/>
                <w:szCs w:val="18"/>
                <w:color w:val="auto"/>
              </w:rPr>
              <w:t>110</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112</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millions of barrels) </w:t>
            </w:r>
            <w:r>
              <w:rPr>
                <w:rFonts w:ascii="Arial" w:cs="Arial" w:eastAsia="Arial" w:hAnsi="Arial"/>
                <w:sz w:val="23"/>
                <w:szCs w:val="23"/>
                <w:color w:val="auto"/>
                <w:vertAlign w:val="superscript"/>
              </w:rPr>
              <w:t>(5)</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60"/>
              <w:spacing w:after="0"/>
              <w:rPr>
                <w:sz w:val="20"/>
                <w:szCs w:val="20"/>
                <w:color w:val="auto"/>
              </w:rPr>
            </w:pPr>
            <w:r>
              <w:rPr>
                <w:rFonts w:ascii="Arial" w:cs="Arial" w:eastAsia="Arial" w:hAnsi="Arial"/>
                <w:sz w:val="18"/>
                <w:szCs w:val="18"/>
                <w:color w:val="auto"/>
                <w:w w:val="96"/>
              </w:rPr>
              <w:t>Natural gas storage (average monthly working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14"/>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620" w:type="dxa"/>
            <w:vAlign w:val="bottom"/>
            <w:gridSpan w:val="3"/>
          </w:tcPr>
          <w:p>
            <w:pPr>
              <w:ind w:left="60"/>
              <w:spacing w:after="0"/>
              <w:rPr>
                <w:sz w:val="20"/>
                <w:szCs w:val="20"/>
                <w:color w:val="auto"/>
              </w:rPr>
            </w:pPr>
            <w:r>
              <w:rPr>
                <w:rFonts w:ascii="Arial" w:cs="Arial" w:eastAsia="Arial" w:hAnsi="Arial"/>
                <w:sz w:val="18"/>
                <w:szCs w:val="18"/>
                <w:color w:val="auto"/>
              </w:rPr>
              <w:t>capacity in billions of cubic feet)</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gridSpan w:val="3"/>
            <w:shd w:val="clear" w:color="auto" w:fill="CCEEFF"/>
          </w:tcPr>
          <w:p>
            <w:pPr>
              <w:ind w:left="20"/>
              <w:spacing w:after="0" w:line="143" w:lineRule="exact"/>
              <w:rPr>
                <w:sz w:val="20"/>
                <w:szCs w:val="20"/>
                <w:color w:val="auto"/>
              </w:rPr>
            </w:pPr>
            <w:r>
              <w:rPr>
                <w:rFonts w:ascii="Arial" w:cs="Arial" w:eastAsia="Arial" w:hAnsi="Arial"/>
                <w:sz w:val="16"/>
                <w:szCs w:val="16"/>
                <w:color w:val="auto"/>
              </w:rPr>
              <w:t>NGL fractionation (average volumes</w:t>
            </w: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in thousands of barrels per day)</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80"/>
              <w:spacing w:after="0" w:line="163" w:lineRule="exact"/>
              <w:rPr>
                <w:sz w:val="20"/>
                <w:szCs w:val="20"/>
                <w:color w:val="auto"/>
              </w:rPr>
            </w:pPr>
            <w:r>
              <w:rPr>
                <w:rFonts w:ascii="Arial" w:cs="Arial" w:eastAsia="Arial" w:hAnsi="Arial"/>
                <w:sz w:val="18"/>
                <w:szCs w:val="18"/>
                <w:color w:val="auto"/>
              </w:rPr>
              <w:t>Facilities segment total volumes (average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6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ind w:left="34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54"/>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62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 xml:space="preserve">monthly volumes in millions of barrels) </w:t>
            </w:r>
            <w:r>
              <w:rPr>
                <w:rFonts w:ascii="Arial" w:cs="Arial" w:eastAsia="Arial" w:hAnsi="Arial"/>
                <w:sz w:val="23"/>
                <w:szCs w:val="23"/>
                <w:color w:val="auto"/>
                <w:vertAlign w:val="superscript"/>
              </w:rPr>
              <w:t>(6)</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ectPr>
          <w:pgSz w:w="11900" w:h="16838" w:orient="portrait"/>
          <w:cols w:equalWidth="0" w:num="1">
            <w:col w:w="11360"/>
          </w:cols>
          <w:pgMar w:left="240" w:top="125" w:right="29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Segment general and administrative expenses reflect direct costs attributable to each segment and an allocation of other expenses to the</w:t>
      </w:r>
    </w:p>
    <w:p>
      <w:pPr>
        <w:spacing w:after="0" w:line="35" w:lineRule="exact"/>
        <w:rPr>
          <w:sz w:val="20"/>
          <w:szCs w:val="20"/>
          <w:color w:val="auto"/>
        </w:rPr>
      </w:pPr>
    </w:p>
    <w:p>
      <w:pPr>
        <w:ind w:left="20" w:right="120"/>
        <w:spacing w:after="0" w:line="261" w:lineRule="auto"/>
        <w:rPr>
          <w:sz w:val="20"/>
          <w:szCs w:val="20"/>
          <w:color w:val="auto"/>
        </w:rPr>
      </w:pPr>
      <w:r>
        <w:rPr>
          <w:rFonts w:ascii="Arial" w:cs="Arial" w:eastAsia="Arial" w:hAnsi="Arial"/>
          <w:sz w:val="18"/>
          <w:szCs w:val="18"/>
          <w:color w:val="auto"/>
        </w:rPr>
        <w:t>segments. The proportional allocations by segment require judgment by management and are based on the business activities that exist during each period.</w:t>
      </w:r>
    </w:p>
    <w:p>
      <w:pPr>
        <w:spacing w:after="0" w:line="76" w:lineRule="exact"/>
        <w:rPr>
          <w:sz w:val="20"/>
          <w:szCs w:val="20"/>
          <w:color w:val="auto"/>
        </w:rPr>
      </w:pPr>
    </w:p>
    <w:p>
      <w:pPr>
        <w:sectPr>
          <w:pgSz w:w="11900" w:h="16838" w:orient="portrait"/>
          <w:cols w:equalWidth="0" w:num="2">
            <w:col w:w="140" w:space="500"/>
            <w:col w:w="10720"/>
          </w:cols>
          <w:pgMar w:left="240" w:top="125" w:right="29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ind w:left="20" w:right="58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21 to our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year divided by the number of months in the year.</w:t>
      </w:r>
    </w:p>
    <w:p>
      <w:pPr>
        <w:spacing w:after="0" w:line="200" w:lineRule="exact"/>
        <w:rPr>
          <w:sz w:val="20"/>
          <w:szCs w:val="20"/>
          <w:color w:val="auto"/>
        </w:rPr>
      </w:pPr>
    </w:p>
    <w:p>
      <w:pPr>
        <w:sectPr>
          <w:pgSz w:w="11900" w:h="16838" w:orient="portrait"/>
          <w:cols w:equalWidth="0" w:num="2">
            <w:col w:w="140" w:space="500"/>
            <w:col w:w="10720"/>
          </w:cols>
          <w:pgMar w:left="240" w:top="125" w:right="299" w:bottom="1440" w:gutter="0" w:footer="0" w:header="0"/>
          <w:type w:val="continuous"/>
        </w:sect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95" w:name="page96"/>
    <w:bookmarkEnd w:id="9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117" w:lineRule="exact"/>
        <w:rPr>
          <w:sz w:val="20"/>
          <w:szCs w:val="20"/>
          <w:color w:val="auto"/>
        </w:rPr>
      </w:pPr>
    </w:p>
    <w:p>
      <w:pPr>
        <w:jc w:val="both"/>
        <w:ind w:left="20" w:right="360" w:hanging="11"/>
        <w:spacing w:after="0" w:line="286" w:lineRule="auto"/>
        <w:rPr>
          <w:sz w:val="20"/>
          <w:szCs w:val="20"/>
          <w:color w:val="auto"/>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year and divided by the number of months in the year.</w:t>
      </w:r>
    </w:p>
    <w:p>
      <w:pPr>
        <w:spacing w:after="0" w:line="193"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ind w:right="280" w:firstLine="648"/>
        <w:spacing w:after="0" w:line="286" w:lineRule="auto"/>
        <w:rPr>
          <w:sz w:val="20"/>
          <w:szCs w:val="20"/>
          <w:color w:val="auto"/>
        </w:rPr>
      </w:pPr>
      <w:r>
        <w:rPr>
          <w:rFonts w:ascii="Arial" w:cs="Arial" w:eastAsia="Arial" w:hAnsi="Arial"/>
          <w:sz w:val="17"/>
          <w:szCs w:val="17"/>
          <w:color w:val="auto"/>
        </w:rPr>
        <w:t>The following is a discussion of items impacting Facilities segment operating results for the year ended December 31, 2019 compared to the year ended December 31, 2018. For a discussion of the 2018-2017 comparative period, see Item 7. “Management’s Discussion and Analysis of Financial Condition and Results of Operations—Results of Operations—Facilities Segment” included in our 2018 Annual Report on Form 10-K.</w:t>
      </w:r>
    </w:p>
    <w:p>
      <w:pPr>
        <w:spacing w:after="0" w:line="19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purchases and related costs, and average monthly volumes were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w:t>
      </w:r>
    </w:p>
    <w:p>
      <w:pPr>
        <w:spacing w:after="0" w:line="197" w:lineRule="exact"/>
        <w:rPr>
          <w:sz w:val="20"/>
          <w:szCs w:val="20"/>
          <w:color w:val="auto"/>
        </w:rPr>
      </w:pPr>
    </w:p>
    <w:p>
      <w:pPr>
        <w:ind w:left="660" w:right="20" w:hanging="328"/>
        <w:spacing w:after="0" w:line="264"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increased by $11 million for the year ended December 31, 2019 compared to the year ended December 31, 2018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activity at certain of our terminals and the addition of 1 million barrels of storage capacity at our Midland terminal placed into service during 2019.</w:t>
      </w:r>
    </w:p>
    <w:p>
      <w:pPr>
        <w:spacing w:after="0" w:line="208"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Natural Gas Storage. </w:t>
      </w:r>
      <w:r>
        <w:rPr>
          <w:rFonts w:ascii="Arial" w:cs="Arial" w:eastAsia="Arial" w:hAnsi="Arial"/>
          <w:sz w:val="16"/>
          <w:szCs w:val="16"/>
          <w:color w:val="auto"/>
        </w:rPr>
        <w:t>Revenues, net of purchases and related costs, increased by $9 million for the year ended December 31, 2019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2018, primarily due to expiring contracts replaced by contracts with higher rates and increased hub activity.</w:t>
      </w:r>
    </w:p>
    <w:p>
      <w:pPr>
        <w:spacing w:after="0" w:line="150" w:lineRule="exact"/>
        <w:rPr>
          <w:rFonts w:ascii="Arial" w:cs="Arial" w:eastAsia="Arial" w:hAnsi="Arial"/>
          <w:sz w:val="16"/>
          <w:szCs w:val="16"/>
          <w:color w:val="auto"/>
        </w:rPr>
      </w:pPr>
    </w:p>
    <w:p>
      <w:pPr>
        <w:ind w:left="660" w:right="240" w:hanging="328"/>
        <w:spacing w:after="0" w:line="264"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Revenues decreased by $7 million for the year ended December 31, 2019 compared to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net unfavorable foreign exchange impact of $10 million and the sale of a natural gas processing facility in the second quarter of 2018, partially offset by higher fees at certain of our facilities.</w:t>
      </w:r>
    </w:p>
    <w:p>
      <w:pPr>
        <w:spacing w:after="0" w:line="208"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Rail Terminals. </w:t>
      </w:r>
      <w:r>
        <w:rPr>
          <w:rFonts w:ascii="Arial" w:cs="Arial" w:eastAsia="Arial" w:hAnsi="Arial"/>
          <w:sz w:val="18"/>
          <w:szCs w:val="18"/>
          <w:color w:val="auto"/>
        </w:rPr>
        <w:t>Revenues were relatively flat for the year ended December 31, 2019 compared to the year ended December 31, 2018. Revenues were</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favorably impacted by increased activity at certain of our terminals, as well as agreements that were entered into related to usage of our railcars. These favorable impacts were substantially offset by the recognition of previously deferred revenue associated with deficiencies under minimum volume commitments in the 2018 period.</w:t>
      </w:r>
    </w:p>
    <w:p>
      <w:pPr>
        <w:spacing w:after="0" w:line="21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were relatively flat for the year ended December 31, 2019 compared to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as increases in property taxes, maintenance and integrity management costs, as well as higher costs at our rail terminals due to increased activity, were offset by a decrease in power-related costs associated with mark-to-market gains (which impact our field operating costs but are excluded from Segment Adjusted EBITDA and thus are reflected as an “Adjustment” in the table above).</w:t>
      </w:r>
    </w:p>
    <w:p>
      <w:pPr>
        <w:spacing w:after="0" w:line="214"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For the year ended December 31, 2019 compared to the year ended December 31, 2018, maintenance capital spending</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primarily due to the impact of lower turnaround costs at certain of our NGL facilities, partially offset by increased spending at our gas storage facilities.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56"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and (iii) the effects of competition on our lease gathering and NGL margins. In addition, the execution of our risk management strategies in conjunction with our assets can provide upside in certain markets.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2"/>
              </w:rPr>
              <w:t>Variance</w:t>
            </w: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00" w:type="dxa"/>
            <w:vAlign w:val="bottom"/>
            <w:gridSpan w:val="4"/>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10"/>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2019-2018</w:t>
            </w: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2018-2017</w:t>
            </w:r>
          </w:p>
        </w:tc>
        <w:tc>
          <w:tcPr>
            <w:tcW w:w="6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6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32,276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32,822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25,065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7,757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7"/>
              </w:rPr>
              <w:t>31 %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(31,276)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(31,487)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89"/>
              </w:rPr>
              <w:t>(24,557)</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(6,930)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600" w:type="dxa"/>
            <w:vAlign w:val="bottom"/>
            <w:gridSpan w:val="4"/>
          </w:tcPr>
          <w:p>
            <w:pPr>
              <w:ind w:left="20"/>
              <w:spacing w:after="0" w:line="183" w:lineRule="exact"/>
              <w:rPr>
                <w:sz w:val="20"/>
                <w:szCs w:val="20"/>
                <w:color w:val="auto"/>
              </w:rPr>
            </w:pPr>
            <w:r>
              <w:rPr>
                <w:rFonts w:ascii="Arial" w:cs="Arial" w:eastAsia="Arial" w:hAnsi="Arial"/>
                <w:sz w:val="18"/>
                <w:szCs w:val="18"/>
                <w:color w:val="auto"/>
                <w:w w:val="96"/>
              </w:rPr>
              <w:t>Segment general and administrative expenses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ind w:right="14"/>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12"/>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ind w:right="74"/>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(15)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500" w:type="dxa"/>
            <w:vAlign w:val="bottom"/>
            <w:gridSpan w:val="2"/>
          </w:tcPr>
          <w:p>
            <w:pPr>
              <w:ind w:left="20"/>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56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(Gains)/losses from derivative activities net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691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(468)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5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of inventory valuation adjustments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60" w:type="dxa"/>
            <w:vAlign w:val="bottom"/>
            <w:gridSpan w:val="3"/>
          </w:tcPr>
          <w:p>
            <w:pPr>
              <w:ind w:left="100"/>
              <w:spacing w:after="0"/>
              <w:rPr>
                <w:sz w:val="20"/>
                <w:szCs w:val="20"/>
                <w:color w:val="auto"/>
              </w:rPr>
            </w:pPr>
            <w:r>
              <w:rPr>
                <w:rFonts w:ascii="Arial" w:cs="Arial" w:eastAsia="Arial" w:hAnsi="Arial"/>
                <w:sz w:val="18"/>
                <w:szCs w:val="18"/>
                <w:color w:val="auto"/>
              </w:rPr>
              <w:t>Long-term inventory costing adjustments</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5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Equity-indexed compensation expense</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56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Net (gain)/loss on foreign currency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ind w:right="54"/>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ind w:right="74"/>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3560" w:type="dxa"/>
            <w:vAlign w:val="bottom"/>
            <w:tcBorders>
              <w:bottom w:val="single" w:sz="8" w:color="CCEEFF"/>
            </w:tcBorders>
            <w:gridSpan w:val="3"/>
          </w:tcPr>
          <w:p>
            <w:pPr>
              <w:ind w:left="260"/>
              <w:spacing w:after="0"/>
              <w:rPr>
                <w:sz w:val="20"/>
                <w:szCs w:val="20"/>
                <w:color w:val="auto"/>
              </w:rPr>
            </w:pPr>
            <w:r>
              <w:rPr>
                <w:rFonts w:ascii="Arial" w:cs="Arial" w:eastAsia="Arial" w:hAnsi="Arial"/>
                <w:sz w:val="18"/>
                <w:szCs w:val="18"/>
                <w:color w:val="auto"/>
              </w:rPr>
              <w:t>revaluation</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36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803</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462</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341</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402</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00" w:type="dxa"/>
            <w:vAlign w:val="bottom"/>
            <w:gridSpan w:val="4"/>
          </w:tcPr>
          <w:p>
            <w:pPr>
              <w:ind w:left="20"/>
              <w:spacing w:after="0"/>
              <w:rPr>
                <w:sz w:val="20"/>
                <w:szCs w:val="20"/>
                <w:color w:val="auto"/>
              </w:rPr>
            </w:pPr>
            <w:r>
              <w:rPr>
                <w:rFonts w:ascii="Arial" w:cs="Arial" w:eastAsia="Arial" w:hAnsi="Arial"/>
                <w:sz w:val="18"/>
                <w:szCs w:val="18"/>
                <w:color w:val="auto"/>
              </w:rPr>
              <w:t>Maintenance capital</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220" w:type="dxa"/>
            <w:vAlign w:val="bottom"/>
            <w:gridSpan w:val="5"/>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6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1.61</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0.97</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0.13</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0.64</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0.84</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40" w:type="dxa"/>
            <w:vAlign w:val="bottom"/>
          </w:tcPr>
          <w:p>
            <w:pPr>
              <w:spacing w:after="0"/>
              <w:rPr>
                <w:sz w:val="24"/>
                <w:szCs w:val="24"/>
                <w:color w:val="auto"/>
              </w:rPr>
            </w:pPr>
          </w:p>
        </w:tc>
        <w:tc>
          <w:tcPr>
            <w:tcW w:w="356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9"/>
                <w:szCs w:val="9"/>
                <w:b w:val="1"/>
                <w:bCs w:val="1"/>
                <w:color w:val="auto"/>
              </w:rPr>
              <w:t>(4)</w:t>
            </w: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2019-2018</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2018-2017</w:t>
            </w: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Volume</w:t>
            </w:r>
          </w:p>
        </w:tc>
        <w:tc>
          <w:tcPr>
            <w:tcW w:w="120" w:type="dxa"/>
            <w:vAlign w:val="bottom"/>
            <w:tcBorders>
              <w:bottom w:val="single" w:sz="8" w:color="CCEEFF"/>
            </w:tcBorders>
            <w:gridSpan w:val="2"/>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Volume</w:t>
            </w:r>
          </w:p>
        </w:tc>
        <w:tc>
          <w:tcPr>
            <w:tcW w:w="100" w:type="dxa"/>
            <w:vAlign w:val="bottom"/>
            <w:tcBorders>
              <w:bottom w:val="single" w:sz="8" w:color="CCEEFF"/>
            </w:tcBorders>
            <w:gridSpan w:val="2"/>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945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10 %</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60" w:type="dxa"/>
            <w:vAlign w:val="bottom"/>
            <w:gridSpan w:val="3"/>
          </w:tcPr>
          <w:p>
            <w:pPr>
              <w:ind w:left="20"/>
              <w:spacing w:after="0"/>
              <w:rPr>
                <w:sz w:val="20"/>
                <w:szCs w:val="20"/>
                <w:color w:val="auto"/>
              </w:rPr>
            </w:pPr>
            <w:r>
              <w:rPr>
                <w:rFonts w:ascii="Arial" w:cs="Arial" w:eastAsia="Arial" w:hAnsi="Arial"/>
                <w:sz w:val="18"/>
                <w:szCs w:val="18"/>
                <w:color w:val="auto"/>
              </w:rPr>
              <w:t>NGL sales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(19)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35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7"/>
              </w:rPr>
              <w:t>Supply and Logistics segment total volumes</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1,369</w:t>
            </w:r>
          </w:p>
        </w:tc>
        <w:tc>
          <w:tcPr>
            <w:tcW w:w="6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1,309</w:t>
            </w:r>
          </w:p>
        </w:tc>
        <w:tc>
          <w:tcPr>
            <w:tcW w:w="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1,219</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5 %</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ectPr>
          <w:pgSz w:w="11900" w:h="16838" w:orient="portrait"/>
          <w:cols w:equalWidth="0" w:num="1">
            <w:col w:w="11400"/>
          </w:cols>
          <w:pgMar w:left="240" w:top="125" w:right="25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Segment general and administrative expenses reflect direct costs attributable to each segment and an allocation of other expenses to the</w:t>
      </w:r>
    </w:p>
    <w:p>
      <w:pPr>
        <w:spacing w:after="0" w:line="35" w:lineRule="exact"/>
        <w:rPr>
          <w:sz w:val="20"/>
          <w:szCs w:val="20"/>
          <w:color w:val="auto"/>
        </w:rPr>
      </w:pPr>
    </w:p>
    <w:p>
      <w:pPr>
        <w:ind w:left="20" w:right="160"/>
        <w:spacing w:after="0" w:line="261" w:lineRule="auto"/>
        <w:rPr>
          <w:sz w:val="20"/>
          <w:szCs w:val="20"/>
          <w:color w:val="auto"/>
        </w:rPr>
      </w:pPr>
      <w:r>
        <w:rPr>
          <w:rFonts w:ascii="Arial" w:cs="Arial" w:eastAsia="Arial" w:hAnsi="Arial"/>
          <w:sz w:val="18"/>
          <w:szCs w:val="18"/>
          <w:color w:val="auto"/>
        </w:rPr>
        <w:t>segments. The proportional allocations by segment require judgment by management and are based on the business activities that exist during each period.</w:t>
      </w:r>
    </w:p>
    <w:p>
      <w:pPr>
        <w:spacing w:after="0" w:line="76"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ind w:left="20" w:right="62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21 to our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Average daily volumes are calculated as the total volumes for the period divided by the number of days in the period.</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presents the range of the NYMEX West Texas Intermediate (“WTI”) benchmark price of crude oil (in dollars per barrel):</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NYMEX WTI</w:t>
            </w:r>
          </w:p>
        </w:tc>
        <w:tc>
          <w:tcPr>
            <w:tcW w:w="780" w:type="dxa"/>
            <w:vAlign w:val="bottom"/>
          </w:tcPr>
          <w:p>
            <w:pPr>
              <w:spacing w:after="0"/>
              <w:rPr>
                <w:sz w:val="14"/>
                <w:szCs w:val="14"/>
                <w:color w:val="auto"/>
              </w:rPr>
            </w:pPr>
          </w:p>
        </w:tc>
      </w:t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Crude Oil Price</w:t>
            </w:r>
          </w:p>
        </w:tc>
        <w:tc>
          <w:tcPr>
            <w:tcW w:w="780" w:type="dxa"/>
            <w:vAlign w:val="bottom"/>
            <w:tcBorders>
              <w:bottom w:val="single" w:sz="8" w:color="auto"/>
            </w:tcBorders>
          </w:tcPr>
          <w:p>
            <w:pPr>
              <w:spacing w:after="0"/>
              <w:rPr>
                <w:sz w:val="16"/>
                <w:szCs w:val="16"/>
                <w:color w:val="auto"/>
              </w:rPr>
            </w:pPr>
          </w:p>
        </w:tc>
      </w:tr>
      <w:tr>
        <w:trPr>
          <w:trHeight w:val="197"/>
        </w:trPr>
        <w:tc>
          <w:tcPr>
            <w:tcW w:w="8700" w:type="dxa"/>
            <w:vAlign w:val="bottom"/>
            <w:gridSpan w:val="2"/>
          </w:tcPr>
          <w:p>
            <w:pPr>
              <w:ind w:left="20"/>
              <w:spacing w:after="0"/>
              <w:rPr>
                <w:sz w:val="20"/>
                <w:szCs w:val="20"/>
                <w:color w:val="auto"/>
              </w:rPr>
            </w:pPr>
            <w:r>
              <w:rPr>
                <w:rFonts w:ascii="Arial" w:cs="Arial" w:eastAsia="Arial" w:hAnsi="Arial"/>
                <w:sz w:val="14"/>
                <w:szCs w:val="14"/>
                <w:b w:val="1"/>
                <w:bCs w:val="1"/>
                <w:color w:val="auto"/>
              </w:rPr>
              <w:t>During the Year Ended December 31,</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ind w:right="374"/>
              <w:spacing w:after="0"/>
              <w:rPr>
                <w:sz w:val="20"/>
                <w:szCs w:val="20"/>
                <w:color w:val="auto"/>
              </w:rPr>
            </w:pPr>
            <w:r>
              <w:rPr>
                <w:rFonts w:ascii="Arial" w:cs="Arial" w:eastAsia="Arial" w:hAnsi="Arial"/>
                <w:sz w:val="14"/>
                <w:szCs w:val="14"/>
                <w:b w:val="1"/>
                <w:bCs w:val="1"/>
                <w:color w:val="auto"/>
                <w:w w:val="96"/>
              </w:rPr>
              <w:t>High</w:t>
            </w:r>
          </w:p>
        </w:tc>
      </w:tr>
      <w:tr>
        <w:trPr>
          <w:trHeight w:val="250"/>
        </w:trPr>
        <w:tc>
          <w:tcPr>
            <w:tcW w:w="85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66</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57"/>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76</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w:t>
            </w:r>
          </w:p>
        </w:tc>
      </w:tr>
      <w:tr>
        <w:trPr>
          <w:trHeight w:val="27"/>
        </w:trPr>
        <w:tc>
          <w:tcPr>
            <w:tcW w:w="8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during the periods.</w:t>
      </w:r>
    </w:p>
    <w:p>
      <w:pPr>
        <w:spacing w:after="0" w:line="198" w:lineRule="exact"/>
        <w:rPr>
          <w:sz w:val="20"/>
          <w:szCs w:val="20"/>
          <w:color w:val="auto"/>
        </w:rPr>
      </w:pPr>
    </w:p>
    <w:p>
      <w:pPr>
        <w:ind w:right="840" w:firstLine="648"/>
        <w:spacing w:after="0" w:line="264"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20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2018 and 2019, crude oil production growth and limited pipeline take-away capacity caused pipelines in many basins to operate at high levels of utilization. Specifically, regional production increases created concerns regarding pipeline take-away capacity, particularly in the Permian Basin and Western Canada, which in turn caused crude oil location differentials in these areas to widen relative to historical norms. This environment created opportunities for our Supply and Logistics segment to generate additional margin. Looking forward, we do not expect these opportunities for higher margins to continue for the foreseeable future.</w:t>
      </w:r>
    </w:p>
    <w:p>
      <w:pPr>
        <w:spacing w:after="0" w:line="21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 for the year ended December 31, 2019 compared to the year ended December 31, 2018. For a discussion of the 2018-2017 comparative period, see Item 7. “Management’s Discussion and Analysis of Financial Condition and Results of Operations—Results of Operations—Supply and Logistics Segment” included in our 2018 Annual Report on Form 10-K.</w:t>
      </w:r>
    </w:p>
    <w:p>
      <w:pPr>
        <w:spacing w:after="0" w:line="214" w:lineRule="exact"/>
        <w:rPr>
          <w:sz w:val="20"/>
          <w:szCs w:val="20"/>
          <w:color w:val="auto"/>
        </w:rPr>
      </w:pPr>
    </w:p>
    <w:p>
      <w:pPr>
        <w:ind w:left="660" w:right="20" w:hanging="328"/>
        <w:spacing w:after="0" w:line="264"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Revenues, net of purchases and related costs, (“net revenues”) from our crude oil supply and logistics operations increased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2019 compared to the year ended December 31, 2018 largely due to the realization of more favorable differentials, primarily in the Permian Basin and Canada.</w:t>
      </w:r>
    </w:p>
    <w:p>
      <w:pPr>
        <w:spacing w:after="0" w:line="208" w:lineRule="exact"/>
        <w:rPr>
          <w:rFonts w:ascii="Arial" w:cs="Arial" w:eastAsia="Arial" w:hAnsi="Arial"/>
          <w:sz w:val="18"/>
          <w:szCs w:val="18"/>
          <w:color w:val="auto"/>
        </w:rPr>
      </w:pPr>
    </w:p>
    <w:p>
      <w:pPr>
        <w:jc w:val="both"/>
        <w:ind w:left="660" w:right="400" w:hanging="328"/>
        <w:spacing w:after="0" w:line="286"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NGL Operations. </w:t>
      </w:r>
      <w:r>
        <w:rPr>
          <w:rFonts w:ascii="Arial" w:cs="Arial" w:eastAsia="Arial" w:hAnsi="Arial"/>
          <w:sz w:val="17"/>
          <w:szCs w:val="17"/>
          <w:color w:val="auto"/>
        </w:rPr>
        <w:t>Net revenues from our NGL operations increased for the year ended December 31, 2019 compared to the same period in 2018</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the streamlining of our NGL activities by focusing on our equity supply from our gathering and processing facilities, favorable regional differentials and the favorable impact of certain non-recurring items recorded in the second quarter of 2019.</w:t>
      </w:r>
    </w:p>
    <w:p>
      <w:pPr>
        <w:spacing w:after="0" w:line="192" w:lineRule="exact"/>
        <w:rPr>
          <w:rFonts w:ascii="Arial" w:cs="Arial" w:eastAsia="Arial" w:hAnsi="Arial"/>
          <w:sz w:val="17"/>
          <w:szCs w:val="17"/>
          <w:color w:val="auto"/>
        </w:rPr>
      </w:pPr>
    </w:p>
    <w:p>
      <w:pPr>
        <w:ind w:left="660" w:right="20" w:hanging="328"/>
        <w:spacing w:after="0" w:line="273"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Impact from Certain Derivative Activities, Net of Inventory Valuation Adjustments. </w:t>
      </w:r>
      <w:r>
        <w:rPr>
          <w:rFonts w:ascii="Arial" w:cs="Arial" w:eastAsia="Arial" w:hAnsi="Arial"/>
          <w:sz w:val="17"/>
          <w:szCs w:val="17"/>
          <w:color w:val="auto"/>
        </w:rPr>
        <w:t>The impact from certain derivative activities on our net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 See Note 13 to our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205" w:lineRule="exact"/>
        <w:rPr>
          <w:rFonts w:ascii="Arial" w:cs="Arial" w:eastAsia="Arial" w:hAnsi="Arial"/>
          <w:sz w:val="17"/>
          <w:szCs w:val="17"/>
          <w:color w:val="auto"/>
        </w:rPr>
      </w:pPr>
    </w:p>
    <w:p>
      <w:pPr>
        <w:ind w:left="660" w:right="40" w:hanging="328"/>
        <w:spacing w:after="0" w:line="297" w:lineRule="auto"/>
        <w:tabs>
          <w:tab w:leader="none" w:pos="655"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Long-Term Inventory Costing Adjustments. </w:t>
      </w:r>
      <w:r>
        <w:rPr>
          <w:rFonts w:ascii="Arial" w:cs="Arial" w:eastAsia="Arial" w:hAnsi="Arial"/>
          <w:sz w:val="16"/>
          <w:szCs w:val="16"/>
          <w:color w:val="auto"/>
        </w:rPr>
        <w:t>Our net revenues are impacted by changes in the weighted average cost of our crude oil and NGL</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300" w:hanging="328"/>
        <w:spacing w:after="0" w:line="286" w:lineRule="auto"/>
        <w:tabs>
          <w:tab w:leader="none" w:pos="655"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resulting in foreign exchange gains and</w:t>
      </w:r>
      <w:r>
        <w:rPr>
          <w:rFonts w:ascii="Arial" w:cs="Arial" w:eastAsia="Arial" w:hAnsi="Arial"/>
          <w:sz w:val="17"/>
          <w:szCs w:val="17"/>
          <w:i w:val="1"/>
          <w:iCs w:val="1"/>
          <w:color w:val="auto"/>
        </w:rPr>
        <w:t xml:space="preserve"> </w:t>
      </w:r>
      <w:r>
        <w:rPr>
          <w:rFonts w:ascii="Arial" w:cs="Arial" w:eastAsia="Arial" w:hAnsi="Arial"/>
          <w:sz w:val="17"/>
          <w:szCs w:val="17"/>
          <w:color w:val="auto"/>
        </w:rPr>
        <w:t>losses on U.S. denominated net assets within our Canadian operations. These non-cash gains and losses impact our net revenues but are excluded from Segment Adjusted EBITDA and thus are reflected as an “Adjustment” in the table above.</w:t>
      </w:r>
    </w:p>
    <w:p>
      <w:pPr>
        <w:spacing w:after="0" w:line="192" w:lineRule="exact"/>
        <w:rPr>
          <w:rFonts w:ascii="Arial" w:cs="Arial" w:eastAsia="Arial" w:hAnsi="Arial"/>
          <w:sz w:val="17"/>
          <w:szCs w:val="17"/>
          <w:color w:val="auto"/>
        </w:rPr>
      </w:pPr>
    </w:p>
    <w:p>
      <w:pPr>
        <w:ind w:left="660" w:right="100" w:hanging="328"/>
        <w:spacing w:after="0" w:line="259" w:lineRule="auto"/>
        <w:tabs>
          <w:tab w:leader="none" w:pos="655"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year ended December 31, 2019 compared to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driven by a decrease in lease expense for our crude oil transportation trucks and trailers related to the adoption of the new lease accounting standard and a decrease in trucking costs due to lower company-hauled volumes, partially offset by higher third-party hauled volumes in certain regions.</w:t>
      </w:r>
    </w:p>
    <w:p>
      <w:pPr>
        <w:spacing w:after="0" w:line="213" w:lineRule="exact"/>
        <w:rPr>
          <w:rFonts w:ascii="Arial" w:cs="Arial" w:eastAsia="Arial" w:hAnsi="Arial"/>
          <w:sz w:val="18"/>
          <w:szCs w:val="18"/>
          <w:i w:val="1"/>
          <w:iCs w:val="1"/>
          <w:color w:val="auto"/>
        </w:rPr>
      </w:pPr>
    </w:p>
    <w:p>
      <w:pPr>
        <w:ind w:left="660" w:right="40" w:hanging="328"/>
        <w:spacing w:after="0" w:line="24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decrease in segment general and administrative expenses for the year ended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2018 was primarily due to a decrease in equity-indexed compensation expense due to fewer awards outstanding in 2019. A portion of equity-indexed compensation expense was associated with awards that will or may be settled in common units (which impact our general and administrative expenses but are excluded from Segment Adjusted EBITDA and thus are reflected as an “Adjustment” in the table above).</w:t>
      </w:r>
    </w:p>
    <w:p>
      <w:pPr>
        <w:spacing w:after="0" w:line="217"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For the year ended December 31, 2019 compared to the year ended December 31, 2018, maintenance capital spending</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primarily due to lease costs for our crude oil transportation trucks and trailers that are capitalized following the adoption of the new lease accounting standard.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52"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The following summarizes the significant items impacting Other Income and Expenses for the year ended December 31, 2019 compared to the year ended December 31, 2018. For a discussion of the 2018-2017 comparative period, see Item 7. “Management’s Discussion and Analysis of Financial Condition and Results of Operations—Results of Operations—Other Income and Expenses” included in our 2018 Annual Report on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Depreciation and amortization expense increased for the year ended December 31, 2019 compared to the same period in 2018 largely driven by (i) additional depreciation expense associated with the completion of various capital expansion projects and (ii) an adjustment to the useful lives of certain assets.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net loss on asset sales and asset impairments for the year ended December 31, 2019 was largely driven by a loss on the sale of a storage terminal in North Dakota. The net gain for the year ended December 31, 2018 was largely driven by a gain on the sale of certain pipelines in the Rocky Mountain region, partially offset by a loss on the sale of a non-core asset under construction.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Investment in Unconsolidated Entities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year ended December 31, 2019, we recognized a non-cash gain of $269 million related to a fair value adjustment resulting from the accounting for the contribution of our undivided joint interest in the Capline pipeline system for an equity interest in Capline Pipeline Company LLC. During the year ended December 31, 2018, we recognized a gain of $200 million related to our sale of a 30% interest in BridgeTex Pipeline Company, LLC. See Note 9 to our Consolidated Financial Statements for additional information.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primarily impacted by:</w:t>
      </w:r>
    </w:p>
    <w:p>
      <w:pPr>
        <w:spacing w:after="0" w:line="252"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weighted average debt balances;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interest capitalized on capital projects.</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the interest expense variance (in millions, except percentages):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r>
      <w:tr>
        <w:trPr>
          <w:trHeight w:val="188"/>
        </w:trPr>
        <w:tc>
          <w:tcPr>
            <w:tcW w:w="69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LIBOR</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9"/>
                <w:szCs w:val="9"/>
                <w:b w:val="1"/>
                <w:bCs w:val="1"/>
                <w:color w:val="auto"/>
              </w:rPr>
              <w:t>(1)</w:t>
            </w:r>
          </w:p>
        </w:tc>
        <w:tc>
          <w:tcPr>
            <w:tcW w:w="200" w:type="dxa"/>
            <w:vAlign w:val="bottom"/>
            <w:tcBorders>
              <w:bottom w:val="single" w:sz="8" w:color="auto"/>
            </w:tcBorders>
          </w:tcPr>
          <w:p>
            <w:pPr>
              <w:spacing w:after="0"/>
              <w:rPr>
                <w:sz w:val="16"/>
                <w:szCs w:val="16"/>
                <w:color w:val="auto"/>
              </w:rPr>
            </w:pPr>
          </w:p>
        </w:tc>
      </w:tr>
      <w:tr>
        <w:trPr>
          <w:trHeight w:val="276"/>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for the year ended December 31, 2017</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217"/>
        </w:trPr>
        <w:tc>
          <w:tcPr>
            <w:tcW w:w="6940" w:type="dxa"/>
            <w:vAlign w:val="bottom"/>
          </w:tcPr>
          <w:p>
            <w:pPr>
              <w:ind w:left="120"/>
              <w:spacing w:after="0"/>
              <w:rPr>
                <w:sz w:val="20"/>
                <w:szCs w:val="20"/>
                <w:color w:val="auto"/>
              </w:rPr>
            </w:pPr>
            <w:r>
              <w:rPr>
                <w:rFonts w:ascii="Arial" w:cs="Arial" w:eastAsia="Arial" w:hAnsi="Arial"/>
                <w:sz w:val="18"/>
                <w:szCs w:val="18"/>
                <w:color w:val="auto"/>
              </w:rPr>
              <w:t>Impact of retirement of senior notes</w:t>
            </w:r>
          </w:p>
        </w:tc>
        <w:tc>
          <w:tcPr>
            <w:tcW w:w="5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7"/>
        </w:trPr>
        <w:tc>
          <w:tcPr>
            <w:tcW w:w="6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6940" w:type="dxa"/>
            <w:vAlign w:val="bottom"/>
          </w:tcPr>
          <w:p>
            <w:pPr>
              <w:ind w:left="20"/>
              <w:spacing w:after="0"/>
              <w:rPr>
                <w:sz w:val="20"/>
                <w:szCs w:val="20"/>
                <w:color w:val="auto"/>
              </w:rPr>
            </w:pPr>
            <w:r>
              <w:rPr>
                <w:rFonts w:ascii="Arial" w:cs="Arial" w:eastAsia="Arial" w:hAnsi="Arial"/>
                <w:sz w:val="18"/>
                <w:szCs w:val="18"/>
                <w:color w:val="auto"/>
              </w:rPr>
              <w:t>Interest expense for the year ended December 31, 2018</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431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44"/>
        </w:trPr>
        <w:tc>
          <w:tcPr>
            <w:tcW w:w="6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Impact of borrowings under credit facilities and commercial paper program</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120"/>
              <w:spacing w:after="0"/>
              <w:rPr>
                <w:sz w:val="20"/>
                <w:szCs w:val="20"/>
                <w:color w:val="auto"/>
              </w:rPr>
            </w:pPr>
            <w:r>
              <w:rPr>
                <w:rFonts w:ascii="Arial" w:cs="Arial" w:eastAsia="Arial" w:hAnsi="Arial"/>
                <w:sz w:val="18"/>
                <w:szCs w:val="18"/>
                <w:color w:val="auto"/>
              </w:rPr>
              <w:t>Impact of issuance and retirement of senior notes</w:t>
            </w:r>
          </w:p>
        </w:tc>
        <w:tc>
          <w:tcPr>
            <w:tcW w:w="5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6940" w:type="dxa"/>
            <w:vAlign w:val="bottom"/>
          </w:tcPr>
          <w:p>
            <w:pPr>
              <w:ind w:left="20"/>
              <w:spacing w:after="0"/>
              <w:rPr>
                <w:sz w:val="20"/>
                <w:szCs w:val="20"/>
                <w:color w:val="auto"/>
              </w:rPr>
            </w:pPr>
            <w:r>
              <w:rPr>
                <w:rFonts w:ascii="Arial" w:cs="Arial" w:eastAsia="Arial" w:hAnsi="Arial"/>
                <w:sz w:val="18"/>
                <w:szCs w:val="18"/>
                <w:color w:val="auto"/>
              </w:rPr>
              <w:t>Interest expense for the year ended December 31, 2019</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6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Excludes commitment and other fees.</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Interest expense decreased for the year ended December 31, 2019 compared to the year ended December 31, 2018 primarily due to a lower weighted average debt balance during the 2019 period from lower commercial paper and credit facility borrowings, partially offset by the issuance of $1 billion, 3.55% senior notes in September 2019.</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11 to our Consolidated Financial Statements for additional information regarding our debt activities during the periods presented.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100" w:type="dxa"/>
            <w:vAlign w:val="bottom"/>
            <w:tcBorders>
              <w:bottom w:val="single" w:sz="8" w:color="auto"/>
            </w:tcBorders>
          </w:tcPr>
          <w:p>
            <w:pPr>
              <w:spacing w:after="0"/>
              <w:rPr>
                <w:sz w:val="16"/>
                <w:szCs w:val="16"/>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w w:val="96"/>
              </w:rPr>
              <w:t>2018</w:t>
            </w:r>
          </w:p>
        </w:tc>
      </w:tr>
      <w:tr>
        <w:trPr>
          <w:trHeight w:val="27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 xml:space="preserve">Gain/(loss) related to mark-to-market adjustment of our Preferred Distribution Rate Reset Option </w:t>
            </w:r>
            <w:r>
              <w:rPr>
                <w:rFonts w:ascii="Arial" w:cs="Arial" w:eastAsia="Arial" w:hAnsi="Arial"/>
                <w:sz w:val="23"/>
                <w:szCs w:val="23"/>
                <w:color w:val="auto"/>
                <w:w w:val="95"/>
                <w:vertAlign w:val="superscript"/>
              </w:rPr>
              <w:t>(1)</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Net gain/(loss) on foreign currency revaluation</w:t>
            </w:r>
          </w:p>
        </w:tc>
        <w:tc>
          <w:tcPr>
            <w:tcW w:w="1100" w:type="dxa"/>
            <w:vAlign w:val="bottom"/>
          </w:tcPr>
          <w:p>
            <w:pPr>
              <w:spacing w:after="0"/>
              <w:rPr>
                <w:sz w:val="21"/>
                <w:szCs w:val="21"/>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5</w:t>
            </w:r>
          </w:p>
        </w:tc>
      </w:tr>
      <w:tr>
        <w:trPr>
          <w:trHeight w:val="27"/>
        </w:trPr>
        <w:tc>
          <w:tcPr>
            <w:tcW w:w="7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r>
      <w:tr>
        <w:trPr>
          <w:trHeight w:val="237"/>
        </w:trPr>
        <w:tc>
          <w:tcPr>
            <w:tcW w:w="7580" w:type="dxa"/>
            <w:vAlign w:val="bottom"/>
          </w:tcPr>
          <w:p>
            <w:pPr>
              <w:spacing w:after="0"/>
              <w:rPr>
                <w:sz w:val="20"/>
                <w:szCs w:val="20"/>
                <w:color w:val="auto"/>
              </w:rPr>
            </w:pPr>
          </w:p>
        </w:tc>
        <w:tc>
          <w:tcPr>
            <w:tcW w:w="110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r>
      <w:tr>
        <w:trPr>
          <w:trHeight w:val="27"/>
        </w:trPr>
        <w:tc>
          <w:tcPr>
            <w:tcW w:w="7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7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See Note 13 to our Consolidated Financial Statements for additional information.</w:t>
      </w:r>
    </w:p>
    <w:p>
      <w:pPr>
        <w:spacing w:after="0" w:line="224"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Income tax expense decreased for the year ended December 31, 2019 compared to the year ended December 31, 2018 primarily due to (i) lower deferred income tax expense associated with lower year-over-year income as impacted by fluctuations in the derivative mark-to-market valuations in our Canadian operations and (ii) the recognition of a deferred tax benefit of $60 million as a result of the reduction of the provincial tax rate in Alberta, Canada enacted during the second quarter of 2019. Such favorable impacts were partially offset by higher current income tax expense resulting from higher taxable earnings from our Canadian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 and Outlook</w:t>
      </w:r>
    </w:p>
    <w:p>
      <w:pPr>
        <w:spacing w:after="0" w:line="25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See Items 1. and 2. “Business and Properties—Global Petroleum Market Overview” for a discussion of recent crude oil market conditions, and see Item 7. “Management’s Discussion and Analysis of Financial Condition and Results of Operations—Results of Operations—Analysis of Operating Segments —Supply and Logistics Segment” for information on how these conditions may impact our business for the foreseeable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 for Certain Idled and Underutilized Assets</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During 2015, we shut down Line 901 and a portion of Line 903 in California following the release of crude oil from Line 901 (see Note 19 to our Consolidated Financial Statements for additional information). During the period since these pipelines were idled, we have been assessing potential alternatives in order to return them to operation. Some of the alternatives under consideration could result in incurring costs associated with retiring certain assets or an impairment of some or all of the carrying value of the idled property and equipment, which was approximately $119 million as of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Our primary sources of liquidity are (i) cash flow from operating activities as further discussed below in the section entitled “—Cash Flow from Operating Activities,” (ii) borrowings under our credit facilities or commercial paper program and (iii) funds received from sales of equity and debt securities. In addition, we may supplement these sources of liquidity with proceeds from our divestiture program, as further discussed below in the section entitled “— Acquisitions, Investments, Expansion Capital Expenditures and Divestitures .”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our long-term debt and</w:t>
      </w:r>
    </w:p>
    <w:p>
      <w:pPr>
        <w:spacing w:after="0" w:line="5" w:lineRule="exact"/>
        <w:rPr>
          <w:sz w:val="20"/>
          <w:szCs w:val="20"/>
          <w:color w:val="auto"/>
        </w:rPr>
      </w:pPr>
    </w:p>
    <w:p>
      <w:pPr>
        <w:ind w:right="340" w:firstLine="8"/>
        <w:spacing w:after="0" w:line="253"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distributions to our unitholders.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218"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As of December 31, 2019, although we had a working capital deficit of $405 million, we had approximately $2.5 billion of liquidity available to meet our ongoing operating, investing and financing needs, subject to continued covenant compliance, as noted below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574"/>
              <w:spacing w:after="0"/>
              <w:rPr>
                <w:sz w:val="20"/>
                <w:szCs w:val="20"/>
                <w:color w:val="auto"/>
              </w:rPr>
            </w:pPr>
            <w:r>
              <w:rPr>
                <w:rFonts w:ascii="Arial" w:cs="Arial" w:eastAsia="Arial" w:hAnsi="Arial"/>
                <w:sz w:val="14"/>
                <w:szCs w:val="14"/>
                <w:b w:val="1"/>
                <w:bCs w:val="1"/>
                <w:color w:val="auto"/>
              </w:rPr>
              <w:t>As of</w:t>
            </w:r>
          </w:p>
        </w:tc>
      </w:tr>
      <w:tr>
        <w:trPr>
          <w:trHeight w:val="192"/>
        </w:trPr>
        <w:tc>
          <w:tcPr>
            <w:tcW w:w="9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December 31, 2019</w:t>
            </w:r>
          </w:p>
        </w:tc>
      </w:tr>
      <w:tr>
        <w:trPr>
          <w:trHeight w:val="270"/>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3"/>
                <w:szCs w:val="23"/>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1,464</w:t>
            </w:r>
          </w:p>
        </w:tc>
      </w:tr>
      <w:tr>
        <w:trPr>
          <w:trHeight w:val="270"/>
        </w:trPr>
        <w:tc>
          <w:tcPr>
            <w:tcW w:w="9620" w:type="dxa"/>
            <w:vAlign w:val="bottom"/>
          </w:tcPr>
          <w:p>
            <w:pPr>
              <w:ind w:left="20"/>
              <w:spacing w:after="0"/>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3"/>
                <w:szCs w:val="23"/>
                <w:color w:val="auto"/>
                <w:vertAlign w:val="superscript"/>
              </w:rPr>
              <w:t>(1) (2)</w:t>
            </w:r>
          </w:p>
        </w:tc>
        <w:tc>
          <w:tcPr>
            <w:tcW w:w="180" w:type="dxa"/>
            <w:vAlign w:val="bottom"/>
          </w:tcPr>
          <w:p>
            <w:pPr>
              <w:spacing w:after="0"/>
              <w:rPr>
                <w:sz w:val="23"/>
                <w:szCs w:val="23"/>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1,054</w:t>
            </w:r>
          </w:p>
        </w:tc>
      </w:tr>
      <w:tr>
        <w:trPr>
          <w:trHeight w:val="27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outstanding under commercial paper program</w:t>
            </w: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r>
      <w:tr>
        <w:trPr>
          <w:trHeight w:val="237"/>
        </w:trPr>
        <w:tc>
          <w:tcPr>
            <w:tcW w:w="9620" w:type="dxa"/>
            <w:vAlign w:val="bottom"/>
          </w:tcPr>
          <w:p>
            <w:pPr>
              <w:ind w:left="12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2,425</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w:t>
            </w:r>
          </w:p>
        </w:tc>
      </w:tr>
      <w:tr>
        <w:trPr>
          <w:trHeight w:val="264"/>
        </w:trPr>
        <w:tc>
          <w:tcPr>
            <w:tcW w:w="962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2,470</w:t>
            </w:r>
          </w:p>
        </w:tc>
      </w:tr>
      <w:tr>
        <w:trPr>
          <w:trHeight w:val="21"/>
        </w:trPr>
        <w:tc>
          <w:tcPr>
            <w:tcW w:w="9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6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our commercial paper program, which reduce available capacity under the facilities.</w:t>
      </w:r>
    </w:p>
    <w:p>
      <w:pPr>
        <w:spacing w:after="0" w:line="62" w:lineRule="exact"/>
        <w:rPr>
          <w:sz w:val="20"/>
          <w:szCs w:val="20"/>
          <w:color w:val="auto"/>
        </w:rPr>
      </w:pPr>
    </w:p>
    <w:p>
      <w:pPr>
        <w:ind w:right="400" w:hanging="11"/>
        <w:spacing w:after="0" w:line="277" w:lineRule="auto"/>
        <w:rPr>
          <w:sz w:val="20"/>
          <w:szCs w:val="20"/>
          <w:color w:val="auto"/>
        </w:rPr>
      </w:pPr>
      <w:r>
        <w:rPr>
          <w:rFonts w:ascii="Arial" w:cs="Arial" w:eastAsia="Arial" w:hAnsi="Arial"/>
          <w:sz w:val="18"/>
          <w:szCs w:val="18"/>
          <w:color w:val="auto"/>
        </w:rPr>
        <w:t>Available capacity under our senior unsecured revolving credit facility and senior secured hedged inventory facility was reduced by outstanding letters of credit of $136 million and $21 million, respectively.</w:t>
      </w:r>
    </w:p>
    <w:p>
      <w:pPr>
        <w:spacing w:after="0" w:line="197" w:lineRule="exact"/>
        <w:rPr>
          <w:sz w:val="20"/>
          <w:szCs w:val="20"/>
          <w:color w:val="auto"/>
        </w:rPr>
      </w:pPr>
    </w:p>
    <w:p>
      <w:pPr>
        <w:sectPr>
          <w:pgSz w:w="11900" w:h="16838" w:orient="portrait"/>
          <w:cols w:equalWidth="0" w:num="2">
            <w:col w:w="140" w:space="520"/>
            <w:col w:w="10740"/>
          </w:cols>
          <w:pgMar w:left="240" w:top="125" w:right="259" w:bottom="1440" w:gutter="0" w:footer="0" w:header="0"/>
          <w:type w:val="continuous"/>
        </w:sectPr>
      </w:pPr>
    </w:p>
    <w:p>
      <w:pPr>
        <w:ind w:right="240" w:firstLine="648"/>
        <w:spacing w:after="0" w:line="264" w:lineRule="auto"/>
        <w:rPr>
          <w:sz w:val="20"/>
          <w:szCs w:val="20"/>
          <w:color w:val="auto"/>
        </w:rPr>
      </w:pPr>
      <w:r>
        <w:rPr>
          <w:rFonts w:ascii="Arial" w:cs="Arial" w:eastAsia="Arial" w:hAnsi="Arial"/>
          <w:sz w:val="18"/>
          <w:szCs w:val="18"/>
          <w:color w:val="auto"/>
        </w:rPr>
        <w:t>We believe that we have, and will continue to have, the ability to access the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w:t>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business may have a materially adverse effect on our financial condition, results of operations or cash flows. In addition, usage of our credit facilities, which provide the financial backstop for our commercial paper program, is subject to ongoing compliance with covenants. As of December 31, 2019, we were in compliance with all such covenants. Also, see Item 1A. “Risk Factors” for further discussion regarding such risks that may impact our 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21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our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21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periods when the market is not in contango, we typically sell our crude oil during the same month in which we purchase it and we do not rely on borrowings under our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our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13 to our Consolidated Financial Statements for a discussion regarding our derivatives and risk management activities.</w:t>
      </w:r>
    </w:p>
    <w:p>
      <w:pPr>
        <w:spacing w:after="0" w:line="194"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Net cash provided by operating activities for the years ended December 31, 2019, 2018 and 2017 was approximately $2.5 billion, $2.6 billion and $2.5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7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During 2019, our cash provided by operating activities was positively impacted by the proceeds from the sale of NGL and crude oil inventory that we held and also by the lower weighted average price of NGL inventory compared to prior year amounts.</w:t>
      </w:r>
    </w:p>
    <w:p>
      <w:pPr>
        <w:spacing w:after="0" w:line="19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2018, our cash provided by operating activities was favorably impacted by approximately $250 million of cash received for transactions for which the revenue has been deferred pending the completion of future performance obligations. See Note 3 to our Consolidated Financial Statements for additional information. The favorable impact was partially offset by an increase in the volume of crude oil inventory that we held, which was funded from earnings from our operations and proceeds from asset sales.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2017, net cash provided by operating activities was positively impacted by decreases in (i) the volume of crude oil inventory that we held and</w:t>
      </w:r>
    </w:p>
    <w:p>
      <w:pPr>
        <w:spacing w:after="0" w:line="46" w:lineRule="exact"/>
        <w:rPr>
          <w:sz w:val="20"/>
          <w:szCs w:val="20"/>
          <w:color w:val="auto"/>
        </w:rPr>
      </w:pPr>
    </w:p>
    <w:p>
      <w:pPr>
        <w:ind w:right="300" w:firstLine="8"/>
        <w:spacing w:after="0" w:line="273" w:lineRule="auto"/>
        <w:tabs>
          <w:tab w:leader="none" w:pos="26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margin balances required as part of our hedging activities, both of which had been funded by short-term debt. This was consistent with our plan to reduce our hedged inventory volumes, and the cash inflows associated with these items resulted in a favorable impact on our cash provided by operating activities. However, the favorable effects from such activities were partially offset by higher weighted average prices and volumes for NGL inventory that was purchased and stored at the end of the 2017 period in anticipation of the 2017-2018 heating season.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Investments, Expansion Capital Expenditures and Divestitures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to our operating needs discussed above, we also use cash for our acquisition activities and expansion capital projects and maintenance capital activities. Historically, we have financed these expenditures primarily with cash generated by operating activities and the financing activities discussed in “—Equity and Debt Financing Activities” below. In recent years, we have also used proceeds from our divestiture program, as discussed further below. We have made and will continue to make capital expenditures for acquisitions, expansion capital projects and maintenance activities. However, in the near term, we do not plan to issue common equity to fund such activities. Also see “—Acquisitions, Capital Projects and Divestitures” for further discussion of such capital expenditures.</w:t>
      </w:r>
    </w:p>
    <w:p>
      <w:pPr>
        <w:spacing w:after="0" w:line="22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price of acquisitions includes cash paid, assumed liabilities and net working capital items. Because of the non-cash items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total price of the acquisition and the timing of certain cash payments, the net cash paid may differ significantly from the total price of the acquisitions completed during the year. During the years ended December 31, 2019 and 2017, we paid cash of $50 million and $1.280 billion (net of cash acquired of $4 million), respectively, for acquisitions. We did not acquire any assets in 2018.</w:t>
      </w:r>
    </w:p>
    <w:p>
      <w:pPr>
        <w:spacing w:after="0" w:line="21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Investments. </w:t>
      </w:r>
      <w:r>
        <w:rPr>
          <w:rFonts w:ascii="Arial" w:cs="Arial" w:eastAsia="Arial" w:hAnsi="Arial"/>
          <w:sz w:val="17"/>
          <w:szCs w:val="17"/>
          <w:color w:val="auto"/>
        </w:rPr>
        <w:t>Over the last several years, we have increased our JV related activities with long-term partners throughout the industry value chain. The</w:t>
      </w:r>
      <w:r>
        <w:rPr>
          <w:rFonts w:ascii="Arial" w:cs="Arial" w:eastAsia="Arial" w:hAnsi="Arial"/>
          <w:sz w:val="17"/>
          <w:szCs w:val="17"/>
          <w:i w:val="1"/>
          <w:iCs w:val="1"/>
          <w:color w:val="auto"/>
        </w:rPr>
        <w:t xml:space="preserve"> </w:t>
      </w:r>
      <w:r>
        <w:rPr>
          <w:rFonts w:ascii="Arial" w:cs="Arial" w:eastAsia="Arial" w:hAnsi="Arial"/>
          <w:sz w:val="17"/>
          <w:szCs w:val="17"/>
          <w:color w:val="auto"/>
        </w:rPr>
        <w:t>vast majority of our joint ventures are accounted for as investments in unconsolidated subsidiaries. We generally fund our portion of development, construction or capital expansion projects of our equity method investees through capital contributions. See Note 9 to our Consolidated Financial Statements for additional information regarding our investments in unconsolidated entities. During the years ended December 31, 2019, 2018 and 2017, we made cash contributions of $504 million, $459 million and $398 million, respectively, to certain of our equity method investees. We anticipate that we will make additional contributions in 2020 associated with ongoing projects for construction and/or expansion projects related to our interests in Wink to Webster, Red Oak, Cactus II, Capline, Diamond and Saddlehorn joint venture pipelines.</w:t>
      </w:r>
    </w:p>
    <w:p>
      <w:pPr>
        <w:spacing w:after="0" w:line="20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Divestitures</w:t>
      </w:r>
      <w:r>
        <w:rPr>
          <w:rFonts w:ascii="Arial" w:cs="Arial" w:eastAsia="Arial" w:hAnsi="Arial"/>
          <w:sz w:val="18"/>
          <w:szCs w:val="18"/>
          <w:color w:val="auto"/>
        </w:rPr>
        <w:t>. We have initiated a program to evaluate potential sales of non-core assets and/or sales of partial interests in assets to strategic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partners. During the years ended December 31, 2019, 2018 and 2017, we received proceeds of $205 million, $1.3 billion and $1.1 billion, respectively from sales of assets. See Note 7 to our Consolidated Financial Statements for additional information. Proceeds received during 2019 include $128 million received for a 33% interest in the newly formed joint venture Red River Pipeline Company LLC. See Note 12 to our Consolidated Financial Statements for additional information. We intend to continue these efforts in 2020.</w:t>
      </w:r>
    </w:p>
    <w:p>
      <w:pPr>
        <w:spacing w:after="0" w:line="21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Ongoing Acquisition and Divestiture Activities. </w:t>
      </w:r>
      <w:r>
        <w:rPr>
          <w:rFonts w:ascii="Arial" w:cs="Arial" w:eastAsia="Arial" w:hAnsi="Arial"/>
          <w:sz w:val="18"/>
          <w:szCs w:val="18"/>
          <w:color w:val="auto"/>
        </w:rPr>
        <w:t>In January 2020, we acquired a crude oil gathering system and related assets in the Delaware Basin</w:t>
      </w:r>
      <w:r>
        <w:rPr>
          <w:rFonts w:ascii="Arial" w:cs="Arial" w:eastAsia="Arial" w:hAnsi="Arial"/>
          <w:sz w:val="18"/>
          <w:szCs w:val="18"/>
          <w:i w:val="1"/>
          <w:iCs w:val="1"/>
          <w:color w:val="auto"/>
        </w:rPr>
        <w:t xml:space="preserve"> </w:t>
      </w:r>
      <w:r>
        <w:rPr>
          <w:rFonts w:ascii="Arial" w:cs="Arial" w:eastAsia="Arial" w:hAnsi="Arial"/>
          <w:sz w:val="18"/>
          <w:szCs w:val="18"/>
          <w:color w:val="auto"/>
        </w:rPr>
        <w:t>for approximately $305 million. In addition, in the first quarter of 2020, we completed and/or entered into definitive agreements for asset sales of approximately $273 million. See Note 7 to our Consolidated Financial Statements for additional information.</w:t>
      </w:r>
    </w:p>
    <w:p>
      <w:pPr>
        <w:spacing w:after="0" w:line="20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2020 Capital Projects. </w:t>
      </w:r>
      <w:r>
        <w:rPr>
          <w:rFonts w:ascii="Arial" w:cs="Arial" w:eastAsia="Arial" w:hAnsi="Arial"/>
          <w:sz w:val="18"/>
          <w:szCs w:val="18"/>
          <w:color w:val="auto"/>
        </w:rPr>
        <w:t>The majority of our 2020 expansion capital program will be invested in our fee-based Transportation and Facilities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that our investments will have minimal contributions to our 2020 results, but will provide growth for 2021 and beyond. Our 2020 capital program includes the following projects as of February 2020 with the estimated cost for the entire year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2020</w:t>
            </w: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Long-Haul Pipeline Projects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450</w:t>
            </w:r>
          </w:p>
        </w:tc>
      </w:tr>
      <w:tr>
        <w:trPr>
          <w:trHeight w:val="243"/>
        </w:trPr>
        <w:tc>
          <w:tcPr>
            <w:tcW w:w="9320" w:type="dxa"/>
            <w:vAlign w:val="bottom"/>
            <w:gridSpan w:val="2"/>
          </w:tcPr>
          <w:p>
            <w:pPr>
              <w:ind w:left="20"/>
              <w:spacing w:after="0"/>
              <w:rPr>
                <w:sz w:val="20"/>
                <w:szCs w:val="20"/>
                <w:color w:val="auto"/>
              </w:rPr>
            </w:pPr>
            <w:r>
              <w:rPr>
                <w:rFonts w:ascii="Arial" w:cs="Arial" w:eastAsia="Arial" w:hAnsi="Arial"/>
                <w:sz w:val="18"/>
                <w:szCs w:val="18"/>
                <w:color w:val="auto"/>
              </w:rPr>
              <w:t>Permian Basin Takeaway Pipeline Projects</w:t>
            </w:r>
          </w:p>
        </w:tc>
        <w:tc>
          <w:tcPr>
            <w:tcW w:w="5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395</w:t>
            </w:r>
          </w:p>
        </w:tc>
      </w:tr>
      <w:tr>
        <w:trPr>
          <w:trHeight w:val="27"/>
        </w:trPr>
        <w:tc>
          <w:tcPr>
            <w:tcW w:w="9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Complementary Permian Basin Projects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275</w:t>
            </w:r>
          </w:p>
        </w:tc>
      </w:tr>
      <w:tr>
        <w:trPr>
          <w:trHeight w:val="243"/>
        </w:trPr>
        <w:tc>
          <w:tcPr>
            <w:tcW w:w="9320" w:type="dxa"/>
            <w:vAlign w:val="bottom"/>
            <w:gridSpan w:val="2"/>
          </w:tcPr>
          <w:p>
            <w:pPr>
              <w:ind w:left="20"/>
              <w:spacing w:after="0"/>
              <w:rPr>
                <w:sz w:val="20"/>
                <w:szCs w:val="20"/>
                <w:color w:val="auto"/>
              </w:rPr>
            </w:pPr>
            <w:r>
              <w:rPr>
                <w:rFonts w:ascii="Arial" w:cs="Arial" w:eastAsia="Arial" w:hAnsi="Arial"/>
                <w:sz w:val="18"/>
                <w:szCs w:val="18"/>
                <w:color w:val="auto"/>
              </w:rPr>
              <w:t>Selected Facilities Projects</w:t>
            </w:r>
          </w:p>
        </w:tc>
        <w:tc>
          <w:tcPr>
            <w:tcW w:w="5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80</w:t>
            </w:r>
          </w:p>
        </w:tc>
      </w:tr>
      <w:tr>
        <w:trPr>
          <w:trHeight w:val="27"/>
        </w:trPr>
        <w:tc>
          <w:tcPr>
            <w:tcW w:w="9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Projects</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200</w:t>
            </w:r>
          </w:p>
        </w:tc>
      </w:tr>
      <w:tr>
        <w:trPr>
          <w:trHeight w:val="264"/>
        </w:trPr>
        <w:tc>
          <w:tcPr>
            <w:tcW w:w="9320" w:type="dxa"/>
            <w:vAlign w:val="bottom"/>
            <w:gridSpan w:val="2"/>
          </w:tcPr>
          <w:p>
            <w:pPr>
              <w:ind w:left="120"/>
              <w:spacing w:after="0"/>
              <w:rPr>
                <w:sz w:val="20"/>
                <w:szCs w:val="20"/>
                <w:color w:val="auto"/>
              </w:rPr>
            </w:pPr>
            <w:r>
              <w:rPr>
                <w:rFonts w:ascii="Arial" w:cs="Arial" w:eastAsia="Arial" w:hAnsi="Arial"/>
                <w:sz w:val="18"/>
                <w:szCs w:val="18"/>
                <w:color w:val="auto"/>
              </w:rPr>
              <w:t>Total Projected 2020 Expansion Capital Expenditures</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1,400</w:t>
            </w:r>
          </w:p>
        </w:tc>
      </w:tr>
      <w:tr>
        <w:trPr>
          <w:trHeight w:val="21"/>
        </w:trPr>
        <w:tc>
          <w:tcPr>
            <w:tcW w:w="9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 Commercial Paper Program and Indentures</w:t>
      </w:r>
    </w:p>
    <w:p>
      <w:pPr>
        <w:spacing w:after="0" w:line="25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At December 31, 2019, we had three primary credit arrangements. These include a $1.6 billion senior unsecured revolving credit facility maturing in 2024, a $1.4 billion senior secured hedged inventory facility maturing in 2022 (excluding aggregate commitments of $45 million, which mature in 2021) and a $3.0 billion unsecured commercial paper program that is backstopped by our revolving credit facility and our hedged inventory facility. Additionally, we have two $100 million GO Zone term loans as discussed further below. The credit agreements for our revolving credit facilities (which impact our ability to access our commercial paper program because they provide the financial backstop that supports our short-term credit ratings) and our term loans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December 31, 2019.</w:t>
      </w:r>
    </w:p>
    <w:p>
      <w:pPr>
        <w:spacing w:after="0" w:line="19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August 2018, we entered into an agreement for two $100 million GO Zone term loans from the remarketing of our GO Bonds. The GO Zone term loans accrue interest in accordance with the interest payable on the related GO Bonds as provided in the GO Bonds Indenture pursuant to which such GO Bonds are issued and governed. The purchasers of the two GO Zone term loans have the right to put, at par, the GO Zone term loans in July 2023. The GO Bonds mature by their terms in May 2032 and August 2035, respectively. See Note 11 to our Consolidated Financial Statements for additional information.</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year ended December 31, 2019, we had net borrowings under our credit facilities and commercial paper program of $418 million. The net borrowings resulted primarily from borrowings during the period related to funding needs for general partnership purposes.</w:t>
      </w:r>
    </w:p>
    <w:p>
      <w:pPr>
        <w:spacing w:after="0" w:line="19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During the year ended December 31, 2018, we had net repayments on our credit facilities and commercial paper program of $901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20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During the year ended December 31, 2017, we had net repayments on our credit facilities and commercial paper program of $654 million. The net repayments resulted primarily from cash flow from operating activities and cash received from our equity activities and asset divestitures, which offset borrowings during the period related to funding needs for (i) acquisition and capital investments, (ii) repayment of our $400 million, 6.13% senior notes in January 2017, (iii) repayment of our $600 million, 6.50% senior notes and our $350 million, 8.75% senior notes in December 2017 and (iv) other general partnership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5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financing activities primarily relate to funding expansion capital projects, acquisitions and refinancing of our debt maturities, as well as short-term working capital (including borrowings for NYMEX and ICE margin deposits) and hedged inventory borrowings related to our NGL business and contango market activities. Our financing activities have primarily consisted of equity offerings, senior notes offerings and borrowings and repayments under our credit facilities or commercial paper program and other debt agreements, as well as payment of distributions to our unitholders.</w:t>
      </w:r>
    </w:p>
    <w:p>
      <w:pPr>
        <w:spacing w:after="0" w:line="19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i w:val="1"/>
          <w:iCs w:val="1"/>
          <w:color w:val="auto"/>
        </w:rPr>
        <w:t>Registration Statements</w:t>
      </w:r>
      <w:r>
        <w:rPr>
          <w:rFonts w:ascii="Arial" w:cs="Arial" w:eastAsia="Arial" w:hAnsi="Arial"/>
          <w:sz w:val="18"/>
          <w:szCs w:val="18"/>
          <w:color w:val="auto"/>
        </w:rPr>
        <w:t>. We periodically access the capital markets for both equity and debt financing. We have filed with the SEC a universal shelf</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that, subject to effectiveness at the time of use, allows us to issue up to an aggregate of $1.1 billion of debt or equity securities (“Traditional Shelf”). All issuances of equity securities associated with our continuous offering program have been issued pursuant to the Traditional Shelf. We did not conduct any offerings under our Traditional Shelf during the years ended December 31, 2019 or 2018. At December 31, 2019, we had approximately $1.1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The issuance of $1.0 billion, 3.55% senior notes in September 2019 and our Series B preferred units in October 2017, as discussed further below, were conducted under our WKSI Shelf.</w:t>
      </w:r>
    </w:p>
    <w:p>
      <w:pPr>
        <w:spacing w:after="0" w:line="21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Preferred Units</w:t>
      </w:r>
      <w:r>
        <w:rPr>
          <w:rFonts w:ascii="Arial" w:cs="Arial" w:eastAsia="Arial" w:hAnsi="Arial"/>
          <w:sz w:val="18"/>
          <w:szCs w:val="18"/>
          <w:color w:val="auto"/>
        </w:rPr>
        <w:t>. On October 10, 2017, we issued 800,000 Series B preferred units at a price to the public of $1,000 per unit. We used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$788 million, after deducting the underwriters’ discounts and offering expenses, from the issuance of the Series B preferred units to repay amounts outstanding under our credit facilities and commercial paper program and for general partnership purposes, including expenditures for our capital program. See “Distributions to Our Unitholders ” below and Note 12 to our Consolidated Financial Statements for additional information regarding the Series B preferred units.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While our Series A and Series B preferred units are considered equity securities and are classified within partners’ capital on our Consolidated Balance Sheet, the two out of the three rating agencies that rate us as investment grade only ascribe 50% equity credit with the remaining 50% considered debt for purposes of determining our credit ratings. The remaining rating agency ascribes 100% equity credit while we are rated below investment grade, but will change its approach to 50% equity credit and 50% debt if the rating agency changes our rating to investment grade.</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Common Units</w:t>
      </w:r>
      <w:r>
        <w:rPr>
          <w:rFonts w:ascii="Arial" w:cs="Arial" w:eastAsia="Arial" w:hAnsi="Arial"/>
          <w:sz w:val="18"/>
          <w:szCs w:val="18"/>
          <w:color w:val="auto"/>
        </w:rPr>
        <w:t>. We did not sell any common units during the years ended December 31, 2019 or 2018. During the year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we sold approximately 54.1 million common units for proceeds of approximately $1.7 billion, which were used for general partnership purposes, including repayment of amounts borrowed to fund the ACC Acquisition. See Note 12 to our Consolidated Financial Statements for additional information related to these sales of common units.</w:t>
      </w:r>
    </w:p>
    <w:p>
      <w:pPr>
        <w:spacing w:after="0" w:line="21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Issuances of Senior Notes. </w:t>
      </w:r>
      <w:r>
        <w:rPr>
          <w:rFonts w:ascii="Arial" w:cs="Arial" w:eastAsia="Arial" w:hAnsi="Arial"/>
          <w:sz w:val="18"/>
          <w:szCs w:val="18"/>
          <w:color w:val="auto"/>
        </w:rPr>
        <w:t>We did not issue any senior unsecured notes during the years ended December 31, 2018 or 2017. During 2019, we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senior unsecured notes as summarized in the table below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4"/>
                <w:szCs w:val="14"/>
                <w:color w:val="auto"/>
              </w:rPr>
            </w:pPr>
          </w:p>
        </w:tc>
        <w:tc>
          <w:tcPr>
            <w:tcW w:w="5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00" w:type="dxa"/>
            <w:vAlign w:val="bottom"/>
            <w:vMerge w:val="restart"/>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2"/>
              </w:rPr>
              <w:t>Face Value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940" w:type="dxa"/>
            <w:vAlign w:val="bottom"/>
          </w:tcPr>
          <w:p>
            <w:pPr>
              <w:jc w:val="center"/>
              <w:ind w:right="82"/>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88"/>
        </w:trPr>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Proceeds</w:t>
            </w:r>
            <w:r>
              <w:rPr>
                <w:rFonts w:ascii="Arial" w:cs="Arial" w:eastAsia="Arial" w:hAnsi="Arial"/>
                <w:sz w:val="9"/>
                <w:szCs w:val="9"/>
                <w:b w:val="1"/>
                <w:bCs w:val="1"/>
                <w:color w:val="auto"/>
                <w:w w:val="89"/>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Proceeds</w:t>
            </w:r>
            <w:r>
              <w:rPr>
                <w:rFonts w:ascii="Arial" w:cs="Arial" w:eastAsia="Arial" w:hAnsi="Arial"/>
                <w:sz w:val="9"/>
                <w:szCs w:val="9"/>
                <w:b w:val="1"/>
                <w:bCs w:val="1"/>
                <w:color w:val="auto"/>
                <w:w w:val="89"/>
              </w:rPr>
              <w:t>(2)</w:t>
            </w:r>
          </w:p>
        </w:tc>
        <w:tc>
          <w:tcPr>
            <w:tcW w:w="0" w:type="dxa"/>
            <w:vAlign w:val="bottom"/>
          </w:tcPr>
          <w:p>
            <w:pPr>
              <w:spacing w:after="0"/>
              <w:rPr>
                <w:sz w:val="1"/>
                <w:szCs w:val="1"/>
                <w:color w:val="auto"/>
              </w:rPr>
            </w:pPr>
          </w:p>
        </w:tc>
      </w:tr>
      <w:tr>
        <w:trPr>
          <w:trHeight w:val="238"/>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0"/>
                <w:szCs w:val="20"/>
                <w:color w:val="auto"/>
              </w:rPr>
            </w:pPr>
          </w:p>
        </w:tc>
        <w:tc>
          <w:tcPr>
            <w:tcW w:w="5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3.55% Senior Notes issued at 99.801% of face value</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2029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Face value of notes less the applicable premium or discount (before deducting for initial purchaser discounts, commissions and offering expenses).</w:t>
      </w:r>
    </w:p>
    <w:p>
      <w:pPr>
        <w:spacing w:after="0" w:line="140" w:lineRule="exact"/>
        <w:rPr>
          <w:sz w:val="20"/>
          <w:szCs w:val="20"/>
          <w:color w:val="auto"/>
        </w:rPr>
      </w:pPr>
    </w:p>
    <w:p>
      <w:pPr>
        <w:jc w:val="both"/>
        <w:ind w:left="20" w:right="540" w:hanging="11"/>
        <w:spacing w:after="0" w:line="264" w:lineRule="auto"/>
        <w:rPr>
          <w:sz w:val="20"/>
          <w:szCs w:val="20"/>
          <w:color w:val="auto"/>
        </w:rPr>
      </w:pPr>
      <w:r>
        <w:rPr>
          <w:rFonts w:ascii="Arial" w:cs="Arial" w:eastAsia="Arial" w:hAnsi="Arial"/>
          <w:sz w:val="18"/>
          <w:szCs w:val="18"/>
          <w:color w:val="auto"/>
        </w:rPr>
        <w:t>Face value of notes less the applicable premium or discount, initial purchaser discounts, commissions and offering expenses. We used the net proceeds from the offering to partially repay the principal amounts of our 2.60% senior notes due December 2019 and 5.75% senior notes due January 2020 and for general partnership purposes.</w:t>
      </w:r>
    </w:p>
    <w:p>
      <w:pPr>
        <w:spacing w:after="0" w:line="200" w:lineRule="exact"/>
        <w:rPr>
          <w:sz w:val="20"/>
          <w:szCs w:val="20"/>
          <w:color w:val="auto"/>
        </w:rPr>
      </w:pPr>
    </w:p>
    <w:p>
      <w:pPr>
        <w:sectPr>
          <w:pgSz w:w="11900" w:h="16838" w:orient="portrait"/>
          <w:cols w:equalWidth="0" w:num="2">
            <w:col w:w="140" w:space="500"/>
            <w:col w:w="10780"/>
          </w:cols>
          <w:pgMar w:left="240" w:top="125" w:right="239" w:bottom="1440" w:gutter="0" w:footer="0" w:header="0"/>
          <w:type w:val="continuous"/>
        </w:sectPr>
      </w:pPr>
    </w:p>
    <w:p>
      <w:pPr>
        <w:spacing w:after="0" w:line="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Repayments of Senior Notes. </w:t>
      </w:r>
      <w:r>
        <w:rPr>
          <w:rFonts w:ascii="Arial" w:cs="Arial" w:eastAsia="Arial" w:hAnsi="Arial"/>
          <w:sz w:val="18"/>
          <w:szCs w:val="18"/>
          <w:color w:val="auto"/>
        </w:rPr>
        <w:t>We did not repay any senior unsecured notes during 2018. During 2019 and 2017, we repaid the following senior</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notes (in millions):</w:t>
      </w:r>
    </w:p>
    <w:p>
      <w:pPr>
        <w:ind w:left="1020"/>
        <w:spacing w:after="0"/>
        <w:tabs>
          <w:tab w:leader="none" w:pos="4800" w:val="left"/>
          <w:tab w:leader="none" w:pos="8880" w:val="left"/>
        </w:tabs>
        <w:rPr>
          <w:sz w:val="20"/>
          <w:szCs w:val="20"/>
          <w:color w:val="auto"/>
        </w:rPr>
      </w:pPr>
      <w:r>
        <w:rPr>
          <w:rFonts w:ascii="Arial" w:cs="Arial" w:eastAsia="Arial" w:hAnsi="Arial"/>
          <w:sz w:val="14"/>
          <w:szCs w:val="14"/>
          <w:b w:val="1"/>
          <w:bCs w:val="1"/>
          <w:color w:val="auto"/>
        </w:rPr>
        <w:t>Year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3"/>
          <w:szCs w:val="13"/>
          <w:b w:val="1"/>
          <w:bCs w:val="1"/>
          <w:color w:val="auto"/>
        </w:rPr>
        <w:t>Repayment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0585" cy="1803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63"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84"/>
              </w:rPr>
              <w:t>2019</w:t>
            </w:r>
          </w:p>
        </w:tc>
        <w:tc>
          <w:tcPr>
            <w:tcW w:w="5700" w:type="dxa"/>
            <w:vAlign w:val="bottom"/>
          </w:tcPr>
          <w:p>
            <w:pPr>
              <w:jc w:val="center"/>
              <w:ind w:left="10"/>
              <w:spacing w:after="0"/>
              <w:rPr>
                <w:sz w:val="20"/>
                <w:szCs w:val="20"/>
                <w:color w:val="auto"/>
              </w:rPr>
            </w:pPr>
            <w:r>
              <w:rPr>
                <w:rFonts w:ascii="Arial" w:cs="Arial" w:eastAsia="Arial" w:hAnsi="Arial"/>
                <w:sz w:val="18"/>
                <w:szCs w:val="18"/>
                <w:color w:val="auto"/>
                <w:w w:val="91"/>
              </w:rPr>
              <w:t>$500 million 2.60% Senior Notes due December 2019</w:t>
            </w:r>
          </w:p>
        </w:tc>
        <w:tc>
          <w:tcPr>
            <w:tcW w:w="2020" w:type="dxa"/>
            <w:vAlign w:val="bottom"/>
          </w:tcPr>
          <w:p>
            <w:pPr>
              <w:jc w:val="center"/>
              <w:ind w:left="750"/>
              <w:spacing w:after="0"/>
              <w:rPr>
                <w:sz w:val="20"/>
                <w:szCs w:val="20"/>
                <w:color w:val="auto"/>
              </w:rPr>
            </w:pPr>
            <w:r>
              <w:rPr>
                <w:rFonts w:ascii="Arial" w:cs="Arial" w:eastAsia="Arial" w:hAnsi="Arial"/>
                <w:sz w:val="18"/>
                <w:szCs w:val="18"/>
                <w:color w:val="auto"/>
                <w:w w:val="92"/>
              </w:rPr>
              <w:t>November 2019</w:t>
            </w:r>
          </w:p>
        </w:tc>
      </w:tr>
      <w:tr>
        <w:trPr>
          <w:trHeight w:val="270"/>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84"/>
              </w:rPr>
              <w:t>2019</w:t>
            </w:r>
          </w:p>
        </w:tc>
        <w:tc>
          <w:tcPr>
            <w:tcW w:w="5700" w:type="dxa"/>
            <w:vAlign w:val="bottom"/>
          </w:tcPr>
          <w:p>
            <w:pPr>
              <w:jc w:val="center"/>
              <w:ind w:left="10"/>
              <w:spacing w:after="0"/>
              <w:rPr>
                <w:sz w:val="20"/>
                <w:szCs w:val="20"/>
                <w:color w:val="auto"/>
              </w:rPr>
            </w:pPr>
            <w:r>
              <w:rPr>
                <w:rFonts w:ascii="Arial" w:cs="Arial" w:eastAsia="Arial" w:hAnsi="Arial"/>
                <w:sz w:val="18"/>
                <w:szCs w:val="18"/>
                <w:color w:val="auto"/>
                <w:w w:val="90"/>
              </w:rPr>
              <w:t>$500 million 5.75% Senior Notes due January 2020</w:t>
            </w:r>
          </w:p>
        </w:tc>
        <w:tc>
          <w:tcPr>
            <w:tcW w:w="2020" w:type="dxa"/>
            <w:vAlign w:val="bottom"/>
          </w:tcPr>
          <w:p>
            <w:pPr>
              <w:jc w:val="center"/>
              <w:ind w:left="750"/>
              <w:spacing w:after="0"/>
              <w:rPr>
                <w:sz w:val="20"/>
                <w:szCs w:val="20"/>
                <w:color w:val="auto"/>
              </w:rPr>
            </w:pPr>
            <w:r>
              <w:rPr>
                <w:rFonts w:ascii="Arial" w:cs="Arial" w:eastAsia="Arial" w:hAnsi="Arial"/>
                <w:sz w:val="18"/>
                <w:szCs w:val="18"/>
                <w:color w:val="auto"/>
                <w:w w:val="88"/>
              </w:rPr>
              <w:t>December 2019</w:t>
            </w:r>
          </w:p>
        </w:tc>
      </w:tr>
      <w:tr>
        <w:trPr>
          <w:trHeight w:val="540"/>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84"/>
              </w:rPr>
              <w:t>2017</w:t>
            </w:r>
          </w:p>
        </w:tc>
        <w:tc>
          <w:tcPr>
            <w:tcW w:w="5700" w:type="dxa"/>
            <w:vAlign w:val="bottom"/>
          </w:tcPr>
          <w:p>
            <w:pPr>
              <w:jc w:val="center"/>
              <w:ind w:left="10"/>
              <w:spacing w:after="0"/>
              <w:rPr>
                <w:sz w:val="20"/>
                <w:szCs w:val="20"/>
                <w:color w:val="auto"/>
              </w:rPr>
            </w:pPr>
            <w:r>
              <w:rPr>
                <w:rFonts w:ascii="Arial" w:cs="Arial" w:eastAsia="Arial" w:hAnsi="Arial"/>
                <w:sz w:val="18"/>
                <w:szCs w:val="18"/>
                <w:color w:val="auto"/>
                <w:w w:val="90"/>
              </w:rPr>
              <w:t>$400 million 6.13% Senior Notes due January 2017</w:t>
            </w:r>
          </w:p>
        </w:tc>
        <w:tc>
          <w:tcPr>
            <w:tcW w:w="2020" w:type="dxa"/>
            <w:vAlign w:val="bottom"/>
          </w:tcPr>
          <w:p>
            <w:pPr>
              <w:jc w:val="center"/>
              <w:ind w:left="750"/>
              <w:spacing w:after="0"/>
              <w:rPr>
                <w:sz w:val="20"/>
                <w:szCs w:val="20"/>
                <w:color w:val="auto"/>
              </w:rPr>
            </w:pPr>
            <w:r>
              <w:rPr>
                <w:rFonts w:ascii="Arial" w:cs="Arial" w:eastAsia="Arial" w:hAnsi="Arial"/>
                <w:sz w:val="18"/>
                <w:szCs w:val="18"/>
                <w:color w:val="auto"/>
                <w:w w:val="89"/>
              </w:rPr>
              <w:t>January 2017</w:t>
            </w:r>
          </w:p>
        </w:tc>
      </w:tr>
      <w:tr>
        <w:trPr>
          <w:trHeight w:val="270"/>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84"/>
              </w:rPr>
              <w:t>2017</w:t>
            </w:r>
          </w:p>
        </w:tc>
        <w:tc>
          <w:tcPr>
            <w:tcW w:w="5700" w:type="dxa"/>
            <w:vAlign w:val="bottom"/>
          </w:tcPr>
          <w:p>
            <w:pPr>
              <w:jc w:val="center"/>
              <w:ind w:left="30"/>
              <w:spacing w:after="0"/>
              <w:rPr>
                <w:sz w:val="20"/>
                <w:szCs w:val="20"/>
                <w:color w:val="auto"/>
              </w:rPr>
            </w:pPr>
            <w:r>
              <w:rPr>
                <w:rFonts w:ascii="Arial" w:cs="Arial" w:eastAsia="Arial" w:hAnsi="Arial"/>
                <w:sz w:val="18"/>
                <w:szCs w:val="18"/>
                <w:color w:val="auto"/>
                <w:w w:val="92"/>
              </w:rPr>
              <w:t>$600 million 6.50% Senior Notes due May 2018</w:t>
            </w:r>
          </w:p>
        </w:tc>
        <w:tc>
          <w:tcPr>
            <w:tcW w:w="2020" w:type="dxa"/>
            <w:vAlign w:val="bottom"/>
          </w:tcPr>
          <w:p>
            <w:pPr>
              <w:jc w:val="center"/>
              <w:ind w:left="750"/>
              <w:spacing w:after="0"/>
              <w:rPr>
                <w:sz w:val="20"/>
                <w:szCs w:val="20"/>
                <w:color w:val="auto"/>
              </w:rPr>
            </w:pPr>
            <w:r>
              <w:rPr>
                <w:rFonts w:ascii="Arial" w:cs="Arial" w:eastAsia="Arial" w:hAnsi="Arial"/>
                <w:sz w:val="18"/>
                <w:szCs w:val="18"/>
                <w:color w:val="auto"/>
                <w:w w:val="88"/>
              </w:rPr>
              <w:t>December 2017</w:t>
            </w:r>
          </w:p>
        </w:tc>
      </w:tr>
      <w:tr>
        <w:trPr>
          <w:trHeight w:val="270"/>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84"/>
              </w:rPr>
              <w:t>2017</w:t>
            </w:r>
          </w:p>
        </w:tc>
        <w:tc>
          <w:tcPr>
            <w:tcW w:w="5700" w:type="dxa"/>
            <w:vAlign w:val="bottom"/>
          </w:tcPr>
          <w:p>
            <w:pPr>
              <w:jc w:val="center"/>
              <w:ind w:left="30"/>
              <w:spacing w:after="0"/>
              <w:rPr>
                <w:sz w:val="20"/>
                <w:szCs w:val="20"/>
                <w:color w:val="auto"/>
              </w:rPr>
            </w:pPr>
            <w:r>
              <w:rPr>
                <w:rFonts w:ascii="Arial" w:cs="Arial" w:eastAsia="Arial" w:hAnsi="Arial"/>
                <w:sz w:val="18"/>
                <w:szCs w:val="18"/>
                <w:color w:val="auto"/>
                <w:w w:val="92"/>
              </w:rPr>
              <w:t>$350 million 8.75% Senior Notes due May 2019</w:t>
            </w:r>
          </w:p>
        </w:tc>
        <w:tc>
          <w:tcPr>
            <w:tcW w:w="2020" w:type="dxa"/>
            <w:vAlign w:val="bottom"/>
          </w:tcPr>
          <w:p>
            <w:pPr>
              <w:jc w:val="center"/>
              <w:ind w:left="750"/>
              <w:spacing w:after="0"/>
              <w:rPr>
                <w:sz w:val="20"/>
                <w:szCs w:val="20"/>
                <w:color w:val="auto"/>
              </w:rPr>
            </w:pPr>
            <w:r>
              <w:rPr>
                <w:rFonts w:ascii="Arial" w:cs="Arial" w:eastAsia="Arial" w:hAnsi="Arial"/>
                <w:sz w:val="18"/>
                <w:szCs w:val="18"/>
                <w:color w:val="auto"/>
                <w:w w:val="88"/>
              </w:rPr>
              <w:t>December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722058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220585"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24955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132" w:lineRule="exact"/>
        <w:rPr>
          <w:sz w:val="20"/>
          <w:szCs w:val="20"/>
          <w:color w:val="auto"/>
        </w:rPr>
      </w:pPr>
    </w:p>
    <w:p>
      <w:pPr>
        <w:ind w:left="160" w:hanging="156"/>
        <w:spacing w:after="0"/>
        <w:tabs>
          <w:tab w:leader="none" w:pos="160" w:val="left"/>
        </w:tabs>
        <w:numPr>
          <w:ilvl w:val="0"/>
          <w:numId w:val="59"/>
        </w:numPr>
        <w:rPr>
          <w:rFonts w:ascii="Arial" w:cs="Arial" w:eastAsia="Arial" w:hAnsi="Arial"/>
          <w:sz w:val="11"/>
          <w:szCs w:val="11"/>
          <w:color w:val="auto"/>
        </w:rPr>
      </w:pPr>
      <w:r>
        <w:rPr>
          <w:rFonts w:ascii="Arial" w:cs="Arial" w:eastAsia="Arial" w:hAnsi="Arial"/>
          <w:sz w:val="11"/>
          <w:szCs w:val="11"/>
          <w:color w:val="auto"/>
        </w:rPr>
        <w:t>(3)</w:t>
      </w:r>
    </w:p>
    <w:p>
      <w:pPr>
        <w:spacing w:after="0" w:line="143" w:lineRule="exact"/>
        <w:rPr>
          <w:rFonts w:ascii="Arial" w:cs="Arial" w:eastAsia="Arial" w:hAnsi="Arial"/>
          <w:sz w:val="11"/>
          <w:szCs w:val="11"/>
          <w:color w:val="auto"/>
        </w:rPr>
      </w:pPr>
    </w:p>
    <w:p>
      <w:pPr>
        <w:ind w:left="160" w:hanging="156"/>
        <w:spacing w:after="0"/>
        <w:tabs>
          <w:tab w:leader="none" w:pos="160" w:val="left"/>
        </w:tabs>
        <w:numPr>
          <w:ilvl w:val="0"/>
          <w:numId w:val="60"/>
        </w:numPr>
        <w:rPr>
          <w:rFonts w:ascii="Arial" w:cs="Arial" w:eastAsia="Arial" w:hAnsi="Arial"/>
          <w:sz w:val="11"/>
          <w:szCs w:val="11"/>
          <w:color w:val="auto"/>
        </w:rPr>
      </w:pPr>
      <w:r>
        <w:rPr>
          <w:rFonts w:ascii="Arial" w:cs="Arial" w:eastAsia="Arial" w:hAnsi="Arial"/>
          <w:sz w:val="11"/>
          <w:szCs w:val="11"/>
          <w:color w:val="auto"/>
        </w:rPr>
        <w:t>(3)</w:t>
      </w:r>
    </w:p>
    <w:p>
      <w:pPr>
        <w:spacing w:after="0" w:line="201" w:lineRule="exact"/>
        <w:rPr>
          <w:sz w:val="20"/>
          <w:szCs w:val="20"/>
          <w:color w:val="auto"/>
        </w:rPr>
      </w:pPr>
    </w:p>
    <w:p>
      <w:pPr>
        <w:sectPr>
          <w:pgSz w:w="11900" w:h="16838" w:orient="portrait"/>
          <w:cols w:equalWidth="0" w:num="2">
            <w:col w:w="10160" w:space="720"/>
            <w:col w:w="540"/>
          </w:cols>
          <w:pgMar w:left="240" w:top="125" w:right="239" w:bottom="1440" w:gutter="0" w:footer="0" w:header="0"/>
          <w:type w:val="continuous"/>
        </w:sect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We repaid these senior notes with proceeds from our 3.55% senior notes issued in September 2019 and cash on hand.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repaid these senior notes with cash on hand and proceeds from borrowings under our credit facilities and commercial paper program.</w:t>
      </w:r>
    </w:p>
    <w:p>
      <w:pPr>
        <w:spacing w:after="0" w:line="140" w:lineRule="exact"/>
        <w:rPr>
          <w:sz w:val="20"/>
          <w:szCs w:val="20"/>
          <w:color w:val="auto"/>
        </w:rPr>
      </w:pPr>
    </w:p>
    <w:p>
      <w:pPr>
        <w:sectPr>
          <w:pgSz w:w="11900" w:h="16838" w:orient="portrait"/>
          <w:cols w:equalWidth="0" w:num="2">
            <w:col w:w="140" w:space="500"/>
            <w:col w:w="10780"/>
          </w:cols>
          <w:pgMar w:left="240" w:top="125" w:right="239" w:bottom="1440" w:gutter="0" w:footer="0" w:header="0"/>
          <w:type w:val="continuous"/>
        </w:sectPr>
      </w:pPr>
    </w:p>
    <w:p>
      <w:pPr>
        <w:ind w:left="660" w:right="1060" w:hanging="652"/>
        <w:spacing w:after="0" w:line="227" w:lineRule="auto"/>
        <w:tabs>
          <w:tab w:leader="none" w:pos="648" w:val="left"/>
        </w:tabs>
        <w:numPr>
          <w:ilvl w:val="0"/>
          <w:numId w:val="61"/>
        </w:numPr>
        <w:rPr>
          <w:rFonts w:ascii="Arial" w:cs="Arial" w:eastAsia="Arial" w:hAnsi="Arial"/>
          <w:sz w:val="23"/>
          <w:szCs w:val="23"/>
          <w:color w:val="auto"/>
          <w:vertAlign w:val="superscript"/>
        </w:rPr>
      </w:pPr>
      <w:r>
        <w:rPr>
          <w:rFonts w:ascii="Arial" w:cs="Arial" w:eastAsia="Arial" w:hAnsi="Arial"/>
          <w:sz w:val="18"/>
          <w:szCs w:val="18"/>
          <w:color w:val="auto"/>
        </w:rPr>
        <w:t>In conjunction with the early redemptions of these senior notes, we recognized a loss of approximately $40 million, recorded to “Other income/(expense), net” in our Consolidated Statement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Unitholders</w:t>
      </w:r>
    </w:p>
    <w:p>
      <w:pPr>
        <w:spacing w:after="0" w:line="23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Series A and Series B preferred unitholders. Our available cash also includes cash on hand resulting from borrowings made after the end of the quarter.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See Note 12 to our Consolidated Financial Statements for details of distributions paid during the three years ended December 31, 2019. Also, see Item 5. “Market for Registrant’s Common Units, Related Unitholder Matters and Issuer Purchases of Equity Securities—Cash Distribution Policy” for additional discussion regarding distributions.</w:t>
      </w:r>
    </w:p>
    <w:p>
      <w:pPr>
        <w:spacing w:after="0" w:line="20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Distributions to our Series A preferred unitholders. </w:t>
      </w:r>
      <w:r>
        <w:rPr>
          <w:rFonts w:ascii="Arial" w:cs="Arial" w:eastAsia="Arial" w:hAnsi="Arial"/>
          <w:sz w:val="18"/>
          <w:szCs w:val="18"/>
          <w:color w:val="auto"/>
        </w:rPr>
        <w:t>Holders of our Series A preferred units are entitled to receive quarterly distributions,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anti-dilution adjustments, of $0.525 per unit ($2.10 per unit annualized), which commenced with the quarter ending March 31, 2016. With respect to each quarter ending on or prior to December 31, 2017, we elected to pay distributions on our Series A preferred units in additional Series A preferred units. Beginning with the distribution with respect to the quarter ended March 31, 2018, distributions on our Series A preferred units are paid in cash. Subject to certain limitations, following January 28, 2021, the holders of our Series A preferred units may make a one-time election to reset the distribution rate. See Note 12 to our Consolidated Financial Statements for additional information.</w:t>
      </w:r>
    </w:p>
    <w:p>
      <w:pPr>
        <w:spacing w:after="0" w:line="22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Distributions to our Series B preferred unitholders. </w:t>
      </w:r>
      <w:r>
        <w:rPr>
          <w:rFonts w:ascii="Arial" w:cs="Arial" w:eastAsia="Arial" w:hAnsi="Arial"/>
          <w:sz w:val="18"/>
          <w:szCs w:val="18"/>
          <w:color w:val="auto"/>
        </w:rPr>
        <w:t>Holders of our Series B preferred units are entitled to receive, when, as and if declared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out of legally available funds for such purpose, cumulative cash distributions, as applicable. Through and including November 15, 2022, holders are entitled to a distribution equal to $61.25 per unit per year, payable semiannually in arrears on the 15th day of May and November. See Note 12 to our Consolidated Financial Statements for further discussion of our Series B preferred units, including distribution rates and payment dates after November 15, 2022.</w:t>
      </w:r>
    </w:p>
    <w:p>
      <w:pPr>
        <w:spacing w:after="0" w:line="21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Distributions to our common unitholders. </w:t>
      </w:r>
      <w:r>
        <w:rPr>
          <w:rFonts w:ascii="Arial" w:cs="Arial" w:eastAsia="Arial" w:hAnsi="Arial"/>
          <w:sz w:val="18"/>
          <w:szCs w:val="18"/>
          <w:color w:val="auto"/>
        </w:rPr>
        <w:t>On February 14, 2020, we paid a quarterly distribution of $0.36 per common unit ($1.44 per unit on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annualized basis). The total distribution of $262 million was paid to unitholders of record as of January 31, 2020, with respect to the quarter ending December 31, 2019.</w:t>
      </w:r>
    </w:p>
    <w:p>
      <w:pPr>
        <w:spacing w:after="0" w:line="20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19 to our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December 31, 2019 (in millions):</w:t>
      </w: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2025 and</w:t>
            </w:r>
          </w:p>
        </w:tc>
        <w:tc>
          <w:tcPr>
            <w:tcW w:w="220" w:type="dxa"/>
            <w:vAlign w:val="bottom"/>
          </w:tcPr>
          <w:p>
            <w:pPr>
              <w:spacing w:after="0"/>
              <w:rPr>
                <w:sz w:val="12"/>
                <w:szCs w:val="12"/>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 xml:space="preserve">Long-term debt and related interest payments </w:t>
            </w:r>
            <w:r>
              <w:rPr>
                <w:rFonts w:ascii="Arial" w:cs="Arial" w:eastAsia="Arial" w:hAnsi="Arial"/>
                <w:sz w:val="23"/>
                <w:szCs w:val="23"/>
                <w:color w:val="auto"/>
                <w:w w:val="92"/>
                <w:vertAlign w:val="superscript"/>
              </w:rPr>
              <w:t>(1)</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411</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984</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1,115</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1,636</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1,055</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8,753</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13,954</w:t>
            </w:r>
          </w:p>
        </w:tc>
        <w:tc>
          <w:tcPr>
            <w:tcW w:w="0" w:type="dxa"/>
            <w:vAlign w:val="bottom"/>
          </w:tcPr>
          <w:p>
            <w:pPr>
              <w:spacing w:after="0"/>
              <w:rPr>
                <w:sz w:val="1"/>
                <w:szCs w:val="1"/>
                <w:color w:val="auto"/>
              </w:rPr>
            </w:pPr>
          </w:p>
        </w:tc>
      </w:tr>
      <w:tr>
        <w:trPr>
          <w:trHeight w:val="270"/>
        </w:trPr>
        <w:tc>
          <w:tcPr>
            <w:tcW w:w="3620" w:type="dxa"/>
            <w:vAlign w:val="bottom"/>
          </w:tcPr>
          <w:p>
            <w:pPr>
              <w:ind w:left="20"/>
              <w:spacing w:after="0"/>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320" w:type="dxa"/>
            <w:vAlign w:val="bottom"/>
          </w:tcPr>
          <w:p>
            <w:pPr>
              <w:spacing w:after="0"/>
              <w:rPr>
                <w:sz w:val="23"/>
                <w:szCs w:val="23"/>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3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64"/>
        </w:trPr>
        <w:tc>
          <w:tcPr>
            <w:tcW w:w="3620" w:type="dxa"/>
            <w:vAlign w:val="bottom"/>
          </w:tcPr>
          <w:p>
            <w:pPr>
              <w:jc w:val="center"/>
              <w:ind w:right="2650"/>
              <w:spacing w:after="0"/>
              <w:rPr>
                <w:sz w:val="20"/>
                <w:szCs w:val="20"/>
                <w:color w:val="auto"/>
              </w:rPr>
            </w:pPr>
            <w:r>
              <w:rPr>
                <w:rFonts w:ascii="Arial" w:cs="Arial" w:eastAsia="Arial" w:hAnsi="Arial"/>
                <w:sz w:val="18"/>
                <w:szCs w:val="18"/>
                <w:color w:val="auto"/>
                <w:w w:val="90"/>
              </w:rPr>
              <w:t>Subtotal</w:t>
            </w:r>
          </w:p>
        </w:tc>
        <w:tc>
          <w:tcPr>
            <w:tcW w:w="320" w:type="dxa"/>
            <w:vAlign w:val="bottom"/>
          </w:tcPr>
          <w:p>
            <w:pPr>
              <w:spacing w:after="0"/>
              <w:rPr>
                <w:sz w:val="22"/>
                <w:szCs w:val="22"/>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10,255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(4)</w:t>
            </w:r>
          </w:p>
        </w:tc>
        <w:tc>
          <w:tcPr>
            <w:tcW w:w="3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0"/>
              </w:rPr>
              <w:t>14,836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12,525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12,028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10,893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9,650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16,789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76,721</w:t>
            </w:r>
          </w:p>
        </w:tc>
        <w:tc>
          <w:tcPr>
            <w:tcW w:w="0" w:type="dxa"/>
            <w:vAlign w:val="bottom"/>
          </w:tcPr>
          <w:p>
            <w:pPr>
              <w:spacing w:after="0"/>
              <w:rPr>
                <w:sz w:val="1"/>
                <w:szCs w:val="1"/>
                <w:color w:val="auto"/>
              </w:rPr>
            </w:pPr>
          </w:p>
        </w:tc>
      </w:tr>
      <w:tr>
        <w:trPr>
          <w:trHeight w:val="264"/>
        </w:trPr>
        <w:tc>
          <w:tcPr>
            <w:tcW w:w="3620" w:type="dxa"/>
            <w:vAlign w:val="bottom"/>
          </w:tcPr>
          <w:p>
            <w:pPr>
              <w:jc w:val="center"/>
              <w:ind w:right="2710"/>
              <w:spacing w:after="0"/>
              <w:rPr>
                <w:sz w:val="20"/>
                <w:szCs w:val="20"/>
                <w:color w:val="auto"/>
              </w:rPr>
            </w:pPr>
            <w:r>
              <w:rPr>
                <w:rFonts w:ascii="Arial" w:cs="Arial" w:eastAsia="Arial" w:hAnsi="Arial"/>
                <w:sz w:val="18"/>
                <w:szCs w:val="18"/>
                <w:color w:val="auto"/>
                <w:w w:val="94"/>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0"/>
              </w:rPr>
              <w:t>16,475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14,351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13,540</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12,891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11,049</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27,044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95,350</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3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06" w:name="page107"/>
    <w:bookmarkEnd w:id="10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60" w:hanging="11"/>
        <w:spacing w:after="0" w:line="297" w:lineRule="auto"/>
        <w:rPr>
          <w:sz w:val="20"/>
          <w:szCs w:val="20"/>
          <w:color w:val="auto"/>
        </w:rPr>
      </w:pPr>
      <w:r>
        <w:rPr>
          <w:rFonts w:ascii="Arial" w:cs="Arial" w:eastAsia="Arial" w:hAnsi="Arial"/>
          <w:sz w:val="16"/>
          <w:szCs w:val="16"/>
          <w:color w:val="auto"/>
        </w:rPr>
        <w:t>Includes debt service payments, interest payments due on senior notes and the commitment fee on assumed available capacity under our credit facilities, as well as long-term borrowings under our credit agreements and commercial paper program, if any. Although there may be short-term borrowings under our credit agreements and commercial paper program, we historically repay and borrow at varying amounts. As such, we have included only the maximum commitment fee (as if no short-term borrowings were outstanding on the credit agreements or commercial paper program) in the amounts above. For additional information regarding our debt obligations, see Note 11 to our Consolidated Financial Statements.</w:t>
      </w:r>
    </w:p>
    <w:p>
      <w:pPr>
        <w:spacing w:after="0" w:line="50" w:lineRule="exact"/>
        <w:rPr>
          <w:sz w:val="20"/>
          <w:szCs w:val="20"/>
          <w:color w:val="auto"/>
        </w:rPr>
      </w:pPr>
    </w:p>
    <w:p>
      <w:pPr>
        <w:ind w:right="620" w:hanging="11"/>
        <w:spacing w:after="0" w:line="342" w:lineRule="auto"/>
        <w:rPr>
          <w:sz w:val="20"/>
          <w:szCs w:val="20"/>
          <w:color w:val="auto"/>
        </w:rPr>
      </w:pPr>
      <w:r>
        <w:rPr>
          <w:rFonts w:ascii="Arial" w:cs="Arial" w:eastAsia="Arial" w:hAnsi="Arial"/>
          <w:sz w:val="16"/>
          <w:szCs w:val="16"/>
          <w:color w:val="auto"/>
        </w:rPr>
        <w:t>Includes both operating and finance leases as defined by FASB guidance. Leases are primarily for (i) railcars, (ii) office space, (iii) land, (iv) vehicles, (v) storage tanks and (vi) tractor trailers. See Note 14 to our Consolidated Financial Statements for additional information.</w:t>
      </w:r>
    </w:p>
    <w:p>
      <w:pPr>
        <w:spacing w:after="0" w:line="16" w:lineRule="exact"/>
        <w:rPr>
          <w:sz w:val="20"/>
          <w:szCs w:val="20"/>
          <w:color w:val="auto"/>
        </w:rPr>
      </w:pPr>
    </w:p>
    <w:p>
      <w:pPr>
        <w:ind w:hanging="11"/>
        <w:spacing w:after="0" w:line="293" w:lineRule="auto"/>
        <w:rPr>
          <w:sz w:val="20"/>
          <w:szCs w:val="20"/>
          <w:color w:val="auto"/>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 (iv) noncancelable commitments related to our capital expansion projects, including projected contributions for our share of the capital spending of our equity method investments. The storage, processing and transportation agreements include approximately $1.8 billion associated with agreements to store, process and transport crude oil at posted tariff rates on pipelines or at facilities that are owned by equity method investees. A portion of our commitment to transport is supported by crude oil buy/sell or other agreements with third parties with commensurate quantities.</w:t>
      </w:r>
    </w:p>
    <w:p>
      <w:pPr>
        <w:spacing w:after="0" w:line="57" w:lineRule="exact"/>
        <w:rPr>
          <w:sz w:val="20"/>
          <w:szCs w:val="20"/>
          <w:color w:val="auto"/>
        </w:rPr>
      </w:pPr>
    </w:p>
    <w:p>
      <w:pPr>
        <w:ind w:right="60" w:hanging="11"/>
        <w:spacing w:after="0" w:line="286" w:lineRule="auto"/>
        <w:rPr>
          <w:sz w:val="20"/>
          <w:szCs w:val="20"/>
          <w:color w:val="auto"/>
        </w:rPr>
      </w:pPr>
      <w:r>
        <w:rPr>
          <w:rFonts w:ascii="Arial" w:cs="Arial" w:eastAsia="Arial" w:hAnsi="Arial"/>
          <w:sz w:val="17"/>
          <w:szCs w:val="17"/>
          <w:color w:val="auto"/>
        </w:rPr>
        <w:t>Amounts are primarily based on estimated volumes and market prices based on average activity during December 2019.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3" w:lineRule="exact"/>
        <w:rPr>
          <w:sz w:val="20"/>
          <w:szCs w:val="20"/>
          <w:color w:val="auto"/>
        </w:rPr>
      </w:pPr>
    </w:p>
    <w:p>
      <w:pPr>
        <w:sectPr>
          <w:pgSz w:w="11900" w:h="16838" w:orient="portrait"/>
          <w:cols w:equalWidth="0" w:num="2">
            <w:col w:w="140" w:space="520"/>
            <w:col w:w="10720"/>
          </w:cols>
          <w:pgMar w:left="240" w:top="125" w:right="279" w:bottom="1440" w:gutter="0" w:footer="0" w:header="0"/>
          <w:type w:val="continuous"/>
        </w:sect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2019 and 2018, we had outstanding letters of credit of approximately $157 million and $184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52"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We have invested in entities that are not consolidated in our financial statements. Certain of these entities are borrowers under credit facilities. We are neither a co-borrower nor a guarantor under any facilities of such entities. We may elect at any time to make additional capital contributions to any of these entities. The following table sets forth selected information regarding these entities as of December 31, 2019 (unaudited, dollars in millions):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w:t>
            </w:r>
          </w:p>
        </w:tc>
        <w:tc>
          <w:tcPr>
            <w:tcW w:w="120" w:type="dxa"/>
            <w:vAlign w:val="bottom"/>
          </w:tcPr>
          <w:p>
            <w:pPr>
              <w:spacing w:after="0"/>
              <w:rPr>
                <w:sz w:val="16"/>
                <w:szCs w:val="16"/>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Advantage Pipeline Holdings LLC</w:t>
            </w:r>
          </w:p>
        </w:tc>
        <w:tc>
          <w:tcPr>
            <w:tcW w:w="246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BridgeTex Pipeline Company, LLC</w:t>
            </w:r>
          </w:p>
        </w:tc>
        <w:tc>
          <w:tcPr>
            <w:tcW w:w="246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0" w:type="dxa"/>
            <w:vAlign w:val="bottom"/>
          </w:tcPr>
          <w:p>
            <w:pPr>
              <w:spacing w:after="0"/>
              <w:rPr>
                <w:sz w:val="1"/>
                <w:szCs w:val="1"/>
                <w:color w:val="auto"/>
              </w:rPr>
            </w:pPr>
          </w:p>
        </w:tc>
      </w:tr>
      <w:tr>
        <w:trPr>
          <w:trHeight w:val="31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Cactus II Pipeline LLC</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Caddo Pipeline LLC</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0" w:type="dxa"/>
            <w:vAlign w:val="bottom"/>
          </w:tcPr>
          <w:p>
            <w:pPr>
              <w:spacing w:after="0"/>
              <w:rPr>
                <w:sz w:val="1"/>
                <w:szCs w:val="1"/>
                <w:color w:val="auto"/>
              </w:rPr>
            </w:pP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Capline Pipeline Company LLC</w:t>
            </w:r>
          </w:p>
        </w:tc>
        <w:tc>
          <w:tcPr>
            <w:tcW w:w="246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0" w:type="dxa"/>
            <w:vAlign w:val="bottom"/>
          </w:tcPr>
          <w:p>
            <w:pPr>
              <w:spacing w:after="0"/>
              <w:rPr>
                <w:sz w:val="1"/>
                <w:szCs w:val="1"/>
                <w:color w:val="auto"/>
              </w:rPr>
            </w:pPr>
          </w:p>
        </w:tc>
      </w:tr>
      <w:tr>
        <w:trPr>
          <w:trHeight w:val="296"/>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Cheyenne Pipeline LLC</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0" w:type="dxa"/>
            <w:vAlign w:val="bottom"/>
          </w:tcPr>
          <w:p>
            <w:pPr>
              <w:spacing w:after="0"/>
              <w:rPr>
                <w:sz w:val="1"/>
                <w:szCs w:val="1"/>
                <w:color w:val="auto"/>
              </w:rPr>
            </w:pPr>
          </w:p>
        </w:tc>
      </w:tr>
      <w:tr>
        <w:trPr>
          <w:trHeight w:val="176"/>
        </w:trPr>
        <w:tc>
          <w:tcPr>
            <w:tcW w:w="3660" w:type="dxa"/>
            <w:vAlign w:val="bottom"/>
            <w:gridSpan w:val="2"/>
            <w:vMerge w:val="restart"/>
          </w:tcPr>
          <w:p>
            <w:pPr>
              <w:ind w:left="20"/>
              <w:spacing w:after="0"/>
              <w:rPr>
                <w:sz w:val="20"/>
                <w:szCs w:val="20"/>
                <w:color w:val="auto"/>
              </w:rPr>
            </w:pPr>
            <w:r>
              <w:rPr>
                <w:rFonts w:ascii="Arial" w:cs="Arial" w:eastAsia="Arial" w:hAnsi="Arial"/>
                <w:sz w:val="18"/>
                <w:szCs w:val="18"/>
                <w:color w:val="auto"/>
              </w:rPr>
              <w:t>Cushing Connect Pipeline &amp; Terminal LLC</w:t>
            </w:r>
          </w:p>
        </w:tc>
        <w:tc>
          <w:tcPr>
            <w:tcW w:w="2460" w:type="dxa"/>
            <w:vAlign w:val="bottom"/>
          </w:tcPr>
          <w:p>
            <w:pPr>
              <w:jc w:val="center"/>
              <w:spacing w:after="0" w:line="177" w:lineRule="exact"/>
              <w:rPr>
                <w:sz w:val="20"/>
                <w:szCs w:val="20"/>
                <w:color w:val="auto"/>
              </w:rPr>
            </w:pPr>
            <w:r>
              <w:rPr>
                <w:rFonts w:ascii="Arial" w:cs="Arial" w:eastAsia="Arial" w:hAnsi="Arial"/>
                <w:sz w:val="16"/>
                <w:szCs w:val="16"/>
                <w:color w:val="auto"/>
              </w:rPr>
              <w:t xml:space="preserve">Crude Oil Pipeline </w:t>
            </w:r>
            <w:r>
              <w:rPr>
                <w:rFonts w:ascii="Arial" w:cs="Arial" w:eastAsia="Arial" w:hAnsi="Arial"/>
                <w:sz w:val="20"/>
                <w:szCs w:val="20"/>
                <w:color w:val="auto"/>
                <w:vertAlign w:val="superscript"/>
              </w:rPr>
              <w:t>(1)</w:t>
            </w:r>
          </w:p>
        </w:tc>
        <w:tc>
          <w:tcPr>
            <w:tcW w:w="0" w:type="dxa"/>
            <w:vAlign w:val="bottom"/>
          </w:tcPr>
          <w:p>
            <w:pPr>
              <w:spacing w:after="0"/>
              <w:rPr>
                <w:sz w:val="1"/>
                <w:szCs w:val="1"/>
                <w:color w:val="auto"/>
              </w:rPr>
            </w:pPr>
          </w:p>
        </w:tc>
      </w:tr>
      <w:tr>
        <w:trPr>
          <w:trHeight w:val="242"/>
        </w:trPr>
        <w:tc>
          <w:tcPr>
            <w:tcW w:w="3660" w:type="dxa"/>
            <w:vAlign w:val="bottom"/>
            <w:gridSpan w:val="2"/>
            <w:vMerge w:val="continue"/>
          </w:tcPr>
          <w:p>
            <w:pPr>
              <w:spacing w:after="0"/>
              <w:rPr>
                <w:sz w:val="21"/>
                <w:szCs w:val="21"/>
                <w:color w:val="auto"/>
              </w:rPr>
            </w:pPr>
          </w:p>
        </w:tc>
        <w:tc>
          <w:tcPr>
            <w:tcW w:w="2460" w:type="dxa"/>
            <w:vAlign w:val="bottom"/>
          </w:tcPr>
          <w:p>
            <w:pPr>
              <w:jc w:val="center"/>
              <w:spacing w:after="0" w:line="242" w:lineRule="exact"/>
              <w:rPr>
                <w:sz w:val="20"/>
                <w:szCs w:val="20"/>
                <w:color w:val="auto"/>
              </w:rPr>
            </w:pPr>
            <w:r>
              <w:rPr>
                <w:rFonts w:ascii="Arial" w:cs="Arial" w:eastAsia="Arial" w:hAnsi="Arial"/>
                <w:sz w:val="18"/>
                <w:szCs w:val="18"/>
                <w:color w:val="auto"/>
                <w:w w:val="86"/>
              </w:rPr>
              <w:t xml:space="preserve">and Terminal </w:t>
            </w:r>
            <w:r>
              <w:rPr>
                <w:rFonts w:ascii="Arial" w:cs="Arial" w:eastAsia="Arial" w:hAnsi="Arial"/>
                <w:sz w:val="23"/>
                <w:szCs w:val="23"/>
                <w:color w:val="auto"/>
                <w:w w:val="86"/>
                <w:vertAlign w:val="superscript"/>
              </w:rPr>
              <w:t>(2)</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Diamond Pipeline LLC</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Eagle Ford Pipeline LLC</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Eagle Ford Terminals Corpus Christi LLC</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 xml:space="preserve">Crude Oil Terminal and Dock </w:t>
            </w:r>
            <w:r>
              <w:rPr>
                <w:rFonts w:ascii="Arial" w:cs="Arial" w:eastAsia="Arial" w:hAnsi="Arial"/>
                <w:sz w:val="23"/>
                <w:szCs w:val="23"/>
                <w:color w:val="auto"/>
                <w:w w:val="90"/>
                <w:vertAlign w:val="superscript"/>
              </w:rPr>
              <w:t>(2)</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Midway Pipeline LLC</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Red Oak Pipeline LLC</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(1)</w:t>
            </w:r>
          </w:p>
        </w:tc>
        <w:tc>
          <w:tcPr>
            <w:tcW w:w="0" w:type="dxa"/>
            <w:vAlign w:val="bottom"/>
          </w:tcPr>
          <w:p>
            <w:pPr>
              <w:spacing w:after="0"/>
              <w:rPr>
                <w:sz w:val="1"/>
                <w:szCs w:val="1"/>
                <w:color w:val="auto"/>
              </w:rPr>
            </w:pP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Saddlehorn Pipeline Company, LLC</w:t>
            </w:r>
          </w:p>
        </w:tc>
        <w:tc>
          <w:tcPr>
            <w:tcW w:w="246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Settoon Towing, LLC</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Barge Transportation Services</w:t>
            </w:r>
          </w:p>
        </w:tc>
        <w:tc>
          <w:tcPr>
            <w:tcW w:w="0" w:type="dxa"/>
            <w:vAlign w:val="bottom"/>
          </w:tcPr>
          <w:p>
            <w:pPr>
              <w:spacing w:after="0"/>
              <w:rPr>
                <w:sz w:val="1"/>
                <w:szCs w:val="1"/>
                <w:color w:val="auto"/>
              </w:rPr>
            </w:pPr>
          </w:p>
        </w:tc>
      </w:tr>
      <w:tr>
        <w:trPr>
          <w:trHeight w:val="31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STACK Pipeline LLC</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0" w:type="dxa"/>
            <w:vAlign w:val="bottom"/>
          </w:tcPr>
          <w:p>
            <w:pPr>
              <w:spacing w:after="0"/>
              <w:rPr>
                <w:sz w:val="1"/>
                <w:szCs w:val="1"/>
                <w:color w:val="auto"/>
              </w:rPr>
            </w:pP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White Cliffs Pipeline, LLC</w:t>
            </w:r>
          </w:p>
        </w:tc>
        <w:tc>
          <w:tcPr>
            <w:tcW w:w="246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0" w:type="dxa"/>
            <w:vAlign w:val="bottom"/>
          </w:tcPr>
          <w:p>
            <w:pPr>
              <w:spacing w:after="0"/>
              <w:rPr>
                <w:sz w:val="1"/>
                <w:szCs w:val="1"/>
                <w:color w:val="auto"/>
              </w:rPr>
            </w:pPr>
          </w:p>
        </w:tc>
      </w:tr>
      <w:tr>
        <w:trPr>
          <w:trHeight w:val="379"/>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Wink to Webster Pipeline LLC</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-3061970</wp:posOffset>
            </wp:positionV>
            <wp:extent cx="7229475" cy="180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-2710180</wp:posOffset>
            </wp:positionV>
            <wp:extent cx="722947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-2367280</wp:posOffset>
            </wp:positionV>
            <wp:extent cx="7229475"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-2023745</wp:posOffset>
            </wp:positionV>
            <wp:extent cx="7229475" cy="2571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2947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-1595120</wp:posOffset>
            </wp:positionV>
            <wp:extent cx="7229475"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-1252220</wp:posOffset>
            </wp:positionV>
            <wp:extent cx="7229475"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-909320</wp:posOffset>
            </wp:positionV>
            <wp:extent cx="7229475"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229475"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229475"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24955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Our</w:t>
            </w: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Total Cash</w:t>
            </w:r>
          </w:p>
        </w:tc>
        <w:tc>
          <w:tcPr>
            <w:tcW w:w="260" w:type="dxa"/>
            <w:vAlign w:val="bottom"/>
          </w:tcPr>
          <w:p>
            <w:pPr>
              <w:spacing w:after="0"/>
              <w:rPr>
                <w:sz w:val="14"/>
                <w:szCs w:val="14"/>
                <w:color w:val="auto"/>
              </w:rPr>
            </w:pPr>
          </w:p>
        </w:tc>
        <w:tc>
          <w:tcPr>
            <w:tcW w:w="9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and</w:t>
            </w: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Ownership</w:t>
            </w:r>
          </w:p>
        </w:tc>
        <w:tc>
          <w:tcPr>
            <w:tcW w:w="260" w:type="dxa"/>
            <w:vAlign w:val="bottom"/>
          </w:tcPr>
          <w:p>
            <w:pPr>
              <w:spacing w:after="0"/>
              <w:rPr>
                <w:sz w:val="12"/>
                <w:szCs w:val="12"/>
                <w:color w:val="auto"/>
              </w:rPr>
            </w:pPr>
          </w:p>
        </w:tc>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Entity</w:t>
            </w: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260" w:type="dxa"/>
            <w:vAlign w:val="bottom"/>
          </w:tcPr>
          <w:p>
            <w:pPr>
              <w:spacing w:after="0"/>
              <w:rPr>
                <w:sz w:val="12"/>
                <w:szCs w:val="12"/>
                <w:color w:val="auto"/>
              </w:rPr>
            </w:pPr>
          </w:p>
        </w:tc>
        <w:tc>
          <w:tcPr>
            <w:tcW w:w="9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Entity</w:t>
            </w:r>
          </w:p>
        </w:tc>
        <w:tc>
          <w:tcPr>
            <w:tcW w:w="0" w:type="dxa"/>
            <w:vAlign w:val="bottom"/>
          </w:tcPr>
          <w:p>
            <w:pPr>
              <w:spacing w:after="0"/>
              <w:rPr>
                <w:sz w:val="1"/>
                <w:szCs w:val="1"/>
                <w:color w:val="auto"/>
              </w:rPr>
            </w:pPr>
          </w:p>
        </w:tc>
      </w:tr>
      <w:tr>
        <w:trPr>
          <w:trHeight w:val="192"/>
        </w:trPr>
        <w:tc>
          <w:tcPr>
            <w:tcW w:w="1320" w:type="dxa"/>
            <w:vAlign w:val="bottom"/>
            <w:gridSpan w:val="2"/>
          </w:tcPr>
          <w:p>
            <w:pPr>
              <w:ind w:left="360"/>
              <w:spacing w:after="0"/>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Cash</w:t>
            </w:r>
          </w:p>
        </w:tc>
        <w:tc>
          <w:tcPr>
            <w:tcW w:w="260" w:type="dxa"/>
            <w:vAlign w:val="bottom"/>
          </w:tcPr>
          <w:p>
            <w:pPr>
              <w:spacing w:after="0"/>
              <w:rPr>
                <w:sz w:val="16"/>
                <w:szCs w:val="16"/>
                <w:color w:val="auto"/>
              </w:rPr>
            </w:pPr>
          </w:p>
        </w:tc>
        <w:tc>
          <w:tcPr>
            <w:tcW w:w="960" w:type="dxa"/>
            <w:vAlign w:val="bottom"/>
          </w:tcPr>
          <w:p>
            <w:pPr>
              <w:ind w:left="200"/>
              <w:spacing w:after="0"/>
              <w:rPr>
                <w:sz w:val="20"/>
                <w:szCs w:val="20"/>
                <w:color w:val="auto"/>
              </w:rPr>
            </w:pPr>
            <w:r>
              <w:rPr>
                <w:rFonts w:ascii="Arial" w:cs="Arial" w:eastAsia="Arial" w:hAnsi="Arial"/>
                <w:sz w:val="14"/>
                <w:szCs w:val="14"/>
                <w:b w:val="1"/>
                <w:bCs w:val="1"/>
                <w:color w:val="auto"/>
              </w:rPr>
              <w:t>Debt</w:t>
            </w:r>
          </w:p>
        </w:tc>
        <w:tc>
          <w:tcPr>
            <w:tcW w:w="0" w:type="dxa"/>
            <w:vAlign w:val="bottom"/>
          </w:tcPr>
          <w:p>
            <w:pPr>
              <w:spacing w:after="0"/>
              <w:rPr>
                <w:sz w:val="1"/>
                <w:szCs w:val="1"/>
                <w:color w:val="auto"/>
              </w:rPr>
            </w:pPr>
          </w:p>
        </w:tc>
      </w:tr>
      <w:tr>
        <w:trPr>
          <w:trHeight w:val="243"/>
        </w:trPr>
        <w:tc>
          <w:tcPr>
            <w:tcW w:w="12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0" w:type="dxa"/>
            <w:vAlign w:val="bottom"/>
          </w:tcPr>
          <w:p>
            <w:pPr>
              <w:ind w:left="3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0" w:type="dxa"/>
            <w:vAlign w:val="bottom"/>
          </w:tcPr>
          <w:p>
            <w:pPr>
              <w:ind w:left="36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0" w:type="dxa"/>
            <w:vAlign w:val="bottom"/>
          </w:tcPr>
          <w:p>
            <w:pPr>
              <w:ind w:left="3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0" w:type="dxa"/>
            <w:vAlign w:val="bottom"/>
          </w:tcPr>
          <w:p>
            <w:pPr>
              <w:ind w:left="36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0" w:type="dxa"/>
            <w:vAlign w:val="bottom"/>
          </w:tcPr>
          <w:p>
            <w:pPr>
              <w:ind w:left="3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1200" w:type="dxa"/>
            <w:vAlign w:val="bottom"/>
          </w:tcPr>
          <w:p>
            <w:pPr>
              <w:ind w:left="3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0" w:type="dxa"/>
            <w:vAlign w:val="bottom"/>
          </w:tcPr>
          <w:p>
            <w:pPr>
              <w:ind w:left="3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0" w:type="dxa"/>
            <w:vAlign w:val="bottom"/>
          </w:tcPr>
          <w:p>
            <w:pPr>
              <w:ind w:left="3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0" w:type="dxa"/>
            <w:vAlign w:val="bottom"/>
          </w:tcPr>
          <w:p>
            <w:pPr>
              <w:ind w:left="3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0" w:type="dxa"/>
            <w:vAlign w:val="bottom"/>
          </w:tcPr>
          <w:p>
            <w:pPr>
              <w:ind w:left="3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0" w:type="dxa"/>
            <w:vAlign w:val="bottom"/>
          </w:tcPr>
          <w:p>
            <w:pPr>
              <w:ind w:left="3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0" w:type="dxa"/>
            <w:vAlign w:val="bottom"/>
          </w:tcPr>
          <w:p>
            <w:pPr>
              <w:ind w:left="36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0" w:type="dxa"/>
            <w:vAlign w:val="bottom"/>
          </w:tcPr>
          <w:p>
            <w:pPr>
              <w:ind w:left="3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1200" w:type="dxa"/>
            <w:vAlign w:val="bottom"/>
          </w:tcPr>
          <w:p>
            <w:pPr>
              <w:ind w:left="3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0" w:type="dxa"/>
            <w:vAlign w:val="bottom"/>
          </w:tcPr>
          <w:p>
            <w:pPr>
              <w:ind w:left="36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0" w:type="dxa"/>
            <w:vAlign w:val="bottom"/>
          </w:tcPr>
          <w:p>
            <w:pPr>
              <w:ind w:left="3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sectPr>
          <w:pgSz w:w="11900" w:h="16838" w:orient="portrait"/>
          <w:cols w:equalWidth="0" w:num="2">
            <w:col w:w="6120" w:space="100"/>
            <w:col w:w="5180"/>
          </w:cols>
          <w:pgMar w:left="240" w:top="125" w:right="259" w:bottom="1440" w:gutter="0" w:footer="0" w:header="0"/>
          <w:type w:val="continuous"/>
        </w:sectPr>
      </w:pPr>
    </w:p>
    <w:p>
      <w:pPr>
        <w:spacing w:after="0" w:line="26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Asset is currently under construction or development by the entity and has not yet been placed in service.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serve as operator of the asset.</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117" w:lineRule="exact"/>
        <w:rPr>
          <w:sz w:val="20"/>
          <w:szCs w:val="20"/>
          <w:color w:val="auto"/>
        </w:rPr>
      </w:pPr>
    </w:p>
    <w:p>
      <w:pPr>
        <w:ind w:left="980" w:hanging="324"/>
        <w:spacing w:after="0"/>
        <w:tabs>
          <w:tab w:leader="none" w:pos="980" w:val="left"/>
        </w:tabs>
        <w:numPr>
          <w:ilvl w:val="0"/>
          <w:numId w:val="62"/>
        </w:numPr>
        <w:rPr>
          <w:rFonts w:ascii="Arial" w:cs="Arial" w:eastAsia="Arial" w:hAnsi="Arial"/>
          <w:sz w:val="13"/>
          <w:szCs w:val="13"/>
          <w:i w:val="1"/>
          <w:iCs w:val="1"/>
          <w:color w:val="auto"/>
        </w:rPr>
      </w:pPr>
      <w:r>
        <w:rPr>
          <w:rFonts w:ascii="Arial" w:cs="Arial" w:eastAsia="Arial" w:hAnsi="Arial"/>
          <w:sz w:val="18"/>
          <w:szCs w:val="18"/>
          <w:i w:val="1"/>
          <w:iCs w:val="1"/>
          <w:u w:val="single" w:color="auto"/>
          <w:color w:val="auto"/>
        </w:rPr>
        <w:t>Crude oil</w:t>
      </w:r>
    </w:p>
    <w:p>
      <w:pPr>
        <w:spacing w:after="0" w:line="117" w:lineRule="exact"/>
        <w:rPr>
          <w:rFonts w:ascii="Arial" w:cs="Arial" w:eastAsia="Arial" w:hAnsi="Arial"/>
          <w:sz w:val="13"/>
          <w:szCs w:val="13"/>
          <w:i w:val="1"/>
          <w:iCs w:val="1"/>
          <w:color w:val="auto"/>
        </w:rPr>
      </w:pPr>
    </w:p>
    <w:p>
      <w:pPr>
        <w:ind w:left="980" w:right="20"/>
        <w:spacing w:after="0" w:line="264" w:lineRule="auto"/>
        <w:rPr>
          <w:rFonts w:ascii="Arial" w:cs="Arial" w:eastAsia="Arial" w:hAnsi="Arial"/>
          <w:sz w:val="13"/>
          <w:szCs w:val="13"/>
          <w:i w:val="1"/>
          <w:iCs w:val="1"/>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futures, forwards, swaps and options.</w:t>
      </w:r>
    </w:p>
    <w:p>
      <w:pPr>
        <w:spacing w:after="0" w:line="73" w:lineRule="exact"/>
        <w:rPr>
          <w:rFonts w:ascii="Arial" w:cs="Arial" w:eastAsia="Arial" w:hAnsi="Arial"/>
          <w:sz w:val="13"/>
          <w:szCs w:val="13"/>
          <w:i w:val="1"/>
          <w:iCs w:val="1"/>
          <w:color w:val="auto"/>
        </w:rPr>
      </w:pPr>
    </w:p>
    <w:p>
      <w:pPr>
        <w:ind w:left="980" w:hanging="324"/>
        <w:spacing w:after="0"/>
        <w:tabs>
          <w:tab w:leader="none" w:pos="980" w:val="left"/>
        </w:tabs>
        <w:numPr>
          <w:ilvl w:val="0"/>
          <w:numId w:val="62"/>
        </w:numPr>
        <w:rPr>
          <w:rFonts w:ascii="Arial" w:cs="Arial" w:eastAsia="Arial" w:hAnsi="Arial"/>
          <w:sz w:val="13"/>
          <w:szCs w:val="13"/>
          <w:color w:val="auto"/>
        </w:rPr>
      </w:pPr>
      <w:r>
        <w:rPr>
          <w:rFonts w:ascii="Arial" w:cs="Arial" w:eastAsia="Arial" w:hAnsi="Arial"/>
          <w:sz w:val="18"/>
          <w:szCs w:val="18"/>
          <w:i w:val="1"/>
          <w:iCs w:val="1"/>
          <w:u w:val="single" w:color="auto"/>
          <w:color w:val="auto"/>
        </w:rPr>
        <w:t>Natural gas</w:t>
      </w:r>
    </w:p>
    <w:p>
      <w:pPr>
        <w:spacing w:after="0" w:line="117" w:lineRule="exact"/>
        <w:rPr>
          <w:rFonts w:ascii="Arial" w:cs="Arial" w:eastAsia="Arial" w:hAnsi="Arial"/>
          <w:sz w:val="13"/>
          <w:szCs w:val="13"/>
          <w:color w:val="auto"/>
        </w:rPr>
      </w:pPr>
    </w:p>
    <w:p>
      <w:pPr>
        <w:ind w:left="980"/>
        <w:spacing w:after="0" w:line="264" w:lineRule="auto"/>
        <w:rPr>
          <w:rFonts w:ascii="Arial" w:cs="Arial" w:eastAsia="Arial" w:hAnsi="Arial"/>
          <w:sz w:val="13"/>
          <w:szCs w:val="13"/>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73" w:lineRule="exact"/>
        <w:rPr>
          <w:rFonts w:ascii="Arial" w:cs="Arial" w:eastAsia="Arial" w:hAnsi="Arial"/>
          <w:sz w:val="13"/>
          <w:szCs w:val="13"/>
          <w:color w:val="auto"/>
        </w:rPr>
      </w:pPr>
    </w:p>
    <w:p>
      <w:pPr>
        <w:ind w:left="980" w:hanging="324"/>
        <w:spacing w:after="0"/>
        <w:tabs>
          <w:tab w:leader="none" w:pos="980" w:val="left"/>
        </w:tabs>
        <w:numPr>
          <w:ilvl w:val="0"/>
          <w:numId w:val="62"/>
        </w:numPr>
        <w:rPr>
          <w:rFonts w:ascii="Arial" w:cs="Arial" w:eastAsia="Arial" w:hAnsi="Arial"/>
          <w:sz w:val="13"/>
          <w:szCs w:val="13"/>
          <w:color w:val="auto"/>
        </w:rPr>
      </w:pPr>
      <w:r>
        <w:rPr>
          <w:rFonts w:ascii="Arial" w:cs="Arial" w:eastAsia="Arial" w:hAnsi="Arial"/>
          <w:sz w:val="18"/>
          <w:szCs w:val="18"/>
          <w:i w:val="1"/>
          <w:iCs w:val="1"/>
          <w:u w:val="single" w:color="auto"/>
          <w:color w:val="auto"/>
        </w:rPr>
        <w:t>NGL and other</w:t>
      </w:r>
    </w:p>
    <w:p>
      <w:pPr>
        <w:spacing w:after="0" w:line="117" w:lineRule="exact"/>
        <w:rPr>
          <w:rFonts w:ascii="Arial" w:cs="Arial" w:eastAsia="Arial" w:hAnsi="Arial"/>
          <w:sz w:val="13"/>
          <w:szCs w:val="13"/>
          <w:color w:val="auto"/>
        </w:rPr>
      </w:pPr>
    </w:p>
    <w:p>
      <w:pPr>
        <w:ind w:left="980" w:right="80"/>
        <w:spacing w:after="0" w:line="264" w:lineRule="auto"/>
        <w:rPr>
          <w:rFonts w:ascii="Arial" w:cs="Arial" w:eastAsia="Arial" w:hAnsi="Arial"/>
          <w:sz w:val="13"/>
          <w:szCs w:val="13"/>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13 to our Consolidated Financial Statements for further discussion regarding our hedging strategies and objectives.</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December 31, 2019 that would be expected from a 10% price increase or decrease is shown in the table below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97"/>
              </w:rPr>
              <w:t>Effect of 10%</w:t>
            </w:r>
          </w:p>
        </w:tc>
        <w:tc>
          <w:tcPr>
            <w:tcW w:w="0" w:type="dxa"/>
            <w:vAlign w:val="bottom"/>
          </w:tcPr>
          <w:p>
            <w:pPr>
              <w:spacing w:after="0"/>
              <w:rPr>
                <w:sz w:val="1"/>
                <w:szCs w:val="1"/>
                <w:color w:val="auto"/>
              </w:rPr>
            </w:pPr>
          </w:p>
        </w:tc>
      </w:tr>
      <w:tr>
        <w:trPr>
          <w:trHeight w:val="188"/>
        </w:trPr>
        <w:tc>
          <w:tcPr>
            <w:tcW w:w="68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45"/>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6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4"/>
        </w:trPr>
        <w:tc>
          <w:tcPr>
            <w:tcW w:w="6840" w:type="dxa"/>
            <w:vAlign w:val="bottom"/>
          </w:tcPr>
          <w:p>
            <w:pPr>
              <w:ind w:left="120"/>
              <w:spacing w:after="0"/>
              <w:rPr>
                <w:sz w:val="20"/>
                <w:szCs w:val="20"/>
                <w:color w:val="auto"/>
              </w:rPr>
            </w:pPr>
            <w:r>
              <w:rPr>
                <w:rFonts w:ascii="Arial" w:cs="Arial" w:eastAsia="Arial" w:hAnsi="Arial"/>
                <w:sz w:val="18"/>
                <w:szCs w:val="18"/>
                <w:color w:val="auto"/>
              </w:rPr>
              <w:t>Total fair value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December 31, 2019, approximately $618 million, was subject to interest rate re-sets that generally range from one day to approximately one month. The average interest rate on variable rate debt that was outstanding during the year ended December 31, 2019 was 3.0%, based upon rates in effect during the year. The fair value of our interest rate derivatives was a liability of $44 million as of December 31, 2019. A 10% increase in the forward LIBOR curve as of December 31, 2019 would have resulted in an increase of $9 million to the fair value of our interest rate derivatives. A 10% decrease in the forward LIBOR curve as of December 31, 2019 would have resulted in a decrease of $9 million to the fair value of our interest rate derivatives. See Note 13 to our Consolidated Financial Statements for a discussion of our interest rate risk hedging activities.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5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an asset of $1 million as of December 31, 2019. A 10% increase in the exchange rate (USD-to-CAD) would have resulted in a decrease of less than $1 million to the fair value of our foreign currency derivatives. A 10% decrease in the exchange rate (USD-to-CAD) would have resulted in an increase of less than $1 million to the fair value of our foreign currency derivatives. See Note 13 to our Consolidated Financial Statements for a discussion of our currency exchange rate risk hedging.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Preferred Distribution Rate Reset Option of our Series A preferred units is an embedded derivative that must be bifurcated from the related host contract, our partnership agreement, and recorded at fair value in our Consolidated Balance Sheets. The valuation model utilized for this embedded derivative contains inputs including our common unit price, ten-year U.S. treasury rates, default probabilities and timing estimates to ultimately calculate the fair value of our Series A preferred units with and without the Preferred Distribution Rate Reset Option. The fair value of this embedded derivative was a liability of $34 million as of December 31, 2019. A 10% increase or decrease in the fair value would have an impact of $3 million. See Note 13 to our Consolidated Financial Statements for a discussion of embedded derivatives.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214"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2019, the end of the period covered by this report, and, based on such evaluation, our Chief Executive Officer and Chief Financial Officer have concluded that our DCP is effective.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52"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2019. See “Management’s Report on Internal Control Over Financial Reporting” on page F-2 of our Consolidated Financial Statements.</w:t>
      </w:r>
    </w:p>
    <w:p>
      <w:pPr>
        <w:spacing w:after="0" w:line="20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Our independent registered public accounting firm, PricewaterhouseCoopers LLP, assessed the effectiveness of our internal control over financial reporting, as stated in the firm’s report. See “</w:t>
      </w:r>
      <w:r>
        <w:rPr>
          <w:rFonts w:ascii="Arial" w:cs="Arial" w:eastAsia="Arial" w:hAnsi="Arial"/>
          <w:sz w:val="15"/>
          <w:szCs w:val="15"/>
          <w:color w:val="auto"/>
        </w:rPr>
        <w:t>Report of Independent Registered Public Accounting Firm</w:t>
      </w:r>
      <w:r>
        <w:rPr>
          <w:rFonts w:ascii="Arial" w:cs="Arial" w:eastAsia="Arial" w:hAnsi="Arial"/>
          <w:sz w:val="16"/>
          <w:szCs w:val="16"/>
          <w:color w:val="auto"/>
        </w:rPr>
        <w:t>” on page F-3 of our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2019 that have materially affected, or are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information that was required to be disclosed in a report on Form 8-K during the fourth quarter of 2019 that has not previously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1" w:name="page112"/>
    <w:bookmarkEnd w:id="111"/>
    <w:p>
      <w:pPr>
        <w:ind w:left="73"/>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32"/>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Our General Partner and Corporate Governance</w:t>
      </w:r>
    </w:p>
    <w:p>
      <w:pPr>
        <w:spacing w:after="0" w:line="189" w:lineRule="exact"/>
        <w:rPr>
          <w:sz w:val="20"/>
          <w:szCs w:val="20"/>
          <w:color w:val="auto"/>
        </w:rPr>
      </w:pPr>
    </w:p>
    <w:p>
      <w:pPr>
        <w:ind w:left="73"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2020 Annual Meeting, which will be filed with the SEC within 120 days after the end of the fiscal year ended December 31, 2019, and is incorporated herein by reference thereto.</w:t>
      </w:r>
    </w:p>
    <w:p>
      <w:pPr>
        <w:spacing w:after="0" w:line="139"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Directors and Executive Officers</w:t>
      </w:r>
    </w:p>
    <w:p>
      <w:pPr>
        <w:spacing w:after="0" w:line="189" w:lineRule="exact"/>
        <w:rPr>
          <w:sz w:val="20"/>
          <w:szCs w:val="20"/>
          <w:color w:val="auto"/>
        </w:rPr>
      </w:pPr>
    </w:p>
    <w:p>
      <w:pPr>
        <w:ind w:left="733"/>
        <w:spacing w:after="0"/>
        <w:rPr>
          <w:sz w:val="20"/>
          <w:szCs w:val="20"/>
          <w:color w:val="auto"/>
        </w:rPr>
      </w:pPr>
      <w:r>
        <w:rPr>
          <w:rFonts w:ascii="Arial" w:cs="Arial" w:eastAsia="Arial" w:hAnsi="Arial"/>
          <w:sz w:val="18"/>
          <w:szCs w:val="18"/>
          <w:color w:val="auto"/>
        </w:rPr>
        <w:t>As of the date of filing this report, the following individuals were serving as our executive officers and/or directors:</w:t>
      </w:r>
    </w:p>
    <w:p>
      <w:pPr>
        <w:sectPr>
          <w:pgSz w:w="11900" w:h="16838" w:orient="portrait"/>
          <w:cols w:equalWidth="0" w:num="1">
            <w:col w:w="11433"/>
          </w:cols>
          <w:pgMar w:left="167" w:top="125" w:right="299" w:bottom="1440" w:gutter="0" w:footer="0" w:header="0"/>
        </w:sectPr>
      </w:pPr>
    </w:p>
    <w:p>
      <w:pPr>
        <w:spacing w:after="0" w:line="230" w:lineRule="exact"/>
        <w:rPr>
          <w:sz w:val="20"/>
          <w:szCs w:val="20"/>
          <w:color w:val="auto"/>
        </w:rPr>
      </w:pPr>
    </w:p>
    <w:p>
      <w:pPr>
        <w:ind w:left="113"/>
        <w:spacing w:after="0"/>
        <w:rPr>
          <w:sz w:val="20"/>
          <w:szCs w:val="20"/>
          <w:color w:val="auto"/>
        </w:rPr>
      </w:pPr>
      <w:r>
        <w:rPr>
          <w:rFonts w:ascii="Arial" w:cs="Arial" w:eastAsia="Arial" w:hAnsi="Arial"/>
          <w:sz w:val="14"/>
          <w:szCs w:val="14"/>
          <w:b w:val="1"/>
          <w:bCs w:val="1"/>
          <w:color w:val="auto"/>
        </w:rPr>
        <w:t>Name</w:t>
      </w:r>
    </w:p>
    <w:p>
      <w:pPr>
        <w:spacing w:after="0" w:line="90"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Willie Chiang </w:t>
      </w:r>
      <w:r>
        <w:rPr>
          <w:rFonts w:ascii="Arial" w:cs="Arial" w:eastAsia="Arial" w:hAnsi="Arial"/>
          <w:sz w:val="23"/>
          <w:szCs w:val="23"/>
          <w:color w:val="auto"/>
          <w:vertAlign w:val="superscript"/>
        </w:rPr>
        <w:t>(1)(2)</w:t>
      </w:r>
    </w:p>
    <w:p>
      <w:pPr>
        <w:spacing w:after="0" w:line="22"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Harry N. Pefanis </w:t>
      </w:r>
      <w:r>
        <w:rPr>
          <w:rFonts w:ascii="Arial" w:cs="Arial" w:eastAsia="Arial" w:hAnsi="Arial"/>
          <w:sz w:val="23"/>
          <w:szCs w:val="23"/>
          <w:color w:val="auto"/>
          <w:vertAlign w:val="superscript"/>
        </w:rPr>
        <w:t>(1)(2)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Chris R. Chandler </w:t>
      </w:r>
      <w:r>
        <w:rPr>
          <w:rFonts w:ascii="Arial" w:cs="Arial" w:eastAsia="Arial" w:hAnsi="Arial"/>
          <w:sz w:val="23"/>
          <w:szCs w:val="23"/>
          <w:color w:val="auto"/>
          <w:vertAlign w:val="superscript"/>
        </w:rPr>
        <w:t>(1)</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Al Swanson </w:t>
      </w:r>
      <w:r>
        <w:rPr>
          <w:rFonts w:ascii="Arial" w:cs="Arial" w:eastAsia="Arial" w:hAnsi="Arial"/>
          <w:sz w:val="23"/>
          <w:szCs w:val="23"/>
          <w:color w:val="auto"/>
          <w:vertAlign w:val="superscript"/>
        </w:rPr>
        <w:t>(1)</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Jeremy L. Goebel </w:t>
      </w:r>
      <w:r>
        <w:rPr>
          <w:rFonts w:ascii="Arial" w:cs="Arial" w:eastAsia="Arial" w:hAnsi="Arial"/>
          <w:sz w:val="23"/>
          <w:szCs w:val="23"/>
          <w:color w:val="auto"/>
          <w:vertAlign w:val="superscript"/>
        </w:rPr>
        <w:t>(1)</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Richard K. McGee </w:t>
      </w:r>
      <w:r>
        <w:rPr>
          <w:rFonts w:ascii="Arial" w:cs="Arial" w:eastAsia="Arial" w:hAnsi="Arial"/>
          <w:sz w:val="23"/>
          <w:szCs w:val="23"/>
          <w:color w:val="auto"/>
          <w:vertAlign w:val="superscript"/>
        </w:rPr>
        <w:t>(1)</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Chris Herbold </w:t>
      </w:r>
      <w:r>
        <w:rPr>
          <w:rFonts w:ascii="Arial" w:cs="Arial" w:eastAsia="Arial" w:hAnsi="Arial"/>
          <w:sz w:val="23"/>
          <w:szCs w:val="23"/>
          <w:color w:val="auto"/>
          <w:vertAlign w:val="superscript"/>
        </w:rPr>
        <w:t>(1)</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Greg L. Armstrong </w:t>
      </w:r>
      <w:r>
        <w:rPr>
          <w:rFonts w:ascii="Arial" w:cs="Arial" w:eastAsia="Arial" w:hAnsi="Arial"/>
          <w:sz w:val="23"/>
          <w:szCs w:val="23"/>
          <w:color w:val="auto"/>
          <w:vertAlign w:val="superscript"/>
        </w:rPr>
        <w:t>(2)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Victor Burk </w:t>
      </w:r>
      <w:r>
        <w:rPr>
          <w:rFonts w:ascii="Arial" w:cs="Arial" w:eastAsia="Arial" w:hAnsi="Arial"/>
          <w:sz w:val="23"/>
          <w:szCs w:val="23"/>
          <w:color w:val="auto"/>
          <w:vertAlign w:val="superscript"/>
        </w:rPr>
        <w:t>(2)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Everardo Goyanes </w:t>
      </w:r>
      <w:r>
        <w:rPr>
          <w:rFonts w:ascii="Arial" w:cs="Arial" w:eastAsia="Arial" w:hAnsi="Arial"/>
          <w:sz w:val="23"/>
          <w:szCs w:val="23"/>
          <w:color w:val="auto"/>
          <w:vertAlign w:val="superscript"/>
        </w:rPr>
        <w:t>(2)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Gary R. Petersen </w:t>
      </w:r>
      <w:r>
        <w:rPr>
          <w:rFonts w:ascii="Arial" w:cs="Arial" w:eastAsia="Arial" w:hAnsi="Arial"/>
          <w:sz w:val="23"/>
          <w:szCs w:val="23"/>
          <w:color w:val="auto"/>
          <w:vertAlign w:val="superscript"/>
        </w:rPr>
        <w:t>(2)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7"/>
          <w:szCs w:val="17"/>
          <w:color w:val="auto"/>
        </w:rPr>
        <w:t xml:space="preserve">Alexandra D. Pruner </w:t>
      </w:r>
      <w:r>
        <w:rPr>
          <w:rFonts w:ascii="Arial" w:cs="Arial" w:eastAsia="Arial" w:hAnsi="Arial"/>
          <w:sz w:val="22"/>
          <w:szCs w:val="22"/>
          <w:color w:val="auto"/>
          <w:vertAlign w:val="superscript"/>
        </w:rPr>
        <w:t>(2)</w:t>
      </w:r>
    </w:p>
    <w:p>
      <w:pPr>
        <w:spacing w:after="0" w:line="17"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John T. Raymond </w:t>
      </w:r>
      <w:r>
        <w:rPr>
          <w:rFonts w:ascii="Arial" w:cs="Arial" w:eastAsia="Arial" w:hAnsi="Arial"/>
          <w:sz w:val="23"/>
          <w:szCs w:val="23"/>
          <w:color w:val="auto"/>
          <w:vertAlign w:val="superscript"/>
        </w:rPr>
        <w:t>(2)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Bobby S. Shackouls </w:t>
      </w:r>
      <w:r>
        <w:rPr>
          <w:rFonts w:ascii="Arial" w:cs="Arial" w:eastAsia="Arial" w:hAnsi="Arial"/>
          <w:sz w:val="23"/>
          <w:szCs w:val="23"/>
          <w:color w:val="auto"/>
          <w:vertAlign w:val="superscript"/>
        </w:rPr>
        <w:t>(2)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Robert V. Sinnott </w:t>
      </w:r>
      <w:r>
        <w:rPr>
          <w:rFonts w:ascii="Arial" w:cs="Arial" w:eastAsia="Arial" w:hAnsi="Arial"/>
          <w:sz w:val="23"/>
          <w:szCs w:val="23"/>
          <w:color w:val="auto"/>
          <w:vertAlign w:val="superscript"/>
        </w:rPr>
        <w:t>(2)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J. Taft Symonds </w:t>
      </w:r>
      <w:r>
        <w:rPr>
          <w:rFonts w:ascii="Arial" w:cs="Arial" w:eastAsia="Arial" w:hAnsi="Arial"/>
          <w:sz w:val="23"/>
          <w:szCs w:val="23"/>
          <w:color w:val="auto"/>
          <w:vertAlign w:val="superscript"/>
        </w:rPr>
        <w:t>(2)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6"/>
          <w:szCs w:val="16"/>
          <w:color w:val="auto"/>
        </w:rPr>
        <w:t xml:space="preserve">Christopher M. Temple </w:t>
      </w:r>
      <w:r>
        <w:rPr>
          <w:rFonts w:ascii="Arial" w:cs="Arial" w:eastAsia="Arial" w:hAnsi="Arial"/>
          <w:sz w:val="20"/>
          <w:szCs w:val="20"/>
          <w:color w:val="auto"/>
          <w:vertAlign w:val="superscript"/>
        </w:rPr>
        <w:t>(2)</w:t>
      </w:r>
    </w:p>
    <w:p>
      <w:pPr>
        <w:spacing w:after="0" w:line="40" w:lineRule="exact"/>
        <w:rPr>
          <w:sz w:val="20"/>
          <w:szCs w:val="20"/>
          <w:color w:val="auto"/>
        </w:rPr>
      </w:pPr>
    </w:p>
    <w:p>
      <w:pPr>
        <w:ind w:left="113"/>
        <w:spacing w:after="0"/>
        <w:rPr>
          <w:sz w:val="20"/>
          <w:szCs w:val="20"/>
          <w:color w:val="auto"/>
        </w:rPr>
      </w:pPr>
      <w:r>
        <w:rPr>
          <w:rFonts w:ascii="Arial" w:cs="Arial" w:eastAsia="Arial" w:hAnsi="Arial"/>
          <w:sz w:val="17"/>
          <w:szCs w:val="17"/>
          <w:color w:val="auto"/>
        </w:rPr>
        <w:t xml:space="preserve">Lawrence M. Ziemba </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250190</wp:posOffset>
            </wp:positionV>
            <wp:extent cx="23241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Occupation or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23495</wp:posOffset>
            </wp:positionV>
            <wp:extent cx="7220585" cy="1803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Commercial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31750</wp:posOffset>
            </wp:positionV>
            <wp:extent cx="7220585"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Operating Officer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31750</wp:posOffset>
            </wp:positionV>
            <wp:extent cx="7220585"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 Commercial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31750</wp:posOffset>
            </wp:positionV>
            <wp:extent cx="722058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Accounting Officer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Senior Advisor to the Chief Executive Officer (former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46355</wp:posOffset>
            </wp:positionV>
            <wp:extent cx="7220585"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Alvarez and Marsal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Founder, Ex Cathedra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31750</wp:posOffset>
            </wp:positionV>
            <wp:extent cx="7220585"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Managing Partner, EnCap Investments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Senior Advisor, Perella Weinberg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31750</wp:posOffset>
            </wp:positionV>
            <wp:extent cx="7220585"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Managing Partner and Chief Executive Officer, The Energy &amp; Minerals Group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CEO, Burlington Resources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31750</wp:posOffset>
            </wp:positionV>
            <wp:extent cx="7220585"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Co-Chairman, Kayne Anderson Capital Advisors,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Chairman, Symonds Investment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31750</wp:posOffset>
            </wp:positionV>
            <wp:extent cx="7220585"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President, DelTex Capital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Former Executive Vice President, Refining, Phillips 66</w:t>
      </w:r>
    </w:p>
    <w:p>
      <w:pPr>
        <w:spacing w:after="0" w:line="288" w:lineRule="exact"/>
        <w:rPr>
          <w:sz w:val="20"/>
          <w:szCs w:val="20"/>
          <w:color w:val="auto"/>
        </w:rPr>
      </w:pPr>
    </w:p>
    <w:p>
      <w:pPr>
        <w:sectPr>
          <w:pgSz w:w="11900" w:h="16838" w:orient="portrait"/>
          <w:cols w:equalWidth="0" w:num="2">
            <w:col w:w="2053" w:space="720"/>
            <w:col w:w="8660"/>
          </w:cols>
          <w:pgMar w:left="167" w:top="125" w:right="299" w:bottom="1440" w:gutter="0" w:footer="0" w:header="0"/>
          <w:type w:val="continuous"/>
        </w:sectPr>
      </w:pPr>
    </w:p>
    <w:p>
      <w:pPr>
        <w:spacing w:after="0" w:line="267" w:lineRule="exact"/>
        <w:rPr>
          <w:sz w:val="20"/>
          <w:szCs w:val="20"/>
          <w:color w:val="auto"/>
        </w:rPr>
      </w:pPr>
    </w:p>
    <w:p>
      <w:pPr>
        <w:ind w:left="233" w:hanging="233"/>
        <w:spacing w:after="0"/>
        <w:tabs>
          <w:tab w:leader="none" w:pos="233" w:val="left"/>
        </w:tabs>
        <w:numPr>
          <w:ilvl w:val="0"/>
          <w:numId w:val="63"/>
        </w:numPr>
        <w:rPr>
          <w:rFonts w:ascii="Arial" w:cs="Arial" w:eastAsia="Arial" w:hAnsi="Arial"/>
          <w:sz w:val="23"/>
          <w:szCs w:val="23"/>
          <w:color w:val="auto"/>
          <w:vertAlign w:val="superscript"/>
        </w:rPr>
      </w:pPr>
      <w:r>
        <w:rPr>
          <w:rFonts w:ascii="Arial" w:cs="Arial" w:eastAsia="Arial" w:hAnsi="Arial"/>
          <w:sz w:val="18"/>
          <w:szCs w:val="18"/>
          <w:color w:val="auto"/>
        </w:rPr>
        <w:t>Executive officer (for purposes of Item 401(b) of Regulation S-K)</w:t>
      </w:r>
    </w:p>
    <w:p>
      <w:pPr>
        <w:spacing w:after="0" w:line="1" w:lineRule="exact"/>
        <w:rPr>
          <w:rFonts w:ascii="Arial" w:cs="Arial" w:eastAsia="Arial" w:hAnsi="Arial"/>
          <w:sz w:val="23"/>
          <w:szCs w:val="23"/>
          <w:color w:val="auto"/>
          <w:vertAlign w:val="superscript"/>
        </w:rPr>
      </w:pPr>
    </w:p>
    <w:p>
      <w:pPr>
        <w:ind w:left="233" w:hanging="233"/>
        <w:spacing w:after="0" w:line="194" w:lineRule="auto"/>
        <w:tabs>
          <w:tab w:leader="none" w:pos="233" w:val="left"/>
        </w:tabs>
        <w:numPr>
          <w:ilvl w:val="0"/>
          <w:numId w:val="63"/>
        </w:numPr>
        <w:rPr>
          <w:rFonts w:ascii="Arial" w:cs="Arial" w:eastAsia="Arial" w:hAnsi="Arial"/>
          <w:sz w:val="23"/>
          <w:szCs w:val="23"/>
          <w:color w:val="auto"/>
          <w:vertAlign w:val="superscript"/>
        </w:rPr>
      </w:pPr>
      <w:r>
        <w:rPr>
          <w:rFonts w:ascii="Arial" w:cs="Arial" w:eastAsia="Arial" w:hAnsi="Arial"/>
          <w:sz w:val="18"/>
          <w:szCs w:val="18"/>
          <w:color w:val="auto"/>
        </w:rPr>
        <w:t>Director</w:t>
      </w:r>
    </w:p>
    <w:p>
      <w:pPr>
        <w:spacing w:after="0" w:line="229" w:lineRule="exact"/>
        <w:rPr>
          <w:sz w:val="20"/>
          <w:szCs w:val="20"/>
          <w:color w:val="auto"/>
        </w:rPr>
      </w:pPr>
    </w:p>
    <w:p>
      <w:pPr>
        <w:ind w:left="73" w:right="40" w:firstLine="648"/>
        <w:spacing w:after="0" w:line="277" w:lineRule="auto"/>
        <w:rPr>
          <w:sz w:val="20"/>
          <w:szCs w:val="20"/>
          <w:color w:val="auto"/>
        </w:rPr>
      </w:pPr>
      <w:r>
        <w:rPr>
          <w:rFonts w:ascii="Arial" w:cs="Arial" w:eastAsia="Arial" w:hAnsi="Arial"/>
          <w:sz w:val="18"/>
          <w:szCs w:val="18"/>
          <w:color w:val="auto"/>
        </w:rPr>
        <w:t xml:space="preserve">A complete list of our officers, including the executive officers listed above, is available on our website at </w:t>
      </w:r>
      <w:r>
        <w:rPr>
          <w:rFonts w:ascii="Arial" w:cs="Arial" w:eastAsia="Arial" w:hAnsi="Arial"/>
          <w:sz w:val="18"/>
          <w:szCs w:val="18"/>
          <w:i w:val="1"/>
          <w:iCs w:val="1"/>
          <w:color w:val="auto"/>
        </w:rPr>
        <w:t>www.plainsallamerican.com</w:t>
      </w:r>
      <w:r>
        <w:rPr>
          <w:rFonts w:ascii="Arial" w:cs="Arial" w:eastAsia="Arial" w:hAnsi="Arial"/>
          <w:sz w:val="18"/>
          <w:szCs w:val="18"/>
          <w:color w:val="auto"/>
        </w:rPr>
        <w:t xml:space="preserve"> under About Us—Leadership.</w:t>
      </w:r>
    </w:p>
    <w:p>
      <w:pPr>
        <w:spacing w:after="0" w:line="193"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02" w:lineRule="exact"/>
        <w:rPr>
          <w:sz w:val="20"/>
          <w:szCs w:val="20"/>
          <w:color w:val="auto"/>
        </w:rPr>
      </w:pPr>
    </w:p>
    <w:p>
      <w:pPr>
        <w:ind w:left="73"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2020 Annual Meeting, which will be filed with the SEC within 120 days after the end of the fiscal year ended December 31, 2019, and is incorporated herein by reference thereto.</w:t>
      </w:r>
    </w:p>
    <w:p>
      <w:pPr>
        <w:spacing w:after="0" w:line="193"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Unitholder Matters</w:t>
      </w:r>
    </w:p>
    <w:p>
      <w:pPr>
        <w:spacing w:after="0" w:line="189" w:lineRule="exact"/>
        <w:rPr>
          <w:sz w:val="20"/>
          <w:szCs w:val="20"/>
          <w:color w:val="auto"/>
        </w:rPr>
      </w:pPr>
    </w:p>
    <w:p>
      <w:pPr>
        <w:ind w:left="73"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2020 Annual Meeting, which will be filed with the SEC within 120 days after the end of the fiscal year ended December 31, 2019,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2"/>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70485</wp:posOffset>
            </wp:positionV>
            <wp:extent cx="72720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33"/>
          </w:cols>
          <w:pgMar w:left="167" w:top="125" w:right="29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2020 Annual Meeting, which will be filed with the SEC within 120 days after the end of the fiscal year ended December 31, 2019, and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2020 Annual Meeting, which will be filed with the SEC within 120 days after the end of the fiscal year ended December 31, 2019,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52" w:lineRule="exact"/>
        <w:rPr>
          <w:sz w:val="20"/>
          <w:szCs w:val="20"/>
          <w:color w:val="auto"/>
        </w:rPr>
      </w:pPr>
    </w:p>
    <w:p>
      <w:pPr>
        <w:ind w:left="580" w:hanging="248"/>
        <w:spacing w:after="0"/>
        <w:tabs>
          <w:tab w:leader="none" w:pos="5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 </w:t>
      </w:r>
      <w:r>
        <w:rPr>
          <w:rFonts w:ascii="Arial" w:cs="Arial" w:eastAsia="Arial" w:hAnsi="Arial"/>
          <w:sz w:val="18"/>
          <w:szCs w:val="18"/>
          <w:i w:val="1"/>
          <w:iCs w:val="1"/>
          <w:color w:val="auto"/>
        </w:rPr>
        <w:t>Financial Statements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set forth on Page F-1.</w:t>
      </w:r>
    </w:p>
    <w:p>
      <w:pPr>
        <w:spacing w:after="0" w:line="252" w:lineRule="exact"/>
        <w:rPr>
          <w:sz w:val="20"/>
          <w:szCs w:val="20"/>
          <w:color w:val="auto"/>
        </w:rPr>
      </w:pPr>
    </w:p>
    <w:p>
      <w:pPr>
        <w:ind w:left="920" w:hanging="264"/>
        <w:spacing w:after="0"/>
        <w:tabs>
          <w:tab w:leader="none" w:pos="920" w:val="left"/>
        </w:tabs>
        <w:numPr>
          <w:ilvl w:val="0"/>
          <w:numId w:val="65"/>
        </w:numPr>
        <w:rPr>
          <w:rFonts w:ascii="Arial" w:cs="Arial" w:eastAsia="Arial" w:hAnsi="Arial"/>
          <w:sz w:val="18"/>
          <w:szCs w:val="18"/>
          <w:b w:val="1"/>
          <w:bCs w:val="1"/>
          <w:color w:val="auto"/>
        </w:rPr>
      </w:pPr>
      <w:r>
        <w:rPr>
          <w:rFonts w:ascii="Arial" w:cs="Arial" w:eastAsia="Arial" w:hAnsi="Arial"/>
          <w:sz w:val="18"/>
          <w:szCs w:val="18"/>
          <w:i w:val="1"/>
          <w:iCs w:val="1"/>
          <w:color w:val="auto"/>
        </w:rPr>
        <w:t>Financial Statement Schedules</w:t>
      </w:r>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All schedules are omitted because they are either not applicable or the required information is shown in the Consolidated Financial Statements or notes thereto.</w:t>
      </w:r>
    </w:p>
    <w:p>
      <w:pPr>
        <w:spacing w:after="0" w:line="197" w:lineRule="exact"/>
        <w:rPr>
          <w:sz w:val="20"/>
          <w:szCs w:val="20"/>
          <w:color w:val="auto"/>
        </w:rPr>
      </w:pPr>
    </w:p>
    <w:p>
      <w:pPr>
        <w:ind w:left="920" w:hanging="264"/>
        <w:spacing w:after="0"/>
        <w:tabs>
          <w:tab w:leader="none" w:pos="920" w:val="left"/>
        </w:tabs>
        <w:numPr>
          <w:ilvl w:val="0"/>
          <w:numId w:val="66"/>
        </w:numPr>
        <w:rPr>
          <w:rFonts w:ascii="Arial" w:cs="Arial" w:eastAsia="Arial" w:hAnsi="Arial"/>
          <w:sz w:val="18"/>
          <w:szCs w:val="18"/>
          <w:b w:val="1"/>
          <w:bCs w:val="1"/>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20" w:type="dxa"/>
            <w:vAlign w:val="bottom"/>
            <w:gridSpan w:val="20"/>
          </w:tcPr>
          <w:p>
            <w:pPr>
              <w:ind w:left="3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line="182" w:lineRule="exact"/>
              <w:rPr>
                <w:sz w:val="20"/>
                <w:szCs w:val="20"/>
                <w:color w:val="auto"/>
              </w:rPr>
            </w:pPr>
            <w:r>
              <w:rPr>
                <w:rFonts w:ascii="Arial" w:cs="Arial" w:eastAsia="Arial" w:hAnsi="Arial"/>
                <w:sz w:val="18"/>
                <w:szCs w:val="18"/>
                <w:color w:val="auto"/>
              </w:rPr>
              <w:t>2.1*</w:t>
            </w:r>
          </w:p>
        </w:tc>
        <w:tc>
          <w:tcPr>
            <w:tcW w:w="56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760" w:type="dxa"/>
            <w:vAlign w:val="bottom"/>
            <w:tcBorders>
              <w:bottom w:val="single" w:sz="8" w:color="0000FF"/>
            </w:tcBorders>
            <w:gridSpan w:val="11"/>
          </w:tcPr>
          <w:p>
            <w:pPr>
              <w:spacing w:after="0" w:line="170" w:lineRule="exact"/>
              <w:rPr>
                <w:rFonts w:ascii="Arial" w:cs="Arial" w:eastAsia="Arial" w:hAnsi="Arial"/>
                <w:sz w:val="18"/>
                <w:szCs w:val="18"/>
                <w:color w:val="0000FF"/>
                <w:w w:val="89"/>
              </w:rPr>
            </w:pPr>
            <w:hyperlink r:id="rId221">
              <w:r>
                <w:rPr>
                  <w:rFonts w:ascii="Arial" w:cs="Arial" w:eastAsia="Arial" w:hAnsi="Arial"/>
                  <w:sz w:val="18"/>
                  <w:szCs w:val="18"/>
                  <w:color w:val="0000FF"/>
                  <w:w w:val="89"/>
                </w:rPr>
                <w:t>Share Purchase Agreement dated December 1, 2011 by and among Amoco Canada International Holdings B.V. and Plains</w:t>
              </w:r>
            </w:hyperlink>
          </w:p>
        </w:tc>
        <w:tc>
          <w:tcPr>
            <w:tcW w:w="880" w:type="dxa"/>
            <w:vAlign w:val="bottom"/>
            <w:gridSpan w:val="13"/>
            <w:vMerge w:val="restart"/>
          </w:tcPr>
          <w:p>
            <w:pPr>
              <w:spacing w:after="0"/>
              <w:rPr>
                <w:rFonts w:ascii="Arial" w:cs="Arial" w:eastAsia="Arial" w:hAnsi="Arial"/>
                <w:sz w:val="18"/>
                <w:szCs w:val="18"/>
                <w:color w:val="0000FF"/>
                <w:w w:val="81"/>
              </w:rPr>
            </w:pPr>
            <w:hyperlink r:id="rId221">
              <w:r>
                <w:rPr>
                  <w:rFonts w:ascii="Arial" w:cs="Arial" w:eastAsia="Arial" w:hAnsi="Arial"/>
                  <w:sz w:val="18"/>
                  <w:szCs w:val="18"/>
                  <w:color w:val="0000FF"/>
                  <w:w w:val="81"/>
                </w:rPr>
                <w:t>(incorporated</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760" w:type="dxa"/>
            <w:vAlign w:val="bottom"/>
            <w:gridSpan w:val="11"/>
          </w:tcPr>
          <w:p>
            <w:pPr>
              <w:spacing w:after="0" w:line="156" w:lineRule="exact"/>
              <w:rPr>
                <w:rFonts w:ascii="Arial" w:cs="Arial" w:eastAsia="Arial" w:hAnsi="Arial"/>
                <w:sz w:val="18"/>
                <w:szCs w:val="18"/>
                <w:color w:val="0000FF"/>
                <w:w w:val="93"/>
              </w:rPr>
            </w:pPr>
            <w:hyperlink r:id="rId221">
              <w:r>
                <w:rPr>
                  <w:rFonts w:ascii="Arial" w:cs="Arial" w:eastAsia="Arial" w:hAnsi="Arial"/>
                  <w:sz w:val="18"/>
                  <w:szCs w:val="18"/>
                  <w:color w:val="0000FF"/>
                  <w:w w:val="93"/>
                </w:rPr>
                <w:t>Midstream Canada ULC (the schedules and exhibits have been omitted pursuant to Item 601(b)(2) of Regulation S-K)</w:t>
              </w:r>
            </w:hyperlink>
          </w:p>
        </w:tc>
        <w:tc>
          <w:tcPr>
            <w:tcW w:w="880" w:type="dxa"/>
            <w:vAlign w:val="bottom"/>
            <w:gridSpan w:val="1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by reference to Exhibit 2.1 to our Annual Report on Form 10-K for the year ended December 31,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tcBorders>
              <w:right w:val="single" w:sz="8" w:color="0000FF"/>
            </w:tcBorders>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2.2</w:t>
            </w:r>
          </w:p>
        </w:tc>
        <w:tc>
          <w:tcPr>
            <w:tcW w:w="10240" w:type="dxa"/>
            <w:vAlign w:val="bottom"/>
            <w:gridSpan w:val="26"/>
          </w:tcPr>
          <w:p>
            <w:pPr>
              <w:ind w:left="12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222">
              <w:r>
                <w:rPr>
                  <w:rFonts w:ascii="Arial" w:cs="Arial" w:eastAsia="Arial" w:hAnsi="Arial"/>
                  <w:sz w:val="18"/>
                  <w:szCs w:val="18"/>
                  <w:color w:val="0000FF"/>
                  <w:w w:val="96"/>
                </w:rPr>
                <w:t>Agreement and Plan of Merger dated as of October 21, 2013, by and among Plains All American Pipeline, L.P., PAA Acquisition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40" w:type="dxa"/>
            <w:vAlign w:val="bottom"/>
            <w:gridSpan w:val="24"/>
          </w:tcPr>
          <w:p>
            <w:pPr>
              <w:spacing w:after="0" w:line="156" w:lineRule="exact"/>
              <w:rPr>
                <w:rFonts w:ascii="Arial" w:cs="Arial" w:eastAsia="Arial" w:hAnsi="Arial"/>
                <w:sz w:val="18"/>
                <w:szCs w:val="18"/>
                <w:color w:val="0000FF"/>
                <w:w w:val="93"/>
              </w:rPr>
            </w:pPr>
            <w:hyperlink r:id="rId222">
              <w:r>
                <w:rPr>
                  <w:rFonts w:ascii="Arial" w:cs="Arial" w:eastAsia="Arial" w:hAnsi="Arial"/>
                  <w:sz w:val="18"/>
                  <w:szCs w:val="18"/>
                  <w:color w:val="0000FF"/>
                  <w:w w:val="93"/>
                </w:rPr>
                <w:t>Company LLC, PAA Natural Gas Storage, L.P. and PNGS GP LLC (incorporated by reference to Exhibit 2.1 to our Current Report</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7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222">
              <w:r>
                <w:rPr>
                  <w:rFonts w:ascii="Arial" w:cs="Arial" w:eastAsia="Arial" w:hAnsi="Arial"/>
                  <w:sz w:val="18"/>
                  <w:szCs w:val="18"/>
                  <w:color w:val="0000FF"/>
                  <w:w w:val="91"/>
                </w:rPr>
                <w:t>on Form 8-K filed October 24, 2013).</w:t>
              </w:r>
            </w:hyperlink>
          </w:p>
        </w:tc>
        <w:tc>
          <w:tcPr>
            <w:tcW w:w="6720" w:type="dxa"/>
            <w:vAlign w:val="bottom"/>
            <w:tcBorders>
              <w:top w:val="single" w:sz="8" w:color="0000FF"/>
            </w:tcBorders>
            <w:gridSpan w:val="16"/>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2.3**</w:t>
            </w:r>
          </w:p>
        </w:tc>
        <w:tc>
          <w:tcPr>
            <w:tcW w:w="10240" w:type="dxa"/>
            <w:vAlign w:val="bottom"/>
            <w:gridSpan w:val="26"/>
          </w:tcPr>
          <w:p>
            <w:pPr>
              <w:ind w:left="12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223">
              <w:r>
                <w:rPr>
                  <w:rFonts w:ascii="Arial" w:cs="Arial" w:eastAsia="Arial" w:hAnsi="Arial"/>
                  <w:sz w:val="18"/>
                  <w:szCs w:val="18"/>
                  <w:color w:val="0000FF"/>
                  <w:w w:val="97"/>
                </w:rPr>
                <w:t>Simplification Agreement dated as of July 11, 2016, by and among PAA GP Holdings LLC, Plains GP Holdings, L.P., Plains All</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6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r:id="rId223">
              <w:r>
                <w:rPr>
                  <w:rFonts w:ascii="Arial" w:cs="Arial" w:eastAsia="Arial" w:hAnsi="Arial"/>
                  <w:sz w:val="18"/>
                  <w:szCs w:val="18"/>
                  <w:color w:val="0000FF"/>
                  <w:w w:val="92"/>
                </w:rPr>
                <w:t>American GP LLC, Plains AAP, L.P., PAA GP LLC and Plains All American Pipeline, L.P. (incorporated by reference to Exhibit</w:t>
              </w:r>
            </w:hyperlink>
          </w:p>
        </w:tc>
        <w:tc>
          <w:tcPr>
            <w:tcW w:w="380" w:type="dxa"/>
            <w:vAlign w:val="bottom"/>
            <w:gridSpan w:val="7"/>
          </w:tcPr>
          <w:p>
            <w:pPr>
              <w:jc w:val="right"/>
              <w:ind w:right="100"/>
              <w:spacing w:after="0" w:line="156" w:lineRule="exact"/>
              <w:rPr>
                <w:rFonts w:ascii="Arial" w:cs="Arial" w:eastAsia="Arial" w:hAnsi="Arial"/>
                <w:sz w:val="18"/>
                <w:szCs w:val="18"/>
                <w:color w:val="0000FF"/>
              </w:rPr>
            </w:pPr>
            <w:hyperlink r:id="rId223">
              <w:r>
                <w:rPr>
                  <w:rFonts w:ascii="Arial" w:cs="Arial" w:eastAsia="Arial" w:hAnsi="Arial"/>
                  <w:sz w:val="18"/>
                  <w:szCs w:val="18"/>
                  <w:color w:val="0000FF"/>
                </w:rPr>
                <w:t>2.1</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223">
              <w:r>
                <w:rPr>
                  <w:rFonts w:ascii="Arial" w:cs="Arial" w:eastAsia="Arial" w:hAnsi="Arial"/>
                  <w:sz w:val="18"/>
                  <w:szCs w:val="18"/>
                  <w:color w:val="0000FF"/>
                  <w:w w:val="91"/>
                </w:rPr>
                <w:t>to our Current Report on Form 8-K filed July 14, 2016).</w:t>
              </w:r>
            </w:hyperlink>
          </w:p>
        </w:tc>
        <w:tc>
          <w:tcPr>
            <w:tcW w:w="5520" w:type="dxa"/>
            <w:vAlign w:val="bottom"/>
            <w:tcBorders>
              <w:top w:val="single" w:sz="8" w:color="0000FF"/>
            </w:tcBorders>
            <w:gridSpan w:val="18"/>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2.4**</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300" w:type="dxa"/>
            <w:vAlign w:val="bottom"/>
            <w:tcBorders>
              <w:bottom w:val="single" w:sz="8" w:color="0000FF"/>
            </w:tcBorders>
            <w:gridSpan w:val="18"/>
          </w:tcPr>
          <w:p>
            <w:pPr>
              <w:spacing w:after="0"/>
              <w:rPr>
                <w:rFonts w:ascii="Arial" w:cs="Arial" w:eastAsia="Arial" w:hAnsi="Arial"/>
                <w:sz w:val="18"/>
                <w:szCs w:val="18"/>
                <w:color w:val="0000FF"/>
                <w:w w:val="89"/>
              </w:rPr>
            </w:pPr>
            <w:hyperlink r:id="rId224">
              <w:r>
                <w:rPr>
                  <w:rFonts w:ascii="Arial" w:cs="Arial" w:eastAsia="Arial" w:hAnsi="Arial"/>
                  <w:sz w:val="18"/>
                  <w:szCs w:val="18"/>
                  <w:color w:val="0000FF"/>
                  <w:w w:val="89"/>
                </w:rPr>
                <w:t>Securities Purchase Agreement dated as of January 19, 2017 by and between COG Operating LLC, as seller, and Plains Pipeline,</w:t>
              </w:r>
            </w:hyperlink>
          </w:p>
        </w:tc>
        <w:tc>
          <w:tcPr>
            <w:tcW w:w="220" w:type="dxa"/>
            <w:vAlign w:val="bottom"/>
            <w:gridSpan w:val="3"/>
          </w:tcPr>
          <w:p>
            <w:pPr>
              <w:spacing w:after="0"/>
              <w:rPr>
                <w:sz w:val="24"/>
                <w:szCs w:val="24"/>
                <w:color w:val="auto"/>
              </w:rPr>
            </w:pP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300" w:type="dxa"/>
            <w:vAlign w:val="bottom"/>
            <w:gridSpan w:val="18"/>
          </w:tcPr>
          <w:p>
            <w:pPr>
              <w:spacing w:after="0" w:line="156" w:lineRule="exact"/>
              <w:rPr>
                <w:rFonts w:ascii="Arial" w:cs="Arial" w:eastAsia="Arial" w:hAnsi="Arial"/>
                <w:sz w:val="18"/>
                <w:szCs w:val="18"/>
                <w:color w:val="0000FF"/>
                <w:w w:val="90"/>
              </w:rPr>
            </w:pPr>
            <w:hyperlink r:id="rId224">
              <w:r>
                <w:rPr>
                  <w:rFonts w:ascii="Arial" w:cs="Arial" w:eastAsia="Arial" w:hAnsi="Arial"/>
                  <w:sz w:val="18"/>
                  <w:szCs w:val="18"/>
                  <w:color w:val="0000FF"/>
                  <w:w w:val="90"/>
                </w:rPr>
                <w:t>L.P., as purchaser (the schedules and exhibits have been omitted pursuant to Item 601(b)(2) of Regulation S-K) (incorporated by</w:t>
              </w:r>
            </w:hyperlink>
          </w:p>
        </w:tc>
        <w:tc>
          <w:tcPr>
            <w:tcW w:w="22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3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224">
              <w:r>
                <w:rPr>
                  <w:rFonts w:ascii="Arial" w:cs="Arial" w:eastAsia="Arial" w:hAnsi="Arial"/>
                  <w:sz w:val="18"/>
                  <w:szCs w:val="18"/>
                  <w:color w:val="0000FF"/>
                  <w:w w:val="90"/>
                </w:rPr>
                <w:t>reference to Exhibit 2.1 to our Quarterly Report on Form 10-Q for the quarter ended March 31, 2017).</w:t>
              </w:r>
            </w:hyperlink>
          </w:p>
        </w:tc>
        <w:tc>
          <w:tcPr>
            <w:tcW w:w="18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2.5**</w:t>
            </w:r>
          </w:p>
        </w:tc>
        <w:tc>
          <w:tcPr>
            <w:tcW w:w="10240" w:type="dxa"/>
            <w:vAlign w:val="bottom"/>
            <w:gridSpan w:val="26"/>
          </w:tcPr>
          <w:p>
            <w:pPr>
              <w:ind w:left="12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225">
              <w:r>
                <w:rPr>
                  <w:rFonts w:ascii="Arial" w:cs="Arial" w:eastAsia="Arial" w:hAnsi="Arial"/>
                  <w:sz w:val="18"/>
                  <w:szCs w:val="18"/>
                  <w:color w:val="0000FF"/>
                  <w:w w:val="96"/>
                </w:rPr>
                <w:t>Securities Purchase Agreement dated as of January 19, 2017 by and between Frontier Midstream Solutions, LLC, as seller, and</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1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9"/>
              </w:rPr>
            </w:pPr>
            <w:hyperlink r:id="rId225">
              <w:r>
                <w:rPr>
                  <w:rFonts w:ascii="Arial" w:cs="Arial" w:eastAsia="Arial" w:hAnsi="Arial"/>
                  <w:sz w:val="18"/>
                  <w:szCs w:val="18"/>
                  <w:color w:val="0000FF"/>
                  <w:w w:val="89"/>
                </w:rPr>
                <w:t>Plains Pipeline, L.P., as purchaser (the schedules and exhibits have been omitted pursuant to Item 601(b)(2) of Regulation S-K)</w:t>
              </w:r>
            </w:hyperlink>
          </w:p>
        </w:tc>
        <w:tc>
          <w:tcPr>
            <w:tcW w:w="20" w:type="dxa"/>
            <w:vAlign w:val="bottom"/>
            <w:tcBorders>
              <w:bottom w:val="single" w:sz="8" w:color="0000FF"/>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28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580" w:type="dxa"/>
            <w:vAlign w:val="bottom"/>
            <w:tcBorders>
              <w:bottom w:val="single" w:sz="8" w:color="0000FF"/>
            </w:tcBorders>
            <w:gridSpan w:val="8"/>
          </w:tcPr>
          <w:p>
            <w:pPr>
              <w:spacing w:after="0" w:line="156" w:lineRule="exact"/>
              <w:rPr>
                <w:rFonts w:ascii="Arial" w:cs="Arial" w:eastAsia="Arial" w:hAnsi="Arial"/>
                <w:sz w:val="18"/>
                <w:szCs w:val="18"/>
                <w:color w:val="0000FF"/>
                <w:w w:val="91"/>
              </w:rPr>
            </w:pPr>
            <w:hyperlink r:id="rId225">
              <w:r>
                <w:rPr>
                  <w:rFonts w:ascii="Arial" w:cs="Arial" w:eastAsia="Arial" w:hAnsi="Arial"/>
                  <w:sz w:val="18"/>
                  <w:szCs w:val="18"/>
                  <w:color w:val="0000FF"/>
                  <w:w w:val="91"/>
                </w:rPr>
                <w:t>(incorporated by reference to Exhibit 2.2 to our Quarterly Report on Form 10-Q for the quarter ended March 31, 2017).</w:t>
              </w:r>
            </w:hyperlink>
          </w:p>
        </w:tc>
        <w:tc>
          <w:tcPr>
            <w:tcW w:w="560" w:type="dxa"/>
            <w:vAlign w:val="bottom"/>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28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3.1</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40" w:type="dxa"/>
            <w:vAlign w:val="bottom"/>
            <w:tcBorders>
              <w:bottom w:val="single" w:sz="8" w:color="0000FF"/>
            </w:tcBorders>
            <w:gridSpan w:val="16"/>
          </w:tcPr>
          <w:p>
            <w:pPr>
              <w:spacing w:after="0"/>
              <w:rPr>
                <w:rFonts w:ascii="Arial" w:cs="Arial" w:eastAsia="Arial" w:hAnsi="Arial"/>
                <w:sz w:val="18"/>
                <w:szCs w:val="18"/>
                <w:color w:val="0000FF"/>
                <w:w w:val="90"/>
              </w:rPr>
            </w:pPr>
            <w:hyperlink r:id="rId226">
              <w:r>
                <w:rPr>
                  <w:rFonts w:ascii="Arial" w:cs="Arial" w:eastAsia="Arial" w:hAnsi="Arial"/>
                  <w:sz w:val="18"/>
                  <w:szCs w:val="18"/>
                  <w:color w:val="0000FF"/>
                  <w:w w:val="90"/>
                </w:rPr>
                <w:t>Seventh Amended and Restated Agreement of Limited Partnership of Plains All American Pipeline, L.P. dated as of October 10,</w:t>
              </w:r>
            </w:hyperlink>
          </w:p>
        </w:tc>
        <w:tc>
          <w:tcPr>
            <w:tcW w:w="280" w:type="dxa"/>
            <w:vAlign w:val="bottom"/>
            <w:gridSpan w:val="5"/>
          </w:tcPr>
          <w:p>
            <w:pPr>
              <w:spacing w:after="0"/>
              <w:rPr>
                <w:sz w:val="24"/>
                <w:szCs w:val="24"/>
                <w:color w:val="auto"/>
              </w:rPr>
            </w:pP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40" w:type="dxa"/>
            <w:vAlign w:val="bottom"/>
            <w:gridSpan w:val="16"/>
          </w:tcPr>
          <w:p>
            <w:pPr>
              <w:spacing w:after="0" w:line="156" w:lineRule="exact"/>
              <w:rPr>
                <w:rFonts w:ascii="Arial" w:cs="Arial" w:eastAsia="Arial" w:hAnsi="Arial"/>
                <w:sz w:val="18"/>
                <w:szCs w:val="18"/>
                <w:color w:val="0000FF"/>
              </w:rPr>
            </w:pPr>
            <w:hyperlink r:id="rId226">
              <w:r>
                <w:rPr>
                  <w:rFonts w:ascii="Arial" w:cs="Arial" w:eastAsia="Arial" w:hAnsi="Arial"/>
                  <w:sz w:val="18"/>
                  <w:szCs w:val="18"/>
                  <w:color w:val="0000FF"/>
                </w:rPr>
                <w:t>2017 (incorporated by reference to Exhibit 3.1 to our Current Report on Form 8-K filed October 12, 2017).</w:t>
              </w:r>
            </w:hyperlink>
          </w:p>
        </w:tc>
        <w:tc>
          <w:tcPr>
            <w:tcW w:w="28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tcBorders>
              <w:right w:val="single" w:sz="8" w:color="0000FF"/>
            </w:tcBorders>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20" w:type="dxa"/>
            <w:vAlign w:val="bottom"/>
            <w:gridSpan w:val="5"/>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3.2</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520" w:type="dxa"/>
            <w:vAlign w:val="bottom"/>
            <w:tcBorders>
              <w:bottom w:val="single" w:sz="8" w:color="0000FF"/>
            </w:tcBorders>
            <w:gridSpan w:val="21"/>
          </w:tcPr>
          <w:p>
            <w:pPr>
              <w:spacing w:after="0"/>
              <w:rPr>
                <w:rFonts w:ascii="Arial" w:cs="Arial" w:eastAsia="Arial" w:hAnsi="Arial"/>
                <w:sz w:val="18"/>
                <w:szCs w:val="18"/>
                <w:color w:val="0000FF"/>
                <w:w w:val="91"/>
              </w:rPr>
            </w:pPr>
            <w:hyperlink r:id="rId227">
              <w:r>
                <w:rPr>
                  <w:rFonts w:ascii="Arial" w:cs="Arial" w:eastAsia="Arial" w:hAnsi="Arial"/>
                  <w:sz w:val="18"/>
                  <w:szCs w:val="18"/>
                  <w:color w:val="0000FF"/>
                  <w:w w:val="91"/>
                </w:rPr>
                <w:t>Third Amended and Restated Agreement of Limited Partnership of Plains Marketing, L.P. dated as of April 1, 2004 (incorporated by</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340" w:type="dxa"/>
            <w:vAlign w:val="bottom"/>
            <w:tcBorders>
              <w:bottom w:val="single" w:sz="8" w:color="0000FF"/>
            </w:tcBorders>
            <w:gridSpan w:val="5"/>
          </w:tcPr>
          <w:p>
            <w:pPr>
              <w:spacing w:after="0" w:line="156" w:lineRule="exact"/>
              <w:rPr>
                <w:rFonts w:ascii="Arial" w:cs="Arial" w:eastAsia="Arial" w:hAnsi="Arial"/>
                <w:sz w:val="18"/>
                <w:szCs w:val="18"/>
                <w:color w:val="0000FF"/>
                <w:w w:val="90"/>
              </w:rPr>
            </w:pPr>
            <w:hyperlink r:id="rId227">
              <w:r>
                <w:rPr>
                  <w:rFonts w:ascii="Arial" w:cs="Arial" w:eastAsia="Arial" w:hAnsi="Arial"/>
                  <w:sz w:val="18"/>
                  <w:szCs w:val="18"/>
                  <w:color w:val="0000FF"/>
                  <w:w w:val="90"/>
                </w:rPr>
                <w:t>reference to Exhibit 3.2 to our Quarterly Report on Form 10-Q for the quarter ended March 31, 2004).</w:t>
              </w:r>
            </w:hyperlink>
          </w:p>
        </w:tc>
        <w:tc>
          <w:tcPr>
            <w:tcW w:w="2180" w:type="dxa"/>
            <w:vAlign w:val="bottom"/>
            <w:gridSpan w:val="16"/>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3.3</w:t>
            </w:r>
          </w:p>
        </w:tc>
        <w:tc>
          <w:tcPr>
            <w:tcW w:w="10240" w:type="dxa"/>
            <w:vAlign w:val="bottom"/>
            <w:gridSpan w:val="26"/>
          </w:tcPr>
          <w:p>
            <w:pPr>
              <w:ind w:left="12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228">
              <w:r>
                <w:rPr>
                  <w:rFonts w:ascii="Arial" w:cs="Arial" w:eastAsia="Arial" w:hAnsi="Arial"/>
                  <w:sz w:val="18"/>
                  <w:szCs w:val="18"/>
                  <w:color w:val="0000FF"/>
                  <w:w w:val="98"/>
                </w:rPr>
                <w:t>Amendment No. 1 dated December 31, 2010 to the Third Amended and Restated Agreement of Limited Partnership of Plains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14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40" w:type="dxa"/>
            <w:vAlign w:val="bottom"/>
            <w:gridSpan w:val="24"/>
          </w:tcPr>
          <w:p>
            <w:pPr>
              <w:spacing w:after="0" w:line="156" w:lineRule="exact"/>
              <w:rPr>
                <w:rFonts w:ascii="Arial" w:cs="Arial" w:eastAsia="Arial" w:hAnsi="Arial"/>
                <w:sz w:val="18"/>
                <w:szCs w:val="18"/>
                <w:color w:val="0000FF"/>
                <w:w w:val="96"/>
              </w:rPr>
            </w:pPr>
            <w:hyperlink r:id="rId228">
              <w:r>
                <w:rPr>
                  <w:rFonts w:ascii="Arial" w:cs="Arial" w:eastAsia="Arial" w:hAnsi="Arial"/>
                  <w:sz w:val="18"/>
                  <w:szCs w:val="18"/>
                  <w:color w:val="0000FF"/>
                  <w:w w:val="96"/>
                </w:rPr>
                <w:t>Marketing, L.P. (incorporated by reference to Exhibit 3.9 to our Annual Report on Form 10-K for the year ended December 31,</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228">
              <w:r>
                <w:rPr>
                  <w:rFonts w:ascii="Arial" w:cs="Arial" w:eastAsia="Arial" w:hAnsi="Arial"/>
                  <w:sz w:val="18"/>
                  <w:szCs w:val="18"/>
                  <w:color w:val="0000FF"/>
                  <w:w w:val="86"/>
                </w:rPr>
                <w:t>2010).</w:t>
              </w:r>
            </w:hyperlink>
          </w:p>
        </w:tc>
        <w:tc>
          <w:tcPr>
            <w:tcW w:w="224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3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3.4</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740" w:type="dxa"/>
            <w:vAlign w:val="bottom"/>
            <w:tcBorders>
              <w:bottom w:val="single" w:sz="8" w:color="0000FF"/>
            </w:tcBorders>
            <w:gridSpan w:val="10"/>
          </w:tcPr>
          <w:p>
            <w:pPr>
              <w:spacing w:after="0"/>
              <w:rPr>
                <w:rFonts w:ascii="Arial" w:cs="Arial" w:eastAsia="Arial" w:hAnsi="Arial"/>
                <w:sz w:val="18"/>
                <w:szCs w:val="18"/>
                <w:color w:val="0000FF"/>
                <w:w w:val="90"/>
              </w:rPr>
            </w:pPr>
            <w:hyperlink r:id="rId229">
              <w:r>
                <w:rPr>
                  <w:rFonts w:ascii="Arial" w:cs="Arial" w:eastAsia="Arial" w:hAnsi="Arial"/>
                  <w:sz w:val="18"/>
                  <w:szCs w:val="18"/>
                  <w:color w:val="0000FF"/>
                  <w:w w:val="90"/>
                </w:rPr>
                <w:t>Amendment No. 2 dated January 1, 2011 to the Third Amended and Restated Agreement of Limited Partnership of Plains</w:t>
              </w:r>
            </w:hyperlink>
          </w:p>
        </w:tc>
        <w:tc>
          <w:tcPr>
            <w:tcW w:w="380" w:type="dxa"/>
            <w:vAlign w:val="bottom"/>
            <w:gridSpan w:val="3"/>
          </w:tcPr>
          <w:p>
            <w:pPr>
              <w:spacing w:after="0"/>
              <w:rPr>
                <w:sz w:val="24"/>
                <w:szCs w:val="24"/>
                <w:color w:val="auto"/>
              </w:rPr>
            </w:pPr>
          </w:p>
        </w:tc>
        <w:tc>
          <w:tcPr>
            <w:tcW w:w="120" w:type="dxa"/>
            <w:vAlign w:val="bottom"/>
            <w:gridSpan w:val="3"/>
          </w:tcPr>
          <w:p>
            <w:pPr>
              <w:spacing w:after="0"/>
              <w:rPr>
                <w:sz w:val="24"/>
                <w:szCs w:val="24"/>
                <w:color w:val="auto"/>
              </w:rPr>
            </w:pPr>
          </w:p>
        </w:tc>
        <w:tc>
          <w:tcPr>
            <w:tcW w:w="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40" w:type="dxa"/>
            <w:vAlign w:val="bottom"/>
            <w:gridSpan w:val="24"/>
          </w:tcPr>
          <w:p>
            <w:pPr>
              <w:spacing w:after="0" w:line="156" w:lineRule="exact"/>
              <w:rPr>
                <w:rFonts w:ascii="Arial" w:cs="Arial" w:eastAsia="Arial" w:hAnsi="Arial"/>
                <w:sz w:val="18"/>
                <w:szCs w:val="18"/>
                <w:color w:val="0000FF"/>
                <w:w w:val="95"/>
              </w:rPr>
            </w:pPr>
            <w:hyperlink r:id="rId229">
              <w:r>
                <w:rPr>
                  <w:rFonts w:ascii="Arial" w:cs="Arial" w:eastAsia="Arial" w:hAnsi="Arial"/>
                  <w:sz w:val="18"/>
                  <w:szCs w:val="18"/>
                  <w:color w:val="0000FF"/>
                  <w:w w:val="95"/>
                </w:rPr>
                <w:t>Marketing, L.P. (incorporated by reference to Exhibit 3.10 to our Annual Report on Form 10-K for the year ended December 31,</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229">
              <w:r>
                <w:rPr>
                  <w:rFonts w:ascii="Arial" w:cs="Arial" w:eastAsia="Arial" w:hAnsi="Arial"/>
                  <w:sz w:val="18"/>
                  <w:szCs w:val="18"/>
                  <w:color w:val="0000FF"/>
                  <w:w w:val="86"/>
                </w:rPr>
                <w:t>2010).</w:t>
              </w:r>
            </w:hyperlink>
          </w:p>
        </w:tc>
        <w:tc>
          <w:tcPr>
            <w:tcW w:w="224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3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3.5</w:t>
            </w:r>
          </w:p>
        </w:tc>
        <w:tc>
          <w:tcPr>
            <w:tcW w:w="10240" w:type="dxa"/>
            <w:vAlign w:val="bottom"/>
            <w:gridSpan w:val="26"/>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230">
              <w:r>
                <w:rPr>
                  <w:rFonts w:ascii="Arial" w:cs="Arial" w:eastAsia="Arial" w:hAnsi="Arial"/>
                  <w:sz w:val="18"/>
                  <w:szCs w:val="18"/>
                  <w:color w:val="0000FF"/>
                </w:rPr>
                <w:t>Amendment No. 3 dated June 30, 2011 to the Third Amended and Restated Agreement of Limited Partnership of Plains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160" w:type="dxa"/>
            <w:vAlign w:val="bottom"/>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40" w:type="dxa"/>
            <w:vAlign w:val="bottom"/>
            <w:gridSpan w:val="24"/>
          </w:tcPr>
          <w:p>
            <w:pPr>
              <w:spacing w:after="0" w:line="156" w:lineRule="exact"/>
              <w:rPr>
                <w:rFonts w:ascii="Arial" w:cs="Arial" w:eastAsia="Arial" w:hAnsi="Arial"/>
                <w:sz w:val="18"/>
                <w:szCs w:val="18"/>
                <w:color w:val="0000FF"/>
                <w:w w:val="96"/>
              </w:rPr>
            </w:pPr>
            <w:hyperlink r:id="rId230">
              <w:r>
                <w:rPr>
                  <w:rFonts w:ascii="Arial" w:cs="Arial" w:eastAsia="Arial" w:hAnsi="Arial"/>
                  <w:sz w:val="18"/>
                  <w:szCs w:val="18"/>
                  <w:color w:val="0000FF"/>
                  <w:w w:val="96"/>
                </w:rPr>
                <w:t>Marketing, L.P. (incorporated by reference to Exhibit 3.7 to our Annual Report on Form 10-K for the year ended December 31,</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230">
              <w:r>
                <w:rPr>
                  <w:rFonts w:ascii="Arial" w:cs="Arial" w:eastAsia="Arial" w:hAnsi="Arial"/>
                  <w:sz w:val="18"/>
                  <w:szCs w:val="18"/>
                  <w:color w:val="0000FF"/>
                  <w:w w:val="86"/>
                </w:rPr>
                <w:t>2013).</w:t>
              </w:r>
            </w:hyperlink>
          </w:p>
        </w:tc>
        <w:tc>
          <w:tcPr>
            <w:tcW w:w="224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3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3.6</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740" w:type="dxa"/>
            <w:vAlign w:val="bottom"/>
            <w:tcBorders>
              <w:bottom w:val="single" w:sz="8" w:color="0000FF"/>
            </w:tcBorders>
            <w:gridSpan w:val="10"/>
          </w:tcPr>
          <w:p>
            <w:pPr>
              <w:spacing w:after="0"/>
              <w:rPr>
                <w:rFonts w:ascii="Arial" w:cs="Arial" w:eastAsia="Arial" w:hAnsi="Arial"/>
                <w:sz w:val="18"/>
                <w:szCs w:val="18"/>
                <w:color w:val="0000FF"/>
                <w:w w:val="90"/>
              </w:rPr>
            </w:pPr>
            <w:hyperlink r:id="rId231">
              <w:r>
                <w:rPr>
                  <w:rFonts w:ascii="Arial" w:cs="Arial" w:eastAsia="Arial" w:hAnsi="Arial"/>
                  <w:sz w:val="18"/>
                  <w:szCs w:val="18"/>
                  <w:color w:val="0000FF"/>
                  <w:w w:val="90"/>
                </w:rPr>
                <w:t>Amendment No. 4 dated January 1, 2013 to the Third Amended and Restated Agreement of Limited Partnership of Plains</w:t>
              </w:r>
            </w:hyperlink>
          </w:p>
        </w:tc>
        <w:tc>
          <w:tcPr>
            <w:tcW w:w="900" w:type="dxa"/>
            <w:vAlign w:val="bottom"/>
            <w:gridSpan w:val="14"/>
            <w:vMerge w:val="restart"/>
          </w:tcPr>
          <w:p>
            <w:pPr>
              <w:jc w:val="right"/>
              <w:ind w:right="520"/>
              <w:spacing w:after="0"/>
              <w:rPr>
                <w:rFonts w:ascii="Arial" w:cs="Arial" w:eastAsia="Arial" w:hAnsi="Arial"/>
                <w:sz w:val="18"/>
                <w:szCs w:val="18"/>
                <w:color w:val="0000FF"/>
              </w:rPr>
            </w:pPr>
            <w:hyperlink r:id="rId231">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740" w:type="dxa"/>
            <w:vAlign w:val="bottom"/>
            <w:gridSpan w:val="10"/>
          </w:tcPr>
          <w:p>
            <w:pPr>
              <w:spacing w:after="0" w:line="156" w:lineRule="exact"/>
              <w:rPr>
                <w:rFonts w:ascii="Arial" w:cs="Arial" w:eastAsia="Arial" w:hAnsi="Arial"/>
                <w:sz w:val="18"/>
                <w:szCs w:val="18"/>
                <w:color w:val="0000FF"/>
                <w:w w:val="90"/>
              </w:rPr>
            </w:pPr>
            <w:hyperlink r:id="rId231">
              <w:r>
                <w:rPr>
                  <w:rFonts w:ascii="Arial" w:cs="Arial" w:eastAsia="Arial" w:hAnsi="Arial"/>
                  <w:sz w:val="18"/>
                  <w:szCs w:val="18"/>
                  <w:color w:val="0000FF"/>
                  <w:w w:val="90"/>
                </w:rPr>
                <w:t>Marketing, L.P (incorporated by reference to Exhibit 3.8 to our Annual Report on Form 10-K for the year ended December</w:t>
              </w:r>
            </w:hyperlink>
          </w:p>
        </w:tc>
        <w:tc>
          <w:tcPr>
            <w:tcW w:w="900" w:type="dxa"/>
            <w:vAlign w:val="bottom"/>
            <w:gridSpan w:val="1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460" w:type="dxa"/>
            <w:vAlign w:val="bottom"/>
            <w:tcBorders>
              <w:top w:val="single" w:sz="8" w:color="0000FF"/>
            </w:tcBorders>
            <w:gridSpan w:val="2"/>
          </w:tcPr>
          <w:p>
            <w:pPr>
              <w:spacing w:after="0" w:line="156" w:lineRule="exact"/>
              <w:rPr>
                <w:rFonts w:ascii="Arial" w:cs="Arial" w:eastAsia="Arial" w:hAnsi="Arial"/>
                <w:sz w:val="18"/>
                <w:szCs w:val="18"/>
                <w:color w:val="0000FF"/>
                <w:w w:val="86"/>
              </w:rPr>
            </w:pPr>
            <w:hyperlink r:id="rId231">
              <w:r>
                <w:rPr>
                  <w:rFonts w:ascii="Arial" w:cs="Arial" w:eastAsia="Arial" w:hAnsi="Arial"/>
                  <w:sz w:val="18"/>
                  <w:szCs w:val="18"/>
                  <w:color w:val="0000FF"/>
                  <w:w w:val="86"/>
                </w:rPr>
                <w:t>2013).</w:t>
              </w:r>
            </w:hyperlink>
          </w:p>
        </w:tc>
        <w:tc>
          <w:tcPr>
            <w:tcW w:w="224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3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8"/>
        </w:trPr>
        <w:tc>
          <w:tcPr>
            <w:tcW w:w="118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900" w:type="dxa"/>
            <w:vAlign w:val="bottom"/>
            <w:gridSpan w:val="4"/>
          </w:tcPr>
          <w:p>
            <w:pPr>
              <w:jc w:val="right"/>
              <w:ind w:right="319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FF"/>
                <w:w w:val="90"/>
              </w:rPr>
            </w:pPr>
            <w:hyperlink w:anchor="page1">
              <w:r>
                <w:rPr>
                  <w:rFonts w:ascii="Arial" w:cs="Arial" w:eastAsia="Arial" w:hAnsi="Arial"/>
                  <w:sz w:val="18"/>
                  <w:szCs w:val="18"/>
                  <w:color w:val="0000FF"/>
                  <w:w w:val="90"/>
                </w:rPr>
                <w:t>Table of Contents</w:t>
              </w:r>
            </w:hyperlink>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98"/>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3.7 †</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w:anchor="page196">
              <w:r>
                <w:rPr>
                  <w:rFonts w:ascii="Arial" w:cs="Arial" w:eastAsia="Arial" w:hAnsi="Arial"/>
                  <w:sz w:val="18"/>
                  <w:szCs w:val="18"/>
                  <w:color w:val="0000FF"/>
                  <w:w w:val="98"/>
                </w:rPr>
                <w:t>Amendment No. 5 dated December 1, 2019 to the Third Amended and Restated Agreement of Limited Partnership of Plains</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196">
              <w:r>
                <w:rPr>
                  <w:rFonts w:ascii="Arial" w:cs="Arial" w:eastAsia="Arial" w:hAnsi="Arial"/>
                  <w:sz w:val="18"/>
                  <w:szCs w:val="18"/>
                  <w:color w:val="0000FF"/>
                  <w:w w:val="90"/>
                </w:rPr>
                <w:t>Marketing, L.P.</w:t>
              </w:r>
            </w:hyperlink>
          </w:p>
        </w:tc>
        <w:tc>
          <w:tcPr>
            <w:tcW w:w="7820" w:type="dxa"/>
            <w:vAlign w:val="bottom"/>
            <w:tcBorders>
              <w:top w:val="single" w:sz="8" w:color="0000FF"/>
            </w:tcBorders>
            <w:gridSpan w:val="15"/>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420" w:type="dxa"/>
            <w:vAlign w:val="bottom"/>
            <w:tcBorders>
              <w:bottom w:val="single" w:sz="8" w:color="0000FF"/>
            </w:tcBorders>
            <w:gridSpan w:val="25"/>
          </w:tcPr>
          <w:p>
            <w:pPr>
              <w:spacing w:after="0"/>
              <w:rPr>
                <w:rFonts w:ascii="Arial" w:cs="Arial" w:eastAsia="Arial" w:hAnsi="Arial"/>
                <w:sz w:val="18"/>
                <w:szCs w:val="18"/>
                <w:color w:val="0000FF"/>
                <w:w w:val="91"/>
              </w:rPr>
            </w:pPr>
            <w:hyperlink r:id="rId234">
              <w:r>
                <w:rPr>
                  <w:rFonts w:ascii="Arial" w:cs="Arial" w:eastAsia="Arial" w:hAnsi="Arial"/>
                  <w:sz w:val="18"/>
                  <w:szCs w:val="18"/>
                  <w:color w:val="0000FF"/>
                  <w:w w:val="91"/>
                </w:rPr>
                <w:t>Third Amended and Restated Agreement of Limited Partnership of Plains Pipeline, L.P. dated as of April 1, 2004 (incorporated by</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360" w:type="dxa"/>
            <w:vAlign w:val="bottom"/>
            <w:tcBorders>
              <w:bottom w:val="single" w:sz="8" w:color="0000FF"/>
            </w:tcBorders>
            <w:gridSpan w:val="7"/>
          </w:tcPr>
          <w:p>
            <w:pPr>
              <w:spacing w:after="0" w:line="156" w:lineRule="exact"/>
              <w:rPr>
                <w:rFonts w:ascii="Arial" w:cs="Arial" w:eastAsia="Arial" w:hAnsi="Arial"/>
                <w:sz w:val="18"/>
                <w:szCs w:val="18"/>
                <w:color w:val="0000FF"/>
                <w:w w:val="91"/>
              </w:rPr>
            </w:pPr>
            <w:hyperlink r:id="rId234">
              <w:r>
                <w:rPr>
                  <w:rFonts w:ascii="Arial" w:cs="Arial" w:eastAsia="Arial" w:hAnsi="Arial"/>
                  <w:sz w:val="18"/>
                  <w:szCs w:val="18"/>
                  <w:color w:val="0000FF"/>
                  <w:w w:val="91"/>
                </w:rPr>
                <w:t>reference to Exhibit 3.3 to our Quarterly Report on Form 10-Q for the quarter ended March 31, 2004).</w:t>
              </w:r>
            </w:hyperlink>
          </w:p>
        </w:tc>
        <w:tc>
          <w:tcPr>
            <w:tcW w:w="206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480" w:type="dxa"/>
            <w:vAlign w:val="bottom"/>
            <w:tcBorders>
              <w:bottom w:val="single" w:sz="8" w:color="0000FF"/>
            </w:tcBorders>
            <w:gridSpan w:val="28"/>
          </w:tcPr>
          <w:p>
            <w:pPr>
              <w:spacing w:after="0"/>
              <w:rPr>
                <w:rFonts w:ascii="Arial" w:cs="Arial" w:eastAsia="Arial" w:hAnsi="Arial"/>
                <w:sz w:val="18"/>
                <w:szCs w:val="18"/>
                <w:color w:val="0000FF"/>
                <w:w w:val="90"/>
              </w:rPr>
            </w:pPr>
            <w:hyperlink r:id="rId235">
              <w:r>
                <w:rPr>
                  <w:rFonts w:ascii="Arial" w:cs="Arial" w:eastAsia="Arial" w:hAnsi="Arial"/>
                  <w:sz w:val="18"/>
                  <w:szCs w:val="18"/>
                  <w:color w:val="0000FF"/>
                  <w:w w:val="90"/>
                </w:rPr>
                <w:t>Amendment No. 1 dated January 1, 2013 to the Third Amended and Restated Agreement of Limited Partnership of Plains Pipeline,</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920" w:type="dxa"/>
            <w:vAlign w:val="bottom"/>
            <w:tcBorders>
              <w:bottom w:val="single" w:sz="8" w:color="0000FF"/>
            </w:tcBorders>
            <w:gridSpan w:val="15"/>
          </w:tcPr>
          <w:p>
            <w:pPr>
              <w:spacing w:after="0" w:line="156" w:lineRule="exact"/>
              <w:rPr>
                <w:rFonts w:ascii="Arial" w:cs="Arial" w:eastAsia="Arial" w:hAnsi="Arial"/>
                <w:sz w:val="18"/>
                <w:szCs w:val="18"/>
                <w:color w:val="0000FF"/>
                <w:w w:val="90"/>
              </w:rPr>
            </w:pPr>
            <w:hyperlink r:id="rId235">
              <w:r>
                <w:rPr>
                  <w:rFonts w:ascii="Arial" w:cs="Arial" w:eastAsia="Arial" w:hAnsi="Arial"/>
                  <w:sz w:val="18"/>
                  <w:szCs w:val="18"/>
                  <w:color w:val="0000FF"/>
                  <w:w w:val="90"/>
                </w:rPr>
                <w:t>L.P. (incorporated by reference to Exhibit 3.10 to our Annual Report on Form 10-K for the year ended December 31, 2013).</w:t>
              </w:r>
            </w:hyperlink>
          </w:p>
        </w:tc>
        <w:tc>
          <w:tcPr>
            <w:tcW w:w="56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36">
              <w:r>
                <w:rPr>
                  <w:rFonts w:ascii="Arial" w:cs="Arial" w:eastAsia="Arial" w:hAnsi="Arial"/>
                  <w:sz w:val="18"/>
                  <w:szCs w:val="18"/>
                  <w:color w:val="0000FF"/>
                  <w:w w:val="94"/>
                </w:rPr>
                <w:t>Seventh Amended and Restated Limited Liability Company Agreement of Plains All American GP LLC dated November 15, 2016</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236">
              <w:r>
                <w:rPr>
                  <w:rFonts w:ascii="Arial" w:cs="Arial" w:eastAsia="Arial" w:hAnsi="Arial"/>
                  <w:sz w:val="18"/>
                  <w:szCs w:val="18"/>
                  <w:color w:val="0000FF"/>
                  <w:w w:val="91"/>
                </w:rPr>
                <w:t>(incorporated by reference to Exhibit 3.3 to our Current Report on Form 8-K filed November 21, 2016).</w:t>
              </w:r>
            </w:hyperlink>
          </w:p>
        </w:tc>
        <w:tc>
          <w:tcPr>
            <w:tcW w:w="198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237">
              <w:r>
                <w:rPr>
                  <w:rFonts w:ascii="Arial" w:cs="Arial" w:eastAsia="Arial" w:hAnsi="Arial"/>
                  <w:sz w:val="18"/>
                  <w:szCs w:val="18"/>
                  <w:color w:val="0000FF"/>
                  <w:w w:val="96"/>
                </w:rPr>
                <w:t>Eighth Amended and Restated Limited Partnership Agreement of Plains AAP, L.P. dated November 15, 2016 (incorporated by</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237">
              <w:r>
                <w:rPr>
                  <w:rFonts w:ascii="Arial" w:cs="Arial" w:eastAsia="Arial" w:hAnsi="Arial"/>
                  <w:sz w:val="18"/>
                  <w:szCs w:val="18"/>
                  <w:color w:val="0000FF"/>
                  <w:w w:val="91"/>
                </w:rPr>
                <w:t>reference to Exhibit 3.4 to our Current Report on Form 8-K filed November 21, 2016).</w:t>
              </w:r>
            </w:hyperlink>
          </w:p>
        </w:tc>
        <w:tc>
          <w:tcPr>
            <w:tcW w:w="28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38">
              <w:r>
                <w:rPr>
                  <w:rFonts w:ascii="Arial" w:cs="Arial" w:eastAsia="Arial" w:hAnsi="Arial"/>
                  <w:sz w:val="18"/>
                  <w:szCs w:val="18"/>
                  <w:color w:val="0000FF"/>
                  <w:w w:val="93"/>
                </w:rPr>
                <w:t>Amendment No. 1 dated September 26, 2018 to the Eighth Amended and Restated Limited Partnership Agreement of Plains AAP,</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238">
              <w:r>
                <w:rPr>
                  <w:rFonts w:ascii="Arial" w:cs="Arial" w:eastAsia="Arial" w:hAnsi="Arial"/>
                  <w:sz w:val="18"/>
                  <w:szCs w:val="18"/>
                  <w:color w:val="0000FF"/>
                  <w:w w:val="91"/>
                </w:rPr>
                <w:t>L.P. (incorporated by reference to Exhibit 3.1 to our Current Report on Form 8-K filed October 2, 2018).</w:t>
              </w:r>
            </w:hyperlink>
          </w:p>
        </w:tc>
        <w:tc>
          <w:tcPr>
            <w:tcW w:w="18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39">
              <w:r>
                <w:rPr>
                  <w:rFonts w:ascii="Arial" w:cs="Arial" w:eastAsia="Arial" w:hAnsi="Arial"/>
                  <w:sz w:val="18"/>
                  <w:szCs w:val="18"/>
                  <w:color w:val="0000FF"/>
                  <w:w w:val="95"/>
                </w:rPr>
                <w:t>Amendment No. 2 dated May 23, 2019 to the Eighth Amended and Restated Limited Partnership Agreement of Plains AAP, L.P.</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39">
              <w:r>
                <w:rPr>
                  <w:rFonts w:ascii="Arial" w:cs="Arial" w:eastAsia="Arial" w:hAnsi="Arial"/>
                  <w:sz w:val="18"/>
                  <w:szCs w:val="18"/>
                  <w:color w:val="0000FF"/>
                </w:rPr>
                <w:t>(incorporated by reference to Exhibit 3.1 to our Current Report on Form 8-K filed May 30, 2019).</w:t>
              </w:r>
            </w:hyperlink>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40">
              <w:r>
                <w:rPr>
                  <w:rFonts w:ascii="Arial" w:cs="Arial" w:eastAsia="Arial" w:hAnsi="Arial"/>
                  <w:sz w:val="18"/>
                  <w:szCs w:val="18"/>
                  <w:color w:val="0000FF"/>
                  <w:w w:val="94"/>
                </w:rPr>
                <w:t>Certificate of Incorporation of PAA Finance Corp. (f/k/a Pacific Energy Finance Corporation, successor-by-merger to PAA Finance</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1"/>
              </w:rPr>
            </w:pPr>
            <w:hyperlink r:id="rId240">
              <w:r>
                <w:rPr>
                  <w:rFonts w:ascii="Arial" w:cs="Arial" w:eastAsia="Arial" w:hAnsi="Arial"/>
                  <w:sz w:val="18"/>
                  <w:szCs w:val="18"/>
                  <w:color w:val="0000FF"/>
                  <w:w w:val="91"/>
                </w:rPr>
                <w:t>Corp.) (incorporated by reference to Exhibit 3.10 to our Annual Report on Form 10-K for the year ended December 31, 2006).</w:t>
              </w:r>
            </w:hyperlink>
          </w:p>
        </w:tc>
        <w:tc>
          <w:tcPr>
            <w:tcW w:w="36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41">
              <w:r>
                <w:rPr>
                  <w:rFonts w:ascii="Arial" w:cs="Arial" w:eastAsia="Arial" w:hAnsi="Arial"/>
                  <w:sz w:val="18"/>
                  <w:szCs w:val="18"/>
                  <w:color w:val="0000FF"/>
                  <w:w w:val="93"/>
                </w:rPr>
                <w:t>Bylaws of PAA Finance Corp. (f/k/a Pacific Energy Finance Corporation, successor-by-merger to PAA Finance Corp.) (incorporated</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5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241">
              <w:r>
                <w:rPr>
                  <w:rFonts w:ascii="Arial" w:cs="Arial" w:eastAsia="Arial" w:hAnsi="Arial"/>
                  <w:sz w:val="18"/>
                  <w:szCs w:val="18"/>
                  <w:color w:val="0000FF"/>
                  <w:w w:val="91"/>
                </w:rPr>
                <w:t>by reference to Exhibit 3.11 to our Annual Report on Form 10-K for the year ended December 31, 2006).</w:t>
              </w:r>
            </w:hyperlink>
          </w:p>
        </w:tc>
        <w:tc>
          <w:tcPr>
            <w:tcW w:w="196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440" w:type="dxa"/>
            <w:vAlign w:val="bottom"/>
            <w:tcBorders>
              <w:bottom w:val="single" w:sz="8" w:color="0000FF"/>
            </w:tcBorders>
            <w:gridSpan w:val="26"/>
          </w:tcPr>
          <w:p>
            <w:pPr>
              <w:spacing w:after="0"/>
              <w:rPr>
                <w:rFonts w:ascii="Arial" w:cs="Arial" w:eastAsia="Arial" w:hAnsi="Arial"/>
                <w:sz w:val="18"/>
                <w:szCs w:val="18"/>
                <w:color w:val="0000FF"/>
                <w:w w:val="92"/>
              </w:rPr>
            </w:pPr>
            <w:hyperlink r:id="rId242">
              <w:r>
                <w:rPr>
                  <w:rFonts w:ascii="Arial" w:cs="Arial" w:eastAsia="Arial" w:hAnsi="Arial"/>
                  <w:sz w:val="18"/>
                  <w:szCs w:val="18"/>
                  <w:color w:val="0000FF"/>
                  <w:w w:val="92"/>
                </w:rPr>
                <w:t>Limited Liability Company Agreement of PAA GP LLC dated December 28, 2007 (incorporated by reference to Exhibit 3.3 to our</w:t>
              </w:r>
            </w:hyperlink>
          </w:p>
        </w:tc>
        <w:tc>
          <w:tcPr>
            <w:tcW w:w="1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740" w:type="dxa"/>
            <w:vAlign w:val="bottom"/>
            <w:tcBorders>
              <w:bottom w:val="single" w:sz="8" w:color="0000FF"/>
            </w:tcBorders>
            <w:gridSpan w:val="3"/>
          </w:tcPr>
          <w:p>
            <w:pPr>
              <w:spacing w:after="0" w:line="156" w:lineRule="exact"/>
              <w:rPr>
                <w:rFonts w:ascii="Arial" w:cs="Arial" w:eastAsia="Arial" w:hAnsi="Arial"/>
                <w:sz w:val="18"/>
                <w:szCs w:val="18"/>
                <w:color w:val="0000FF"/>
                <w:w w:val="91"/>
              </w:rPr>
            </w:pPr>
            <w:hyperlink r:id="rId242">
              <w:r>
                <w:rPr>
                  <w:rFonts w:ascii="Arial" w:cs="Arial" w:eastAsia="Arial" w:hAnsi="Arial"/>
                  <w:sz w:val="18"/>
                  <w:szCs w:val="18"/>
                  <w:color w:val="0000FF"/>
                  <w:w w:val="91"/>
                </w:rPr>
                <w:t>Current Report on Form 8-K filed January 4, 2008).</w:t>
              </w:r>
            </w:hyperlink>
          </w:p>
        </w:tc>
        <w:tc>
          <w:tcPr>
            <w:tcW w:w="5700" w:type="dxa"/>
            <w:vAlign w:val="bottom"/>
            <w:gridSpan w:val="23"/>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160" w:type="dxa"/>
            <w:vAlign w:val="bottom"/>
            <w:tcBorders>
              <w:bottom w:val="single" w:sz="8" w:color="0000FF"/>
            </w:tcBorders>
            <w:gridSpan w:val="20"/>
          </w:tcPr>
          <w:p>
            <w:pPr>
              <w:spacing w:after="0"/>
              <w:rPr>
                <w:rFonts w:ascii="Arial" w:cs="Arial" w:eastAsia="Arial" w:hAnsi="Arial"/>
                <w:sz w:val="18"/>
                <w:szCs w:val="18"/>
                <w:color w:val="0000FF"/>
                <w:w w:val="91"/>
              </w:rPr>
            </w:pPr>
            <w:hyperlink r:id="rId243">
              <w:r>
                <w:rPr>
                  <w:rFonts w:ascii="Arial" w:cs="Arial" w:eastAsia="Arial" w:hAnsi="Arial"/>
                  <w:sz w:val="18"/>
                  <w:szCs w:val="18"/>
                  <w:color w:val="0000FF"/>
                  <w:w w:val="91"/>
                </w:rPr>
                <w:t>Certificate of Limited Partnership of Plains GP Holdings, L.P. (incorporated by reference to Exhibit 3.1 to PAGP’s Registration</w:t>
              </w:r>
            </w:hyperlink>
          </w:p>
        </w:tc>
        <w:tc>
          <w:tcPr>
            <w:tcW w:w="160" w:type="dxa"/>
            <w:vAlign w:val="bottom"/>
            <w:gridSpan w:val="2"/>
          </w:tcPr>
          <w:p>
            <w:pPr>
              <w:spacing w:after="0"/>
              <w:rPr>
                <w:sz w:val="24"/>
                <w:szCs w:val="24"/>
                <w:color w:val="auto"/>
              </w:rPr>
            </w:pPr>
          </w:p>
        </w:tc>
        <w:tc>
          <w:tcPr>
            <w:tcW w:w="80" w:type="dxa"/>
            <w:vAlign w:val="bottom"/>
            <w:gridSpan w:val="2"/>
          </w:tcPr>
          <w:p>
            <w:pPr>
              <w:spacing w:after="0"/>
              <w:rPr>
                <w:sz w:val="24"/>
                <w:szCs w:val="24"/>
                <w:color w:val="auto"/>
              </w:rPr>
            </w:pPr>
          </w:p>
        </w:tc>
        <w:tc>
          <w:tcPr>
            <w:tcW w:w="1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160" w:type="dxa"/>
            <w:vAlign w:val="bottom"/>
            <w:gridSpan w:val="20"/>
          </w:tcPr>
          <w:p>
            <w:pPr>
              <w:spacing w:after="0" w:line="156" w:lineRule="exact"/>
              <w:rPr>
                <w:rFonts w:ascii="Arial" w:cs="Arial" w:eastAsia="Arial" w:hAnsi="Arial"/>
                <w:sz w:val="18"/>
                <w:szCs w:val="18"/>
                <w:color w:val="0000FF"/>
              </w:rPr>
            </w:pPr>
            <w:hyperlink r:id="rId243">
              <w:r>
                <w:rPr>
                  <w:rFonts w:ascii="Arial" w:cs="Arial" w:eastAsia="Arial" w:hAnsi="Arial"/>
                  <w:sz w:val="18"/>
                  <w:szCs w:val="18"/>
                  <w:color w:val="0000FF"/>
                </w:rPr>
                <w:t>Statement on Form S-1 (333-190227) filed July 29, 2013).</w:t>
              </w:r>
            </w:hyperlink>
          </w:p>
        </w:tc>
        <w:tc>
          <w:tcPr>
            <w:tcW w:w="1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244">
              <w:r>
                <w:rPr>
                  <w:rFonts w:ascii="Arial" w:cs="Arial" w:eastAsia="Arial" w:hAnsi="Arial"/>
                  <w:sz w:val="18"/>
                  <w:szCs w:val="18"/>
                  <w:color w:val="0000FF"/>
                  <w:w w:val="96"/>
                </w:rPr>
                <w:t>Second Amended and Restated Agreement of Limited Partnership of Plains GP Holdings, L.P. dated as of November 15, 2016</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1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44">
              <w:r>
                <w:rPr>
                  <w:rFonts w:ascii="Arial" w:cs="Arial" w:eastAsia="Arial" w:hAnsi="Arial"/>
                  <w:sz w:val="18"/>
                  <w:szCs w:val="18"/>
                  <w:color w:val="0000FF"/>
                </w:rPr>
                <w:t>(incorporated by reference to Exhibit 3.2 to PAGP’s Current Report on Form 8-K filed November 21, 2016).</w:t>
              </w:r>
            </w:hyperlink>
          </w:p>
        </w:tc>
        <w:tc>
          <w:tcPr>
            <w:tcW w:w="4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400" w:type="dxa"/>
            <w:vAlign w:val="bottom"/>
            <w:tcBorders>
              <w:bottom w:val="single" w:sz="8" w:color="0000FF"/>
            </w:tcBorders>
            <w:gridSpan w:val="24"/>
          </w:tcPr>
          <w:p>
            <w:pPr>
              <w:spacing w:after="0"/>
              <w:rPr>
                <w:rFonts w:ascii="Arial" w:cs="Arial" w:eastAsia="Arial" w:hAnsi="Arial"/>
                <w:sz w:val="18"/>
                <w:szCs w:val="18"/>
                <w:color w:val="0000FF"/>
                <w:w w:val="92"/>
              </w:rPr>
            </w:pPr>
            <w:hyperlink r:id="rId245">
              <w:r>
                <w:rPr>
                  <w:rFonts w:ascii="Arial" w:cs="Arial" w:eastAsia="Arial" w:hAnsi="Arial"/>
                  <w:sz w:val="18"/>
                  <w:szCs w:val="18"/>
                  <w:color w:val="0000FF"/>
                  <w:w w:val="92"/>
                </w:rPr>
                <w:t>Certificate of Formation of PAA GP Holdings LLC (incorporated by reference to Exhibit 3.3 to PAGP’s Registration Statement on</w:t>
              </w:r>
            </w:hyperlink>
          </w:p>
        </w:tc>
        <w:tc>
          <w:tcPr>
            <w:tcW w:w="1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20" w:type="dxa"/>
            <w:vAlign w:val="bottom"/>
            <w:tcBorders>
              <w:bottom w:val="single" w:sz="8" w:color="0000FF"/>
            </w:tcBorders>
            <w:gridSpan w:val="2"/>
          </w:tcPr>
          <w:p>
            <w:pPr>
              <w:spacing w:after="0" w:line="156" w:lineRule="exact"/>
              <w:rPr>
                <w:rFonts w:ascii="Arial" w:cs="Arial" w:eastAsia="Arial" w:hAnsi="Arial"/>
                <w:sz w:val="18"/>
                <w:szCs w:val="18"/>
                <w:color w:val="0000FF"/>
                <w:w w:val="91"/>
              </w:rPr>
            </w:pPr>
            <w:hyperlink r:id="rId245">
              <w:r>
                <w:rPr>
                  <w:rFonts w:ascii="Arial" w:cs="Arial" w:eastAsia="Arial" w:hAnsi="Arial"/>
                  <w:sz w:val="18"/>
                  <w:szCs w:val="18"/>
                  <w:color w:val="0000FF"/>
                  <w:w w:val="91"/>
                </w:rPr>
                <w:t>Form S-1 (333-190227) filed July 29, 2013).</w:t>
              </w:r>
            </w:hyperlink>
          </w:p>
        </w:tc>
        <w:tc>
          <w:tcPr>
            <w:tcW w:w="6180" w:type="dxa"/>
            <w:vAlign w:val="bottom"/>
            <w:gridSpan w:val="22"/>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140" w:type="dxa"/>
            <w:vAlign w:val="bottom"/>
            <w:tcBorders>
              <w:bottom w:val="single" w:sz="8" w:color="0000FF"/>
            </w:tcBorders>
            <w:gridSpan w:val="19"/>
          </w:tcPr>
          <w:p>
            <w:pPr>
              <w:spacing w:after="0"/>
              <w:rPr>
                <w:rFonts w:ascii="Arial" w:cs="Arial" w:eastAsia="Arial" w:hAnsi="Arial"/>
                <w:sz w:val="18"/>
                <w:szCs w:val="18"/>
                <w:color w:val="0000FF"/>
                <w:w w:val="92"/>
              </w:rPr>
            </w:pPr>
            <w:hyperlink r:id="rId246">
              <w:r>
                <w:rPr>
                  <w:rFonts w:ascii="Arial" w:cs="Arial" w:eastAsia="Arial" w:hAnsi="Arial"/>
                  <w:sz w:val="18"/>
                  <w:szCs w:val="18"/>
                  <w:color w:val="0000FF"/>
                  <w:w w:val="92"/>
                </w:rPr>
                <w:t>Third Amended and Restated Limited Liability Company Agreement of PAA GP Holdings LLC dated as of February 16, 2017</w:t>
              </w:r>
            </w:hyperlink>
          </w:p>
        </w:tc>
        <w:tc>
          <w:tcPr>
            <w:tcW w:w="180" w:type="dxa"/>
            <w:vAlign w:val="bottom"/>
            <w:gridSpan w:val="3"/>
          </w:tcPr>
          <w:p>
            <w:pPr>
              <w:spacing w:after="0"/>
              <w:rPr>
                <w:sz w:val="24"/>
                <w:szCs w:val="24"/>
                <w:color w:val="auto"/>
              </w:rPr>
            </w:pPr>
          </w:p>
        </w:tc>
        <w:tc>
          <w:tcPr>
            <w:tcW w:w="2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140" w:type="dxa"/>
            <w:vAlign w:val="bottom"/>
            <w:gridSpan w:val="19"/>
          </w:tcPr>
          <w:p>
            <w:pPr>
              <w:spacing w:after="0" w:line="156" w:lineRule="exact"/>
              <w:rPr>
                <w:rFonts w:ascii="Arial" w:cs="Arial" w:eastAsia="Arial" w:hAnsi="Arial"/>
                <w:sz w:val="18"/>
                <w:szCs w:val="18"/>
                <w:color w:val="0000FF"/>
              </w:rPr>
            </w:pPr>
            <w:hyperlink r:id="rId246">
              <w:r>
                <w:rPr>
                  <w:rFonts w:ascii="Arial" w:cs="Arial" w:eastAsia="Arial" w:hAnsi="Arial"/>
                  <w:sz w:val="18"/>
                  <w:szCs w:val="18"/>
                  <w:color w:val="0000FF"/>
                </w:rPr>
                <w:t>(incorporated by reference to Exhibit 3.1 to our Current Report on Form 8-K filed February 21, 2017).</w:t>
              </w:r>
            </w:hyperlink>
          </w:p>
        </w:tc>
        <w:tc>
          <w:tcPr>
            <w:tcW w:w="180" w:type="dxa"/>
            <w:vAlign w:val="bottom"/>
            <w:gridSpan w:val="3"/>
          </w:tcPr>
          <w:p>
            <w:pPr>
              <w:spacing w:after="0"/>
              <w:rPr>
                <w:sz w:val="13"/>
                <w:szCs w:val="13"/>
                <w:color w:val="auto"/>
              </w:rPr>
            </w:pPr>
          </w:p>
        </w:tc>
        <w:tc>
          <w:tcPr>
            <w:tcW w:w="24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60" w:type="dxa"/>
            <w:vAlign w:val="bottom"/>
            <w:gridSpan w:val="7"/>
            <w:shd w:val="clear" w:color="auto" w:fill="0000FF"/>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47">
              <w:r>
                <w:rPr>
                  <w:rFonts w:ascii="Arial" w:cs="Arial" w:eastAsia="Arial" w:hAnsi="Arial"/>
                  <w:sz w:val="18"/>
                  <w:szCs w:val="18"/>
                  <w:color w:val="0000FF"/>
                  <w:w w:val="95"/>
                </w:rPr>
                <w:t>Amendment No. 1 dated October 1, 2018 to the Third Amended and Restated Limited Liability Company Agreement of PAA GP</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47">
              <w:r>
                <w:rPr>
                  <w:rFonts w:ascii="Arial" w:cs="Arial" w:eastAsia="Arial" w:hAnsi="Arial"/>
                  <w:sz w:val="18"/>
                  <w:szCs w:val="18"/>
                  <w:color w:val="0000FF"/>
                </w:rPr>
                <w:t>Holdings LLC (incorporated by reference to Exhibit 3.1 to our Current Report on Form 8-K filed August 20, 2018).</w:t>
              </w:r>
            </w:hyperlink>
          </w:p>
        </w:tc>
        <w:tc>
          <w:tcPr>
            <w:tcW w:w="24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320" w:type="dxa"/>
            <w:vAlign w:val="bottom"/>
            <w:gridSpan w:val="1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48">
              <w:r>
                <w:rPr>
                  <w:rFonts w:ascii="Arial" w:cs="Arial" w:eastAsia="Arial" w:hAnsi="Arial"/>
                  <w:sz w:val="18"/>
                  <w:szCs w:val="18"/>
                  <w:color w:val="0000FF"/>
                  <w:w w:val="93"/>
                </w:rPr>
                <w:t>Amendment No. 2 dated December 10, 2018 to the Third Amended and Restated Limited Liability Company Agreement of PAA GP</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48">
              <w:r>
                <w:rPr>
                  <w:rFonts w:ascii="Arial" w:cs="Arial" w:eastAsia="Arial" w:hAnsi="Arial"/>
                  <w:sz w:val="18"/>
                  <w:szCs w:val="18"/>
                  <w:color w:val="0000FF"/>
                </w:rPr>
                <w:t>Holdings LLC (incorporated by reference to Exhibit 3.1 to our Current Report on Form 8-K filed December 11,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540" w:type="dxa"/>
            <w:vAlign w:val="bottom"/>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580" w:type="dxa"/>
            <w:vAlign w:val="bottom"/>
            <w:tcBorders>
              <w:bottom w:val="single" w:sz="8" w:color="0000FF"/>
            </w:tcBorders>
            <w:gridSpan w:val="32"/>
          </w:tcPr>
          <w:p>
            <w:pPr>
              <w:spacing w:after="0"/>
              <w:rPr>
                <w:rFonts w:ascii="Arial" w:cs="Arial" w:eastAsia="Arial" w:hAnsi="Arial"/>
                <w:sz w:val="18"/>
                <w:szCs w:val="18"/>
                <w:color w:val="0000FF"/>
                <w:w w:val="91"/>
              </w:rPr>
            </w:pPr>
            <w:hyperlink r:id="rId249">
              <w:r>
                <w:rPr>
                  <w:rFonts w:ascii="Arial" w:cs="Arial" w:eastAsia="Arial" w:hAnsi="Arial"/>
                  <w:sz w:val="18"/>
                  <w:szCs w:val="18"/>
                  <w:color w:val="0000FF"/>
                  <w:w w:val="91"/>
                </w:rPr>
                <w:t>Amendment No. 3 dated November 21, 2019 to the Third Amended and Restated Limited Liability Company Agreement of PAA GP</w:t>
              </w:r>
            </w:hyperlink>
          </w:p>
        </w:tc>
        <w:tc>
          <w:tcPr>
            <w:tcW w:w="20" w:type="dxa"/>
            <w:vAlign w:val="bottom"/>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80" w:type="dxa"/>
            <w:vAlign w:val="bottom"/>
            <w:gridSpan w:val="32"/>
          </w:tcPr>
          <w:p>
            <w:pPr>
              <w:spacing w:after="0" w:line="156" w:lineRule="exact"/>
              <w:rPr>
                <w:rFonts w:ascii="Arial" w:cs="Arial" w:eastAsia="Arial" w:hAnsi="Arial"/>
                <w:sz w:val="18"/>
                <w:szCs w:val="18"/>
                <w:color w:val="0000FF"/>
              </w:rPr>
            </w:pPr>
            <w:hyperlink r:id="rId249">
              <w:r>
                <w:rPr>
                  <w:rFonts w:ascii="Arial" w:cs="Arial" w:eastAsia="Arial" w:hAnsi="Arial"/>
                  <w:sz w:val="18"/>
                  <w:szCs w:val="18"/>
                  <w:color w:val="0000FF"/>
                </w:rPr>
                <w:t>Holdings LLC (incorporated by reference to Exhibit 3.1 to our Current Report on Form 8-K filed November 27, 2019).</w:t>
              </w:r>
            </w:hyperlink>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560" w:type="dxa"/>
            <w:vAlign w:val="bottom"/>
            <w:gridSpan w:val="14"/>
            <w:shd w:val="clear" w:color="auto" w:fill="0000FF"/>
          </w:tcPr>
          <w:p>
            <w:pPr>
              <w:spacing w:after="0" w:line="20" w:lineRule="exact"/>
              <w:rPr>
                <w:sz w:val="1"/>
                <w:szCs w:val="1"/>
                <w:color w:val="auto"/>
              </w:rPr>
            </w:pPr>
          </w:p>
        </w:tc>
        <w:tc>
          <w:tcPr>
            <w:tcW w:w="1040" w:type="dxa"/>
            <w:vAlign w:val="bottom"/>
            <w:gridSpan w:val="19"/>
          </w:tcPr>
          <w:p>
            <w:pPr>
              <w:spacing w:after="0" w:line="20" w:lineRule="exact"/>
              <w:rPr>
                <w:sz w:val="1"/>
                <w:szCs w:val="1"/>
                <w:color w:val="auto"/>
              </w:rPr>
            </w:pPr>
          </w:p>
        </w:tc>
      </w:tr>
      <w:tr>
        <w:trPr>
          <w:trHeight w:val="319"/>
        </w:trPr>
        <w:tc>
          <w:tcPr>
            <w:tcW w:w="1280" w:type="dxa"/>
            <w:vAlign w:val="bottom"/>
          </w:tcPr>
          <w:p>
            <w:pPr>
              <w:ind w:left="2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50">
              <w:r>
                <w:rPr>
                  <w:rFonts w:ascii="Arial" w:cs="Arial" w:eastAsia="Arial" w:hAnsi="Arial"/>
                  <w:sz w:val="18"/>
                  <w:szCs w:val="18"/>
                  <w:u w:val="single" w:color="auto"/>
                  <w:color w:val="0000FF"/>
                  <w:w w:val="94"/>
                </w:rPr>
                <w:t>Indenture dated September 25, 2002 among Plains All American Pipeline, L.P., PAA Finance Corp. and Wachovia Bank, National</w:t>
              </w:r>
            </w:hyperlink>
          </w:p>
        </w:tc>
      </w:tr>
    </w:tbl>
    <w:p>
      <w:pPr>
        <w:ind w:left="1760" w:right="620"/>
        <w:spacing w:after="0" w:line="226" w:lineRule="auto"/>
        <w:rPr>
          <w:rFonts w:ascii="Arial" w:cs="Arial" w:eastAsia="Arial" w:hAnsi="Arial"/>
          <w:sz w:val="18"/>
          <w:szCs w:val="18"/>
          <w:u w:val="single" w:color="auto"/>
          <w:color w:val="0000FF"/>
        </w:rPr>
      </w:pPr>
      <w:hyperlink r:id="rId250">
        <w:r>
          <w:rPr>
            <w:rFonts w:ascii="Arial" w:cs="Arial" w:eastAsia="Arial" w:hAnsi="Arial"/>
            <w:sz w:val="18"/>
            <w:szCs w:val="18"/>
            <w:u w:val="single" w:color="auto"/>
            <w:color w:val="0000FF"/>
          </w:rPr>
          <w:t>Association, as trustee (incorporated by reference to Exhibit 4.1 to our Quarterly Report on Form 10-Q for the quarter ended</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September 30, 2002).</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08" w:right="3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FF"/>
                <w:w w:val="90"/>
              </w:rPr>
            </w:pPr>
            <w:hyperlink w:anchor="page1">
              <w:r>
                <w:rPr>
                  <w:rFonts w:ascii="Arial" w:cs="Arial" w:eastAsia="Arial" w:hAnsi="Arial"/>
                  <w:sz w:val="18"/>
                  <w:szCs w:val="18"/>
                  <w:color w:val="0000FF"/>
                  <w:w w:val="90"/>
                </w:rPr>
                <w:t>Table of Contents</w:t>
              </w:r>
            </w:hyperlink>
          </w:p>
        </w:tc>
        <w:tc>
          <w:tcPr>
            <w:tcW w:w="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10080" w:type="dxa"/>
            <w:vAlign w:val="bottom"/>
            <w:gridSpan w:val="32"/>
          </w:tcPr>
          <w:p>
            <w:pPr>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252">
              <w:r>
                <w:rPr>
                  <w:rFonts w:ascii="Arial" w:cs="Arial" w:eastAsia="Arial" w:hAnsi="Arial"/>
                  <w:sz w:val="18"/>
                  <w:szCs w:val="18"/>
                  <w:color w:val="0000FF"/>
                  <w:w w:val="99"/>
                </w:rPr>
                <w:t>Sixth Supplemental Indenture (Series A and Series B 6.70% Senior Notes due 2036) dated May 12, 2006 among Plains All</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20" w:type="dxa"/>
            <w:vAlign w:val="bottom"/>
            <w:gridSpan w:val="31"/>
          </w:tcPr>
          <w:p>
            <w:pPr>
              <w:spacing w:after="0" w:line="156" w:lineRule="exact"/>
              <w:rPr>
                <w:rFonts w:ascii="Arial" w:cs="Arial" w:eastAsia="Arial" w:hAnsi="Arial"/>
                <w:sz w:val="18"/>
                <w:szCs w:val="18"/>
                <w:color w:val="0000FF"/>
                <w:w w:val="90"/>
              </w:rPr>
            </w:pPr>
            <w:hyperlink r:id="rId252">
              <w:r>
                <w:rPr>
                  <w:rFonts w:ascii="Arial" w:cs="Arial" w:eastAsia="Arial" w:hAnsi="Arial"/>
                  <w:sz w:val="18"/>
                  <w:szCs w:val="18"/>
                  <w:color w:val="0000FF"/>
                  <w:w w:val="90"/>
                </w:rPr>
                <w:t>American Pipeline, L.P., PAA Finance Corp., the Subsidiary Guarantors named therein and Wachovia Bank, National Association, as</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5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252">
              <w:r>
                <w:rPr>
                  <w:rFonts w:ascii="Arial" w:cs="Arial" w:eastAsia="Arial" w:hAnsi="Arial"/>
                  <w:sz w:val="18"/>
                  <w:szCs w:val="18"/>
                  <w:color w:val="0000FF"/>
                  <w:w w:val="91"/>
                </w:rPr>
                <w:t>trustee (incorporated by reference to Exhibit 4.1 to our Current Report on Form 8-K filed May 12, 2006).</w:t>
              </w:r>
            </w:hyperlink>
          </w:p>
        </w:tc>
        <w:tc>
          <w:tcPr>
            <w:tcW w:w="20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10080" w:type="dxa"/>
            <w:vAlign w:val="bottom"/>
            <w:gridSpan w:val="32"/>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53">
              <w:r>
                <w:rPr>
                  <w:rFonts w:ascii="Arial" w:cs="Arial" w:eastAsia="Arial" w:hAnsi="Arial"/>
                  <w:sz w:val="18"/>
                  <w:szCs w:val="18"/>
                  <w:color w:val="0000FF"/>
                  <w:w w:val="95"/>
                </w:rPr>
                <w:t>Tenth Supplemental Indenture (Series A and Series B 6.650% Senior Notes due 2037) dated October 30, 2006 among Plains All</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20" w:type="dxa"/>
            <w:vAlign w:val="bottom"/>
            <w:tcBorders>
              <w:top w:val="single" w:sz="8" w:color="0000FF"/>
            </w:tcBorders>
            <w:gridSpan w:val="17"/>
          </w:tcPr>
          <w:p>
            <w:pPr>
              <w:spacing w:after="0" w:line="156" w:lineRule="exact"/>
              <w:rPr>
                <w:rFonts w:ascii="Arial" w:cs="Arial" w:eastAsia="Arial" w:hAnsi="Arial"/>
                <w:sz w:val="18"/>
                <w:szCs w:val="18"/>
                <w:color w:val="0000FF"/>
                <w:w w:val="91"/>
              </w:rPr>
            </w:pPr>
            <w:hyperlink r:id="rId253">
              <w:r>
                <w:rPr>
                  <w:rFonts w:ascii="Arial" w:cs="Arial" w:eastAsia="Arial" w:hAnsi="Arial"/>
                  <w:sz w:val="18"/>
                  <w:szCs w:val="18"/>
                  <w:color w:val="0000FF"/>
                  <w:w w:val="91"/>
                </w:rPr>
                <w:t>American Pipeline, L.P., PAA Finance Corp., the Subsidiary Guarantors named therein and U.S. Bank National Association,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1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53">
              <w:r>
                <w:rPr>
                  <w:rFonts w:ascii="Arial" w:cs="Arial" w:eastAsia="Arial" w:hAnsi="Arial"/>
                  <w:sz w:val="18"/>
                  <w:szCs w:val="18"/>
                  <w:color w:val="0000FF"/>
                </w:rPr>
                <w:t>trustee (incorporated by reference to Exhibit 4.2 to our Current Report on Form 8-K filed October 30, 2006).</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320" w:type="dxa"/>
            <w:vAlign w:val="bottom"/>
            <w:tcBorders>
              <w:bottom w:val="single" w:sz="8" w:color="0000FF"/>
            </w:tcBorders>
            <w:gridSpan w:val="20"/>
          </w:tcPr>
          <w:p>
            <w:pPr>
              <w:spacing w:after="0"/>
              <w:rPr>
                <w:rFonts w:ascii="Arial" w:cs="Arial" w:eastAsia="Arial" w:hAnsi="Arial"/>
                <w:sz w:val="18"/>
                <w:szCs w:val="18"/>
                <w:color w:val="0000FF"/>
                <w:w w:val="90"/>
              </w:rPr>
            </w:pPr>
            <w:hyperlink r:id="rId254">
              <w:r>
                <w:rPr>
                  <w:rFonts w:ascii="Arial" w:cs="Arial" w:eastAsia="Arial" w:hAnsi="Arial"/>
                  <w:sz w:val="18"/>
                  <w:szCs w:val="18"/>
                  <w:color w:val="0000FF"/>
                  <w:w w:val="90"/>
                </w:rPr>
                <w:t>Nineteenth Supplemental Indenture (5.00% Senior Notes due 2021) dated January 14, 2011 among Plains All American Pipeline,</w:t>
              </w:r>
            </w:hyperlink>
          </w:p>
        </w:tc>
        <w:tc>
          <w:tcPr>
            <w:tcW w:w="300" w:type="dxa"/>
            <w:vAlign w:val="bottom"/>
            <w:gridSpan w:val="11"/>
            <w:vMerge w:val="restart"/>
          </w:tcPr>
          <w:p>
            <w:pPr>
              <w:spacing w:after="0"/>
              <w:rPr>
                <w:rFonts w:ascii="Arial" w:cs="Arial" w:eastAsia="Arial" w:hAnsi="Arial"/>
                <w:sz w:val="18"/>
                <w:szCs w:val="18"/>
                <w:color w:val="0000FF"/>
              </w:rPr>
            </w:pPr>
            <w:hyperlink r:id="rId254">
              <w:r>
                <w:rPr>
                  <w:rFonts w:ascii="Arial" w:cs="Arial" w:eastAsia="Arial" w:hAnsi="Arial"/>
                  <w:sz w:val="18"/>
                  <w:szCs w:val="18"/>
                  <w:color w:val="0000FF"/>
                </w:rPr>
                <w:t>by</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20" w:type="dxa"/>
            <w:vAlign w:val="bottom"/>
            <w:gridSpan w:val="20"/>
          </w:tcPr>
          <w:p>
            <w:pPr>
              <w:spacing w:after="0" w:line="156" w:lineRule="exact"/>
              <w:rPr>
                <w:rFonts w:ascii="Arial" w:cs="Arial" w:eastAsia="Arial" w:hAnsi="Arial"/>
                <w:sz w:val="18"/>
                <w:szCs w:val="18"/>
                <w:color w:val="0000FF"/>
                <w:w w:val="90"/>
              </w:rPr>
            </w:pPr>
            <w:hyperlink r:id="rId254">
              <w:r>
                <w:rPr>
                  <w:rFonts w:ascii="Arial" w:cs="Arial" w:eastAsia="Arial" w:hAnsi="Arial"/>
                  <w:sz w:val="18"/>
                  <w:szCs w:val="18"/>
                  <w:color w:val="0000FF"/>
                  <w:w w:val="90"/>
                </w:rPr>
                <w:t>L.P., PAA Finance Corp., the Subsidiary Guarantors named therein and U.S. Bank National Association, as trustee (incorporated</w:t>
              </w:r>
            </w:hyperlink>
          </w:p>
        </w:tc>
        <w:tc>
          <w:tcPr>
            <w:tcW w:w="30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54">
              <w:r>
                <w:rPr>
                  <w:rFonts w:ascii="Arial" w:cs="Arial" w:eastAsia="Arial" w:hAnsi="Arial"/>
                  <w:sz w:val="18"/>
                  <w:szCs w:val="18"/>
                  <w:color w:val="0000FF"/>
                </w:rPr>
                <w:t>reference to Exhibit 4.1 to our Current Report on Form 8-K filed January 11, 2011).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10080" w:type="dxa"/>
            <w:vAlign w:val="bottom"/>
            <w:gridSpan w:val="32"/>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55">
              <w:r>
                <w:rPr>
                  <w:rFonts w:ascii="Arial" w:cs="Arial" w:eastAsia="Arial" w:hAnsi="Arial"/>
                  <w:sz w:val="18"/>
                  <w:szCs w:val="18"/>
                  <w:color w:val="0000FF"/>
                  <w:w w:val="93"/>
                </w:rPr>
                <w:t>Twentieth Supplemental Indenture (3.65% Senior Notes due 2022) dated March 22, 2012 among Plains All American Pipeline, L.P.,</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4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255">
              <w:r>
                <w:rPr>
                  <w:rFonts w:ascii="Arial" w:cs="Arial" w:eastAsia="Arial" w:hAnsi="Arial"/>
                  <w:sz w:val="18"/>
                  <w:szCs w:val="18"/>
                  <w:color w:val="0000FF"/>
                  <w:w w:val="92"/>
                </w:rPr>
                <w:t>PAA Finance Corp. and U.S. Bank National Association, as trustee (incorporated by reference to Exhibit 4.1 to our Current Report</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55">
              <w:r>
                <w:rPr>
                  <w:rFonts w:ascii="Arial" w:cs="Arial" w:eastAsia="Arial" w:hAnsi="Arial"/>
                  <w:sz w:val="18"/>
                  <w:szCs w:val="18"/>
                  <w:color w:val="0000FF"/>
                </w:rPr>
                <w:t>on Form 8-K filed March 26, 2012).</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10080" w:type="dxa"/>
            <w:vAlign w:val="bottom"/>
            <w:gridSpan w:val="32"/>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56">
              <w:r>
                <w:rPr>
                  <w:rFonts w:ascii="Arial" w:cs="Arial" w:eastAsia="Arial" w:hAnsi="Arial"/>
                  <w:sz w:val="18"/>
                  <w:szCs w:val="18"/>
                  <w:color w:val="0000FF"/>
                  <w:w w:val="94"/>
                </w:rPr>
                <w:t>Twenty-First Supplemental Indenture (5.15% Senior Notes due 2042) dated March 22, 2012 among Plains All American Pipeline,</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6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256">
              <w:r>
                <w:rPr>
                  <w:rFonts w:ascii="Arial" w:cs="Arial" w:eastAsia="Arial" w:hAnsi="Arial"/>
                  <w:sz w:val="18"/>
                  <w:szCs w:val="18"/>
                  <w:color w:val="0000FF"/>
                  <w:w w:val="91"/>
                </w:rPr>
                <w:t>L.P., PAA Finance Corp. and U.S. Bank National Association, as trustee (incorporated by reference to Exhibit 4.3 to our Current</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256">
              <w:r>
                <w:rPr>
                  <w:rFonts w:ascii="Arial" w:cs="Arial" w:eastAsia="Arial" w:hAnsi="Arial"/>
                  <w:sz w:val="18"/>
                  <w:szCs w:val="18"/>
                  <w:color w:val="0000FF"/>
                  <w:w w:val="92"/>
                </w:rPr>
                <w:t>Report on Form 8-K filed March 26, 2012).</w:t>
              </w:r>
            </w:hyperlink>
          </w:p>
        </w:tc>
        <w:tc>
          <w:tcPr>
            <w:tcW w:w="61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10080" w:type="dxa"/>
            <w:vAlign w:val="bottom"/>
            <w:gridSpan w:val="32"/>
          </w:tcPr>
          <w:p>
            <w:pPr>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257">
              <w:r>
                <w:rPr>
                  <w:rFonts w:ascii="Arial" w:cs="Arial" w:eastAsia="Arial" w:hAnsi="Arial"/>
                  <w:sz w:val="18"/>
                  <w:szCs w:val="18"/>
                  <w:color w:val="0000FF"/>
                  <w:w w:val="97"/>
                </w:rPr>
                <w:t>Twenty-Second Supplemental Indenture (2.85% Senior Notes due 2023) dated December 10, 2012, by and among Plains All</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98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257">
              <w:r>
                <w:rPr>
                  <w:rFonts w:ascii="Arial" w:cs="Arial" w:eastAsia="Arial" w:hAnsi="Arial"/>
                  <w:sz w:val="18"/>
                  <w:szCs w:val="18"/>
                  <w:color w:val="0000FF"/>
                  <w:w w:val="92"/>
                </w:rPr>
                <w:t>American Pipeline, L.P., PAA Finance Corp. and U.S. Bank National Association, as trustee (incorporated by reference to</w:t>
              </w:r>
            </w:hyperlink>
          </w:p>
        </w:tc>
        <w:tc>
          <w:tcPr>
            <w:tcW w:w="22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257">
              <w:r>
                <w:rPr>
                  <w:rFonts w:ascii="Arial" w:cs="Arial" w:eastAsia="Arial" w:hAnsi="Arial"/>
                  <w:sz w:val="18"/>
                  <w:szCs w:val="18"/>
                  <w:color w:val="0000FF"/>
                  <w:w w:val="91"/>
                </w:rPr>
                <w:t>Exhibit 4.1 to our Current Report on Form 8-K filed December 12, 2012).</w:t>
              </w:r>
            </w:hyperlink>
          </w:p>
        </w:tc>
        <w:tc>
          <w:tcPr>
            <w:tcW w:w="3440" w:type="dxa"/>
            <w:vAlign w:val="bottom"/>
            <w:tcBorders>
              <w:top w:val="single" w:sz="8" w:color="0000FF"/>
            </w:tcBorders>
            <w:gridSpan w:val="4"/>
          </w:tcPr>
          <w:p>
            <w:pPr>
              <w:spacing w:after="0"/>
              <w:rPr>
                <w:sz w:val="13"/>
                <w:szCs w:val="13"/>
                <w:color w:val="auto"/>
              </w:rPr>
            </w:pPr>
          </w:p>
        </w:tc>
        <w:tc>
          <w:tcPr>
            <w:tcW w:w="44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tcBorders>
              <w:bottom w:val="single" w:sz="8" w:color="0000FF"/>
            </w:tcBorders>
            <w:gridSpan w:val="31"/>
          </w:tcPr>
          <w:p>
            <w:pPr>
              <w:spacing w:after="0"/>
              <w:rPr>
                <w:rFonts w:ascii="Arial" w:cs="Arial" w:eastAsia="Arial" w:hAnsi="Arial"/>
                <w:sz w:val="18"/>
                <w:szCs w:val="18"/>
                <w:color w:val="0000FF"/>
                <w:w w:val="90"/>
              </w:rPr>
            </w:pPr>
            <w:hyperlink r:id="rId258">
              <w:r>
                <w:rPr>
                  <w:rFonts w:ascii="Arial" w:cs="Arial" w:eastAsia="Arial" w:hAnsi="Arial"/>
                  <w:sz w:val="18"/>
                  <w:szCs w:val="18"/>
                  <w:color w:val="0000FF"/>
                  <w:w w:val="90"/>
                </w:rPr>
                <w:t>Twenty-Third Supplemental Indenture (4.30% Senior Notes due 2043) dated December 10, 2012, by and among Plains All American</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20" w:type="dxa"/>
            <w:vAlign w:val="bottom"/>
            <w:gridSpan w:val="31"/>
          </w:tcPr>
          <w:p>
            <w:pPr>
              <w:spacing w:after="0" w:line="156" w:lineRule="exact"/>
              <w:rPr>
                <w:rFonts w:ascii="Arial" w:cs="Arial" w:eastAsia="Arial" w:hAnsi="Arial"/>
                <w:sz w:val="18"/>
                <w:szCs w:val="18"/>
                <w:color w:val="0000FF"/>
                <w:w w:val="93"/>
              </w:rPr>
            </w:pPr>
            <w:hyperlink r:id="rId258">
              <w:r>
                <w:rPr>
                  <w:rFonts w:ascii="Arial" w:cs="Arial" w:eastAsia="Arial" w:hAnsi="Arial"/>
                  <w:sz w:val="18"/>
                  <w:szCs w:val="18"/>
                  <w:color w:val="0000FF"/>
                  <w:w w:val="93"/>
                </w:rPr>
                <w:t>Pipeline, L.P., PAA Finance Corp. and U.S. Bank National Association, as trustee (incorporated by reference to Exhibit 4.3 to our</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258">
              <w:r>
                <w:rPr>
                  <w:rFonts w:ascii="Arial" w:cs="Arial" w:eastAsia="Arial" w:hAnsi="Arial"/>
                  <w:sz w:val="18"/>
                  <w:szCs w:val="18"/>
                  <w:color w:val="0000FF"/>
                  <w:w w:val="91"/>
                </w:rPr>
                <w:t>Current Report on Form 8-K filed December 12, 2012).</w:t>
              </w:r>
            </w:hyperlink>
          </w:p>
        </w:tc>
        <w:tc>
          <w:tcPr>
            <w:tcW w:w="5320" w:type="dxa"/>
            <w:vAlign w:val="bottom"/>
            <w:tcBorders>
              <w:top w:val="single" w:sz="8" w:color="0000FF"/>
            </w:tcBorders>
            <w:gridSpan w:val="15"/>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c>
          <w:tcPr>
            <w:tcW w:w="10080" w:type="dxa"/>
            <w:vAlign w:val="bottom"/>
            <w:gridSpan w:val="32"/>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59">
              <w:r>
                <w:rPr>
                  <w:rFonts w:ascii="Arial" w:cs="Arial" w:eastAsia="Arial" w:hAnsi="Arial"/>
                  <w:sz w:val="18"/>
                  <w:szCs w:val="18"/>
                  <w:color w:val="0000FF"/>
                  <w:w w:val="93"/>
                </w:rPr>
                <w:t>Twenty-Fourth Supplemental Indenture (3.85% Senior Notes due 2023) dated August 15, 2013, by and among Plains All American</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60" w:type="dxa"/>
            <w:vAlign w:val="bottom"/>
            <w:tcBorders>
              <w:top w:val="single" w:sz="8" w:color="0000FF"/>
            </w:tcBorders>
            <w:gridSpan w:val="25"/>
          </w:tcPr>
          <w:p>
            <w:pPr>
              <w:spacing w:after="0" w:line="156" w:lineRule="exact"/>
              <w:rPr>
                <w:rFonts w:ascii="Arial" w:cs="Arial" w:eastAsia="Arial" w:hAnsi="Arial"/>
                <w:sz w:val="18"/>
                <w:szCs w:val="18"/>
                <w:color w:val="0000FF"/>
                <w:w w:val="92"/>
              </w:rPr>
            </w:pPr>
            <w:hyperlink r:id="rId259">
              <w:r>
                <w:rPr>
                  <w:rFonts w:ascii="Arial" w:cs="Arial" w:eastAsia="Arial" w:hAnsi="Arial"/>
                  <w:sz w:val="18"/>
                  <w:szCs w:val="18"/>
                  <w:color w:val="0000FF"/>
                  <w:w w:val="92"/>
                </w:rPr>
                <w:t>Pipeline, L.P., PAA Finance Corp. and U.S. Bank National Association, as trustee (incorporated by reference to Exhibit 4.1 to our</w:t>
              </w:r>
            </w:hyperlink>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59">
              <w:r>
                <w:rPr>
                  <w:rFonts w:ascii="Arial" w:cs="Arial" w:eastAsia="Arial" w:hAnsi="Arial"/>
                  <w:sz w:val="18"/>
                  <w:szCs w:val="18"/>
                  <w:color w:val="0000FF"/>
                </w:rPr>
                <w:t>Current Report on Form 8-K filed August 15, 2013).</w:t>
              </w:r>
            </w:hyperlink>
          </w:p>
        </w:tc>
        <w:tc>
          <w:tcPr>
            <w:tcW w:w="6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200" w:type="dxa"/>
            <w:vAlign w:val="bottom"/>
            <w:tcBorders>
              <w:bottom w:val="single" w:sz="8" w:color="0000FF"/>
            </w:tcBorders>
            <w:gridSpan w:val="16"/>
          </w:tcPr>
          <w:p>
            <w:pPr>
              <w:spacing w:after="0"/>
              <w:rPr>
                <w:rFonts w:ascii="Arial" w:cs="Arial" w:eastAsia="Arial" w:hAnsi="Arial"/>
                <w:sz w:val="18"/>
                <w:szCs w:val="18"/>
                <w:color w:val="0000FF"/>
                <w:w w:val="91"/>
              </w:rPr>
            </w:pPr>
            <w:hyperlink r:id="rId260">
              <w:r>
                <w:rPr>
                  <w:rFonts w:ascii="Arial" w:cs="Arial" w:eastAsia="Arial" w:hAnsi="Arial"/>
                  <w:sz w:val="18"/>
                  <w:szCs w:val="18"/>
                  <w:color w:val="0000FF"/>
                  <w:w w:val="91"/>
                </w:rPr>
                <w:t>Twenty-Fifth Supplemental Indenture (4.70% Senior Notes due 2044) dated April 23, 2014, by and among Plains All American</w:t>
              </w:r>
            </w:hyperlink>
          </w:p>
        </w:tc>
        <w:tc>
          <w:tcPr>
            <w:tcW w:w="60" w:type="dxa"/>
            <w:vAlign w:val="bottom"/>
            <w:gridSpan w:val="3"/>
          </w:tcPr>
          <w:p>
            <w:pPr>
              <w:spacing w:after="0"/>
              <w:rPr>
                <w:sz w:val="24"/>
                <w:szCs w:val="24"/>
                <w:color w:val="auto"/>
              </w:rPr>
            </w:pPr>
          </w:p>
        </w:tc>
        <w:tc>
          <w:tcPr>
            <w:tcW w:w="140" w:type="dxa"/>
            <w:vAlign w:val="bottom"/>
            <w:gridSpan w:val="4"/>
          </w:tcPr>
          <w:p>
            <w:pPr>
              <w:spacing w:after="0"/>
              <w:rPr>
                <w:sz w:val="24"/>
                <w:szCs w:val="24"/>
                <w:color w:val="auto"/>
              </w:rPr>
            </w:pPr>
          </w:p>
        </w:tc>
        <w:tc>
          <w:tcPr>
            <w:tcW w:w="120" w:type="dxa"/>
            <w:vAlign w:val="bottom"/>
            <w:gridSpan w:val="4"/>
          </w:tcPr>
          <w:p>
            <w:pPr>
              <w:spacing w:after="0"/>
              <w:rPr>
                <w:sz w:val="24"/>
                <w:szCs w:val="24"/>
                <w:color w:val="auto"/>
              </w:rPr>
            </w:pPr>
          </w:p>
        </w:tc>
        <w:tc>
          <w:tcPr>
            <w:tcW w:w="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20" w:type="dxa"/>
            <w:vAlign w:val="bottom"/>
            <w:gridSpan w:val="31"/>
          </w:tcPr>
          <w:p>
            <w:pPr>
              <w:spacing w:after="0" w:line="156" w:lineRule="exact"/>
              <w:rPr>
                <w:rFonts w:ascii="Arial" w:cs="Arial" w:eastAsia="Arial" w:hAnsi="Arial"/>
                <w:sz w:val="18"/>
                <w:szCs w:val="18"/>
                <w:color w:val="0000FF"/>
                <w:w w:val="93"/>
              </w:rPr>
            </w:pPr>
            <w:hyperlink r:id="rId260">
              <w:r>
                <w:rPr>
                  <w:rFonts w:ascii="Arial" w:cs="Arial" w:eastAsia="Arial" w:hAnsi="Arial"/>
                  <w:sz w:val="18"/>
                  <w:szCs w:val="18"/>
                  <w:color w:val="0000FF"/>
                  <w:w w:val="93"/>
                </w:rPr>
                <w:t>Pipeline, L.P., PAA Finance Corp. and U.S. Bank National Association, as trustee (incorporated by reference to Exhibit 4.1 to our</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60">
              <w:r>
                <w:rPr>
                  <w:rFonts w:ascii="Arial" w:cs="Arial" w:eastAsia="Arial" w:hAnsi="Arial"/>
                  <w:sz w:val="18"/>
                  <w:szCs w:val="18"/>
                  <w:color w:val="0000FF"/>
                </w:rPr>
                <w:t>Current Report on Form 8-K filed April 29, 2014).</w:t>
              </w:r>
            </w:hyperlink>
          </w:p>
        </w:tc>
        <w:tc>
          <w:tcPr>
            <w:tcW w:w="6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gridSpan w:val="1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24"/>
                <w:szCs w:val="24"/>
                <w:color w:val="auto"/>
              </w:rPr>
            </w:pPr>
          </w:p>
        </w:tc>
        <w:tc>
          <w:tcPr>
            <w:tcW w:w="10080" w:type="dxa"/>
            <w:vAlign w:val="bottom"/>
            <w:gridSpan w:val="32"/>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261">
              <w:r>
                <w:rPr>
                  <w:rFonts w:ascii="Arial" w:cs="Arial" w:eastAsia="Arial" w:hAnsi="Arial"/>
                  <w:sz w:val="18"/>
                  <w:szCs w:val="18"/>
                  <w:color w:val="0000FF"/>
                  <w:w w:val="92"/>
                </w:rPr>
                <w:t>Twenty-Sixth Supplemental Indenture (3.60% Senior Notes due 2024) dated September 9, 2014, by and among Plains All American</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20" w:type="dxa"/>
            <w:vAlign w:val="bottom"/>
            <w:tcBorders>
              <w:top w:val="single" w:sz="8" w:color="0000FF"/>
            </w:tcBorders>
            <w:gridSpan w:val="27"/>
          </w:tcPr>
          <w:p>
            <w:pPr>
              <w:spacing w:after="0" w:line="156" w:lineRule="exact"/>
              <w:rPr>
                <w:rFonts w:ascii="Arial" w:cs="Arial" w:eastAsia="Arial" w:hAnsi="Arial"/>
                <w:sz w:val="18"/>
                <w:szCs w:val="18"/>
                <w:color w:val="0000FF"/>
                <w:w w:val="92"/>
              </w:rPr>
            </w:pPr>
            <w:hyperlink r:id="rId261">
              <w:r>
                <w:rPr>
                  <w:rFonts w:ascii="Arial" w:cs="Arial" w:eastAsia="Arial" w:hAnsi="Arial"/>
                  <w:sz w:val="18"/>
                  <w:szCs w:val="18"/>
                  <w:color w:val="0000FF"/>
                  <w:w w:val="92"/>
                </w:rPr>
                <w:t>Pipeline, L.P., PAA Finance Corp. and U.S. Bank National Association, as trustee (incorporated by reference to Exhibit 4.1 to our</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261">
              <w:r>
                <w:rPr>
                  <w:rFonts w:ascii="Arial" w:cs="Arial" w:eastAsia="Arial" w:hAnsi="Arial"/>
                  <w:sz w:val="18"/>
                  <w:szCs w:val="18"/>
                  <w:color w:val="0000FF"/>
                  <w:w w:val="91"/>
                </w:rPr>
                <w:t>Current Report on Form 8-K filed September 11, 2014).</w:t>
              </w:r>
            </w:hyperlink>
          </w:p>
        </w:tc>
        <w:tc>
          <w:tcPr>
            <w:tcW w:w="5300" w:type="dxa"/>
            <w:vAlign w:val="bottom"/>
            <w:tcBorders>
              <w:top w:val="single" w:sz="8" w:color="0000FF"/>
            </w:tcBorders>
            <w:gridSpan w:val="14"/>
          </w:tcPr>
          <w:p>
            <w:pPr>
              <w:spacing w:after="0"/>
              <w:rPr>
                <w:sz w:val="13"/>
                <w:szCs w:val="13"/>
                <w:color w:val="auto"/>
              </w:rPr>
            </w:pPr>
          </w:p>
        </w:tc>
        <w:tc>
          <w:tcPr>
            <w:tcW w:w="60" w:type="dxa"/>
            <w:vAlign w:val="bottom"/>
            <w:gridSpan w:val="2"/>
          </w:tcPr>
          <w:p>
            <w:pPr>
              <w:spacing w:after="0"/>
              <w:rPr>
                <w:sz w:val="13"/>
                <w:szCs w:val="13"/>
                <w:color w:val="auto"/>
              </w:rPr>
            </w:pPr>
          </w:p>
        </w:tc>
        <w:tc>
          <w:tcPr>
            <w:tcW w:w="20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00" w:type="dxa"/>
            <w:vAlign w:val="bottom"/>
            <w:tcBorders>
              <w:bottom w:val="single" w:sz="8" w:color="0000FF"/>
            </w:tcBorders>
            <w:gridSpan w:val="30"/>
          </w:tcPr>
          <w:p>
            <w:pPr>
              <w:spacing w:after="0"/>
              <w:rPr>
                <w:rFonts w:ascii="Arial" w:cs="Arial" w:eastAsia="Arial" w:hAnsi="Arial"/>
                <w:sz w:val="18"/>
                <w:szCs w:val="18"/>
                <w:color w:val="0000FF"/>
                <w:w w:val="90"/>
              </w:rPr>
            </w:pPr>
            <w:hyperlink r:id="rId262">
              <w:r>
                <w:rPr>
                  <w:rFonts w:ascii="Arial" w:cs="Arial" w:eastAsia="Arial" w:hAnsi="Arial"/>
                  <w:sz w:val="18"/>
                  <w:szCs w:val="18"/>
                  <w:color w:val="0000FF"/>
                  <w:w w:val="90"/>
                </w:rPr>
                <w:t>Twenty-Eighth Supplemental Indenture (4.90% Senior Notes due 2045) dated December 9, 2014, by and among Plains All American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0" w:type="dxa"/>
            <w:vAlign w:val="bottom"/>
            <w:gridSpan w:val="30"/>
          </w:tcPr>
          <w:p>
            <w:pPr>
              <w:spacing w:after="0" w:line="156" w:lineRule="exact"/>
              <w:rPr>
                <w:rFonts w:ascii="Arial" w:cs="Arial" w:eastAsia="Arial" w:hAnsi="Arial"/>
                <w:sz w:val="18"/>
                <w:szCs w:val="18"/>
                <w:color w:val="0000FF"/>
                <w:w w:val="93"/>
              </w:rPr>
            </w:pPr>
            <w:hyperlink r:id="rId262">
              <w:r>
                <w:rPr>
                  <w:rFonts w:ascii="Arial" w:cs="Arial" w:eastAsia="Arial" w:hAnsi="Arial"/>
                  <w:sz w:val="18"/>
                  <w:szCs w:val="18"/>
                  <w:color w:val="0000FF"/>
                  <w:w w:val="93"/>
                </w:rPr>
                <w:t>Pipeline, L.P., PAA Finance Corp. and U.S. Bank National Association, as trustee (incorporated by reference to Exhibit 4.3 to our</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262">
              <w:r>
                <w:rPr>
                  <w:rFonts w:ascii="Arial" w:cs="Arial" w:eastAsia="Arial" w:hAnsi="Arial"/>
                  <w:sz w:val="18"/>
                  <w:szCs w:val="18"/>
                  <w:color w:val="0000FF"/>
                  <w:w w:val="91"/>
                </w:rPr>
                <w:t>Current Report on Form 8-K filed December 11, 2014).</w:t>
              </w:r>
            </w:hyperlink>
          </w:p>
        </w:tc>
        <w:tc>
          <w:tcPr>
            <w:tcW w:w="5340" w:type="dxa"/>
            <w:vAlign w:val="bottom"/>
            <w:tcBorders>
              <w:top w:val="single" w:sz="8" w:color="0000FF"/>
            </w:tcBorders>
            <w:gridSpan w:val="16"/>
          </w:tcPr>
          <w:p>
            <w:pPr>
              <w:spacing w:after="0"/>
              <w:rPr>
                <w:sz w:val="13"/>
                <w:szCs w:val="13"/>
                <w:color w:val="auto"/>
              </w:rPr>
            </w:pPr>
          </w:p>
        </w:tc>
        <w:tc>
          <w:tcPr>
            <w:tcW w:w="60" w:type="dxa"/>
            <w:vAlign w:val="bottom"/>
            <w:gridSpan w:val="2"/>
          </w:tcPr>
          <w:p>
            <w:pPr>
              <w:spacing w:after="0"/>
              <w:rPr>
                <w:sz w:val="13"/>
                <w:szCs w:val="13"/>
                <w:color w:val="auto"/>
              </w:rPr>
            </w:pPr>
          </w:p>
        </w:tc>
        <w:tc>
          <w:tcPr>
            <w:tcW w:w="2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24"/>
                <w:szCs w:val="24"/>
                <w:color w:val="auto"/>
              </w:rPr>
            </w:pPr>
          </w:p>
        </w:tc>
        <w:tc>
          <w:tcPr>
            <w:tcW w:w="10080" w:type="dxa"/>
            <w:vAlign w:val="bottom"/>
            <w:gridSpan w:val="32"/>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63">
              <w:r>
                <w:rPr>
                  <w:rFonts w:ascii="Arial" w:cs="Arial" w:eastAsia="Arial" w:hAnsi="Arial"/>
                  <w:sz w:val="18"/>
                  <w:szCs w:val="18"/>
                  <w:color w:val="0000FF"/>
                  <w:w w:val="94"/>
                </w:rPr>
                <w:t>Twenty-Ninth Supplemental Indenture (4.65% Senior Notes due 2025) dated August 24, 2015, by and among Plains All American</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0" w:type="dxa"/>
            <w:vAlign w:val="bottom"/>
            <w:tcBorders>
              <w:top w:val="single" w:sz="8" w:color="0000FF"/>
            </w:tcBorders>
            <w:gridSpan w:val="23"/>
          </w:tcPr>
          <w:p>
            <w:pPr>
              <w:spacing w:after="0" w:line="156" w:lineRule="exact"/>
              <w:rPr>
                <w:rFonts w:ascii="Arial" w:cs="Arial" w:eastAsia="Arial" w:hAnsi="Arial"/>
                <w:sz w:val="18"/>
                <w:szCs w:val="18"/>
                <w:color w:val="0000FF"/>
                <w:w w:val="91"/>
              </w:rPr>
            </w:pPr>
            <w:hyperlink r:id="rId263">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2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63">
              <w:r>
                <w:rPr>
                  <w:rFonts w:ascii="Arial" w:cs="Arial" w:eastAsia="Arial" w:hAnsi="Arial"/>
                  <w:sz w:val="18"/>
                  <w:szCs w:val="18"/>
                  <w:color w:val="0000FF"/>
                </w:rPr>
                <w:t>Current Report on Form 8-K filed August 26, 2015).</w:t>
              </w:r>
            </w:hyperlink>
          </w:p>
        </w:tc>
        <w:tc>
          <w:tcPr>
            <w:tcW w:w="2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40" w:type="dxa"/>
            <w:vAlign w:val="bottom"/>
            <w:gridSpan w:val="13"/>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260" w:type="dxa"/>
            <w:vAlign w:val="bottom"/>
            <w:tcBorders>
              <w:bottom w:val="single" w:sz="8" w:color="0000FF"/>
            </w:tcBorders>
            <w:gridSpan w:val="19"/>
          </w:tcPr>
          <w:p>
            <w:pPr>
              <w:spacing w:after="0"/>
              <w:rPr>
                <w:rFonts w:ascii="Arial" w:cs="Arial" w:eastAsia="Arial" w:hAnsi="Arial"/>
                <w:sz w:val="18"/>
                <w:szCs w:val="18"/>
                <w:color w:val="0000FF"/>
                <w:w w:val="90"/>
              </w:rPr>
            </w:pPr>
            <w:hyperlink r:id="rId264">
              <w:r>
                <w:rPr>
                  <w:rFonts w:ascii="Arial" w:cs="Arial" w:eastAsia="Arial" w:hAnsi="Arial"/>
                  <w:sz w:val="18"/>
                  <w:szCs w:val="18"/>
                  <w:color w:val="0000FF"/>
                  <w:w w:val="90"/>
                </w:rPr>
                <w:t>Thirtieth Supplemental Indenture (4.50% Senior Notes due 2026) dated November 22, 2016, by and among Plains All American</w:t>
              </w:r>
            </w:hyperlink>
          </w:p>
        </w:tc>
        <w:tc>
          <w:tcPr>
            <w:tcW w:w="3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20" w:type="dxa"/>
            <w:vAlign w:val="bottom"/>
            <w:gridSpan w:val="31"/>
          </w:tcPr>
          <w:p>
            <w:pPr>
              <w:spacing w:after="0" w:line="156" w:lineRule="exact"/>
              <w:rPr>
                <w:rFonts w:ascii="Arial" w:cs="Arial" w:eastAsia="Arial" w:hAnsi="Arial"/>
                <w:sz w:val="18"/>
                <w:szCs w:val="18"/>
                <w:color w:val="0000FF"/>
                <w:w w:val="93"/>
              </w:rPr>
            </w:pPr>
            <w:hyperlink r:id="rId264">
              <w:r>
                <w:rPr>
                  <w:rFonts w:ascii="Arial" w:cs="Arial" w:eastAsia="Arial" w:hAnsi="Arial"/>
                  <w:sz w:val="18"/>
                  <w:szCs w:val="18"/>
                  <w:color w:val="0000FF"/>
                  <w:w w:val="93"/>
                </w:rPr>
                <w:t>Pipeline, L.P., PAA Finance Corp. and U.S. Bank National Association, as trustee (incorporated by reference to Exhibit 4.1 to our</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64">
              <w:r>
                <w:rPr>
                  <w:rFonts w:ascii="Arial" w:cs="Arial" w:eastAsia="Arial" w:hAnsi="Arial"/>
                  <w:sz w:val="18"/>
                  <w:szCs w:val="18"/>
                  <w:color w:val="0000FF"/>
                </w:rPr>
                <w:t>Current Report on Form 8-K filed November 29, 2016).</w:t>
              </w:r>
            </w:hyperlink>
          </w:p>
        </w:tc>
        <w:tc>
          <w:tcPr>
            <w:tcW w:w="2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gridSpan w:val="6"/>
            <w:shd w:val="clear" w:color="auto" w:fill="0000FF"/>
          </w:tcPr>
          <w:p>
            <w:pPr>
              <w:spacing w:after="0" w:line="20" w:lineRule="exact"/>
              <w:rPr>
                <w:sz w:val="1"/>
                <w:szCs w:val="1"/>
                <w:color w:val="auto"/>
              </w:rPr>
            </w:pPr>
          </w:p>
        </w:tc>
        <w:tc>
          <w:tcPr>
            <w:tcW w:w="560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1280" w:type="dxa"/>
            <w:vAlign w:val="bottom"/>
          </w:tcPr>
          <w:p>
            <w:pPr>
              <w:ind w:left="20"/>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24"/>
                <w:szCs w:val="24"/>
                <w:color w:val="auto"/>
              </w:rPr>
            </w:pPr>
          </w:p>
        </w:tc>
        <w:tc>
          <w:tcPr>
            <w:tcW w:w="10080" w:type="dxa"/>
            <w:vAlign w:val="bottom"/>
            <w:gridSpan w:val="32"/>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65">
              <w:r>
                <w:rPr>
                  <w:rFonts w:ascii="Arial" w:cs="Arial" w:eastAsia="Arial" w:hAnsi="Arial"/>
                  <w:sz w:val="18"/>
                  <w:szCs w:val="18"/>
                  <w:u w:val="single" w:color="auto"/>
                  <w:color w:val="0000FF"/>
                  <w:w w:val="93"/>
                </w:rPr>
                <w:t>Thirty-First Supplemental Indenture (3.55% Senior Notes due 2029) dated September 16, 2019, by and among Plains All American</w:t>
              </w:r>
            </w:hyperlink>
          </w:p>
        </w:tc>
        <w:tc>
          <w:tcPr>
            <w:tcW w:w="0" w:type="dxa"/>
            <w:vAlign w:val="bottom"/>
          </w:tcPr>
          <w:p>
            <w:pPr>
              <w:spacing w:after="0"/>
              <w:rPr>
                <w:sz w:val="1"/>
                <w:szCs w:val="1"/>
                <w:color w:val="auto"/>
              </w:rPr>
            </w:pPr>
          </w:p>
        </w:tc>
      </w:tr>
    </w:tbl>
    <w:p>
      <w:pPr>
        <w:ind w:left="1760" w:right="280"/>
        <w:spacing w:after="0" w:line="226" w:lineRule="auto"/>
        <w:rPr>
          <w:rFonts w:ascii="Arial" w:cs="Arial" w:eastAsia="Arial" w:hAnsi="Arial"/>
          <w:sz w:val="18"/>
          <w:szCs w:val="18"/>
          <w:u w:val="single" w:color="auto"/>
          <w:color w:val="0000FF"/>
        </w:rPr>
      </w:pPr>
      <w:hyperlink r:id="rId265">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265">
        <w:r>
          <w:rPr>
            <w:rFonts w:ascii="Arial" w:cs="Arial" w:eastAsia="Arial" w:hAnsi="Arial"/>
            <w:sz w:val="18"/>
            <w:szCs w:val="18"/>
            <w:u w:val="single" w:color="auto"/>
            <w:color w:val="0000FF"/>
          </w:rPr>
          <w:t>Current Report on Form 8-K filed September 17, 2019).</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FF"/>
                <w:w w:val="90"/>
              </w:rPr>
            </w:pPr>
            <w:hyperlink w:anchor="page1">
              <w:r>
                <w:rPr>
                  <w:rFonts w:ascii="Arial" w:cs="Arial" w:eastAsia="Arial" w:hAnsi="Arial"/>
                  <w:sz w:val="18"/>
                  <w:szCs w:val="18"/>
                  <w:color w:val="0000FF"/>
                  <w:w w:val="90"/>
                </w:rPr>
                <w:t>Table of Contents</w:t>
              </w:r>
            </w:hyperlink>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267">
              <w:r>
                <w:rPr>
                  <w:rFonts w:ascii="Arial" w:cs="Arial" w:eastAsia="Arial" w:hAnsi="Arial"/>
                  <w:sz w:val="18"/>
                  <w:szCs w:val="18"/>
                  <w:color w:val="0000FF"/>
                  <w:w w:val="92"/>
                </w:rPr>
                <w:t>Registration Rights Agreement dated September 3, 2009 by and between Plains All American Pipeline, L.P. and Vulcan Gas Storage</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267">
              <w:r>
                <w:rPr>
                  <w:rFonts w:ascii="Arial" w:cs="Arial" w:eastAsia="Arial" w:hAnsi="Arial"/>
                  <w:sz w:val="18"/>
                  <w:szCs w:val="18"/>
                  <w:color w:val="0000FF"/>
                  <w:w w:val="91"/>
                </w:rPr>
                <w:t>LLC (incorporated by reference to Exhibit 4.1 to our Registration Statement on Form S-3, File No. 333-162477).</w:t>
              </w:r>
            </w:hyperlink>
          </w:p>
        </w:tc>
        <w:tc>
          <w:tcPr>
            <w:tcW w:w="14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68">
              <w:r>
                <w:rPr>
                  <w:rFonts w:ascii="Arial" w:cs="Arial" w:eastAsia="Arial" w:hAnsi="Arial"/>
                  <w:sz w:val="18"/>
                  <w:szCs w:val="18"/>
                  <w:color w:val="0000FF"/>
                  <w:w w:val="93"/>
                </w:rPr>
                <w:t>Registration Rights Agreement dated as of January 28, 2016 among Plains All American Pipeline, L.P. and the Purchasers named</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68">
              <w:r>
                <w:rPr>
                  <w:rFonts w:ascii="Arial" w:cs="Arial" w:eastAsia="Arial" w:hAnsi="Arial"/>
                  <w:sz w:val="18"/>
                  <w:szCs w:val="18"/>
                  <w:color w:val="0000FF"/>
                </w:rPr>
                <w:t>therein (incorporated by reference to Exhibit 4.1 to our Current Report on Form 8-K filed February 2,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69">
              <w:r>
                <w:rPr>
                  <w:rFonts w:ascii="Arial" w:cs="Arial" w:eastAsia="Arial" w:hAnsi="Arial"/>
                  <w:sz w:val="18"/>
                  <w:szCs w:val="18"/>
                  <w:color w:val="0000FF"/>
                  <w:w w:val="94"/>
                </w:rPr>
                <w:t>Registration Rights Agreement by and among Plains All American Pipeline, L.P. and the Holders defined therein, dated November</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69">
              <w:r>
                <w:rPr>
                  <w:rFonts w:ascii="Arial" w:cs="Arial" w:eastAsia="Arial" w:hAnsi="Arial"/>
                  <w:sz w:val="18"/>
                  <w:szCs w:val="18"/>
                  <w:color w:val="0000FF"/>
                </w:rPr>
                <w:t>15, 2016 (incorporated by reference to Exhibit 10.4 to our Current Report on Form 8-K filed November 21,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4.19 †</w:t>
            </w:r>
          </w:p>
        </w:tc>
        <w:tc>
          <w:tcPr>
            <w:tcW w:w="10060" w:type="dxa"/>
            <w:vAlign w:val="bottom"/>
            <w:gridSpan w:val="34"/>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98">
              <w:r>
                <w:rPr>
                  <w:rFonts w:ascii="Arial" w:cs="Arial" w:eastAsia="Arial" w:hAnsi="Arial"/>
                  <w:sz w:val="18"/>
                  <w:szCs w:val="18"/>
                  <w:color w:val="0000FF"/>
                </w:rPr>
                <w:t>Description of Our Securities.</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270">
              <w:r>
                <w:rPr>
                  <w:rFonts w:ascii="Arial" w:cs="Arial" w:eastAsia="Arial" w:hAnsi="Arial"/>
                  <w:sz w:val="18"/>
                  <w:szCs w:val="18"/>
                  <w:color w:val="0000FF"/>
                  <w:w w:val="92"/>
                </w:rPr>
                <w:t>Credit Agreement dated as of August 19, 2011 among Plains All American Pipeline, L.P., as Borrower; certain subsidiaries of Plains</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40" w:type="dxa"/>
            <w:vAlign w:val="bottom"/>
            <w:tcBorders>
              <w:top w:val="single" w:sz="8" w:color="0000FF"/>
            </w:tcBorders>
            <w:gridSpan w:val="30"/>
          </w:tcPr>
          <w:p>
            <w:pPr>
              <w:spacing w:after="0" w:line="156" w:lineRule="exact"/>
              <w:rPr>
                <w:rFonts w:ascii="Arial" w:cs="Arial" w:eastAsia="Arial" w:hAnsi="Arial"/>
                <w:sz w:val="18"/>
                <w:szCs w:val="18"/>
                <w:color w:val="0000FF"/>
                <w:w w:val="94"/>
              </w:rPr>
            </w:pPr>
            <w:hyperlink r:id="rId270">
              <w:r>
                <w:rPr>
                  <w:rFonts w:ascii="Arial" w:cs="Arial" w:eastAsia="Arial" w:hAnsi="Arial"/>
                  <w:sz w:val="18"/>
                  <w:szCs w:val="18"/>
                  <w:color w:val="0000FF"/>
                  <w:w w:val="94"/>
                </w:rPr>
                <w:t>All American Pipeline, L.P. from time to time party thereto, as Designated Borrowers; Bank of America, N.A., as Administrative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00" w:type="dxa"/>
            <w:vAlign w:val="bottom"/>
            <w:tcBorders>
              <w:top w:val="single" w:sz="8" w:color="0000FF"/>
            </w:tcBorders>
            <w:gridSpan w:val="20"/>
          </w:tcPr>
          <w:p>
            <w:pPr>
              <w:spacing w:after="0" w:line="156" w:lineRule="exact"/>
              <w:rPr>
                <w:rFonts w:ascii="Arial" w:cs="Arial" w:eastAsia="Arial" w:hAnsi="Arial"/>
                <w:sz w:val="18"/>
                <w:szCs w:val="18"/>
                <w:color w:val="0000FF"/>
                <w:w w:val="93"/>
              </w:rPr>
            </w:pPr>
            <w:hyperlink r:id="rId270">
              <w:r>
                <w:rPr>
                  <w:rFonts w:ascii="Arial" w:cs="Arial" w:eastAsia="Arial" w:hAnsi="Arial"/>
                  <w:sz w:val="18"/>
                  <w:szCs w:val="18"/>
                  <w:color w:val="0000FF"/>
                  <w:w w:val="93"/>
                </w:rPr>
                <w:t>Agent; and the other Lenders party thereto (incorporated by reference to Exhibit 10.1 to our Current Report on Form 8-K filed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70">
              <w:r>
                <w:rPr>
                  <w:rFonts w:ascii="Arial" w:cs="Arial" w:eastAsia="Arial" w:hAnsi="Arial"/>
                  <w:sz w:val="18"/>
                  <w:szCs w:val="18"/>
                  <w:color w:val="0000FF"/>
                </w:rPr>
                <w:t>August 25, 2011).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71">
              <w:r>
                <w:rPr>
                  <w:rFonts w:ascii="Arial" w:cs="Arial" w:eastAsia="Arial" w:hAnsi="Arial"/>
                  <w:sz w:val="18"/>
                  <w:szCs w:val="18"/>
                  <w:color w:val="0000FF"/>
                  <w:w w:val="94"/>
                </w:rPr>
                <w:t>First Amendment to Credit Agreement dated as of June 27, 2012, among Plains All American Pipeline, L.P. and Plains Midstream</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80" w:type="dxa"/>
            <w:vAlign w:val="bottom"/>
            <w:tcBorders>
              <w:top w:val="single" w:sz="8" w:color="0000FF"/>
            </w:tcBorders>
            <w:gridSpan w:val="24"/>
          </w:tcPr>
          <w:p>
            <w:pPr>
              <w:spacing w:after="0" w:line="156" w:lineRule="exact"/>
              <w:rPr>
                <w:rFonts w:ascii="Arial" w:cs="Arial" w:eastAsia="Arial" w:hAnsi="Arial"/>
                <w:sz w:val="18"/>
                <w:szCs w:val="18"/>
                <w:color w:val="0000FF"/>
                <w:w w:val="94"/>
              </w:rPr>
            </w:pPr>
            <w:hyperlink r:id="rId271">
              <w:r>
                <w:rPr>
                  <w:rFonts w:ascii="Arial" w:cs="Arial" w:eastAsia="Arial" w:hAnsi="Arial"/>
                  <w:sz w:val="18"/>
                  <w:szCs w:val="18"/>
                  <w:color w:val="0000FF"/>
                  <w:w w:val="94"/>
                </w:rPr>
                <w:t>Canada ULC, as Borrowers; Bank of America, N.A., as Administrative Agent, Swing Line Lender and L/C Issuer; Wells Fargo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16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r:id="rId271">
              <w:r>
                <w:rPr>
                  <w:rFonts w:ascii="Arial" w:cs="Arial" w:eastAsia="Arial" w:hAnsi="Arial"/>
                  <w:sz w:val="18"/>
                  <w:szCs w:val="18"/>
                  <w:color w:val="0000FF"/>
                  <w:w w:val="91"/>
                </w:rPr>
                <w:t>Bank, National Association, as an L/C Issuer; and the other Lenders party thereto (incorporated by reference to Exhibit 10.2 to</w:t>
              </w:r>
            </w:hyperlink>
          </w:p>
        </w:tc>
        <w:tc>
          <w:tcPr>
            <w:tcW w:w="440" w:type="dxa"/>
            <w:vAlign w:val="bottom"/>
            <w:gridSpan w:val="18"/>
          </w:tcPr>
          <w:p>
            <w:pPr>
              <w:spacing w:after="0" w:line="156" w:lineRule="exact"/>
              <w:rPr>
                <w:rFonts w:ascii="Arial" w:cs="Arial" w:eastAsia="Arial" w:hAnsi="Arial"/>
                <w:sz w:val="18"/>
                <w:szCs w:val="18"/>
                <w:color w:val="0000FF"/>
              </w:rPr>
            </w:pPr>
            <w:hyperlink r:id="rId271">
              <w:r>
                <w:rPr>
                  <w:rFonts w:ascii="Arial" w:cs="Arial" w:eastAsia="Arial" w:hAnsi="Arial"/>
                  <w:sz w:val="18"/>
                  <w:szCs w:val="18"/>
                  <w:color w:val="0000FF"/>
                </w:rPr>
                <w:t>our</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271">
              <w:r>
                <w:rPr>
                  <w:rFonts w:ascii="Arial" w:cs="Arial" w:eastAsia="Arial" w:hAnsi="Arial"/>
                  <w:sz w:val="18"/>
                  <w:szCs w:val="18"/>
                  <w:color w:val="0000FF"/>
                  <w:w w:val="92"/>
                </w:rPr>
                <w:t>Current Report on Form 8-K filed July 3, 2012).</w:t>
              </w:r>
            </w:hyperlink>
          </w:p>
        </w:tc>
        <w:tc>
          <w:tcPr>
            <w:tcW w:w="592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8940" w:type="dxa"/>
            <w:vAlign w:val="bottom"/>
            <w:tcBorders>
              <w:bottom w:val="single" w:sz="8" w:color="0000FF"/>
            </w:tcBorders>
            <w:gridSpan w:val="13"/>
          </w:tcPr>
          <w:p>
            <w:pPr>
              <w:spacing w:after="0"/>
              <w:rPr>
                <w:rFonts w:ascii="Arial" w:cs="Arial" w:eastAsia="Arial" w:hAnsi="Arial"/>
                <w:sz w:val="18"/>
                <w:szCs w:val="18"/>
                <w:color w:val="0000FF"/>
                <w:w w:val="90"/>
              </w:rPr>
            </w:pPr>
            <w:hyperlink r:id="rId272">
              <w:r>
                <w:rPr>
                  <w:rFonts w:ascii="Arial" w:cs="Arial" w:eastAsia="Arial" w:hAnsi="Arial"/>
                  <w:sz w:val="18"/>
                  <w:szCs w:val="18"/>
                  <w:color w:val="0000FF"/>
                  <w:w w:val="90"/>
                </w:rPr>
                <w:t>Second Amendment to Credit Agreement dated as of August 16, 2013, among Plains All American Pipeline, L.P. and Plains</w:t>
              </w:r>
            </w:hyperlink>
          </w:p>
        </w:tc>
        <w:tc>
          <w:tcPr>
            <w:tcW w:w="2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20" w:type="dxa"/>
            <w:vAlign w:val="bottom"/>
            <w:tcBorders>
              <w:bottom w:val="single" w:sz="8" w:color="0000FF"/>
            </w:tcBorders>
            <w:gridSpan w:val="29"/>
          </w:tcPr>
          <w:p>
            <w:pPr>
              <w:spacing w:after="0" w:line="156" w:lineRule="exact"/>
              <w:rPr>
                <w:rFonts w:ascii="Arial" w:cs="Arial" w:eastAsia="Arial" w:hAnsi="Arial"/>
                <w:sz w:val="18"/>
                <w:szCs w:val="18"/>
                <w:color w:val="0000FF"/>
                <w:w w:val="92"/>
              </w:rPr>
            </w:pPr>
            <w:hyperlink r:id="rId272">
              <w:r>
                <w:rPr>
                  <w:rFonts w:ascii="Arial" w:cs="Arial" w:eastAsia="Arial" w:hAnsi="Arial"/>
                  <w:sz w:val="18"/>
                  <w:szCs w:val="18"/>
                  <w:color w:val="0000FF"/>
                  <w:w w:val="92"/>
                </w:rPr>
                <w:t>Midstream Canada ULC, as Borrowers; Bank of America, N.A., as Administrative Agent, Swing Line Lender and L/C Issuer; Wells</w:t>
              </w:r>
            </w:hyperlink>
          </w:p>
        </w:tc>
        <w:tc>
          <w:tcPr>
            <w:tcW w:w="80" w:type="dxa"/>
            <w:vAlign w:val="bottom"/>
            <w:gridSpan w:val="4"/>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0" w:type="dxa"/>
            <w:vAlign w:val="bottom"/>
            <w:gridSpan w:val="33"/>
          </w:tcPr>
          <w:p>
            <w:pPr>
              <w:spacing w:after="0" w:line="156" w:lineRule="exact"/>
              <w:rPr>
                <w:rFonts w:ascii="Arial" w:cs="Arial" w:eastAsia="Arial" w:hAnsi="Arial"/>
                <w:sz w:val="18"/>
                <w:szCs w:val="18"/>
                <w:color w:val="0000FF"/>
                <w:w w:val="90"/>
              </w:rPr>
            </w:pPr>
            <w:hyperlink r:id="rId272">
              <w:r>
                <w:rPr>
                  <w:rFonts w:ascii="Arial" w:cs="Arial" w:eastAsia="Arial" w:hAnsi="Arial"/>
                  <w:sz w:val="18"/>
                  <w:szCs w:val="18"/>
                  <w:color w:val="0000FF"/>
                  <w:w w:val="90"/>
                </w:rPr>
                <w:t>Fargo Bank, National Association, as an L/C Issuer; and the other Lenders party thereto (incorporated by reference to Exhibit 10.2 to</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8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272">
              <w:r>
                <w:rPr>
                  <w:rFonts w:ascii="Arial" w:cs="Arial" w:eastAsia="Arial" w:hAnsi="Arial"/>
                  <w:sz w:val="18"/>
                  <w:szCs w:val="18"/>
                  <w:color w:val="0000FF"/>
                </w:rPr>
                <w:t>our Current Report on Form 8-K filed August 20, 2013).</w:t>
              </w:r>
            </w:hyperlink>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273">
              <w:r>
                <w:rPr>
                  <w:rFonts w:ascii="Arial" w:cs="Arial" w:eastAsia="Arial" w:hAnsi="Arial"/>
                  <w:sz w:val="18"/>
                  <w:szCs w:val="18"/>
                  <w:color w:val="0000FF"/>
                </w:rPr>
                <w:t>Third Amendment to Credit Agreement dated as of August 11, 2016, among Plains All American Pipeline, L.P. and Plains</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320" w:type="dxa"/>
            <w:vAlign w:val="bottom"/>
            <w:gridSpan w:val="5"/>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20" w:type="dxa"/>
            <w:vAlign w:val="bottom"/>
            <w:tcBorders>
              <w:bottom w:val="single" w:sz="8" w:color="0000FF"/>
            </w:tcBorders>
            <w:gridSpan w:val="29"/>
          </w:tcPr>
          <w:p>
            <w:pPr>
              <w:spacing w:after="0" w:line="156" w:lineRule="exact"/>
              <w:rPr>
                <w:rFonts w:ascii="Arial" w:cs="Arial" w:eastAsia="Arial" w:hAnsi="Arial"/>
                <w:sz w:val="18"/>
                <w:szCs w:val="18"/>
                <w:color w:val="0000FF"/>
                <w:w w:val="92"/>
              </w:rPr>
            </w:pPr>
            <w:hyperlink r:id="rId273">
              <w:r>
                <w:rPr>
                  <w:rFonts w:ascii="Arial" w:cs="Arial" w:eastAsia="Arial" w:hAnsi="Arial"/>
                  <w:sz w:val="18"/>
                  <w:szCs w:val="18"/>
                  <w:color w:val="0000FF"/>
                  <w:w w:val="92"/>
                </w:rPr>
                <w:t>Midstream Canada ULC, as Borrowers; Bank of America, N.A., as Administrative Agent, Swing Line Lender and L/C Issuer; Wells</w:t>
              </w:r>
            </w:hyperlink>
          </w:p>
        </w:tc>
        <w:tc>
          <w:tcPr>
            <w:tcW w:w="80" w:type="dxa"/>
            <w:vAlign w:val="bottom"/>
            <w:gridSpan w:val="4"/>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0" w:type="dxa"/>
            <w:vAlign w:val="bottom"/>
            <w:gridSpan w:val="33"/>
          </w:tcPr>
          <w:p>
            <w:pPr>
              <w:spacing w:after="0" w:line="156" w:lineRule="exact"/>
              <w:rPr>
                <w:rFonts w:ascii="Arial" w:cs="Arial" w:eastAsia="Arial" w:hAnsi="Arial"/>
                <w:sz w:val="18"/>
                <w:szCs w:val="18"/>
                <w:color w:val="0000FF"/>
                <w:w w:val="90"/>
              </w:rPr>
            </w:pPr>
            <w:hyperlink r:id="rId273">
              <w:r>
                <w:rPr>
                  <w:rFonts w:ascii="Arial" w:cs="Arial" w:eastAsia="Arial" w:hAnsi="Arial"/>
                  <w:sz w:val="18"/>
                  <w:szCs w:val="18"/>
                  <w:color w:val="0000FF"/>
                  <w:w w:val="90"/>
                </w:rPr>
                <w:t>Fargo Bank, National Association, as an L/C Issuer; and the other Lenders party thereto (incorporated by reference to Exhibit 10.1 to</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8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273">
              <w:r>
                <w:rPr>
                  <w:rFonts w:ascii="Arial" w:cs="Arial" w:eastAsia="Arial" w:hAnsi="Arial"/>
                  <w:sz w:val="18"/>
                  <w:szCs w:val="18"/>
                  <w:color w:val="0000FF"/>
                </w:rPr>
                <w:t>our Current Report on Form 8-K filed August 17, 2016).</w:t>
              </w:r>
            </w:hyperlink>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74">
              <w:r>
                <w:rPr>
                  <w:rFonts w:ascii="Arial" w:cs="Arial" w:eastAsia="Arial" w:hAnsi="Arial"/>
                  <w:sz w:val="18"/>
                  <w:szCs w:val="18"/>
                  <w:color w:val="0000FF"/>
                  <w:w w:val="95"/>
                </w:rPr>
                <w:t>Third Amended and Restated Credit Agreement dated as of August 19, 2011 by and among Plains Marketing, L.P., as Borrower,</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40" w:type="dxa"/>
            <w:vAlign w:val="bottom"/>
            <w:tcBorders>
              <w:top w:val="single" w:sz="8" w:color="0000FF"/>
            </w:tcBorders>
            <w:gridSpan w:val="19"/>
          </w:tcPr>
          <w:p>
            <w:pPr>
              <w:spacing w:after="0" w:line="156" w:lineRule="exact"/>
              <w:rPr>
                <w:rFonts w:ascii="Arial" w:cs="Arial" w:eastAsia="Arial" w:hAnsi="Arial"/>
                <w:sz w:val="18"/>
                <w:szCs w:val="18"/>
                <w:color w:val="0000FF"/>
                <w:w w:val="92"/>
              </w:rPr>
            </w:pPr>
            <w:hyperlink r:id="rId274">
              <w:r>
                <w:rPr>
                  <w:rFonts w:ascii="Arial" w:cs="Arial" w:eastAsia="Arial" w:hAnsi="Arial"/>
                  <w:sz w:val="18"/>
                  <w:szCs w:val="18"/>
                  <w:color w:val="0000FF"/>
                  <w:w w:val="92"/>
                </w:rPr>
                <w:t>Plains All American Pipeline, L.P., as Guarantor, Bank of America, N.A., as Administrative Agent, and the other Lenders party</w:t>
              </w:r>
            </w:hyperlink>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1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74">
              <w:r>
                <w:rPr>
                  <w:rFonts w:ascii="Arial" w:cs="Arial" w:eastAsia="Arial" w:hAnsi="Arial"/>
                  <w:sz w:val="18"/>
                  <w:szCs w:val="18"/>
                  <w:color w:val="0000FF"/>
                </w:rPr>
                <w:t>thereto (incorporated by reference to Exhibit 10.2 to our Current Report on Form 8-K filed August 25,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320" w:type="dxa"/>
            <w:vAlign w:val="bottom"/>
            <w:gridSpan w:val="5"/>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360" w:type="dxa"/>
            <w:vAlign w:val="bottom"/>
            <w:tcBorders>
              <w:bottom w:val="single" w:sz="8" w:color="0000FF"/>
            </w:tcBorders>
            <w:gridSpan w:val="23"/>
          </w:tcPr>
          <w:p>
            <w:pPr>
              <w:spacing w:after="0"/>
              <w:rPr>
                <w:rFonts w:ascii="Arial" w:cs="Arial" w:eastAsia="Arial" w:hAnsi="Arial"/>
                <w:sz w:val="18"/>
                <w:szCs w:val="18"/>
                <w:color w:val="0000FF"/>
                <w:w w:val="90"/>
              </w:rPr>
            </w:pPr>
            <w:hyperlink r:id="rId275">
              <w:r>
                <w:rPr>
                  <w:rFonts w:ascii="Arial" w:cs="Arial" w:eastAsia="Arial" w:hAnsi="Arial"/>
                  <w:sz w:val="18"/>
                  <w:szCs w:val="18"/>
                  <w:color w:val="0000FF"/>
                  <w:w w:val="90"/>
                </w:rPr>
                <w:t>First Amendment to Third Amended and Restated Credit Agreement dated as of June 27, 2012, among Plains Marketing, L.P. and</w:t>
              </w:r>
            </w:hyperlink>
          </w:p>
        </w:tc>
        <w:tc>
          <w:tcPr>
            <w:tcW w:w="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60" w:type="dxa"/>
            <w:vAlign w:val="bottom"/>
            <w:gridSpan w:val="23"/>
          </w:tcPr>
          <w:p>
            <w:pPr>
              <w:spacing w:after="0" w:line="156" w:lineRule="exact"/>
              <w:rPr>
                <w:rFonts w:ascii="Arial" w:cs="Arial" w:eastAsia="Arial" w:hAnsi="Arial"/>
                <w:sz w:val="18"/>
                <w:szCs w:val="18"/>
                <w:color w:val="0000FF"/>
                <w:w w:val="96"/>
              </w:rPr>
            </w:pPr>
            <w:hyperlink r:id="rId275">
              <w:r>
                <w:rPr>
                  <w:rFonts w:ascii="Arial" w:cs="Arial" w:eastAsia="Arial" w:hAnsi="Arial"/>
                  <w:sz w:val="18"/>
                  <w:szCs w:val="18"/>
                  <w:color w:val="0000FF"/>
                  <w:w w:val="96"/>
                </w:rPr>
                <w:t>Plains Midstream Canada ULC, as Borrowers; Plains All American Pipeline, L.P., as Guarantor; Bank of America, N.A., as</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900" w:type="dxa"/>
            <w:vAlign w:val="bottom"/>
            <w:tcBorders>
              <w:top w:val="single" w:sz="8" w:color="0000FF"/>
            </w:tcBorders>
            <w:gridSpan w:val="12"/>
          </w:tcPr>
          <w:p>
            <w:pPr>
              <w:spacing w:after="0" w:line="156" w:lineRule="exact"/>
              <w:rPr>
                <w:rFonts w:ascii="Arial" w:cs="Arial" w:eastAsia="Arial" w:hAnsi="Arial"/>
                <w:sz w:val="18"/>
                <w:szCs w:val="18"/>
                <w:color w:val="0000FF"/>
                <w:w w:val="90"/>
              </w:rPr>
            </w:pPr>
            <w:hyperlink r:id="rId275">
              <w:r>
                <w:rPr>
                  <w:rFonts w:ascii="Arial" w:cs="Arial" w:eastAsia="Arial" w:hAnsi="Arial"/>
                  <w:sz w:val="18"/>
                  <w:szCs w:val="18"/>
                  <w:color w:val="0000FF"/>
                  <w:w w:val="90"/>
                </w:rPr>
                <w:t>Administrative Agent, Swing Line Lender and L/C Issuer; and the other Lenders and L/C Issuers party thereto (incorporated</w:t>
              </w:r>
            </w:hyperlink>
          </w:p>
        </w:tc>
        <w:tc>
          <w:tcPr>
            <w:tcW w:w="700" w:type="dxa"/>
            <w:vAlign w:val="bottom"/>
            <w:gridSpan w:val="21"/>
          </w:tcPr>
          <w:p>
            <w:pPr>
              <w:ind w:left="100"/>
              <w:spacing w:after="0" w:line="156" w:lineRule="exact"/>
              <w:rPr>
                <w:rFonts w:ascii="Arial" w:cs="Arial" w:eastAsia="Arial" w:hAnsi="Arial"/>
                <w:sz w:val="18"/>
                <w:szCs w:val="18"/>
                <w:color w:val="0000FF"/>
              </w:rPr>
            </w:pPr>
            <w:hyperlink r:id="rId275">
              <w:r>
                <w:rPr>
                  <w:rFonts w:ascii="Arial" w:cs="Arial" w:eastAsia="Arial" w:hAnsi="Arial"/>
                  <w:sz w:val="18"/>
                  <w:szCs w:val="18"/>
                  <w:color w:val="0000FF"/>
                </w:rPr>
                <w:t>by</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275">
              <w:r>
                <w:rPr>
                  <w:rFonts w:ascii="Arial" w:cs="Arial" w:eastAsia="Arial" w:hAnsi="Arial"/>
                  <w:sz w:val="18"/>
                  <w:szCs w:val="18"/>
                  <w:color w:val="0000FF"/>
                  <w:w w:val="91"/>
                </w:rPr>
                <w:t>reference to Exhibit 10.1 to our Current Report on Form 8-K filed July 3, 2012).</w:t>
              </w:r>
            </w:hyperlink>
          </w:p>
        </w:tc>
        <w:tc>
          <w:tcPr>
            <w:tcW w:w="34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FF"/>
            </w:tcBorders>
            <w:gridSpan w:val="28"/>
          </w:tcPr>
          <w:p>
            <w:pPr>
              <w:spacing w:after="0"/>
              <w:rPr>
                <w:rFonts w:ascii="Arial" w:cs="Arial" w:eastAsia="Arial" w:hAnsi="Arial"/>
                <w:sz w:val="18"/>
                <w:szCs w:val="18"/>
                <w:color w:val="0000FF"/>
                <w:w w:val="90"/>
              </w:rPr>
            </w:pPr>
            <w:hyperlink r:id="rId276">
              <w:r>
                <w:rPr>
                  <w:rFonts w:ascii="Arial" w:cs="Arial" w:eastAsia="Arial" w:hAnsi="Arial"/>
                  <w:sz w:val="18"/>
                  <w:szCs w:val="18"/>
                  <w:color w:val="0000FF"/>
                  <w:w w:val="90"/>
                </w:rPr>
                <w:t>Second Amendment to Third Amended and Restated Credit Agreement dated as of August 16, 2013, among Plains Marketing, L.P.</w:t>
              </w:r>
            </w:hyperlink>
          </w:p>
        </w:tc>
        <w:tc>
          <w:tcPr>
            <w:tcW w:w="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20" w:type="dxa"/>
            <w:vAlign w:val="bottom"/>
            <w:tcBorders>
              <w:bottom w:val="single" w:sz="8" w:color="0000FF"/>
            </w:tcBorders>
            <w:gridSpan w:val="18"/>
          </w:tcPr>
          <w:p>
            <w:pPr>
              <w:spacing w:after="0" w:line="156" w:lineRule="exact"/>
              <w:rPr>
                <w:rFonts w:ascii="Arial" w:cs="Arial" w:eastAsia="Arial" w:hAnsi="Arial"/>
                <w:sz w:val="18"/>
                <w:szCs w:val="18"/>
                <w:color w:val="0000FF"/>
                <w:w w:val="91"/>
              </w:rPr>
            </w:pPr>
            <w:hyperlink r:id="rId276">
              <w:r>
                <w:rPr>
                  <w:rFonts w:ascii="Arial" w:cs="Arial" w:eastAsia="Arial" w:hAnsi="Arial"/>
                  <w:sz w:val="18"/>
                  <w:szCs w:val="18"/>
                  <w:color w:val="0000FF"/>
                  <w:w w:val="91"/>
                </w:rPr>
                <w:t>and Plains Midstream Canada ULC, as Borrowers; Plains All American Pipeline, L.P., as Guarantor; Bank of America, N.A., as</w:t>
              </w:r>
            </w:hyperlink>
          </w:p>
        </w:tc>
        <w:tc>
          <w:tcPr>
            <w:tcW w:w="240" w:type="dxa"/>
            <w:vAlign w:val="bottom"/>
            <w:gridSpan w:val="10"/>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40" w:type="dxa"/>
            <w:vAlign w:val="bottom"/>
            <w:tcBorders>
              <w:bottom w:val="single" w:sz="8" w:color="0000FF"/>
            </w:tcBorders>
            <w:gridSpan w:val="27"/>
          </w:tcPr>
          <w:p>
            <w:pPr>
              <w:spacing w:after="0" w:line="156" w:lineRule="exact"/>
              <w:rPr>
                <w:rFonts w:ascii="Arial" w:cs="Arial" w:eastAsia="Arial" w:hAnsi="Arial"/>
                <w:sz w:val="18"/>
                <w:szCs w:val="18"/>
                <w:color w:val="0000FF"/>
                <w:w w:val="91"/>
              </w:rPr>
            </w:pPr>
            <w:hyperlink r:id="rId276">
              <w:r>
                <w:rPr>
                  <w:rFonts w:ascii="Arial" w:cs="Arial" w:eastAsia="Arial" w:hAnsi="Arial"/>
                  <w:sz w:val="18"/>
                  <w:szCs w:val="18"/>
                  <w:color w:val="0000FF"/>
                  <w:w w:val="91"/>
                </w:rPr>
                <w:t>Administrative Agent, Swing Line Lender and L/C Issuer; Wells Fargo Bank, National Association, as an L/C Issuer; and the other</w:t>
              </w:r>
            </w:hyperlink>
          </w:p>
        </w:tc>
        <w:tc>
          <w:tcPr>
            <w:tcW w:w="160" w:type="dxa"/>
            <w:vAlign w:val="bottom"/>
            <w:gridSpan w:val="6"/>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0" w:type="dxa"/>
            <w:vAlign w:val="bottom"/>
            <w:tcBorders>
              <w:bottom w:val="single" w:sz="8" w:color="0000FF"/>
            </w:tcBorders>
            <w:gridSpan w:val="33"/>
          </w:tcPr>
          <w:p>
            <w:pPr>
              <w:spacing w:after="0" w:line="156" w:lineRule="exact"/>
              <w:rPr>
                <w:rFonts w:ascii="Arial" w:cs="Arial" w:eastAsia="Arial" w:hAnsi="Arial"/>
                <w:sz w:val="18"/>
                <w:szCs w:val="18"/>
                <w:color w:val="0000FF"/>
                <w:w w:val="91"/>
              </w:rPr>
            </w:pPr>
            <w:hyperlink r:id="rId276">
              <w:r>
                <w:rPr>
                  <w:rFonts w:ascii="Arial" w:cs="Arial" w:eastAsia="Arial" w:hAnsi="Arial"/>
                  <w:sz w:val="18"/>
                  <w:szCs w:val="18"/>
                  <w:color w:val="0000FF"/>
                  <w:w w:val="91"/>
                </w:rPr>
                <w:t>Lenders and L/C Issuers party thereto (incorporated by reference to Exhibit 10.1 to our Current Report on Form 8-K filed August 20,</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276">
              <w:r>
                <w:rPr>
                  <w:rFonts w:ascii="Arial" w:cs="Arial" w:eastAsia="Arial" w:hAnsi="Arial"/>
                  <w:sz w:val="18"/>
                  <w:szCs w:val="18"/>
                  <w:color w:val="0000FF"/>
                  <w:w w:val="86"/>
                </w:rPr>
                <w:t>2013).</w:t>
              </w:r>
            </w:hyperlink>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320" w:type="dxa"/>
            <w:vAlign w:val="bottom"/>
            <w:tcBorders>
              <w:bottom w:val="single" w:sz="8" w:color="0000FF"/>
            </w:tcBorders>
            <w:gridSpan w:val="21"/>
          </w:tcPr>
          <w:p>
            <w:pPr>
              <w:spacing w:after="0"/>
              <w:rPr>
                <w:rFonts w:ascii="Arial" w:cs="Arial" w:eastAsia="Arial" w:hAnsi="Arial"/>
                <w:sz w:val="18"/>
                <w:szCs w:val="18"/>
                <w:color w:val="0000FF"/>
                <w:w w:val="90"/>
              </w:rPr>
            </w:pPr>
            <w:hyperlink r:id="rId277">
              <w:r>
                <w:rPr>
                  <w:rFonts w:ascii="Arial" w:cs="Arial" w:eastAsia="Arial" w:hAnsi="Arial"/>
                  <w:sz w:val="18"/>
                  <w:szCs w:val="18"/>
                  <w:color w:val="0000FF"/>
                  <w:w w:val="90"/>
                </w:rPr>
                <w:t>Third Amendment to Third Amended and Restated Credit Agreement dated as of August 11, 2016, among Plains Marketing, L.P.</w:t>
              </w:r>
            </w:hyperlink>
          </w:p>
        </w:tc>
        <w:tc>
          <w:tcPr>
            <w:tcW w:w="280" w:type="dxa"/>
            <w:vAlign w:val="bottom"/>
            <w:gridSpan w:val="12"/>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20" w:type="dxa"/>
            <w:vAlign w:val="bottom"/>
            <w:tcBorders>
              <w:bottom w:val="single" w:sz="8" w:color="0000FF"/>
            </w:tcBorders>
            <w:gridSpan w:val="18"/>
          </w:tcPr>
          <w:p>
            <w:pPr>
              <w:spacing w:after="0" w:line="156" w:lineRule="exact"/>
              <w:rPr>
                <w:rFonts w:ascii="Arial" w:cs="Arial" w:eastAsia="Arial" w:hAnsi="Arial"/>
                <w:sz w:val="18"/>
                <w:szCs w:val="18"/>
                <w:color w:val="0000FF"/>
                <w:w w:val="91"/>
              </w:rPr>
            </w:pPr>
            <w:hyperlink r:id="rId277">
              <w:r>
                <w:rPr>
                  <w:rFonts w:ascii="Arial" w:cs="Arial" w:eastAsia="Arial" w:hAnsi="Arial"/>
                  <w:sz w:val="18"/>
                  <w:szCs w:val="18"/>
                  <w:color w:val="0000FF"/>
                  <w:w w:val="91"/>
                </w:rPr>
                <w:t>and Plains Midstream Canada ULC, as Borrowers; Plains All American Pipeline, L.P., as Guarantor; Bank of America, N.A., as</w:t>
              </w:r>
            </w:hyperlink>
          </w:p>
        </w:tc>
        <w:tc>
          <w:tcPr>
            <w:tcW w:w="100" w:type="dxa"/>
            <w:vAlign w:val="bottom"/>
            <w:gridSpan w:val="3"/>
          </w:tcPr>
          <w:p>
            <w:pPr>
              <w:spacing w:after="0"/>
              <w:rPr>
                <w:sz w:val="13"/>
                <w:szCs w:val="13"/>
                <w:color w:val="auto"/>
              </w:rPr>
            </w:pPr>
          </w:p>
        </w:tc>
        <w:tc>
          <w:tcPr>
            <w:tcW w:w="280" w:type="dxa"/>
            <w:vAlign w:val="bottom"/>
            <w:gridSpan w:val="12"/>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40" w:type="dxa"/>
            <w:vAlign w:val="bottom"/>
            <w:tcBorders>
              <w:bottom w:val="single" w:sz="8" w:color="0000FF"/>
            </w:tcBorders>
            <w:gridSpan w:val="27"/>
          </w:tcPr>
          <w:p>
            <w:pPr>
              <w:spacing w:after="0" w:line="156" w:lineRule="exact"/>
              <w:rPr>
                <w:rFonts w:ascii="Arial" w:cs="Arial" w:eastAsia="Arial" w:hAnsi="Arial"/>
                <w:sz w:val="18"/>
                <w:szCs w:val="18"/>
                <w:color w:val="0000FF"/>
                <w:w w:val="91"/>
              </w:rPr>
            </w:pPr>
            <w:hyperlink r:id="rId277">
              <w:r>
                <w:rPr>
                  <w:rFonts w:ascii="Arial" w:cs="Arial" w:eastAsia="Arial" w:hAnsi="Arial"/>
                  <w:sz w:val="18"/>
                  <w:szCs w:val="18"/>
                  <w:color w:val="0000FF"/>
                  <w:w w:val="91"/>
                </w:rPr>
                <w:t>Administrative Agent, Swing Line Lender and L/C Issuer; Wells Fargo Bank, National Association, as an L/C Issuer; and the other</w:t>
              </w:r>
            </w:hyperlink>
          </w:p>
        </w:tc>
        <w:tc>
          <w:tcPr>
            <w:tcW w:w="160" w:type="dxa"/>
            <w:vAlign w:val="bottom"/>
            <w:gridSpan w:val="6"/>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0" w:type="dxa"/>
            <w:vAlign w:val="bottom"/>
            <w:tcBorders>
              <w:bottom w:val="single" w:sz="8" w:color="0000FF"/>
            </w:tcBorders>
            <w:gridSpan w:val="33"/>
          </w:tcPr>
          <w:p>
            <w:pPr>
              <w:spacing w:after="0" w:line="156" w:lineRule="exact"/>
              <w:rPr>
                <w:rFonts w:ascii="Arial" w:cs="Arial" w:eastAsia="Arial" w:hAnsi="Arial"/>
                <w:sz w:val="18"/>
                <w:szCs w:val="18"/>
                <w:color w:val="0000FF"/>
                <w:w w:val="91"/>
              </w:rPr>
            </w:pPr>
            <w:hyperlink r:id="rId277">
              <w:r>
                <w:rPr>
                  <w:rFonts w:ascii="Arial" w:cs="Arial" w:eastAsia="Arial" w:hAnsi="Arial"/>
                  <w:sz w:val="18"/>
                  <w:szCs w:val="18"/>
                  <w:color w:val="0000FF"/>
                  <w:w w:val="91"/>
                </w:rPr>
                <w:t>Lenders and L/C Issuers party thereto (incorporated by reference to Exhibit 10.3 to our Current Report on Form 8-K filed August 17,</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277">
              <w:r>
                <w:rPr>
                  <w:rFonts w:ascii="Arial" w:cs="Arial" w:eastAsia="Arial" w:hAnsi="Arial"/>
                  <w:sz w:val="18"/>
                  <w:szCs w:val="18"/>
                  <w:color w:val="0000FF"/>
                  <w:w w:val="86"/>
                </w:rPr>
                <w:t>2016).</w:t>
              </w:r>
            </w:hyperlink>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9"/>
        </w:trPr>
        <w:tc>
          <w:tcPr>
            <w:tcW w:w="1280" w:type="dxa"/>
            <w:vAlign w:val="bottom"/>
          </w:tcPr>
          <w:p>
            <w:pPr>
              <w:ind w:left="2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78">
              <w:r>
                <w:rPr>
                  <w:rFonts w:ascii="Arial" w:cs="Arial" w:eastAsia="Arial" w:hAnsi="Arial"/>
                  <w:sz w:val="18"/>
                  <w:szCs w:val="18"/>
                  <w:u w:val="single" w:color="auto"/>
                  <w:color w:val="0000FF"/>
                  <w:w w:val="93"/>
                </w:rPr>
                <w:t>Fourth Amendment to Third Amended and Restated Credit Agreement dated as of August 16, 2017, among Plains Marketing, L.P.</w:t>
              </w:r>
            </w:hyperlink>
          </w:p>
        </w:tc>
      </w:tr>
    </w:tbl>
    <w:p>
      <w:pPr>
        <w:ind w:left="1760" w:right="160"/>
        <w:spacing w:after="0" w:line="214" w:lineRule="auto"/>
        <w:rPr>
          <w:rFonts w:ascii="Arial" w:cs="Arial" w:eastAsia="Arial" w:hAnsi="Arial"/>
          <w:sz w:val="18"/>
          <w:szCs w:val="18"/>
          <w:u w:val="single" w:color="auto"/>
          <w:color w:val="0000FF"/>
        </w:rPr>
      </w:pPr>
      <w:hyperlink r:id="rId278">
        <w:r>
          <w:rPr>
            <w:rFonts w:ascii="Arial" w:cs="Arial" w:eastAsia="Arial" w:hAnsi="Arial"/>
            <w:sz w:val="18"/>
            <w:szCs w:val="18"/>
            <w:u w:val="single" w:color="auto"/>
            <w:color w:val="0000FF"/>
          </w:rPr>
          <w:t>and Plains Midstream Canada ULC, as Borrowers; Plains All American Pipeline, L.P., as Guarantor; Bank of America, N.A., as</w:t>
        </w:r>
      </w:hyperlink>
      <w:r>
        <w:rPr>
          <w:rFonts w:ascii="Arial" w:cs="Arial" w:eastAsia="Arial" w:hAnsi="Arial"/>
          <w:sz w:val="18"/>
          <w:szCs w:val="18"/>
          <w:u w:val="single" w:color="auto"/>
          <w:color w:val="0000FF"/>
        </w:rPr>
        <w:t xml:space="preserve"> </w:t>
      </w:r>
      <w:hyperlink r:id="rId278">
        <w:r>
          <w:rPr>
            <w:rFonts w:ascii="Arial" w:cs="Arial" w:eastAsia="Arial" w:hAnsi="Arial"/>
            <w:sz w:val="18"/>
            <w:szCs w:val="18"/>
            <w:u w:val="single" w:color="auto"/>
            <w:color w:val="0000FF"/>
          </w:rPr>
          <w:t>Administrative Agent, Swing Line Lender and L/C Issuer; Wells Fargo Bank, National Association, as an L/C Issuer; and the other</w:t>
        </w:r>
      </w:hyperlink>
      <w:r>
        <w:rPr>
          <w:rFonts w:ascii="Arial" w:cs="Arial" w:eastAsia="Arial" w:hAnsi="Arial"/>
          <w:sz w:val="18"/>
          <w:szCs w:val="18"/>
          <w:u w:val="single" w:color="auto"/>
          <w:color w:val="0000FF"/>
        </w:rPr>
        <w:t xml:space="preserve"> </w:t>
      </w:r>
      <w:hyperlink r:id="rId278">
        <w:r>
          <w:rPr>
            <w:rFonts w:ascii="Arial" w:cs="Arial" w:eastAsia="Arial" w:hAnsi="Arial"/>
            <w:sz w:val="18"/>
            <w:szCs w:val="18"/>
            <w:u w:val="single" w:color="auto"/>
            <w:color w:val="0000FF"/>
          </w:rPr>
          <w:t>Lenders and L/C Issuers party thereto (incorporated by reference to Exhibit 10.6 to our Quarterly Report on Form 10-Q for the</w:t>
        </w:r>
      </w:hyperlink>
      <w:r>
        <w:rPr>
          <w:rFonts w:ascii="Arial" w:cs="Arial" w:eastAsia="Arial" w:hAnsi="Arial"/>
          <w:sz w:val="18"/>
          <w:szCs w:val="18"/>
          <w:u w:val="single" w:color="auto"/>
          <w:color w:val="0000FF"/>
        </w:rPr>
        <w:t xml:space="preserve"> </w:t>
      </w:r>
      <w:hyperlink r:id="rId278">
        <w:r>
          <w:rPr>
            <w:rFonts w:ascii="Arial" w:cs="Arial" w:eastAsia="Arial" w:hAnsi="Arial"/>
            <w:sz w:val="18"/>
            <w:szCs w:val="18"/>
            <w:u w:val="single" w:color="auto"/>
            <w:color w:val="0000FF"/>
          </w:rPr>
          <w:t>quarter ended September 30, 2017).</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58"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8"/>
          <w:szCs w:val="18"/>
          <w:color w:val="auto"/>
        </w:rPr>
        <w:t>117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08"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FF"/>
                <w:w w:val="90"/>
              </w:rPr>
            </w:pPr>
            <w:hyperlink w:anchor="page1">
              <w:r>
                <w:rPr>
                  <w:rFonts w:ascii="Arial" w:cs="Arial" w:eastAsia="Arial" w:hAnsi="Arial"/>
                  <w:sz w:val="18"/>
                  <w:szCs w:val="18"/>
                  <w:color w:val="0000FF"/>
                  <w:w w:val="90"/>
                </w:rPr>
                <w:t>Table of Contents</w:t>
              </w:r>
            </w:hyperlink>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80">
              <w:r>
                <w:rPr>
                  <w:rFonts w:ascii="Arial" w:cs="Arial" w:eastAsia="Arial" w:hAnsi="Arial"/>
                  <w:sz w:val="18"/>
                  <w:szCs w:val="18"/>
                  <w:color w:val="0000FF"/>
                  <w:w w:val="94"/>
                </w:rPr>
                <w:t>Contribution, Conveyance and Assumption Agreement among Plains All American Pipeline, L.P. and certain other parties dated as</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20" w:type="dxa"/>
            <w:vAlign w:val="bottom"/>
            <w:tcBorders>
              <w:top w:val="single" w:sz="8" w:color="0000FF"/>
            </w:tcBorders>
            <w:gridSpan w:val="25"/>
          </w:tcPr>
          <w:p>
            <w:pPr>
              <w:spacing w:after="0" w:line="156" w:lineRule="exact"/>
              <w:rPr>
                <w:rFonts w:ascii="Arial" w:cs="Arial" w:eastAsia="Arial" w:hAnsi="Arial"/>
                <w:sz w:val="18"/>
                <w:szCs w:val="18"/>
                <w:color w:val="0000FF"/>
                <w:w w:val="98"/>
              </w:rPr>
            </w:pPr>
            <w:hyperlink r:id="rId280">
              <w:r>
                <w:rPr>
                  <w:rFonts w:ascii="Arial" w:cs="Arial" w:eastAsia="Arial" w:hAnsi="Arial"/>
                  <w:sz w:val="18"/>
                  <w:szCs w:val="18"/>
                  <w:color w:val="0000FF"/>
                  <w:w w:val="98"/>
                </w:rPr>
                <w:t>of November 23, 1998 (incorporated by reference to Exhibit 10.3 to our Annual Report on Form 10-K for the year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280">
              <w:r>
                <w:rPr>
                  <w:rFonts w:ascii="Arial" w:cs="Arial" w:eastAsia="Arial" w:hAnsi="Arial"/>
                  <w:sz w:val="18"/>
                  <w:szCs w:val="18"/>
                  <w:color w:val="0000FF"/>
                  <w:w w:val="88"/>
                </w:rPr>
                <w:t>December 31, 1998).</w:t>
              </w:r>
            </w:hyperlink>
          </w:p>
        </w:tc>
        <w:tc>
          <w:tcPr>
            <w:tcW w:w="7200" w:type="dxa"/>
            <w:vAlign w:val="bottom"/>
            <w:tcBorders>
              <w:top w:val="single" w:sz="8" w:color="0000FF"/>
            </w:tcBorders>
            <w:gridSpan w:val="11"/>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280">
              <w:r>
                <w:rPr>
                  <w:rFonts w:ascii="Arial" w:cs="Arial" w:eastAsia="Arial" w:hAnsi="Arial"/>
                  <w:sz w:val="18"/>
                  <w:szCs w:val="18"/>
                  <w:color w:val="0000FF"/>
                  <w:w w:val="98"/>
                </w:rPr>
                <w:t>First Amendment to Contribution, Conveyance and Assumption Agreement dated as of December 15, 1998 (incorporated by</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9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80">
              <w:r>
                <w:rPr>
                  <w:rFonts w:ascii="Arial" w:cs="Arial" w:eastAsia="Arial" w:hAnsi="Arial"/>
                  <w:sz w:val="18"/>
                  <w:szCs w:val="18"/>
                  <w:color w:val="0000FF"/>
                </w:rPr>
                <w:t>reference to Exhibit 10.13 to our Annual Report on Form 10-K for the year ended December 31, 1998).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81">
              <w:r>
                <w:rPr>
                  <w:rFonts w:ascii="Arial" w:cs="Arial" w:eastAsia="Arial" w:hAnsi="Arial"/>
                  <w:sz w:val="18"/>
                  <w:szCs w:val="18"/>
                  <w:color w:val="0000FF"/>
                  <w:w w:val="94"/>
                </w:rPr>
                <w:t>Contribution, Assignment and Amendment Agreement dated as of June 27, 2001, among Plains All American Pipeline, L.P., Plains</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00" w:type="dxa"/>
            <w:vAlign w:val="bottom"/>
            <w:tcBorders>
              <w:top w:val="single" w:sz="8" w:color="0000FF"/>
            </w:tcBorders>
            <w:gridSpan w:val="29"/>
          </w:tcPr>
          <w:p>
            <w:pPr>
              <w:spacing w:after="0" w:line="156" w:lineRule="exact"/>
              <w:rPr>
                <w:rFonts w:ascii="Arial" w:cs="Arial" w:eastAsia="Arial" w:hAnsi="Arial"/>
                <w:sz w:val="18"/>
                <w:szCs w:val="18"/>
                <w:color w:val="0000FF"/>
                <w:w w:val="99"/>
              </w:rPr>
            </w:pPr>
            <w:hyperlink r:id="rId281">
              <w:r>
                <w:rPr>
                  <w:rFonts w:ascii="Arial" w:cs="Arial" w:eastAsia="Arial" w:hAnsi="Arial"/>
                  <w:sz w:val="18"/>
                  <w:szCs w:val="18"/>
                  <w:color w:val="0000FF"/>
                  <w:w w:val="99"/>
                </w:rPr>
                <w:t>Marketing, L.P., All American Pipeline, L.P., Plains AAP, L.P., Plains All American GP LLC and Plains Marketing GP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1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281">
              <w:r>
                <w:rPr>
                  <w:rFonts w:ascii="Arial" w:cs="Arial" w:eastAsia="Arial" w:hAnsi="Arial"/>
                  <w:sz w:val="18"/>
                  <w:szCs w:val="18"/>
                  <w:color w:val="0000FF"/>
                  <w:w w:val="91"/>
                </w:rPr>
                <w:t>(incorporated by reference to Exhibit 10.1 to our Current Report on Form 8-K filed June 27, 2001).</w:t>
              </w:r>
            </w:hyperlink>
          </w:p>
        </w:tc>
        <w:tc>
          <w:tcPr>
            <w:tcW w:w="172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82">
              <w:r>
                <w:rPr>
                  <w:rFonts w:ascii="Arial" w:cs="Arial" w:eastAsia="Arial" w:hAnsi="Arial"/>
                  <w:sz w:val="18"/>
                  <w:szCs w:val="18"/>
                  <w:color w:val="0000FF"/>
                  <w:w w:val="94"/>
                </w:rPr>
                <w:t>Contribution, Assignment and Amendment Agreement dated as of June 8, 2001, among Plains All American Inc., Plains AAP, L.P.</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60" w:type="dxa"/>
            <w:vAlign w:val="bottom"/>
            <w:tcBorders>
              <w:top w:val="single" w:sz="8" w:color="0000FF"/>
            </w:tcBorders>
            <w:gridSpan w:val="27"/>
          </w:tcPr>
          <w:p>
            <w:pPr>
              <w:spacing w:after="0" w:line="156" w:lineRule="exact"/>
              <w:rPr>
                <w:rFonts w:ascii="Arial" w:cs="Arial" w:eastAsia="Arial" w:hAnsi="Arial"/>
                <w:sz w:val="18"/>
                <w:szCs w:val="18"/>
                <w:color w:val="0000FF"/>
                <w:w w:val="95"/>
              </w:rPr>
            </w:pPr>
            <w:hyperlink r:id="rId282">
              <w:r>
                <w:rPr>
                  <w:rFonts w:ascii="Arial" w:cs="Arial" w:eastAsia="Arial" w:hAnsi="Arial"/>
                  <w:sz w:val="18"/>
                  <w:szCs w:val="18"/>
                  <w:color w:val="0000FF"/>
                  <w:w w:val="95"/>
                </w:rPr>
                <w:t>and Plains All American GP LLC (incorporated by reference to Exhibit 10.1 to our Current Report on Form 8-K filed June 11,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282">
              <w:r>
                <w:rPr>
                  <w:rFonts w:ascii="Arial" w:cs="Arial" w:eastAsia="Arial" w:hAnsi="Arial"/>
                  <w:sz w:val="18"/>
                  <w:szCs w:val="18"/>
                  <w:color w:val="0000FF"/>
                  <w:w w:val="86"/>
                </w:rPr>
                <w:t>2001).</w:t>
              </w:r>
            </w:hyperlink>
          </w:p>
        </w:tc>
        <w:tc>
          <w:tcPr>
            <w:tcW w:w="6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9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283">
              <w:r>
                <w:rPr>
                  <w:rFonts w:ascii="Arial" w:cs="Arial" w:eastAsia="Arial" w:hAnsi="Arial"/>
                  <w:sz w:val="18"/>
                  <w:szCs w:val="18"/>
                  <w:color w:val="0000FF"/>
                </w:rPr>
                <w:t>Separation Agreement dated as of June 8, 2001 among Plains Resources Inc., Plains All American Inc., Plains All</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283">
              <w:r>
                <w:rPr>
                  <w:rFonts w:ascii="Arial" w:cs="Arial" w:eastAsia="Arial" w:hAnsi="Arial"/>
                  <w:sz w:val="18"/>
                  <w:szCs w:val="18"/>
                  <w:color w:val="0000FF"/>
                  <w:w w:val="92"/>
                </w:rPr>
                <w:t>American GP LLC, Plains AAP, L.P. and Plains All American Pipeline, L.P. (incorporated by reference to Exhibit</w:t>
              </w:r>
            </w:hyperlink>
          </w:p>
        </w:tc>
        <w:tc>
          <w:tcPr>
            <w:tcW w:w="1460" w:type="dxa"/>
            <w:vAlign w:val="bottom"/>
            <w:gridSpan w:val="26"/>
          </w:tcPr>
          <w:p>
            <w:pPr>
              <w:ind w:left="20"/>
              <w:spacing w:after="0" w:line="156" w:lineRule="exact"/>
              <w:rPr>
                <w:rFonts w:ascii="Arial" w:cs="Arial" w:eastAsia="Arial" w:hAnsi="Arial"/>
                <w:sz w:val="18"/>
                <w:szCs w:val="18"/>
                <w:color w:val="0000FF"/>
              </w:rPr>
            </w:pPr>
            <w:hyperlink r:id="rId283">
              <w:r>
                <w:rPr>
                  <w:rFonts w:ascii="Arial" w:cs="Arial" w:eastAsia="Arial" w:hAnsi="Arial"/>
                  <w:sz w:val="18"/>
                  <w:szCs w:val="18"/>
                  <w:color w:val="0000FF"/>
                </w:rPr>
                <w:t>10.2 to our</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83">
              <w:r>
                <w:rPr>
                  <w:rFonts w:ascii="Arial" w:cs="Arial" w:eastAsia="Arial" w:hAnsi="Arial"/>
                  <w:sz w:val="18"/>
                  <w:szCs w:val="18"/>
                  <w:color w:val="0000FF"/>
                </w:rPr>
                <w:t>Current Report on Form 8-K filed June 11, 2001).</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00" w:type="dxa"/>
            <w:vAlign w:val="bottom"/>
            <w:tcBorders>
              <w:bottom w:val="single" w:sz="8" w:color="0000FF"/>
            </w:tcBorders>
            <w:gridSpan w:val="34"/>
          </w:tcPr>
          <w:p>
            <w:pPr>
              <w:spacing w:after="0"/>
              <w:rPr>
                <w:rFonts w:ascii="Arial" w:cs="Arial" w:eastAsia="Arial" w:hAnsi="Arial"/>
                <w:sz w:val="18"/>
                <w:szCs w:val="18"/>
                <w:color w:val="0000FF"/>
                <w:w w:val="89"/>
              </w:rPr>
            </w:pPr>
            <w:hyperlink r:id="rId284">
              <w:r>
                <w:rPr>
                  <w:rFonts w:ascii="Arial" w:cs="Arial" w:eastAsia="Arial" w:hAnsi="Arial"/>
                  <w:sz w:val="18"/>
                  <w:szCs w:val="18"/>
                  <w:color w:val="0000FF"/>
                  <w:w w:val="89"/>
                </w:rPr>
                <w:t>Pension and Employee Benefits Assumption and Transition Agreement dated as of June 8, 2001 among Plains Resources Inc., Plains</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0" w:type="dxa"/>
            <w:vAlign w:val="bottom"/>
            <w:gridSpan w:val="34"/>
          </w:tcPr>
          <w:p>
            <w:pPr>
              <w:spacing w:after="0" w:line="156" w:lineRule="exact"/>
              <w:rPr>
                <w:rFonts w:ascii="Arial" w:cs="Arial" w:eastAsia="Arial" w:hAnsi="Arial"/>
                <w:sz w:val="18"/>
                <w:szCs w:val="18"/>
                <w:color w:val="0000FF"/>
                <w:w w:val="94"/>
              </w:rPr>
            </w:pPr>
            <w:hyperlink r:id="rId284">
              <w:r>
                <w:rPr>
                  <w:rFonts w:ascii="Arial" w:cs="Arial" w:eastAsia="Arial" w:hAnsi="Arial"/>
                  <w:sz w:val="18"/>
                  <w:szCs w:val="18"/>
                  <w:color w:val="0000FF"/>
                  <w:w w:val="94"/>
                </w:rPr>
                <w:t>All American Inc. and Plains All American GP LLC (incorporated by reference to Exhibit 10.3 to our Current Report on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284">
              <w:r>
                <w:rPr>
                  <w:rFonts w:ascii="Arial" w:cs="Arial" w:eastAsia="Arial" w:hAnsi="Arial"/>
                  <w:sz w:val="18"/>
                  <w:szCs w:val="18"/>
                  <w:color w:val="0000FF"/>
                  <w:w w:val="89"/>
                </w:rPr>
                <w:t>filed June 11, 2001).</w:t>
              </w:r>
            </w:hyperlink>
          </w:p>
        </w:tc>
        <w:tc>
          <w:tcPr>
            <w:tcW w:w="796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285">
              <w:r>
                <w:rPr>
                  <w:rFonts w:ascii="Arial" w:cs="Arial" w:eastAsia="Arial" w:hAnsi="Arial"/>
                  <w:sz w:val="18"/>
                  <w:szCs w:val="18"/>
                  <w:color w:val="0000FF"/>
                </w:rPr>
                <w:t>Contribution and Assumption Agreement dated December 28, 2007, by and between Plains AAP, L.P. and PAA GP LLC</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285">
              <w:r>
                <w:rPr>
                  <w:rFonts w:ascii="Arial" w:cs="Arial" w:eastAsia="Arial" w:hAnsi="Arial"/>
                  <w:sz w:val="18"/>
                  <w:szCs w:val="18"/>
                  <w:color w:val="0000FF"/>
                  <w:w w:val="91"/>
                </w:rPr>
                <w:t>(incorporated by reference to Exhibit 10.2 to our Current Report on Form 8-K filed January 4, 2008).</w:t>
              </w:r>
            </w:hyperlink>
          </w:p>
        </w:tc>
        <w:tc>
          <w:tcPr>
            <w:tcW w:w="14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14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286">
              <w:r>
                <w:rPr>
                  <w:rFonts w:ascii="Arial" w:cs="Arial" w:eastAsia="Arial" w:hAnsi="Arial"/>
                  <w:sz w:val="18"/>
                  <w:szCs w:val="18"/>
                  <w:color w:val="0000FF"/>
                  <w:w w:val="92"/>
                </w:rPr>
                <w:t>Asset Purchase and Sale Agreement dated February 28, 2001 between Murphy Oil Company Ltd. and Plains Marketing Canada, L.P.</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1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286">
              <w:r>
                <w:rPr>
                  <w:rFonts w:ascii="Arial" w:cs="Arial" w:eastAsia="Arial" w:hAnsi="Arial"/>
                  <w:sz w:val="18"/>
                  <w:szCs w:val="18"/>
                  <w:color w:val="0000FF"/>
                  <w:w w:val="92"/>
                </w:rPr>
                <w:t>(incorporated by reference to Exhibit 99.1 to our Current Report on Form 8-K filed May 10, 2001).</w:t>
              </w:r>
            </w:hyperlink>
          </w:p>
        </w:tc>
        <w:tc>
          <w:tcPr>
            <w:tcW w:w="244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40" w:type="dxa"/>
            <w:vAlign w:val="bottom"/>
            <w:tcBorders>
              <w:bottom w:val="single" w:sz="8" w:color="0000FF"/>
            </w:tcBorders>
            <w:gridSpan w:val="36"/>
          </w:tcPr>
          <w:p>
            <w:pPr>
              <w:spacing w:after="0"/>
              <w:rPr>
                <w:rFonts w:ascii="Arial" w:cs="Arial" w:eastAsia="Arial" w:hAnsi="Arial"/>
                <w:sz w:val="18"/>
                <w:szCs w:val="18"/>
                <w:color w:val="0000FF"/>
                <w:w w:val="91"/>
              </w:rPr>
            </w:pPr>
            <w:hyperlink r:id="rId287">
              <w:r>
                <w:rPr>
                  <w:rFonts w:ascii="Arial" w:cs="Arial" w:eastAsia="Arial" w:hAnsi="Arial"/>
                  <w:sz w:val="18"/>
                  <w:szCs w:val="18"/>
                  <w:color w:val="0000FF"/>
                  <w:w w:val="91"/>
                </w:rPr>
                <w:t>Transportation Agreement dated July 30, 1993, between All American Pipeline Company and Exxon Company, U.S.A. (incorporated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0" w:type="dxa"/>
            <w:vAlign w:val="bottom"/>
            <w:tcBorders>
              <w:bottom w:val="single" w:sz="8" w:color="0000FF"/>
            </w:tcBorders>
            <w:gridSpan w:val="12"/>
          </w:tcPr>
          <w:p>
            <w:pPr>
              <w:spacing w:after="0" w:line="156" w:lineRule="exact"/>
              <w:rPr>
                <w:rFonts w:ascii="Arial" w:cs="Arial" w:eastAsia="Arial" w:hAnsi="Arial"/>
                <w:sz w:val="18"/>
                <w:szCs w:val="18"/>
                <w:color w:val="0000FF"/>
                <w:w w:val="90"/>
              </w:rPr>
            </w:pPr>
            <w:hyperlink r:id="rId287">
              <w:r>
                <w:rPr>
                  <w:rFonts w:ascii="Arial" w:cs="Arial" w:eastAsia="Arial" w:hAnsi="Arial"/>
                  <w:sz w:val="18"/>
                  <w:szCs w:val="18"/>
                  <w:color w:val="0000FF"/>
                  <w:w w:val="90"/>
                </w:rPr>
                <w:t>by reference to Exhibit 10.9 to our Registration Statement on Form S-1 filed September 23, 1998, File No. 333-64107).</w:t>
              </w:r>
            </w:hyperlink>
          </w:p>
        </w:tc>
        <w:tc>
          <w:tcPr>
            <w:tcW w:w="1040" w:type="dxa"/>
            <w:vAlign w:val="bottom"/>
            <w:gridSpan w:val="2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87">
              <w:r>
                <w:rPr>
                  <w:rFonts w:ascii="Arial" w:cs="Arial" w:eastAsia="Arial" w:hAnsi="Arial"/>
                  <w:sz w:val="18"/>
                  <w:szCs w:val="18"/>
                  <w:color w:val="0000FF"/>
                  <w:w w:val="94"/>
                </w:rPr>
                <w:t>Transportation Agreement dated August 2, 1993, among All American Pipeline Company, Texaco Trading and Transportation Inc.,</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8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287">
              <w:r>
                <w:rPr>
                  <w:rFonts w:ascii="Arial" w:cs="Arial" w:eastAsia="Arial" w:hAnsi="Arial"/>
                  <w:sz w:val="18"/>
                  <w:szCs w:val="18"/>
                  <w:color w:val="0000FF"/>
                  <w:w w:val="92"/>
                </w:rPr>
                <w:t>Chevron U.S.A. and Sun Operating Limited Partnership (incorporated by reference to Exhibit 10.10 to our Registration Statement</w:t>
              </w:r>
            </w:hyperlink>
          </w:p>
        </w:tc>
        <w:tc>
          <w:tcPr>
            <w:tcW w:w="180" w:type="dxa"/>
            <w:vAlign w:val="bottom"/>
            <w:gridSpan w:val="9"/>
          </w:tcPr>
          <w:p>
            <w:pPr>
              <w:spacing w:after="0" w:line="156" w:lineRule="exact"/>
              <w:rPr>
                <w:rFonts w:ascii="Arial" w:cs="Arial" w:eastAsia="Arial" w:hAnsi="Arial"/>
                <w:sz w:val="18"/>
                <w:szCs w:val="18"/>
                <w:color w:val="0000FF"/>
                <w:w w:val="79"/>
              </w:rPr>
            </w:pPr>
            <w:hyperlink r:id="rId287">
              <w:r>
                <w:rPr>
                  <w:rFonts w:ascii="Arial" w:cs="Arial" w:eastAsia="Arial" w:hAnsi="Arial"/>
                  <w:sz w:val="18"/>
                  <w:szCs w:val="18"/>
                  <w:color w:val="0000FF"/>
                  <w:w w:val="79"/>
                </w:rPr>
                <w:t>on</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287">
              <w:r>
                <w:rPr>
                  <w:rFonts w:ascii="Arial" w:cs="Arial" w:eastAsia="Arial" w:hAnsi="Arial"/>
                  <w:sz w:val="18"/>
                  <w:szCs w:val="18"/>
                  <w:color w:val="0000FF"/>
                  <w:w w:val="90"/>
                </w:rPr>
                <w:t>Form S-1 filed September 23, 1998, File No. 333-64107).</w:t>
              </w:r>
            </w:hyperlink>
          </w:p>
        </w:tc>
        <w:tc>
          <w:tcPr>
            <w:tcW w:w="5460" w:type="dxa"/>
            <w:vAlign w:val="bottom"/>
            <w:tcBorders>
              <w:top w:val="single" w:sz="8" w:color="0000FF"/>
            </w:tcBorders>
            <w:gridSpan w:val="2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240" w:type="dxa"/>
            <w:vAlign w:val="bottom"/>
            <w:tcBorders>
              <w:bottom w:val="single" w:sz="8" w:color="0000FF"/>
            </w:tcBorders>
            <w:gridSpan w:val="24"/>
          </w:tcPr>
          <w:p>
            <w:pPr>
              <w:spacing w:after="0"/>
              <w:rPr>
                <w:rFonts w:ascii="Arial" w:cs="Arial" w:eastAsia="Arial" w:hAnsi="Arial"/>
                <w:sz w:val="18"/>
                <w:szCs w:val="18"/>
                <w:color w:val="0000FF"/>
                <w:w w:val="90"/>
              </w:rPr>
            </w:pPr>
            <w:hyperlink r:id="rId280">
              <w:r>
                <w:rPr>
                  <w:rFonts w:ascii="Arial" w:cs="Arial" w:eastAsia="Arial" w:hAnsi="Arial"/>
                  <w:sz w:val="18"/>
                  <w:szCs w:val="18"/>
                  <w:color w:val="0000FF"/>
                  <w:w w:val="90"/>
                </w:rPr>
                <w:t>Agreement for Purchase and Sale of Membership Interest in Scurlock Permian LLC between Marathon Ashland LLC and Plains</w:t>
              </w:r>
            </w:hyperlink>
          </w:p>
        </w:tc>
        <w:tc>
          <w:tcPr>
            <w:tcW w:w="420" w:type="dxa"/>
            <w:vAlign w:val="bottom"/>
            <w:gridSpan w:val="13"/>
            <w:vMerge w:val="restart"/>
          </w:tcPr>
          <w:p>
            <w:pPr>
              <w:spacing w:after="0"/>
              <w:rPr>
                <w:rFonts w:ascii="Arial" w:cs="Arial" w:eastAsia="Arial" w:hAnsi="Arial"/>
                <w:sz w:val="18"/>
                <w:szCs w:val="18"/>
                <w:color w:val="0000FF"/>
              </w:rPr>
            </w:pPr>
            <w:hyperlink r:id="rId280">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40" w:type="dxa"/>
            <w:vAlign w:val="bottom"/>
            <w:gridSpan w:val="24"/>
          </w:tcPr>
          <w:p>
            <w:pPr>
              <w:spacing w:after="0" w:line="156" w:lineRule="exact"/>
              <w:rPr>
                <w:rFonts w:ascii="Arial" w:cs="Arial" w:eastAsia="Arial" w:hAnsi="Arial"/>
                <w:sz w:val="18"/>
                <w:szCs w:val="18"/>
                <w:color w:val="0000FF"/>
                <w:w w:val="91"/>
              </w:rPr>
            </w:pPr>
            <w:hyperlink r:id="rId280">
              <w:r>
                <w:rPr>
                  <w:rFonts w:ascii="Arial" w:cs="Arial" w:eastAsia="Arial" w:hAnsi="Arial"/>
                  <w:sz w:val="18"/>
                  <w:szCs w:val="18"/>
                  <w:color w:val="0000FF"/>
                  <w:w w:val="91"/>
                </w:rPr>
                <w:t>Marketing, L.P. dated as of March 17, 1999 (incorporated by reference to Exhibit 10.16 to our Annual Report on Form 10-K for</w:t>
              </w:r>
            </w:hyperlink>
          </w:p>
        </w:tc>
        <w:tc>
          <w:tcPr>
            <w:tcW w:w="420" w:type="dxa"/>
            <w:vAlign w:val="bottom"/>
            <w:gridSpan w:val="1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80">
              <w:r>
                <w:rPr>
                  <w:rFonts w:ascii="Arial" w:cs="Arial" w:eastAsia="Arial" w:hAnsi="Arial"/>
                  <w:sz w:val="18"/>
                  <w:szCs w:val="18"/>
                  <w:color w:val="0000FF"/>
                </w:rPr>
                <w:t>year ended December 31, 1998).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6360" w:type="dxa"/>
            <w:vAlign w:val="bottom"/>
            <w:gridSpan w:val="9"/>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88">
              <w:r>
                <w:rPr>
                  <w:rFonts w:ascii="Arial" w:cs="Arial" w:eastAsia="Arial" w:hAnsi="Arial"/>
                  <w:sz w:val="18"/>
                  <w:szCs w:val="18"/>
                  <w:color w:val="0000FF"/>
                  <w:w w:val="93"/>
                </w:rPr>
                <w:t>Membership Interest Purchase Agreement by and between Sempra Energy Trading Corporation and PAA/Vulcan Gas Storage, LLC</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40" w:type="dxa"/>
            <w:vAlign w:val="bottom"/>
            <w:tcBorders>
              <w:top w:val="single" w:sz="8" w:color="0000FF"/>
            </w:tcBorders>
            <w:gridSpan w:val="31"/>
          </w:tcPr>
          <w:p>
            <w:pPr>
              <w:spacing w:after="0" w:line="156" w:lineRule="exact"/>
              <w:rPr>
                <w:rFonts w:ascii="Arial" w:cs="Arial" w:eastAsia="Arial" w:hAnsi="Arial"/>
                <w:sz w:val="18"/>
                <w:szCs w:val="18"/>
                <w:color w:val="0000FF"/>
                <w:w w:val="94"/>
              </w:rPr>
            </w:pPr>
            <w:hyperlink r:id="rId288">
              <w:r>
                <w:rPr>
                  <w:rFonts w:ascii="Arial" w:cs="Arial" w:eastAsia="Arial" w:hAnsi="Arial"/>
                  <w:sz w:val="18"/>
                  <w:szCs w:val="18"/>
                  <w:color w:val="0000FF"/>
                  <w:w w:val="94"/>
                </w:rPr>
                <w:t>dated August 19, 2005 (incorporated by reference to Exhibit 1.2 to our Current Report on Form 8-K filed September 19, 2005).</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7600" w:type="dxa"/>
            <w:vAlign w:val="bottom"/>
            <w:gridSpan w:val="1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289">
              <w:r>
                <w:rPr>
                  <w:rFonts w:ascii="Arial" w:cs="Arial" w:eastAsia="Arial" w:hAnsi="Arial"/>
                  <w:sz w:val="18"/>
                  <w:szCs w:val="18"/>
                  <w:color w:val="0000FF"/>
                  <w:w w:val="99"/>
                </w:rPr>
                <w:t>Contribution Agreement dated as of April 29, 2010 by and among PAA Natural Gas Storage, L.P., PNGS GP LLC, Plains All</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4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r:id="rId289">
              <w:r>
                <w:rPr>
                  <w:rFonts w:ascii="Arial" w:cs="Arial" w:eastAsia="Arial" w:hAnsi="Arial"/>
                  <w:sz w:val="18"/>
                  <w:szCs w:val="18"/>
                  <w:color w:val="0000FF"/>
                  <w:w w:val="92"/>
                </w:rPr>
                <w:t>American Pipeline, L.P., PAA Natural Gas Storage, LLC, PAA/Vulcan Gas Storage, LLC, Plains Marketing, L.P. and Plains</w:t>
              </w:r>
            </w:hyperlink>
          </w:p>
        </w:tc>
        <w:tc>
          <w:tcPr>
            <w:tcW w:w="140" w:type="dxa"/>
            <w:vAlign w:val="bottom"/>
            <w:gridSpan w:val="3"/>
          </w:tcPr>
          <w:p>
            <w:pPr>
              <w:spacing w:after="0"/>
              <w:rPr>
                <w:sz w:val="13"/>
                <w:szCs w:val="13"/>
                <w:color w:val="auto"/>
              </w:rPr>
            </w:pPr>
          </w:p>
        </w:tc>
        <w:tc>
          <w:tcPr>
            <w:tcW w:w="380" w:type="dxa"/>
            <w:vAlign w:val="bottom"/>
            <w:gridSpan w:val="9"/>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289">
              <w:r>
                <w:rPr>
                  <w:rFonts w:ascii="Arial" w:cs="Arial" w:eastAsia="Arial" w:hAnsi="Arial"/>
                  <w:sz w:val="18"/>
                  <w:szCs w:val="18"/>
                  <w:color w:val="0000FF"/>
                  <w:w w:val="92"/>
                </w:rPr>
                <w:t>Marketing GP Inc. (incorporated by reference to Exhibit 10.1 to PNG’s Current Report on Form 8-K filed May 4, 2010).</w:t>
              </w:r>
            </w:hyperlink>
          </w:p>
        </w:tc>
        <w:tc>
          <w:tcPr>
            <w:tcW w:w="200" w:type="dxa"/>
            <w:vAlign w:val="bottom"/>
            <w:tcBorders>
              <w:top w:val="single" w:sz="8" w:color="0000FF"/>
            </w:tcBorders>
            <w:gridSpan w:val="3"/>
          </w:tcPr>
          <w:p>
            <w:pPr>
              <w:spacing w:after="0"/>
              <w:rPr>
                <w:sz w:val="13"/>
                <w:szCs w:val="13"/>
                <w:color w:val="auto"/>
              </w:rPr>
            </w:pPr>
          </w:p>
        </w:tc>
        <w:tc>
          <w:tcPr>
            <w:tcW w:w="280" w:type="dxa"/>
            <w:vAlign w:val="bottom"/>
            <w:gridSpan w:val="6"/>
          </w:tcPr>
          <w:p>
            <w:pPr>
              <w:spacing w:after="0"/>
              <w:rPr>
                <w:sz w:val="13"/>
                <w:szCs w:val="13"/>
                <w:color w:val="auto"/>
              </w:rPr>
            </w:pPr>
          </w:p>
        </w:tc>
        <w:tc>
          <w:tcPr>
            <w:tcW w:w="380" w:type="dxa"/>
            <w:vAlign w:val="bottom"/>
            <w:gridSpan w:val="9"/>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560" w:type="dxa"/>
            <w:vAlign w:val="bottom"/>
            <w:tcBorders>
              <w:bottom w:val="single" w:sz="8" w:color="0000FF"/>
            </w:tcBorders>
            <w:gridSpan w:val="32"/>
          </w:tcPr>
          <w:p>
            <w:pPr>
              <w:spacing w:after="0"/>
              <w:rPr>
                <w:rFonts w:ascii="Arial" w:cs="Arial" w:eastAsia="Arial" w:hAnsi="Arial"/>
                <w:sz w:val="18"/>
                <w:szCs w:val="18"/>
                <w:color w:val="0000FF"/>
                <w:w w:val="92"/>
              </w:rPr>
            </w:pPr>
            <w:hyperlink r:id="rId290">
              <w:r>
                <w:rPr>
                  <w:rFonts w:ascii="Arial" w:cs="Arial" w:eastAsia="Arial" w:hAnsi="Arial"/>
                  <w:sz w:val="18"/>
                  <w:szCs w:val="18"/>
                  <w:color w:val="0000FF"/>
                  <w:w w:val="92"/>
                </w:rPr>
                <w:t>Omnibus Agreement dated May 5, 2010 by and among Plains All American GP LLC, Plains All American Pipeline, L.P., PNGS GP</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60" w:type="dxa"/>
            <w:vAlign w:val="bottom"/>
            <w:gridSpan w:val="32"/>
          </w:tcPr>
          <w:p>
            <w:pPr>
              <w:spacing w:after="0" w:line="156" w:lineRule="exact"/>
              <w:rPr>
                <w:rFonts w:ascii="Arial" w:cs="Arial" w:eastAsia="Arial" w:hAnsi="Arial"/>
                <w:sz w:val="18"/>
                <w:szCs w:val="18"/>
                <w:color w:val="0000FF"/>
                <w:w w:val="95"/>
              </w:rPr>
            </w:pPr>
            <w:hyperlink r:id="rId290">
              <w:r>
                <w:rPr>
                  <w:rFonts w:ascii="Arial" w:cs="Arial" w:eastAsia="Arial" w:hAnsi="Arial"/>
                  <w:sz w:val="18"/>
                  <w:szCs w:val="18"/>
                  <w:color w:val="0000FF"/>
                  <w:w w:val="95"/>
                </w:rPr>
                <w:t>LLC and PAA Natural Gas Storage, L.P. (incorporated by reference to Exhibit 10.1 to PNG’s Current Report on Form 8-K filed</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290">
              <w:r>
                <w:rPr>
                  <w:rFonts w:ascii="Arial" w:cs="Arial" w:eastAsia="Arial" w:hAnsi="Arial"/>
                  <w:sz w:val="18"/>
                  <w:szCs w:val="18"/>
                  <w:color w:val="0000FF"/>
                  <w:w w:val="89"/>
                </w:rPr>
                <w:t>May 11, 2010).</w:t>
              </w:r>
            </w:hyperlink>
          </w:p>
        </w:tc>
        <w:tc>
          <w:tcPr>
            <w:tcW w:w="8080" w:type="dxa"/>
            <w:vAlign w:val="bottom"/>
            <w:tcBorders>
              <w:top w:val="single" w:sz="8" w:color="0000FF"/>
            </w:tcBorders>
            <w:gridSpan w:val="21"/>
          </w:tcPr>
          <w:p>
            <w:pPr>
              <w:spacing w:after="0"/>
              <w:rPr>
                <w:sz w:val="13"/>
                <w:szCs w:val="13"/>
                <w:color w:val="auto"/>
              </w:rPr>
            </w:pPr>
          </w:p>
        </w:tc>
        <w:tc>
          <w:tcPr>
            <w:tcW w:w="4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1280" w:type="dxa"/>
            <w:vAlign w:val="bottom"/>
          </w:tcPr>
          <w:p>
            <w:pPr>
              <w:ind w:left="20"/>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291">
              <w:r>
                <w:rPr>
                  <w:rFonts w:ascii="Arial" w:cs="Arial" w:eastAsia="Arial" w:hAnsi="Arial"/>
                  <w:sz w:val="18"/>
                  <w:szCs w:val="18"/>
                  <w:u w:val="single" w:color="auto"/>
                  <w:color w:val="0000FF"/>
                  <w:w w:val="96"/>
                </w:rPr>
                <w:t>Omnibus Agreement by and among PAA GP Holdings LLC, Plains GP Holdings, L.P., Plains All American GP LLC, Plains AAP,</w:t>
              </w:r>
            </w:hyperlink>
          </w:p>
        </w:tc>
        <w:tc>
          <w:tcPr>
            <w:tcW w:w="0" w:type="dxa"/>
            <w:vAlign w:val="bottom"/>
          </w:tcPr>
          <w:p>
            <w:pPr>
              <w:spacing w:after="0"/>
              <w:rPr>
                <w:sz w:val="1"/>
                <w:szCs w:val="1"/>
                <w:color w:val="auto"/>
              </w:rPr>
            </w:pPr>
          </w:p>
        </w:tc>
      </w:tr>
    </w:tbl>
    <w:p>
      <w:pPr>
        <w:ind w:left="1760" w:right="140"/>
        <w:spacing w:after="0" w:line="226" w:lineRule="auto"/>
        <w:rPr>
          <w:rFonts w:ascii="Arial" w:cs="Arial" w:eastAsia="Arial" w:hAnsi="Arial"/>
          <w:sz w:val="18"/>
          <w:szCs w:val="18"/>
          <w:u w:val="single" w:color="auto"/>
          <w:color w:val="0000FF"/>
        </w:rPr>
      </w:pPr>
      <w:hyperlink r:id="rId291">
        <w:r>
          <w:rPr>
            <w:rFonts w:ascii="Arial" w:cs="Arial" w:eastAsia="Arial" w:hAnsi="Arial"/>
            <w:sz w:val="18"/>
            <w:szCs w:val="18"/>
            <w:u w:val="single" w:color="auto"/>
            <w:color w:val="0000FF"/>
          </w:rPr>
          <w:t>L.P., PAA GP LLC, and Plains All American Pipeline, L.P., dated November 15, 2016 (incorporated by reference to Exhibit 10.1 to</w:t>
        </w:r>
      </w:hyperlink>
      <w:r>
        <w:rPr>
          <w:rFonts w:ascii="Arial" w:cs="Arial" w:eastAsia="Arial" w:hAnsi="Arial"/>
          <w:sz w:val="18"/>
          <w:szCs w:val="18"/>
          <w:u w:val="single" w:color="auto"/>
          <w:color w:val="0000FF"/>
        </w:rPr>
        <w:t xml:space="preserve"> </w:t>
      </w:r>
      <w:hyperlink r:id="rId291">
        <w:r>
          <w:rPr>
            <w:rFonts w:ascii="Arial" w:cs="Arial" w:eastAsia="Arial" w:hAnsi="Arial"/>
            <w:sz w:val="18"/>
            <w:szCs w:val="18"/>
            <w:u w:val="single" w:color="auto"/>
            <w:color w:val="0000FF"/>
          </w:rPr>
          <w:t>our Current Report on Form 8-K filed November 21, 2016).</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FF"/>
                <w:w w:val="90"/>
              </w:rPr>
            </w:pPr>
            <w:hyperlink w:anchor="page1">
              <w:r>
                <w:rPr>
                  <w:rFonts w:ascii="Arial" w:cs="Arial" w:eastAsia="Arial" w:hAnsi="Arial"/>
                  <w:sz w:val="18"/>
                  <w:szCs w:val="18"/>
                  <w:color w:val="0000FF"/>
                  <w:w w:val="90"/>
                </w:rPr>
                <w:t>Table of Contents</w:t>
              </w:r>
            </w:hyperlink>
          </w:p>
        </w:tc>
        <w:tc>
          <w:tcPr>
            <w:tcW w:w="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24"/>
                <w:szCs w:val="24"/>
                <w:color w:val="auto"/>
              </w:rPr>
            </w:pPr>
          </w:p>
        </w:tc>
        <w:tc>
          <w:tcPr>
            <w:tcW w:w="10120" w:type="dxa"/>
            <w:vAlign w:val="bottom"/>
            <w:gridSpan w:val="34"/>
          </w:tcPr>
          <w:p>
            <w:pPr>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293">
              <w:r>
                <w:rPr>
                  <w:rFonts w:ascii="Arial" w:cs="Arial" w:eastAsia="Arial" w:hAnsi="Arial"/>
                  <w:sz w:val="18"/>
                  <w:szCs w:val="18"/>
                  <w:color w:val="0000FF"/>
                  <w:w w:val="98"/>
                </w:rPr>
                <w:t>Amended and Restated Administrative Agreement by and among PAA GP Holdings LLC, Plains GP Holdings, L.P., Plains All</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40" w:type="dxa"/>
            <w:vAlign w:val="bottom"/>
            <w:gridSpan w:val="33"/>
          </w:tcPr>
          <w:p>
            <w:pPr>
              <w:spacing w:after="0" w:line="156" w:lineRule="exact"/>
              <w:rPr>
                <w:rFonts w:ascii="Arial" w:cs="Arial" w:eastAsia="Arial" w:hAnsi="Arial"/>
                <w:sz w:val="18"/>
                <w:szCs w:val="18"/>
                <w:color w:val="0000FF"/>
                <w:w w:val="92"/>
              </w:rPr>
            </w:pPr>
            <w:hyperlink r:id="rId293">
              <w:r>
                <w:rPr>
                  <w:rFonts w:ascii="Arial" w:cs="Arial" w:eastAsia="Arial" w:hAnsi="Arial"/>
                  <w:sz w:val="18"/>
                  <w:szCs w:val="18"/>
                  <w:color w:val="0000FF"/>
                  <w:w w:val="92"/>
                </w:rPr>
                <w:t>American GP LLC, Plains AAP, L.P., PAA GP LLC, and Plains All American Pipeline, L.P., dated November 15, 2016 (incorporated</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5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293">
              <w:r>
                <w:rPr>
                  <w:rFonts w:ascii="Arial" w:cs="Arial" w:eastAsia="Arial" w:hAnsi="Arial"/>
                  <w:sz w:val="18"/>
                  <w:szCs w:val="18"/>
                  <w:color w:val="0000FF"/>
                  <w:w w:val="91"/>
                </w:rPr>
                <w:t>by reference to Exhibit 10.2 to our Current Report on Form 8-K filed November 21, 2016).</w:t>
              </w:r>
            </w:hyperlink>
          </w:p>
        </w:tc>
        <w:tc>
          <w:tcPr>
            <w:tcW w:w="304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24"/>
                <w:szCs w:val="24"/>
                <w:color w:val="auto"/>
              </w:rPr>
            </w:pPr>
          </w:p>
        </w:tc>
        <w:tc>
          <w:tcPr>
            <w:tcW w:w="10120" w:type="dxa"/>
            <w:vAlign w:val="bottom"/>
            <w:gridSpan w:val="34"/>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94">
              <w:r>
                <w:rPr>
                  <w:rFonts w:ascii="Arial" w:cs="Arial" w:eastAsia="Arial" w:hAnsi="Arial"/>
                  <w:sz w:val="18"/>
                  <w:szCs w:val="18"/>
                  <w:color w:val="0000FF"/>
                  <w:w w:val="93"/>
                </w:rPr>
                <w:t>Amended and Restated Employment Agreement between Plains All American GP LLC and Greg L. Armstrong dated as of June 30,</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00" w:type="dxa"/>
            <w:vAlign w:val="bottom"/>
            <w:tcBorders>
              <w:top w:val="single" w:sz="8" w:color="0000FF"/>
            </w:tcBorders>
            <w:gridSpan w:val="27"/>
          </w:tcPr>
          <w:p>
            <w:pPr>
              <w:spacing w:after="0" w:line="156" w:lineRule="exact"/>
              <w:rPr>
                <w:rFonts w:ascii="Arial" w:cs="Arial" w:eastAsia="Arial" w:hAnsi="Arial"/>
                <w:sz w:val="18"/>
                <w:szCs w:val="18"/>
                <w:color w:val="0000FF"/>
                <w:w w:val="91"/>
              </w:rPr>
            </w:pPr>
            <w:hyperlink r:id="rId294">
              <w:r>
                <w:rPr>
                  <w:rFonts w:ascii="Arial" w:cs="Arial" w:eastAsia="Arial" w:hAnsi="Arial"/>
                  <w:sz w:val="18"/>
                  <w:szCs w:val="18"/>
                  <w:color w:val="0000FF"/>
                  <w:w w:val="91"/>
                </w:rPr>
                <w:t>2001 (incorporated by reference to Exhibit 10.1 to our Quarterly Report on Form 10-Q for the quarter ended September 30, 2001).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24"/>
                <w:szCs w:val="24"/>
                <w:color w:val="auto"/>
              </w:rPr>
            </w:pPr>
          </w:p>
        </w:tc>
        <w:tc>
          <w:tcPr>
            <w:tcW w:w="10120" w:type="dxa"/>
            <w:vAlign w:val="bottom"/>
            <w:gridSpan w:val="34"/>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295">
              <w:r>
                <w:rPr>
                  <w:rFonts w:ascii="Arial" w:cs="Arial" w:eastAsia="Arial" w:hAnsi="Arial"/>
                  <w:sz w:val="18"/>
                  <w:szCs w:val="18"/>
                  <w:color w:val="0000FF"/>
                  <w:w w:val="92"/>
                </w:rPr>
                <w:t>First Amendment to Amended and Restated Employment Agreement dated December 4, 2008 between Plains All American GP LLC</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0" w:type="dxa"/>
            <w:vAlign w:val="bottom"/>
            <w:tcBorders>
              <w:top w:val="single" w:sz="8" w:color="0000FF"/>
            </w:tcBorders>
            <w:gridSpan w:val="32"/>
          </w:tcPr>
          <w:p>
            <w:pPr>
              <w:spacing w:after="0" w:line="156" w:lineRule="exact"/>
              <w:rPr>
                <w:rFonts w:ascii="Arial" w:cs="Arial" w:eastAsia="Arial" w:hAnsi="Arial"/>
                <w:sz w:val="18"/>
                <w:szCs w:val="18"/>
                <w:color w:val="0000FF"/>
                <w:w w:val="99"/>
              </w:rPr>
            </w:pPr>
            <w:hyperlink r:id="rId295">
              <w:r>
                <w:rPr>
                  <w:rFonts w:ascii="Arial" w:cs="Arial" w:eastAsia="Arial" w:hAnsi="Arial"/>
                  <w:sz w:val="18"/>
                  <w:szCs w:val="18"/>
                  <w:color w:val="0000FF"/>
                  <w:w w:val="99"/>
                </w:rPr>
                <w:t>and Greg L. Armstrong (incorporated by reference to Exhibit 10.49 to our Annual Report on Form 10-K for the year ended</w:t>
              </w:r>
            </w:hyperlink>
          </w:p>
        </w:tc>
        <w:tc>
          <w:tcPr>
            <w:tcW w:w="4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r:id="rId295">
              <w:r>
                <w:rPr>
                  <w:rFonts w:ascii="Arial" w:cs="Arial" w:eastAsia="Arial" w:hAnsi="Arial"/>
                  <w:sz w:val="18"/>
                  <w:szCs w:val="18"/>
                  <w:color w:val="0000FF"/>
                  <w:w w:val="87"/>
                </w:rPr>
                <w:t>December 31, 2008).</w:t>
              </w:r>
            </w:hyperlink>
          </w:p>
        </w:tc>
        <w:tc>
          <w:tcPr>
            <w:tcW w:w="7340" w:type="dxa"/>
            <w:vAlign w:val="bottom"/>
            <w:tcBorders>
              <w:top w:val="single" w:sz="8" w:color="0000FF"/>
            </w:tcBorders>
            <w:gridSpan w:val="12"/>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420" w:type="dxa"/>
            <w:vAlign w:val="bottom"/>
            <w:tcBorders>
              <w:bottom w:val="single" w:sz="8" w:color="0000FF"/>
            </w:tcBorders>
            <w:gridSpan w:val="23"/>
          </w:tcPr>
          <w:p>
            <w:pPr>
              <w:spacing w:after="0"/>
              <w:rPr>
                <w:rFonts w:ascii="Arial" w:cs="Arial" w:eastAsia="Arial" w:hAnsi="Arial"/>
                <w:sz w:val="18"/>
                <w:szCs w:val="18"/>
                <w:color w:val="0000FF"/>
                <w:w w:val="91"/>
              </w:rPr>
            </w:pPr>
            <w:hyperlink r:id="rId296">
              <w:r>
                <w:rPr>
                  <w:rFonts w:ascii="Arial" w:cs="Arial" w:eastAsia="Arial" w:hAnsi="Arial"/>
                  <w:sz w:val="18"/>
                  <w:szCs w:val="18"/>
                  <w:color w:val="0000FF"/>
                  <w:w w:val="91"/>
                </w:rPr>
                <w:t>Waiver Agreement dated as of December 23, 2010 between Plains All American GP LLC and Greg L. Armstrong (incorporated by</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3"/>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20" w:type="dxa"/>
            <w:vAlign w:val="bottom"/>
            <w:gridSpan w:val="23"/>
          </w:tcPr>
          <w:p>
            <w:pPr>
              <w:spacing w:after="0" w:line="156" w:lineRule="exact"/>
              <w:rPr>
                <w:rFonts w:ascii="Arial" w:cs="Arial" w:eastAsia="Arial" w:hAnsi="Arial"/>
                <w:sz w:val="18"/>
                <w:szCs w:val="18"/>
                <w:color w:val="0000FF"/>
              </w:rPr>
            </w:pPr>
            <w:hyperlink r:id="rId296">
              <w:r>
                <w:rPr>
                  <w:rFonts w:ascii="Arial" w:cs="Arial" w:eastAsia="Arial" w:hAnsi="Arial"/>
                  <w:sz w:val="18"/>
                  <w:szCs w:val="18"/>
                  <w:color w:val="0000FF"/>
                </w:rPr>
                <w:t>reference to Exhibit 10.31 to our Annual Report on Form 10-K for the year ended December 31, 2010).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24"/>
                <w:szCs w:val="24"/>
                <w:color w:val="auto"/>
              </w:rPr>
            </w:pPr>
          </w:p>
        </w:tc>
        <w:tc>
          <w:tcPr>
            <w:tcW w:w="10120" w:type="dxa"/>
            <w:vAlign w:val="bottom"/>
            <w:gridSpan w:val="34"/>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97">
              <w:r>
                <w:rPr>
                  <w:rFonts w:ascii="Arial" w:cs="Arial" w:eastAsia="Arial" w:hAnsi="Arial"/>
                  <w:sz w:val="18"/>
                  <w:szCs w:val="18"/>
                  <w:color w:val="0000FF"/>
                  <w:w w:val="94"/>
                </w:rPr>
                <w:t>Waiver Agreement dated October 21, 2013 to the Amended and Restated Employment Agreement dated June 30, 2001 of Greg L.</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297">
              <w:r>
                <w:rPr>
                  <w:rFonts w:ascii="Arial" w:cs="Arial" w:eastAsia="Arial" w:hAnsi="Arial"/>
                  <w:sz w:val="18"/>
                  <w:szCs w:val="18"/>
                  <w:color w:val="0000FF"/>
                  <w:w w:val="91"/>
                </w:rPr>
                <w:t>Armstrong (incorporated by reference to Exhibit 10.2 to our Current Report on Form 8-K filed October 25, 2013).</w:t>
              </w:r>
            </w:hyperlink>
          </w:p>
        </w:tc>
        <w:tc>
          <w:tcPr>
            <w:tcW w:w="116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24"/>
                <w:szCs w:val="24"/>
                <w:color w:val="auto"/>
              </w:rPr>
            </w:pPr>
          </w:p>
        </w:tc>
        <w:tc>
          <w:tcPr>
            <w:tcW w:w="10120" w:type="dxa"/>
            <w:vAlign w:val="bottom"/>
            <w:gridSpan w:val="34"/>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98">
              <w:r>
                <w:rPr>
                  <w:rFonts w:ascii="Arial" w:cs="Arial" w:eastAsia="Arial" w:hAnsi="Arial"/>
                  <w:sz w:val="18"/>
                  <w:szCs w:val="18"/>
                  <w:color w:val="0000FF"/>
                  <w:w w:val="93"/>
                </w:rPr>
                <w:t>Second Amended and Restated Employment Agreement dated effective October 1, 2018 between Plains All American GP LLC and</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80" w:type="dxa"/>
            <w:vAlign w:val="bottom"/>
            <w:tcBorders>
              <w:top w:val="single" w:sz="8" w:color="0000FF"/>
            </w:tcBorders>
            <w:gridSpan w:val="26"/>
          </w:tcPr>
          <w:p>
            <w:pPr>
              <w:spacing w:after="0" w:line="156" w:lineRule="exact"/>
              <w:rPr>
                <w:rFonts w:ascii="Arial" w:cs="Arial" w:eastAsia="Arial" w:hAnsi="Arial"/>
                <w:sz w:val="18"/>
                <w:szCs w:val="18"/>
                <w:color w:val="0000FF"/>
                <w:w w:val="98"/>
              </w:rPr>
            </w:pPr>
            <w:hyperlink r:id="rId298">
              <w:r>
                <w:rPr>
                  <w:rFonts w:ascii="Arial" w:cs="Arial" w:eastAsia="Arial" w:hAnsi="Arial"/>
                  <w:sz w:val="18"/>
                  <w:szCs w:val="18"/>
                  <w:color w:val="0000FF"/>
                  <w:w w:val="98"/>
                </w:rPr>
                <w:t>Greg L. Armstrong (incorporated by reference to Exhibit 10.6 to our Quarterly Report on Form 10-Q for the quarter ended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298">
              <w:r>
                <w:rPr>
                  <w:rFonts w:ascii="Arial" w:cs="Arial" w:eastAsia="Arial" w:hAnsi="Arial"/>
                  <w:sz w:val="18"/>
                  <w:szCs w:val="18"/>
                  <w:color w:val="0000FF"/>
                </w:rPr>
                <w:t>September 30, 2018).</w:t>
              </w:r>
            </w:hyperlink>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30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10.31***†</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34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206">
              <w:r>
                <w:rPr>
                  <w:rFonts w:ascii="Arial" w:cs="Arial" w:eastAsia="Arial" w:hAnsi="Arial"/>
                  <w:sz w:val="18"/>
                  <w:szCs w:val="18"/>
                  <w:color w:val="0000FF"/>
                  <w:w w:val="90"/>
                </w:rPr>
                <w:t>Third Amended and Restated Employment Agreement dated effective January 1, 2020 between Plains All American GP LLC and</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3"/>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40" w:type="dxa"/>
            <w:vAlign w:val="bottom"/>
            <w:gridSpan w:val="20"/>
          </w:tcPr>
          <w:p>
            <w:pPr>
              <w:spacing w:after="0" w:line="156" w:lineRule="exact"/>
              <w:rPr>
                <w:rFonts w:ascii="Arial" w:cs="Arial" w:eastAsia="Arial" w:hAnsi="Arial"/>
                <w:sz w:val="18"/>
                <w:szCs w:val="18"/>
                <w:color w:val="0000FF"/>
              </w:rPr>
            </w:pPr>
            <w:hyperlink w:anchor="page206">
              <w:r>
                <w:rPr>
                  <w:rFonts w:ascii="Arial" w:cs="Arial" w:eastAsia="Arial" w:hAnsi="Arial"/>
                  <w:sz w:val="18"/>
                  <w:szCs w:val="18"/>
                  <w:color w:val="0000FF"/>
                </w:rPr>
                <w:t>Greg L. Armstrong.</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24"/>
                <w:szCs w:val="24"/>
                <w:color w:val="auto"/>
              </w:rPr>
            </w:pPr>
          </w:p>
        </w:tc>
        <w:tc>
          <w:tcPr>
            <w:tcW w:w="10120" w:type="dxa"/>
            <w:vAlign w:val="bottom"/>
            <w:gridSpan w:val="34"/>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99">
              <w:r>
                <w:rPr>
                  <w:rFonts w:ascii="Arial" w:cs="Arial" w:eastAsia="Arial" w:hAnsi="Arial"/>
                  <w:sz w:val="18"/>
                  <w:szCs w:val="18"/>
                  <w:color w:val="0000FF"/>
                  <w:w w:val="95"/>
                </w:rPr>
                <w:t>Amended and Restated Employment Agreement between Plains All American GP LLC and Harry N. Pefanis dated as of June 30,</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20" w:type="dxa"/>
            <w:vAlign w:val="bottom"/>
            <w:tcBorders>
              <w:top w:val="single" w:sz="8" w:color="0000FF"/>
            </w:tcBorders>
            <w:gridSpan w:val="19"/>
          </w:tcPr>
          <w:p>
            <w:pPr>
              <w:spacing w:after="0" w:line="156" w:lineRule="exact"/>
              <w:rPr>
                <w:rFonts w:ascii="Arial" w:cs="Arial" w:eastAsia="Arial" w:hAnsi="Arial"/>
                <w:sz w:val="18"/>
                <w:szCs w:val="18"/>
                <w:color w:val="0000FF"/>
                <w:w w:val="90"/>
              </w:rPr>
            </w:pPr>
            <w:hyperlink r:id="rId299">
              <w:r>
                <w:rPr>
                  <w:rFonts w:ascii="Arial" w:cs="Arial" w:eastAsia="Arial" w:hAnsi="Arial"/>
                  <w:sz w:val="18"/>
                  <w:szCs w:val="18"/>
                  <w:color w:val="0000FF"/>
                  <w:w w:val="90"/>
                </w:rPr>
                <w:t>2001 (incorporated by reference to Exhibit 10.2 to our Quarterly Report on Form 10-Q for the quarter ended September 30, 2001)</w:t>
              </w:r>
            </w:hyperlink>
          </w:p>
        </w:tc>
        <w:tc>
          <w:tcPr>
            <w:tcW w:w="80" w:type="dxa"/>
            <w:vAlign w:val="bottom"/>
            <w:gridSpan w:val="3"/>
          </w:tcPr>
          <w:p>
            <w:pPr>
              <w:jc w:val="right"/>
              <w:ind w:right="40"/>
              <w:spacing w:after="0"/>
              <w:rPr>
                <w:rFonts w:ascii="Arial" w:cs="Arial" w:eastAsia="Arial" w:hAnsi="Arial"/>
                <w:sz w:val="10"/>
                <w:szCs w:val="10"/>
                <w:color w:val="0000FF"/>
                <w:w w:val="70"/>
              </w:rPr>
            </w:pPr>
            <w:hyperlink r:id="rId299">
              <w:r>
                <w:rPr>
                  <w:rFonts w:ascii="Arial" w:cs="Arial" w:eastAsia="Arial" w:hAnsi="Arial"/>
                  <w:sz w:val="10"/>
                  <w:szCs w:val="10"/>
                  <w:color w:val="0000FF"/>
                  <w:w w:val="7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65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24"/>
                <w:szCs w:val="24"/>
                <w:color w:val="auto"/>
              </w:rPr>
            </w:pPr>
          </w:p>
        </w:tc>
        <w:tc>
          <w:tcPr>
            <w:tcW w:w="10120" w:type="dxa"/>
            <w:vAlign w:val="bottom"/>
            <w:gridSpan w:val="34"/>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300">
              <w:r>
                <w:rPr>
                  <w:rFonts w:ascii="Arial" w:cs="Arial" w:eastAsia="Arial" w:hAnsi="Arial"/>
                  <w:sz w:val="18"/>
                  <w:szCs w:val="18"/>
                  <w:color w:val="0000FF"/>
                  <w:w w:val="92"/>
                </w:rPr>
                <w:t>First Amendment to Amended and Restated Employment Agreement dated December 4, 2008 between Plains All American GP LLC</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300">
              <w:r>
                <w:rPr>
                  <w:rFonts w:ascii="Arial" w:cs="Arial" w:eastAsia="Arial" w:hAnsi="Arial"/>
                  <w:sz w:val="18"/>
                  <w:szCs w:val="18"/>
                  <w:color w:val="0000FF"/>
                </w:rPr>
                <w:t>and Harry N. Pefanis (incorporated by reference to Exhibit 10.50 to our Annual Report on Form 10-K for the year ended</w:t>
              </w:r>
            </w:hyperlink>
          </w:p>
        </w:tc>
        <w:tc>
          <w:tcPr>
            <w:tcW w:w="4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r:id="rId300">
              <w:r>
                <w:rPr>
                  <w:rFonts w:ascii="Arial" w:cs="Arial" w:eastAsia="Arial" w:hAnsi="Arial"/>
                  <w:sz w:val="18"/>
                  <w:szCs w:val="18"/>
                  <w:color w:val="0000FF"/>
                  <w:w w:val="87"/>
                </w:rPr>
                <w:t>December 31, 2008).</w:t>
              </w:r>
            </w:hyperlink>
          </w:p>
        </w:tc>
        <w:tc>
          <w:tcPr>
            <w:tcW w:w="7160" w:type="dxa"/>
            <w:vAlign w:val="bottom"/>
            <w:tcBorders>
              <w:top w:val="single" w:sz="8" w:color="0000FF"/>
            </w:tcBorders>
            <w:gridSpan w:val="10"/>
          </w:tcPr>
          <w:p>
            <w:pPr>
              <w:spacing w:after="0"/>
              <w:rPr>
                <w:sz w:val="13"/>
                <w:szCs w:val="13"/>
                <w:color w:val="auto"/>
              </w:rPr>
            </w:pPr>
          </w:p>
        </w:tc>
        <w:tc>
          <w:tcPr>
            <w:tcW w:w="3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980" w:type="dxa"/>
            <w:vAlign w:val="bottom"/>
            <w:tcBorders>
              <w:bottom w:val="single" w:sz="8" w:color="0000FF"/>
            </w:tcBorders>
            <w:gridSpan w:val="15"/>
          </w:tcPr>
          <w:p>
            <w:pPr>
              <w:spacing w:after="0"/>
              <w:rPr>
                <w:rFonts w:ascii="Arial" w:cs="Arial" w:eastAsia="Arial" w:hAnsi="Arial"/>
                <w:sz w:val="18"/>
                <w:szCs w:val="18"/>
                <w:color w:val="0000FF"/>
                <w:w w:val="90"/>
              </w:rPr>
            </w:pPr>
            <w:hyperlink r:id="rId301">
              <w:r>
                <w:rPr>
                  <w:rFonts w:ascii="Arial" w:cs="Arial" w:eastAsia="Arial" w:hAnsi="Arial"/>
                  <w:sz w:val="18"/>
                  <w:szCs w:val="18"/>
                  <w:color w:val="0000FF"/>
                  <w:w w:val="90"/>
                </w:rPr>
                <w:t>Amendment No. 2 dated August 15, 2019 to Harry Pefanis Amended and Restated Employment Agreement (incorporated by</w:t>
              </w:r>
            </w:hyperlink>
          </w:p>
        </w:tc>
        <w:tc>
          <w:tcPr>
            <w:tcW w:w="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60" w:type="dxa"/>
            <w:vAlign w:val="bottom"/>
            <w:gridSpan w:val="4"/>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3"/>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740" w:type="dxa"/>
            <w:vAlign w:val="bottom"/>
            <w:tcBorders>
              <w:bottom w:val="single" w:sz="8" w:color="0000FF"/>
            </w:tcBorders>
            <w:gridSpan w:val="9"/>
          </w:tcPr>
          <w:p>
            <w:pPr>
              <w:spacing w:after="0" w:line="156" w:lineRule="exact"/>
              <w:rPr>
                <w:rFonts w:ascii="Arial" w:cs="Arial" w:eastAsia="Arial" w:hAnsi="Arial"/>
                <w:sz w:val="18"/>
                <w:szCs w:val="18"/>
                <w:color w:val="0000FF"/>
                <w:w w:val="90"/>
              </w:rPr>
            </w:pPr>
            <w:hyperlink r:id="rId301">
              <w:r>
                <w:rPr>
                  <w:rFonts w:ascii="Arial" w:cs="Arial" w:eastAsia="Arial" w:hAnsi="Arial"/>
                  <w:sz w:val="18"/>
                  <w:szCs w:val="18"/>
                  <w:color w:val="0000FF"/>
                  <w:w w:val="90"/>
                </w:rPr>
                <w:t>reference to Exhibit 10.1 to our Quarterly Report on Form 10-Q for the quarter ended September 30, 2019).</w:t>
              </w:r>
            </w:hyperlink>
          </w:p>
        </w:tc>
        <w:tc>
          <w:tcPr>
            <w:tcW w:w="124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24"/>
                <w:szCs w:val="24"/>
                <w:color w:val="auto"/>
              </w:rPr>
            </w:pPr>
          </w:p>
        </w:tc>
        <w:tc>
          <w:tcPr>
            <w:tcW w:w="10120" w:type="dxa"/>
            <w:vAlign w:val="bottom"/>
            <w:gridSpan w:val="34"/>
          </w:tcPr>
          <w:p>
            <w:pPr>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302">
              <w:r>
                <w:rPr>
                  <w:rFonts w:ascii="Arial" w:cs="Arial" w:eastAsia="Arial" w:hAnsi="Arial"/>
                  <w:sz w:val="18"/>
                  <w:szCs w:val="18"/>
                  <w:color w:val="0000FF"/>
                  <w:w w:val="96"/>
                </w:rPr>
                <w:t>Waiver Agreement dated as of December 23, 2010 between Plains All American GP LLC and Harry N. Pefanis (incorporated by</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302">
              <w:r>
                <w:rPr>
                  <w:rFonts w:ascii="Arial" w:cs="Arial" w:eastAsia="Arial" w:hAnsi="Arial"/>
                  <w:sz w:val="18"/>
                  <w:szCs w:val="18"/>
                  <w:color w:val="0000FF"/>
                </w:rPr>
                <w:t>reference to Exhibit 10.32 to our Annual Report on Form 10-K for the year ended December 31, 2010).</w:t>
              </w:r>
            </w:hyperlink>
          </w:p>
        </w:tc>
        <w:tc>
          <w:tcPr>
            <w:tcW w:w="1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65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FF"/>
            </w:tcBorders>
            <w:gridSpan w:val="25"/>
          </w:tcPr>
          <w:p>
            <w:pPr>
              <w:spacing w:after="0"/>
              <w:rPr>
                <w:rFonts w:ascii="Arial" w:cs="Arial" w:eastAsia="Arial" w:hAnsi="Arial"/>
                <w:sz w:val="18"/>
                <w:szCs w:val="18"/>
                <w:color w:val="0000FF"/>
                <w:w w:val="90"/>
              </w:rPr>
            </w:pPr>
            <w:hyperlink r:id="rId303">
              <w:r>
                <w:rPr>
                  <w:rFonts w:ascii="Arial" w:cs="Arial" w:eastAsia="Arial" w:hAnsi="Arial"/>
                  <w:sz w:val="18"/>
                  <w:szCs w:val="18"/>
                  <w:color w:val="0000FF"/>
                  <w:w w:val="90"/>
                </w:rPr>
                <w:t>Waiver Agreement dated October 21, 2013 to the Amended and Restated Employment Agreement dated June 30, 2001 of Harry N.</w:t>
              </w:r>
            </w:hyperlink>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3"/>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60" w:type="dxa"/>
            <w:vAlign w:val="bottom"/>
            <w:gridSpan w:val="25"/>
          </w:tcPr>
          <w:p>
            <w:pPr>
              <w:spacing w:after="0" w:line="156" w:lineRule="exact"/>
              <w:rPr>
                <w:rFonts w:ascii="Arial" w:cs="Arial" w:eastAsia="Arial" w:hAnsi="Arial"/>
                <w:sz w:val="18"/>
                <w:szCs w:val="18"/>
                <w:color w:val="0000FF"/>
              </w:rPr>
            </w:pPr>
            <w:hyperlink r:id="rId303">
              <w:r>
                <w:rPr>
                  <w:rFonts w:ascii="Arial" w:cs="Arial" w:eastAsia="Arial" w:hAnsi="Arial"/>
                  <w:sz w:val="18"/>
                  <w:szCs w:val="18"/>
                  <w:color w:val="0000FF"/>
                </w:rPr>
                <w:t>Pefanis (incorporated by reference to Exhibit 10.3 to our Current Report on Form 8-K filed October 25, 2013).</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65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520" w:type="dxa"/>
            <w:vAlign w:val="bottom"/>
            <w:tcBorders>
              <w:bottom w:val="single" w:sz="8" w:color="0000FF"/>
            </w:tcBorders>
            <w:gridSpan w:val="28"/>
          </w:tcPr>
          <w:p>
            <w:pPr>
              <w:spacing w:after="0"/>
              <w:rPr>
                <w:rFonts w:ascii="Arial" w:cs="Arial" w:eastAsia="Arial" w:hAnsi="Arial"/>
                <w:sz w:val="18"/>
                <w:szCs w:val="18"/>
                <w:color w:val="0000FF"/>
                <w:w w:val="91"/>
              </w:rPr>
            </w:pPr>
            <w:hyperlink r:id="rId304">
              <w:r>
                <w:rPr>
                  <w:rFonts w:ascii="Arial" w:cs="Arial" w:eastAsia="Arial" w:hAnsi="Arial"/>
                  <w:sz w:val="18"/>
                  <w:szCs w:val="18"/>
                  <w:color w:val="0000FF"/>
                  <w:w w:val="91"/>
                </w:rPr>
                <w:t>Employment Agreement between Plains All American GP LLC and Willie Chiang dated July 10, 2015 (incorporated by reference to</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3"/>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20" w:type="dxa"/>
            <w:vAlign w:val="bottom"/>
            <w:gridSpan w:val="28"/>
          </w:tcPr>
          <w:p>
            <w:pPr>
              <w:spacing w:after="0" w:line="156" w:lineRule="exact"/>
              <w:rPr>
                <w:rFonts w:ascii="Arial" w:cs="Arial" w:eastAsia="Arial" w:hAnsi="Arial"/>
                <w:sz w:val="18"/>
                <w:szCs w:val="18"/>
                <w:color w:val="0000FF"/>
              </w:rPr>
            </w:pPr>
            <w:hyperlink r:id="rId304">
              <w:r>
                <w:rPr>
                  <w:rFonts w:ascii="Arial" w:cs="Arial" w:eastAsia="Arial" w:hAnsi="Arial"/>
                  <w:sz w:val="18"/>
                  <w:szCs w:val="18"/>
                  <w:color w:val="0000FF"/>
                </w:rPr>
                <w:t>Exhibit 10.53 to our Annual Report on Form 10-K for the year ended December 31,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652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10.38***</w:t>
            </w:r>
          </w:p>
        </w:tc>
        <w:tc>
          <w:tcPr>
            <w:tcW w:w="20" w:type="dxa"/>
            <w:vAlign w:val="bottom"/>
          </w:tcPr>
          <w:p>
            <w:pPr>
              <w:spacing w:after="0"/>
              <w:rPr>
                <w:sz w:val="24"/>
                <w:szCs w:val="24"/>
                <w:color w:val="auto"/>
              </w:rPr>
            </w:pPr>
          </w:p>
        </w:tc>
        <w:tc>
          <w:tcPr>
            <w:tcW w:w="10120" w:type="dxa"/>
            <w:vAlign w:val="bottom"/>
            <w:gridSpan w:val="34"/>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305">
              <w:r>
                <w:rPr>
                  <w:rFonts w:ascii="Arial" w:cs="Arial" w:eastAsia="Arial" w:hAnsi="Arial"/>
                  <w:sz w:val="18"/>
                  <w:szCs w:val="18"/>
                  <w:color w:val="0000FF"/>
                  <w:w w:val="95"/>
                </w:rPr>
                <w:t>Amended and Restated Employment Agreement dated effective October 1, 2018 between Plains All American GP LLC and Willie</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89"/>
              </w:rPr>
            </w:pPr>
            <w:hyperlink r:id="rId305">
              <w:r>
                <w:rPr>
                  <w:rFonts w:ascii="Arial" w:cs="Arial" w:eastAsia="Arial" w:hAnsi="Arial"/>
                  <w:sz w:val="18"/>
                  <w:szCs w:val="18"/>
                  <w:color w:val="0000FF"/>
                  <w:w w:val="89"/>
                </w:rPr>
                <w:t>Chiang (incorporated by reference to Exhibit 10.7 to our Quarterly Report on Form 10-Q for the quarter ended September 30, 2018)</w:t>
              </w:r>
            </w:hyperlink>
          </w:p>
        </w:tc>
        <w:tc>
          <w:tcPr>
            <w:tcW w:w="140" w:type="dxa"/>
            <w:vAlign w:val="bottom"/>
            <w:tcBorders>
              <w:bottom w:val="single" w:sz="8" w:color="0000FF"/>
            </w:tcBorders>
            <w:gridSpan w:val="7"/>
          </w:tcPr>
          <w:p>
            <w:pPr>
              <w:jc w:val="right"/>
              <w:ind w:right="20"/>
              <w:spacing w:after="0" w:line="156" w:lineRule="exact"/>
              <w:rPr>
                <w:rFonts w:ascii="Arial" w:cs="Arial" w:eastAsia="Arial" w:hAnsi="Arial"/>
                <w:sz w:val="18"/>
                <w:szCs w:val="18"/>
                <w:color w:val="0000FF"/>
              </w:rPr>
            </w:pPr>
            <w:hyperlink r:id="rId305">
              <w:r>
                <w:rPr>
                  <w:rFonts w:ascii="Arial" w:cs="Arial" w:eastAsia="Arial" w:hAnsi="Arial"/>
                  <w:sz w:val="18"/>
                  <w:szCs w:val="18"/>
                  <w:color w:val="0000FF"/>
                </w:rPr>
                <w:t>.</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24"/>
                <w:szCs w:val="24"/>
                <w:color w:val="auto"/>
              </w:rPr>
            </w:pPr>
          </w:p>
        </w:tc>
        <w:tc>
          <w:tcPr>
            <w:tcW w:w="10120" w:type="dxa"/>
            <w:vAlign w:val="bottom"/>
            <w:gridSpan w:val="34"/>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306">
              <w:r>
                <w:rPr>
                  <w:rFonts w:ascii="Arial" w:cs="Arial" w:eastAsia="Arial" w:hAnsi="Arial"/>
                  <w:sz w:val="18"/>
                  <w:szCs w:val="18"/>
                  <w:color w:val="0000FF"/>
                  <w:w w:val="95"/>
                </w:rPr>
                <w:t>First Amendment to Plains AAP, L.P. Class B Restricted Units Agreement dated August 25, 2016 (Willie Chiang) (incorporated by</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306">
              <w:r>
                <w:rPr>
                  <w:rFonts w:ascii="Arial" w:cs="Arial" w:eastAsia="Arial" w:hAnsi="Arial"/>
                  <w:sz w:val="18"/>
                  <w:szCs w:val="18"/>
                  <w:color w:val="0000FF"/>
                </w:rPr>
                <w:t>reference to Exhibit 10.8 to our Quarterly Report on Form 10-Q for the quarter ended September 30, 2016).</w:t>
              </w:r>
            </w:hyperlink>
          </w:p>
        </w:tc>
        <w:tc>
          <w:tcPr>
            <w:tcW w:w="120" w:type="dxa"/>
            <w:vAlign w:val="bottom"/>
            <w:gridSpan w:val="6"/>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6820" w:type="dxa"/>
            <w:vAlign w:val="bottom"/>
            <w:gridSpan w:val="6"/>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520" w:type="dxa"/>
            <w:vAlign w:val="bottom"/>
            <w:gridSpan w:val="1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560" w:type="dxa"/>
            <w:vAlign w:val="bottom"/>
            <w:tcBorders>
              <w:bottom w:val="single" w:sz="8" w:color="0000FF"/>
            </w:tcBorders>
            <w:gridSpan w:val="30"/>
          </w:tcPr>
          <w:p>
            <w:pPr>
              <w:spacing w:after="0"/>
              <w:rPr>
                <w:rFonts w:ascii="Arial" w:cs="Arial" w:eastAsia="Arial" w:hAnsi="Arial"/>
                <w:sz w:val="18"/>
                <w:szCs w:val="18"/>
                <w:color w:val="0000FF"/>
                <w:w w:val="90"/>
              </w:rPr>
            </w:pPr>
            <w:hyperlink r:id="rId307">
              <w:r>
                <w:rPr>
                  <w:rFonts w:ascii="Arial" w:cs="Arial" w:eastAsia="Arial" w:hAnsi="Arial"/>
                  <w:sz w:val="18"/>
                  <w:szCs w:val="18"/>
                  <w:color w:val="0000FF"/>
                  <w:w w:val="90"/>
                </w:rPr>
                <w:t>Second Amendment dated March 22, 2018 to Plains AAP, L.P. Class B Restricted Units Agreement (Willie Chiang) (incorporated by</w:t>
              </w:r>
            </w:hyperlink>
          </w:p>
        </w:tc>
        <w:tc>
          <w:tcPr>
            <w:tcW w:w="80" w:type="dxa"/>
            <w:vAlign w:val="bottom"/>
            <w:gridSpan w:val="3"/>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60" w:type="dxa"/>
            <w:vAlign w:val="bottom"/>
            <w:gridSpan w:val="30"/>
          </w:tcPr>
          <w:p>
            <w:pPr>
              <w:spacing w:after="0" w:line="156" w:lineRule="exact"/>
              <w:rPr>
                <w:rFonts w:ascii="Arial" w:cs="Arial" w:eastAsia="Arial" w:hAnsi="Arial"/>
                <w:sz w:val="18"/>
                <w:szCs w:val="18"/>
                <w:color w:val="0000FF"/>
              </w:rPr>
            </w:pPr>
            <w:hyperlink r:id="rId307">
              <w:r>
                <w:rPr>
                  <w:rFonts w:ascii="Arial" w:cs="Arial" w:eastAsia="Arial" w:hAnsi="Arial"/>
                  <w:sz w:val="18"/>
                  <w:szCs w:val="18"/>
                  <w:color w:val="0000FF"/>
                </w:rPr>
                <w:t>reference to Exhibit 10.1 to our Quarterly Report on Form 10-Q for the quarter ended March 31, 2018).</w:t>
              </w:r>
            </w:hyperlink>
          </w:p>
        </w:tc>
        <w:tc>
          <w:tcPr>
            <w:tcW w:w="80" w:type="dxa"/>
            <w:vAlign w:val="bottom"/>
            <w:gridSpan w:val="3"/>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6820" w:type="dxa"/>
            <w:vAlign w:val="bottom"/>
            <w:gridSpan w:val="6"/>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600" w:type="dxa"/>
            <w:vAlign w:val="bottom"/>
            <w:gridSpan w:val="17"/>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040" w:type="dxa"/>
            <w:vAlign w:val="bottom"/>
            <w:tcBorders>
              <w:bottom w:val="single" w:sz="8" w:color="0000FF"/>
            </w:tcBorders>
            <w:gridSpan w:val="16"/>
          </w:tcPr>
          <w:p>
            <w:pPr>
              <w:spacing w:after="0"/>
              <w:rPr>
                <w:rFonts w:ascii="Arial" w:cs="Arial" w:eastAsia="Arial" w:hAnsi="Arial"/>
                <w:sz w:val="18"/>
                <w:szCs w:val="18"/>
                <w:color w:val="0000FF"/>
                <w:w w:val="90"/>
              </w:rPr>
            </w:pPr>
            <w:hyperlink r:id="rId308">
              <w:r>
                <w:rPr>
                  <w:rFonts w:ascii="Arial" w:cs="Arial" w:eastAsia="Arial" w:hAnsi="Arial"/>
                  <w:sz w:val="18"/>
                  <w:szCs w:val="18"/>
                  <w:color w:val="0000FF"/>
                  <w:w w:val="90"/>
                </w:rPr>
                <w:t>Amendment dated August 25, 2016 to LTIP Grant Letter dated August 24, 2015 (Willie Chiang) (incorporated by reference to</w:t>
              </w:r>
            </w:hyperlink>
          </w:p>
        </w:tc>
        <w:tc>
          <w:tcPr>
            <w:tcW w:w="600" w:type="dxa"/>
            <w:vAlign w:val="bottom"/>
            <w:gridSpan w:val="17"/>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40" w:type="dxa"/>
            <w:vAlign w:val="bottom"/>
            <w:gridSpan w:val="16"/>
          </w:tcPr>
          <w:p>
            <w:pPr>
              <w:spacing w:after="0" w:line="156" w:lineRule="exact"/>
              <w:rPr>
                <w:rFonts w:ascii="Arial" w:cs="Arial" w:eastAsia="Arial" w:hAnsi="Arial"/>
                <w:sz w:val="18"/>
                <w:szCs w:val="18"/>
                <w:color w:val="0000FF"/>
              </w:rPr>
            </w:pPr>
            <w:hyperlink r:id="rId308">
              <w:r>
                <w:rPr>
                  <w:rFonts w:ascii="Arial" w:cs="Arial" w:eastAsia="Arial" w:hAnsi="Arial"/>
                  <w:sz w:val="18"/>
                  <w:szCs w:val="18"/>
                  <w:color w:val="0000FF"/>
                </w:rPr>
                <w:t>Exhibit 10.7 to our Quarterly Report on Form 10-Q for the quarter ended September 30, 2016).</w:t>
              </w:r>
            </w:hyperlink>
          </w:p>
        </w:tc>
        <w:tc>
          <w:tcPr>
            <w:tcW w:w="600" w:type="dxa"/>
            <w:vAlign w:val="bottom"/>
            <w:gridSpan w:val="17"/>
          </w:tcPr>
          <w:p>
            <w:pPr>
              <w:spacing w:after="0"/>
              <w:rPr>
                <w:sz w:val="13"/>
                <w:szCs w:val="13"/>
                <w:color w:val="auto"/>
              </w:rPr>
            </w:pPr>
          </w:p>
        </w:tc>
      </w:tr>
      <w:tr>
        <w:trPr>
          <w:trHeight w:val="1006"/>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20" w:type="dxa"/>
            <w:vAlign w:val="bottom"/>
            <w:tcBorders>
              <w:top w:val="single" w:sz="8" w:color="0000FF"/>
            </w:tcBorders>
            <w:gridSpan w:val="4"/>
          </w:tcPr>
          <w:p>
            <w:pPr>
              <w:jc w:val="right"/>
              <w:ind w:right="2460"/>
              <w:spacing w:after="0"/>
              <w:rPr>
                <w:sz w:val="20"/>
                <w:szCs w:val="20"/>
                <w:color w:val="auto"/>
              </w:rPr>
            </w:pPr>
            <w:r>
              <w:rPr>
                <w:rFonts w:ascii="Arial" w:cs="Arial" w:eastAsia="Arial" w:hAnsi="Arial"/>
                <w:sz w:val="18"/>
                <w:szCs w:val="18"/>
                <w:color w:val="auto"/>
              </w:rPr>
              <w:t>119</w:t>
            </w: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FF"/>
                <w:w w:val="90"/>
              </w:rPr>
            </w:pPr>
            <w:hyperlink w:anchor="page1">
              <w:r>
                <w:rPr>
                  <w:rFonts w:ascii="Arial" w:cs="Arial" w:eastAsia="Arial" w:hAnsi="Arial"/>
                  <w:sz w:val="18"/>
                  <w:szCs w:val="18"/>
                  <w:color w:val="0000FF"/>
                  <w:w w:val="90"/>
                </w:rPr>
                <w:t>Table of Contents</w:t>
              </w:r>
            </w:hyperlink>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24"/>
                <w:szCs w:val="24"/>
                <w:color w:val="auto"/>
              </w:rPr>
            </w:pPr>
          </w:p>
        </w:tc>
        <w:tc>
          <w:tcPr>
            <w:tcW w:w="10120" w:type="dxa"/>
            <w:vAlign w:val="bottom"/>
            <w:gridSpan w:val="41"/>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311">
              <w:r>
                <w:rPr>
                  <w:rFonts w:ascii="Arial" w:cs="Arial" w:eastAsia="Arial" w:hAnsi="Arial"/>
                  <w:sz w:val="18"/>
                  <w:szCs w:val="18"/>
                  <w:color w:val="0000FF"/>
                  <w:w w:val="95"/>
                </w:rPr>
                <w:t>Amendment dated March 22, 2018 to PAA LTIP Grant Letter dated August 24, 2015 (Willie Chiang) (incorporated by reference to</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311">
              <w:r>
                <w:rPr>
                  <w:rFonts w:ascii="Arial" w:cs="Arial" w:eastAsia="Arial" w:hAnsi="Arial"/>
                  <w:sz w:val="18"/>
                  <w:szCs w:val="18"/>
                  <w:color w:val="0000FF"/>
                </w:rPr>
                <w:t>Exhibit 10.3 to our Quarterly Report on Form 10-Q for the quarter ended March 31,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10.43***</w:t>
            </w:r>
          </w:p>
        </w:tc>
        <w:tc>
          <w:tcPr>
            <w:tcW w:w="20" w:type="dxa"/>
            <w:vAlign w:val="bottom"/>
          </w:tcPr>
          <w:p>
            <w:pPr>
              <w:spacing w:after="0"/>
              <w:rPr>
                <w:sz w:val="24"/>
                <w:szCs w:val="24"/>
                <w:color w:val="auto"/>
              </w:rPr>
            </w:pPr>
          </w:p>
        </w:tc>
        <w:tc>
          <w:tcPr>
            <w:tcW w:w="10120" w:type="dxa"/>
            <w:vAlign w:val="bottom"/>
            <w:gridSpan w:val="41"/>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312">
              <w:r>
                <w:rPr>
                  <w:rFonts w:ascii="Arial" w:cs="Arial" w:eastAsia="Arial" w:hAnsi="Arial"/>
                  <w:sz w:val="18"/>
                  <w:szCs w:val="18"/>
                  <w:color w:val="0000FF"/>
                  <w:w w:val="94"/>
                </w:rPr>
                <w:t>LTIP Grant Letter dated August 16, 2018 (Willie Chiang) incorporated by reference to Exhibit 10.8 to our Quarterly Report on Form</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2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312">
              <w:r>
                <w:rPr>
                  <w:rFonts w:ascii="Arial" w:cs="Arial" w:eastAsia="Arial" w:hAnsi="Arial"/>
                  <w:sz w:val="18"/>
                  <w:szCs w:val="18"/>
                  <w:color w:val="0000FF"/>
                </w:rPr>
                <w:t>10-Q for the quarter ended September 30,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10.44***</w:t>
            </w:r>
          </w:p>
        </w:tc>
        <w:tc>
          <w:tcPr>
            <w:tcW w:w="20" w:type="dxa"/>
            <w:vAlign w:val="bottom"/>
          </w:tcPr>
          <w:p>
            <w:pPr>
              <w:spacing w:after="0"/>
              <w:rPr>
                <w:sz w:val="24"/>
                <w:szCs w:val="24"/>
                <w:color w:val="auto"/>
              </w:rPr>
            </w:pPr>
          </w:p>
        </w:tc>
        <w:tc>
          <w:tcPr>
            <w:tcW w:w="10120" w:type="dxa"/>
            <w:vAlign w:val="bottom"/>
            <w:gridSpan w:val="41"/>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313">
              <w:r>
                <w:rPr>
                  <w:rFonts w:ascii="Arial" w:cs="Arial" w:eastAsia="Arial" w:hAnsi="Arial"/>
                  <w:sz w:val="18"/>
                  <w:szCs w:val="18"/>
                  <w:color w:val="0000FF"/>
                  <w:w w:val="95"/>
                </w:rPr>
                <w:t>Plains All American GP LLC 1998 Long-Term Incentive Plan (incorporated by reference to Exhibit 99.1 to Registration Statement</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313">
              <w:r>
                <w:rPr>
                  <w:rFonts w:ascii="Arial" w:cs="Arial" w:eastAsia="Arial" w:hAnsi="Arial"/>
                  <w:sz w:val="18"/>
                  <w:szCs w:val="18"/>
                  <w:color w:val="0000FF"/>
                  <w:w w:val="90"/>
                </w:rPr>
                <w:t>on Form S-8, File No. 333-74920).</w:t>
              </w:r>
            </w:hyperlink>
          </w:p>
        </w:tc>
        <w:tc>
          <w:tcPr>
            <w:tcW w:w="692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10.45***</w:t>
            </w:r>
          </w:p>
        </w:tc>
        <w:tc>
          <w:tcPr>
            <w:tcW w:w="20" w:type="dxa"/>
            <w:vAlign w:val="bottom"/>
          </w:tcPr>
          <w:p>
            <w:pPr>
              <w:spacing w:after="0"/>
              <w:rPr>
                <w:sz w:val="24"/>
                <w:szCs w:val="24"/>
                <w:color w:val="auto"/>
              </w:rPr>
            </w:pPr>
          </w:p>
        </w:tc>
        <w:tc>
          <w:tcPr>
            <w:tcW w:w="10120" w:type="dxa"/>
            <w:vAlign w:val="bottom"/>
            <w:gridSpan w:val="41"/>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314">
              <w:r>
                <w:rPr>
                  <w:rFonts w:ascii="Arial" w:cs="Arial" w:eastAsia="Arial" w:hAnsi="Arial"/>
                  <w:sz w:val="18"/>
                  <w:szCs w:val="18"/>
                  <w:color w:val="0000FF"/>
                  <w:w w:val="93"/>
                </w:rPr>
                <w:t>First Amendment to Plains All American GP LLC 1998 Long-Term Incentive Plan dated June 27, 2003 (incorporated by reference to</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8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314">
              <w:r>
                <w:rPr>
                  <w:rFonts w:ascii="Arial" w:cs="Arial" w:eastAsia="Arial" w:hAnsi="Arial"/>
                  <w:sz w:val="18"/>
                  <w:szCs w:val="18"/>
                  <w:color w:val="0000FF"/>
                </w:rPr>
                <w:t>Exhibit 10.1 to our Quarterly Report on Form 10-Q for the quarter ended June 30, 2003).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24"/>
                <w:szCs w:val="24"/>
                <w:color w:val="auto"/>
              </w:rPr>
            </w:pPr>
          </w:p>
        </w:tc>
        <w:tc>
          <w:tcPr>
            <w:tcW w:w="10120" w:type="dxa"/>
            <w:vAlign w:val="bottom"/>
            <w:gridSpan w:val="41"/>
          </w:tcPr>
          <w:p>
            <w:pPr>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315">
              <w:r>
                <w:rPr>
                  <w:rFonts w:ascii="Arial" w:cs="Arial" w:eastAsia="Arial" w:hAnsi="Arial"/>
                  <w:sz w:val="18"/>
                  <w:szCs w:val="18"/>
                  <w:color w:val="0000FF"/>
                  <w:w w:val="97"/>
                </w:rPr>
                <w:t>Second Amendment to Plains All American GP LLC 1998 Long-Term Incentive Plan dated December 4, 2008 (incorporated by</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315">
              <w:r>
                <w:rPr>
                  <w:rFonts w:ascii="Arial" w:cs="Arial" w:eastAsia="Arial" w:hAnsi="Arial"/>
                  <w:sz w:val="18"/>
                  <w:szCs w:val="18"/>
                  <w:color w:val="0000FF"/>
                </w:rPr>
                <w:t>reference to Exhibit 10.52 to our Annual Report on Form 10-K for the year ended December 31, 2008).</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10.47***</w:t>
            </w:r>
          </w:p>
        </w:tc>
        <w:tc>
          <w:tcPr>
            <w:tcW w:w="20" w:type="dxa"/>
            <w:vAlign w:val="bottom"/>
          </w:tcPr>
          <w:p>
            <w:pPr>
              <w:spacing w:after="0"/>
              <w:rPr>
                <w:sz w:val="24"/>
                <w:szCs w:val="24"/>
                <w:color w:val="auto"/>
              </w:rPr>
            </w:pPr>
          </w:p>
        </w:tc>
        <w:tc>
          <w:tcPr>
            <w:tcW w:w="10120" w:type="dxa"/>
            <w:vAlign w:val="bottom"/>
            <w:gridSpan w:val="41"/>
          </w:tcPr>
          <w:p>
            <w:pPr>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316">
              <w:r>
                <w:rPr>
                  <w:rFonts w:ascii="Arial" w:cs="Arial" w:eastAsia="Arial" w:hAnsi="Arial"/>
                  <w:sz w:val="18"/>
                  <w:szCs w:val="18"/>
                  <w:color w:val="0000FF"/>
                  <w:w w:val="96"/>
                </w:rPr>
                <w:t>Plains All American GP LLC 2005 Long-Term Incentive Plan (incorporated by reference to Exhibit 10.1 to our Current Report on</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316">
              <w:r>
                <w:rPr>
                  <w:rFonts w:ascii="Arial" w:cs="Arial" w:eastAsia="Arial" w:hAnsi="Arial"/>
                  <w:sz w:val="18"/>
                  <w:szCs w:val="18"/>
                  <w:color w:val="0000FF"/>
                  <w:w w:val="90"/>
                </w:rPr>
                <w:t>Form 8-K filed January 26, 2005).</w:t>
              </w:r>
            </w:hyperlink>
          </w:p>
        </w:tc>
        <w:tc>
          <w:tcPr>
            <w:tcW w:w="68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980" w:type="dxa"/>
            <w:vAlign w:val="bottom"/>
            <w:tcBorders>
              <w:bottom w:val="single" w:sz="8" w:color="0000FF"/>
            </w:tcBorders>
            <w:gridSpan w:val="21"/>
          </w:tcPr>
          <w:p>
            <w:pPr>
              <w:spacing w:after="0"/>
              <w:rPr>
                <w:rFonts w:ascii="Arial" w:cs="Arial" w:eastAsia="Arial" w:hAnsi="Arial"/>
                <w:sz w:val="18"/>
                <w:szCs w:val="18"/>
                <w:color w:val="0000FF"/>
                <w:w w:val="91"/>
              </w:rPr>
            </w:pPr>
            <w:hyperlink r:id="rId317">
              <w:r>
                <w:rPr>
                  <w:rFonts w:ascii="Arial" w:cs="Arial" w:eastAsia="Arial" w:hAnsi="Arial"/>
                  <w:sz w:val="18"/>
                  <w:szCs w:val="18"/>
                  <w:color w:val="0000FF"/>
                  <w:w w:val="91"/>
                </w:rPr>
                <w:t>First Amendment to Plains All American GP LLC 2005 Long-Term Incentive Plan dated December 4, 2008 (incorporated by</w:t>
              </w:r>
            </w:hyperlink>
          </w:p>
        </w:tc>
        <w:tc>
          <w:tcPr>
            <w:tcW w:w="2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80" w:type="dxa"/>
            <w:vAlign w:val="bottom"/>
            <w:gridSpan w:val="21"/>
          </w:tcPr>
          <w:p>
            <w:pPr>
              <w:spacing w:after="0" w:line="156" w:lineRule="exact"/>
              <w:rPr>
                <w:rFonts w:ascii="Arial" w:cs="Arial" w:eastAsia="Arial" w:hAnsi="Arial"/>
                <w:sz w:val="18"/>
                <w:szCs w:val="18"/>
                <w:color w:val="0000FF"/>
              </w:rPr>
            </w:pPr>
            <w:hyperlink r:id="rId317">
              <w:r>
                <w:rPr>
                  <w:rFonts w:ascii="Arial" w:cs="Arial" w:eastAsia="Arial" w:hAnsi="Arial"/>
                  <w:sz w:val="18"/>
                  <w:szCs w:val="18"/>
                  <w:color w:val="0000FF"/>
                </w:rPr>
                <w:t>reference to Exhibit 10.51 to our Annual Report on Form 10-K for the year ended December 31, 2008).</w:t>
              </w:r>
            </w:hyperlink>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10.49***</w:t>
            </w:r>
          </w:p>
        </w:tc>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500" w:type="dxa"/>
            <w:vAlign w:val="bottom"/>
            <w:tcBorders>
              <w:bottom w:val="single" w:sz="8" w:color="0000FF"/>
            </w:tcBorders>
            <w:gridSpan w:val="34"/>
          </w:tcPr>
          <w:p>
            <w:pPr>
              <w:spacing w:after="0"/>
              <w:rPr>
                <w:rFonts w:ascii="Arial" w:cs="Arial" w:eastAsia="Arial" w:hAnsi="Arial"/>
                <w:sz w:val="18"/>
                <w:szCs w:val="18"/>
                <w:color w:val="0000FF"/>
                <w:w w:val="91"/>
              </w:rPr>
            </w:pPr>
            <w:hyperlink r:id="rId318">
              <w:r>
                <w:rPr>
                  <w:rFonts w:ascii="Arial" w:cs="Arial" w:eastAsia="Arial" w:hAnsi="Arial"/>
                  <w:sz w:val="18"/>
                  <w:szCs w:val="18"/>
                  <w:color w:val="0000FF"/>
                  <w:w w:val="91"/>
                </w:rPr>
                <w:t>Plains All American PPX Successor Long-Term Incentive Plan (incorporated by reference to Exhibit 10.45 to our Annual Report on</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700" w:type="dxa"/>
            <w:vAlign w:val="bottom"/>
            <w:tcBorders>
              <w:bottom w:val="single" w:sz="8" w:color="0000FF"/>
            </w:tcBorders>
            <w:gridSpan w:val="10"/>
          </w:tcPr>
          <w:p>
            <w:pPr>
              <w:spacing w:after="0" w:line="156" w:lineRule="exact"/>
              <w:rPr>
                <w:rFonts w:ascii="Arial" w:cs="Arial" w:eastAsia="Arial" w:hAnsi="Arial"/>
                <w:sz w:val="18"/>
                <w:szCs w:val="18"/>
                <w:color w:val="0000FF"/>
                <w:w w:val="89"/>
              </w:rPr>
            </w:pPr>
            <w:hyperlink r:id="rId318">
              <w:r>
                <w:rPr>
                  <w:rFonts w:ascii="Arial" w:cs="Arial" w:eastAsia="Arial" w:hAnsi="Arial"/>
                  <w:sz w:val="18"/>
                  <w:szCs w:val="18"/>
                  <w:color w:val="0000FF"/>
                  <w:w w:val="89"/>
                </w:rPr>
                <w:t>Form 10-K for the year ended December 31, 2006).</w:t>
              </w:r>
            </w:hyperlink>
          </w:p>
        </w:tc>
        <w:tc>
          <w:tcPr>
            <w:tcW w:w="5800" w:type="dxa"/>
            <w:vAlign w:val="bottom"/>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10.50***</w:t>
            </w:r>
          </w:p>
        </w:tc>
        <w:tc>
          <w:tcPr>
            <w:tcW w:w="20" w:type="dxa"/>
            <w:vAlign w:val="bottom"/>
          </w:tcPr>
          <w:p>
            <w:pPr>
              <w:spacing w:after="0"/>
              <w:rPr>
                <w:sz w:val="24"/>
                <w:szCs w:val="24"/>
                <w:color w:val="auto"/>
              </w:rPr>
            </w:pPr>
          </w:p>
        </w:tc>
        <w:tc>
          <w:tcPr>
            <w:tcW w:w="10120" w:type="dxa"/>
            <w:vAlign w:val="bottom"/>
            <w:gridSpan w:val="41"/>
          </w:tcPr>
          <w:p>
            <w:pPr>
              <w:spacing w:after="0"/>
              <w:rPr>
                <w:sz w:val="20"/>
                <w:szCs w:val="20"/>
                <w:color w:val="auto"/>
              </w:rPr>
            </w:pPr>
            <w:r>
              <w:rPr>
                <w:rFonts w:ascii="Arial" w:cs="Arial" w:eastAsia="Arial" w:hAnsi="Arial"/>
                <w:sz w:val="18"/>
                <w:szCs w:val="18"/>
                <w:color w:val="auto"/>
                <w:w w:val="95"/>
              </w:rPr>
              <w:t xml:space="preserve">—   </w:t>
            </w:r>
            <w:r>
              <w:rPr>
                <w:rFonts w:ascii="Arial" w:cs="Arial" w:eastAsia="Arial" w:hAnsi="Arial"/>
                <w:sz w:val="18"/>
                <w:szCs w:val="18"/>
                <w:color w:val="0000FF"/>
                <w:w w:val="95"/>
              </w:rPr>
              <w:t>Plains All American 2013 Long-Term Incentive Plan (incorporated by reference to Exhibit A to our Definitive Proxy Statement filed</w:t>
            </w: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40" w:type="dxa"/>
            <w:vAlign w:val="bottom"/>
            <w:tcBorders>
              <w:top w:val="single" w:sz="8" w:color="0000FF"/>
            </w:tcBorders>
            <w:gridSpan w:val="36"/>
          </w:tcPr>
          <w:p>
            <w:pPr>
              <w:spacing w:after="0" w:line="156" w:lineRule="exact"/>
              <w:rPr>
                <w:sz w:val="20"/>
                <w:szCs w:val="20"/>
                <w:color w:val="auto"/>
              </w:rPr>
            </w:pPr>
            <w:r>
              <w:rPr>
                <w:rFonts w:ascii="Arial" w:cs="Arial" w:eastAsia="Arial" w:hAnsi="Arial"/>
                <w:sz w:val="18"/>
                <w:szCs w:val="18"/>
                <w:color w:val="0000FF"/>
              </w:rPr>
              <w:t>on October 3, 2013).</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24"/>
                <w:szCs w:val="24"/>
                <w:color w:val="auto"/>
              </w:rPr>
            </w:pPr>
          </w:p>
        </w:tc>
        <w:tc>
          <w:tcPr>
            <w:tcW w:w="10120" w:type="dxa"/>
            <w:vAlign w:val="bottom"/>
            <w:gridSpan w:val="41"/>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319">
              <w:r>
                <w:rPr>
                  <w:rFonts w:ascii="Arial" w:cs="Arial" w:eastAsia="Arial" w:hAnsi="Arial"/>
                  <w:sz w:val="18"/>
                  <w:szCs w:val="18"/>
                  <w:color w:val="0000FF"/>
                </w:rPr>
                <w:t>Plains All American PNG Successor Long-Term Incentive Plan (incorporated by reference to Exhibit 4.4 to our Registration</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319">
              <w:r>
                <w:rPr>
                  <w:rFonts w:ascii="Arial" w:cs="Arial" w:eastAsia="Arial" w:hAnsi="Arial"/>
                  <w:sz w:val="18"/>
                  <w:szCs w:val="18"/>
                  <w:color w:val="0000FF"/>
                </w:rPr>
                <w:t>Statement on Form S-8 (333-193139) filed December 31, 2013).</w:t>
              </w:r>
            </w:hyperlink>
          </w:p>
        </w:tc>
        <w:tc>
          <w:tcPr>
            <w:tcW w:w="2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24"/>
                <w:szCs w:val="24"/>
                <w:color w:val="auto"/>
              </w:rPr>
            </w:pPr>
          </w:p>
        </w:tc>
        <w:tc>
          <w:tcPr>
            <w:tcW w:w="10120" w:type="dxa"/>
            <w:vAlign w:val="bottom"/>
            <w:gridSpan w:val="41"/>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320">
              <w:r>
                <w:rPr>
                  <w:rFonts w:ascii="Arial" w:cs="Arial" w:eastAsia="Arial" w:hAnsi="Arial"/>
                  <w:sz w:val="18"/>
                  <w:szCs w:val="18"/>
                  <w:color w:val="0000FF"/>
                  <w:w w:val="94"/>
                </w:rPr>
                <w:t>PAA Natural Gas Storage, L.P. 2010 Long-Term Incentive Plan (incorporated by reference to Exhibit 10.2 to PNG’s Current Report</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320">
              <w:r>
                <w:rPr>
                  <w:rFonts w:ascii="Arial" w:cs="Arial" w:eastAsia="Arial" w:hAnsi="Arial"/>
                  <w:sz w:val="18"/>
                  <w:szCs w:val="18"/>
                  <w:color w:val="0000FF"/>
                  <w:w w:val="91"/>
                </w:rPr>
                <w:t>on Form 8-K filed May 11, 2010).</w:t>
              </w:r>
            </w:hyperlink>
          </w:p>
        </w:tc>
        <w:tc>
          <w:tcPr>
            <w:tcW w:w="7020" w:type="dxa"/>
            <w:vAlign w:val="bottom"/>
            <w:tcBorders>
              <w:top w:val="single" w:sz="8" w:color="0000FF"/>
            </w:tcBorders>
            <w:gridSpan w:val="29"/>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10.53***</w:t>
            </w:r>
          </w:p>
        </w:tc>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960" w:type="dxa"/>
            <w:vAlign w:val="bottom"/>
            <w:tcBorders>
              <w:bottom w:val="single" w:sz="8" w:color="0000FF"/>
            </w:tcBorders>
            <w:gridSpan w:val="20"/>
          </w:tcPr>
          <w:p>
            <w:pPr>
              <w:spacing w:after="0"/>
              <w:rPr>
                <w:rFonts w:ascii="Arial" w:cs="Arial" w:eastAsia="Arial" w:hAnsi="Arial"/>
                <w:sz w:val="18"/>
                <w:szCs w:val="18"/>
                <w:color w:val="0000FF"/>
                <w:w w:val="90"/>
              </w:rPr>
            </w:pPr>
            <w:hyperlink r:id="rId321">
              <w:r>
                <w:rPr>
                  <w:rFonts w:ascii="Arial" w:cs="Arial" w:eastAsia="Arial" w:hAnsi="Arial"/>
                  <w:sz w:val="18"/>
                  <w:szCs w:val="18"/>
                  <w:color w:val="0000FF"/>
                  <w:w w:val="90"/>
                </w:rPr>
                <w:t>Plains GP Holdings, L.P. Long Term Incentive Plan, (incorporated by reference to Exhibit 10.3 to PAGP’s Current Report on</w:t>
              </w:r>
            </w:hyperlink>
          </w:p>
        </w:tc>
        <w:tc>
          <w:tcPr>
            <w:tcW w:w="3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120" w:type="dxa"/>
            <w:vAlign w:val="bottom"/>
            <w:gridSpan w:val="5"/>
          </w:tcPr>
          <w:p>
            <w:pPr>
              <w:spacing w:after="0"/>
              <w:rPr>
                <w:sz w:val="24"/>
                <w:szCs w:val="24"/>
                <w:color w:val="auto"/>
              </w:rPr>
            </w:pPr>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60" w:type="dxa"/>
            <w:vAlign w:val="bottom"/>
            <w:gridSpan w:val="20"/>
          </w:tcPr>
          <w:p>
            <w:pPr>
              <w:spacing w:after="0" w:line="156" w:lineRule="exact"/>
              <w:rPr>
                <w:rFonts w:ascii="Arial" w:cs="Arial" w:eastAsia="Arial" w:hAnsi="Arial"/>
                <w:sz w:val="18"/>
                <w:szCs w:val="18"/>
                <w:color w:val="0000FF"/>
              </w:rPr>
            </w:pPr>
            <w:hyperlink r:id="rId321">
              <w:r>
                <w:rPr>
                  <w:rFonts w:ascii="Arial" w:cs="Arial" w:eastAsia="Arial" w:hAnsi="Arial"/>
                  <w:sz w:val="18"/>
                  <w:szCs w:val="18"/>
                  <w:color w:val="0000FF"/>
                </w:rPr>
                <w:t>Form 8-K filed October 25, 2013).</w:t>
              </w:r>
            </w:hyperlink>
          </w:p>
        </w:tc>
        <w:tc>
          <w:tcPr>
            <w:tcW w:w="3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10.54***</w:t>
            </w:r>
          </w:p>
        </w:tc>
        <w:tc>
          <w:tcPr>
            <w:tcW w:w="20" w:type="dxa"/>
            <w:vAlign w:val="bottom"/>
          </w:tcPr>
          <w:p>
            <w:pPr>
              <w:spacing w:after="0"/>
              <w:rPr>
                <w:sz w:val="24"/>
                <w:szCs w:val="24"/>
                <w:color w:val="auto"/>
              </w:rPr>
            </w:pPr>
          </w:p>
        </w:tc>
        <w:tc>
          <w:tcPr>
            <w:tcW w:w="10120" w:type="dxa"/>
            <w:vAlign w:val="bottom"/>
            <w:gridSpan w:val="41"/>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322">
              <w:r>
                <w:rPr>
                  <w:rFonts w:ascii="Arial" w:cs="Arial" w:eastAsia="Arial" w:hAnsi="Arial"/>
                  <w:sz w:val="18"/>
                  <w:szCs w:val="18"/>
                  <w:color w:val="0000FF"/>
                  <w:w w:val="95"/>
                </w:rPr>
                <w:t>Form of Plains AAP, L.P. Class B Restricted Units Agreement (incorporated by reference to Exhibit 10.1 to our Current Report on</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322">
              <w:r>
                <w:rPr>
                  <w:rFonts w:ascii="Arial" w:cs="Arial" w:eastAsia="Arial" w:hAnsi="Arial"/>
                  <w:sz w:val="18"/>
                  <w:szCs w:val="18"/>
                  <w:color w:val="0000FF"/>
                  <w:w w:val="90"/>
                </w:rPr>
                <w:t>Form 8-K filed January 4, 2008).</w:t>
              </w:r>
            </w:hyperlink>
          </w:p>
        </w:tc>
        <w:tc>
          <w:tcPr>
            <w:tcW w:w="700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24"/>
                <w:szCs w:val="24"/>
                <w:color w:val="auto"/>
              </w:rPr>
            </w:pPr>
          </w:p>
        </w:tc>
        <w:tc>
          <w:tcPr>
            <w:tcW w:w="10120" w:type="dxa"/>
            <w:vAlign w:val="bottom"/>
            <w:gridSpan w:val="41"/>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323">
              <w:r>
                <w:rPr>
                  <w:rFonts w:ascii="Arial" w:cs="Arial" w:eastAsia="Arial" w:hAnsi="Arial"/>
                  <w:sz w:val="18"/>
                  <w:szCs w:val="18"/>
                  <w:color w:val="0000FF"/>
                  <w:w w:val="92"/>
                </w:rPr>
                <w:t>Form of Amendment to the Plains AAP, L.P. Class B Restricted Units Agreement, dated October 18, 2013 (incorporated by reference</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323">
              <w:r>
                <w:rPr>
                  <w:rFonts w:ascii="Arial" w:cs="Arial" w:eastAsia="Arial" w:hAnsi="Arial"/>
                  <w:sz w:val="18"/>
                  <w:szCs w:val="18"/>
                  <w:color w:val="0000FF"/>
                  <w:w w:val="91"/>
                </w:rPr>
                <w:t>to Exhibit 10.4 to our Current Report on Form 8-K filed October 25, 2013).</w:t>
              </w:r>
            </w:hyperlink>
          </w:p>
        </w:tc>
        <w:tc>
          <w:tcPr>
            <w:tcW w:w="4180" w:type="dxa"/>
            <w:vAlign w:val="bottom"/>
            <w:tcBorders>
              <w:top w:val="single" w:sz="8" w:color="0000FF"/>
            </w:tcBorders>
            <w:gridSpan w:val="26"/>
          </w:tcPr>
          <w:p>
            <w:pPr>
              <w:spacing w:after="0"/>
              <w:rPr>
                <w:sz w:val="13"/>
                <w:szCs w:val="13"/>
                <w:color w:val="auto"/>
              </w:rPr>
            </w:pPr>
          </w:p>
        </w:tc>
        <w:tc>
          <w:tcPr>
            <w:tcW w:w="4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400" w:type="dxa"/>
            <w:vAlign w:val="bottom"/>
            <w:tcBorders>
              <w:bottom w:val="single" w:sz="8" w:color="0000FF"/>
            </w:tcBorders>
            <w:gridSpan w:val="30"/>
          </w:tcPr>
          <w:p>
            <w:pPr>
              <w:spacing w:after="0"/>
              <w:rPr>
                <w:rFonts w:ascii="Arial" w:cs="Arial" w:eastAsia="Arial" w:hAnsi="Arial"/>
                <w:sz w:val="18"/>
                <w:szCs w:val="18"/>
                <w:color w:val="0000FF"/>
                <w:w w:val="90"/>
              </w:rPr>
            </w:pPr>
            <w:hyperlink r:id="rId324">
              <w:r>
                <w:rPr>
                  <w:rFonts w:ascii="Arial" w:cs="Arial" w:eastAsia="Arial" w:hAnsi="Arial"/>
                  <w:sz w:val="18"/>
                  <w:szCs w:val="18"/>
                  <w:color w:val="0000FF"/>
                  <w:w w:val="90"/>
                </w:rPr>
                <w:t>Form of Amendment to Plains AAP, L.P. Class B Restricted Units Agreement dated August 25, 2016 (incorporated by reference to</w:t>
              </w:r>
            </w:hyperlink>
          </w:p>
        </w:tc>
        <w:tc>
          <w:tcPr>
            <w:tcW w:w="40" w:type="dxa"/>
            <w:vAlign w:val="bottom"/>
            <w:gridSpan w:val="2"/>
          </w:tcPr>
          <w:p>
            <w:pPr>
              <w:spacing w:after="0"/>
              <w:rPr>
                <w:sz w:val="24"/>
                <w:szCs w:val="24"/>
                <w:color w:val="auto"/>
              </w:rPr>
            </w:pPr>
          </w:p>
        </w:tc>
        <w:tc>
          <w:tcPr>
            <w:tcW w:w="120" w:type="dxa"/>
            <w:vAlign w:val="bottom"/>
            <w:gridSpan w:val="5"/>
          </w:tcPr>
          <w:p>
            <w:pPr>
              <w:spacing w:after="0"/>
              <w:rPr>
                <w:sz w:val="24"/>
                <w:szCs w:val="24"/>
                <w:color w:val="auto"/>
              </w:rPr>
            </w:pPr>
          </w:p>
        </w:tc>
        <w:tc>
          <w:tcPr>
            <w:tcW w:w="80" w:type="dxa"/>
            <w:vAlign w:val="bottom"/>
            <w:gridSpan w:val="3"/>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0" w:type="dxa"/>
            <w:vAlign w:val="bottom"/>
            <w:gridSpan w:val="30"/>
          </w:tcPr>
          <w:p>
            <w:pPr>
              <w:spacing w:after="0" w:line="156" w:lineRule="exact"/>
              <w:rPr>
                <w:rFonts w:ascii="Arial" w:cs="Arial" w:eastAsia="Arial" w:hAnsi="Arial"/>
                <w:sz w:val="18"/>
                <w:szCs w:val="18"/>
                <w:color w:val="0000FF"/>
                <w:w w:val="99"/>
              </w:rPr>
            </w:pPr>
            <w:hyperlink r:id="rId324">
              <w:r>
                <w:rPr>
                  <w:rFonts w:ascii="Arial" w:cs="Arial" w:eastAsia="Arial" w:hAnsi="Arial"/>
                  <w:sz w:val="18"/>
                  <w:szCs w:val="18"/>
                  <w:color w:val="0000FF"/>
                  <w:w w:val="99"/>
                </w:rPr>
                <w:t>Exhibit 10.6 to our Quarterly Report on Form 10-Q for the quarter ended September 30, 2016 filed November 8, 2016).</w:t>
              </w:r>
            </w:hyperlink>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780" w:type="dxa"/>
            <w:vAlign w:val="bottom"/>
            <w:gridSpan w:val="5"/>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280" w:type="dxa"/>
            <w:vAlign w:val="bottom"/>
            <w:tcBorders>
              <w:bottom w:val="single" w:sz="8" w:color="0000FF"/>
            </w:tcBorders>
            <w:gridSpan w:val="24"/>
          </w:tcPr>
          <w:p>
            <w:pPr>
              <w:spacing w:after="0"/>
              <w:rPr>
                <w:rFonts w:ascii="Arial" w:cs="Arial" w:eastAsia="Arial" w:hAnsi="Arial"/>
                <w:sz w:val="18"/>
                <w:szCs w:val="18"/>
                <w:color w:val="0000FF"/>
                <w:w w:val="90"/>
              </w:rPr>
            </w:pPr>
            <w:hyperlink r:id="rId325">
              <w:r>
                <w:rPr>
                  <w:rFonts w:ascii="Arial" w:cs="Arial" w:eastAsia="Arial" w:hAnsi="Arial"/>
                  <w:sz w:val="18"/>
                  <w:szCs w:val="18"/>
                  <w:color w:val="0000FF"/>
                  <w:w w:val="90"/>
                </w:rPr>
                <w:t>Form of First Amendment dated March 22, 2018 to Amended and Restated Plains AAP, L.P. Class B Restricted Units Agreement</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6"/>
          </w:tcPr>
          <w:p>
            <w:pPr>
              <w:spacing w:after="0"/>
              <w:rPr>
                <w:sz w:val="24"/>
                <w:szCs w:val="24"/>
                <w:color w:val="auto"/>
              </w:rPr>
            </w:pPr>
          </w:p>
        </w:tc>
        <w:tc>
          <w:tcPr>
            <w:tcW w:w="120" w:type="dxa"/>
            <w:vAlign w:val="bottom"/>
            <w:gridSpan w:val="5"/>
          </w:tcPr>
          <w:p>
            <w:pPr>
              <w:spacing w:after="0"/>
              <w:rPr>
                <w:sz w:val="24"/>
                <w:szCs w:val="24"/>
                <w:color w:val="auto"/>
              </w:rPr>
            </w:pPr>
          </w:p>
        </w:tc>
        <w:tc>
          <w:tcPr>
            <w:tcW w:w="80" w:type="dxa"/>
            <w:vAlign w:val="bottom"/>
            <w:gridSpan w:val="3"/>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80" w:type="dxa"/>
            <w:vAlign w:val="bottom"/>
            <w:tcBorders>
              <w:bottom w:val="single" w:sz="8" w:color="0000FF"/>
            </w:tcBorders>
            <w:gridSpan w:val="24"/>
          </w:tcPr>
          <w:p>
            <w:pPr>
              <w:spacing w:after="0" w:line="156" w:lineRule="exact"/>
              <w:rPr>
                <w:rFonts w:ascii="Arial" w:cs="Arial" w:eastAsia="Arial" w:hAnsi="Arial"/>
                <w:sz w:val="18"/>
                <w:szCs w:val="18"/>
                <w:color w:val="0000FF"/>
                <w:w w:val="90"/>
              </w:rPr>
            </w:pPr>
            <w:hyperlink r:id="rId325">
              <w:r>
                <w:rPr>
                  <w:rFonts w:ascii="Arial" w:cs="Arial" w:eastAsia="Arial" w:hAnsi="Arial"/>
                  <w:sz w:val="18"/>
                  <w:szCs w:val="18"/>
                  <w:color w:val="0000FF"/>
                  <w:w w:val="90"/>
                </w:rPr>
                <w:t>dated August 25, 2016 (Officers) (incorporated by reference to Exhibit 10.2 to our Quarterly Report on Form 10-Q for the quarter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6"/>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00" w:type="dxa"/>
            <w:vAlign w:val="bottom"/>
            <w:tcBorders>
              <w:bottom w:val="single" w:sz="8" w:color="0000FF"/>
            </w:tcBorders>
            <w:gridSpan w:val="2"/>
          </w:tcPr>
          <w:p>
            <w:pPr>
              <w:spacing w:after="0" w:line="156" w:lineRule="exact"/>
              <w:rPr>
                <w:rFonts w:ascii="Arial" w:cs="Arial" w:eastAsia="Arial" w:hAnsi="Arial"/>
                <w:sz w:val="18"/>
                <w:szCs w:val="18"/>
                <w:color w:val="0000FF"/>
                <w:w w:val="87"/>
              </w:rPr>
            </w:pPr>
            <w:hyperlink r:id="rId325">
              <w:r>
                <w:rPr>
                  <w:rFonts w:ascii="Arial" w:cs="Arial" w:eastAsia="Arial" w:hAnsi="Arial"/>
                  <w:sz w:val="18"/>
                  <w:szCs w:val="18"/>
                  <w:color w:val="0000FF"/>
                  <w:w w:val="87"/>
                </w:rPr>
                <w:t>ended March 31, 2018).</w:t>
              </w:r>
            </w:hyperlink>
          </w:p>
        </w:tc>
        <w:tc>
          <w:tcPr>
            <w:tcW w:w="7620" w:type="dxa"/>
            <w:vAlign w:val="bottom"/>
            <w:gridSpan w:val="24"/>
          </w:tcPr>
          <w:p>
            <w:pPr>
              <w:spacing w:after="0"/>
              <w:rPr>
                <w:sz w:val="13"/>
                <w:szCs w:val="13"/>
                <w:color w:val="auto"/>
              </w:rPr>
            </w:pPr>
          </w:p>
        </w:tc>
        <w:tc>
          <w:tcPr>
            <w:tcW w:w="120" w:type="dxa"/>
            <w:vAlign w:val="bottom"/>
            <w:gridSpan w:val="6"/>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24"/>
                <w:szCs w:val="24"/>
                <w:color w:val="auto"/>
              </w:rPr>
            </w:pPr>
          </w:p>
        </w:tc>
        <w:tc>
          <w:tcPr>
            <w:tcW w:w="10120" w:type="dxa"/>
            <w:vAlign w:val="bottom"/>
            <w:gridSpan w:val="41"/>
          </w:tcPr>
          <w:p>
            <w:pPr>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326">
              <w:r>
                <w:rPr>
                  <w:rFonts w:ascii="Arial" w:cs="Arial" w:eastAsia="Arial" w:hAnsi="Arial"/>
                  <w:sz w:val="18"/>
                  <w:szCs w:val="18"/>
                  <w:color w:val="0000FF"/>
                  <w:w w:val="97"/>
                </w:rPr>
                <w:t>Form of PAA LTIP Grant Letter for Officers (August 2016) (incorporated by reference to Exhibit 10.5 to our Quarterly Report on</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26">
              <w:r>
                <w:rPr>
                  <w:rFonts w:ascii="Arial" w:cs="Arial" w:eastAsia="Arial" w:hAnsi="Arial"/>
                  <w:sz w:val="18"/>
                  <w:szCs w:val="18"/>
                  <w:color w:val="0000FF"/>
                </w:rPr>
                <w:t>Form 10-Q for the quarter ended September 30, 2016).</w:t>
              </w:r>
            </w:hyperlink>
          </w:p>
        </w:tc>
        <w:tc>
          <w:tcPr>
            <w:tcW w:w="140" w:type="dxa"/>
            <w:vAlign w:val="bottom"/>
            <w:gridSpan w:val="7"/>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10.59***</w:t>
            </w:r>
          </w:p>
        </w:tc>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440" w:type="dxa"/>
            <w:vAlign w:val="bottom"/>
            <w:tcBorders>
              <w:bottom w:val="single" w:sz="8" w:color="0000FF"/>
            </w:tcBorders>
            <w:gridSpan w:val="32"/>
          </w:tcPr>
          <w:p>
            <w:pPr>
              <w:spacing w:after="0"/>
              <w:rPr>
                <w:rFonts w:ascii="Arial" w:cs="Arial" w:eastAsia="Arial" w:hAnsi="Arial"/>
                <w:sz w:val="18"/>
                <w:szCs w:val="18"/>
                <w:color w:val="0000FF"/>
                <w:w w:val="91"/>
              </w:rPr>
            </w:pPr>
            <w:hyperlink r:id="rId327">
              <w:r>
                <w:rPr>
                  <w:rFonts w:ascii="Arial" w:cs="Arial" w:eastAsia="Arial" w:hAnsi="Arial"/>
                  <w:sz w:val="18"/>
                  <w:szCs w:val="18"/>
                  <w:color w:val="0000FF"/>
                  <w:w w:val="91"/>
                </w:rPr>
                <w:t>Form of Amendment dated March 22, 2018 to PAA LTIP Grant Letter dated August 25, 2016 (Officers) (incorporated by reference</w:t>
              </w:r>
            </w:hyperlink>
          </w:p>
        </w:tc>
        <w:tc>
          <w:tcPr>
            <w:tcW w:w="120" w:type="dxa"/>
            <w:vAlign w:val="bottom"/>
            <w:gridSpan w:val="5"/>
          </w:tcPr>
          <w:p>
            <w:pPr>
              <w:spacing w:after="0"/>
              <w:rPr>
                <w:sz w:val="24"/>
                <w:szCs w:val="24"/>
                <w:color w:val="auto"/>
              </w:rPr>
            </w:pPr>
          </w:p>
        </w:tc>
        <w:tc>
          <w:tcPr>
            <w:tcW w:w="80" w:type="dxa"/>
            <w:vAlign w:val="bottom"/>
            <w:gridSpan w:val="3"/>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40" w:type="dxa"/>
            <w:vAlign w:val="bottom"/>
            <w:gridSpan w:val="32"/>
          </w:tcPr>
          <w:p>
            <w:pPr>
              <w:spacing w:after="0" w:line="156" w:lineRule="exact"/>
              <w:rPr>
                <w:rFonts w:ascii="Arial" w:cs="Arial" w:eastAsia="Arial" w:hAnsi="Arial"/>
                <w:sz w:val="18"/>
                <w:szCs w:val="18"/>
                <w:color w:val="0000FF"/>
              </w:rPr>
            </w:pPr>
            <w:hyperlink r:id="rId327">
              <w:r>
                <w:rPr>
                  <w:rFonts w:ascii="Arial" w:cs="Arial" w:eastAsia="Arial" w:hAnsi="Arial"/>
                  <w:sz w:val="18"/>
                  <w:szCs w:val="18"/>
                  <w:color w:val="0000FF"/>
                </w:rPr>
                <w:t>to Exhibit 10.4 to our Quarterly Report on Form 10-Q for the quarter ended March 31, 2018).</w:t>
              </w:r>
            </w:hyperlink>
          </w:p>
        </w:tc>
        <w:tc>
          <w:tcPr>
            <w:tcW w:w="12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80" w:type="dxa"/>
            <w:vAlign w:val="bottom"/>
            <w:gridSpan w:val="7"/>
            <w:shd w:val="clear" w:color="auto" w:fill="0000FF"/>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300" w:type="dxa"/>
            <w:vAlign w:val="bottom"/>
            <w:gridSpan w:val="1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560" w:type="dxa"/>
            <w:vAlign w:val="bottom"/>
            <w:tcBorders>
              <w:bottom w:val="single" w:sz="8" w:color="0000FF"/>
            </w:tcBorders>
            <w:gridSpan w:val="37"/>
          </w:tcPr>
          <w:p>
            <w:pPr>
              <w:spacing w:after="0"/>
              <w:rPr>
                <w:rFonts w:ascii="Arial" w:cs="Arial" w:eastAsia="Arial" w:hAnsi="Arial"/>
                <w:sz w:val="18"/>
                <w:szCs w:val="18"/>
                <w:color w:val="0000FF"/>
                <w:w w:val="92"/>
              </w:rPr>
            </w:pPr>
            <w:hyperlink r:id="rId328">
              <w:r>
                <w:rPr>
                  <w:rFonts w:ascii="Arial" w:cs="Arial" w:eastAsia="Arial" w:hAnsi="Arial"/>
                  <w:sz w:val="18"/>
                  <w:szCs w:val="18"/>
                  <w:color w:val="0000FF"/>
                  <w:w w:val="92"/>
                </w:rPr>
                <w:t>Form of LTIP Grant Letter for Officers (July 2017) (incorporated by reference to Exhibit 10.4 to our Quarterly Report on Form 10-Q</w:t>
              </w:r>
            </w:hyperlink>
          </w:p>
        </w:tc>
        <w:tc>
          <w:tcPr>
            <w:tcW w:w="80" w:type="dxa"/>
            <w:vAlign w:val="bottom"/>
            <w:gridSpan w:val="3"/>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40" w:type="dxa"/>
            <w:vAlign w:val="bottom"/>
            <w:tcBorders>
              <w:bottom w:val="single" w:sz="8" w:color="0000FF"/>
            </w:tcBorders>
            <w:gridSpan w:val="7"/>
          </w:tcPr>
          <w:p>
            <w:pPr>
              <w:spacing w:after="0" w:line="156" w:lineRule="exact"/>
              <w:rPr>
                <w:rFonts w:ascii="Arial" w:cs="Arial" w:eastAsia="Arial" w:hAnsi="Arial"/>
                <w:sz w:val="18"/>
                <w:szCs w:val="18"/>
                <w:color w:val="0000FF"/>
                <w:w w:val="87"/>
              </w:rPr>
            </w:pPr>
            <w:hyperlink r:id="rId328">
              <w:r>
                <w:rPr>
                  <w:rFonts w:ascii="Arial" w:cs="Arial" w:eastAsia="Arial" w:hAnsi="Arial"/>
                  <w:sz w:val="18"/>
                  <w:szCs w:val="18"/>
                  <w:color w:val="0000FF"/>
                  <w:w w:val="87"/>
                </w:rPr>
                <w:t>for the quarter ended June 30, 2017).</w:t>
              </w:r>
            </w:hyperlink>
          </w:p>
        </w:tc>
        <w:tc>
          <w:tcPr>
            <w:tcW w:w="6920" w:type="dxa"/>
            <w:vAlign w:val="bottom"/>
            <w:gridSpan w:val="30"/>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10.61***</w:t>
            </w:r>
          </w:p>
        </w:tc>
        <w:tc>
          <w:tcPr>
            <w:tcW w:w="20" w:type="dxa"/>
            <w:vAlign w:val="bottom"/>
          </w:tcPr>
          <w:p>
            <w:pPr>
              <w:spacing w:after="0"/>
              <w:rPr>
                <w:sz w:val="24"/>
                <w:szCs w:val="24"/>
                <w:color w:val="auto"/>
              </w:rPr>
            </w:pPr>
          </w:p>
        </w:tc>
        <w:tc>
          <w:tcPr>
            <w:tcW w:w="10120" w:type="dxa"/>
            <w:vAlign w:val="bottom"/>
            <w:gridSpan w:val="41"/>
          </w:tcPr>
          <w:p>
            <w:pPr>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329">
              <w:r>
                <w:rPr>
                  <w:rFonts w:ascii="Arial" w:cs="Arial" w:eastAsia="Arial" w:hAnsi="Arial"/>
                  <w:sz w:val="18"/>
                  <w:szCs w:val="18"/>
                  <w:color w:val="0000FF"/>
                  <w:w w:val="97"/>
                </w:rPr>
                <w:t>Form of PAA LTIP Grant Letter for Officers (March 2018) (incorporated by reference to Exhibit 10.5 to our Quarterly Report on</w:t>
              </w:r>
            </w:hyperlink>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329">
              <w:r>
                <w:rPr>
                  <w:rFonts w:ascii="Arial" w:cs="Arial" w:eastAsia="Arial" w:hAnsi="Arial"/>
                  <w:sz w:val="18"/>
                  <w:szCs w:val="18"/>
                  <w:color w:val="0000FF"/>
                </w:rPr>
                <w:t>Form 10-Q for the quarter ended March 31, 2018).</w:t>
              </w:r>
            </w:hyperlink>
          </w:p>
        </w:tc>
        <w:tc>
          <w:tcPr>
            <w:tcW w:w="380" w:type="dxa"/>
            <w:vAlign w:val="bottom"/>
            <w:gridSpan w:val="17"/>
          </w:tcPr>
          <w:p>
            <w:pPr>
              <w:spacing w:after="0"/>
              <w:rPr>
                <w:sz w:val="13"/>
                <w:szCs w:val="13"/>
                <w:color w:val="auto"/>
              </w:rPr>
            </w:pPr>
          </w:p>
        </w:tc>
      </w:tr>
      <w:tr>
        <w:trPr>
          <w:trHeight w:val="1006"/>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20" w:type="dxa"/>
            <w:vAlign w:val="bottom"/>
            <w:tcBorders>
              <w:top w:val="single" w:sz="8" w:color="0000FF"/>
            </w:tcBorders>
            <w:gridSpan w:val="9"/>
          </w:tcPr>
          <w:p>
            <w:pPr>
              <w:spacing w:after="0"/>
              <w:rPr>
                <w:sz w:val="24"/>
                <w:szCs w:val="24"/>
                <w:color w:val="auto"/>
              </w:rPr>
            </w:pPr>
          </w:p>
        </w:tc>
        <w:tc>
          <w:tcPr>
            <w:tcW w:w="1000" w:type="dxa"/>
            <w:vAlign w:val="bottom"/>
            <w:gridSpan w:val="3"/>
          </w:tcPr>
          <w:p>
            <w:pPr>
              <w:jc w:val="right"/>
              <w:ind w:right="560"/>
              <w:spacing w:after="0"/>
              <w:rPr>
                <w:sz w:val="20"/>
                <w:szCs w:val="20"/>
                <w:color w:val="auto"/>
              </w:rPr>
            </w:pPr>
            <w:r>
              <w:rPr>
                <w:rFonts w:ascii="Arial" w:cs="Arial" w:eastAsia="Arial" w:hAnsi="Arial"/>
                <w:sz w:val="18"/>
                <w:szCs w:val="18"/>
                <w:color w:val="auto"/>
              </w:rPr>
              <w:t>120</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FF"/>
                <w:w w:val="90"/>
              </w:rPr>
            </w:pPr>
            <w:hyperlink w:anchor="page1">
              <w:r>
                <w:rPr>
                  <w:rFonts w:ascii="Arial" w:cs="Arial" w:eastAsia="Arial" w:hAnsi="Arial"/>
                  <w:sz w:val="18"/>
                  <w:szCs w:val="18"/>
                  <w:color w:val="0000FF"/>
                  <w:w w:val="90"/>
                </w:rPr>
                <w:t>Table of Contents</w:t>
              </w:r>
            </w:hyperlink>
          </w:p>
        </w:tc>
        <w:tc>
          <w:tcPr>
            <w:tcW w:w="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10.62***</w:t>
            </w:r>
          </w:p>
        </w:tc>
        <w:tc>
          <w:tcPr>
            <w:tcW w:w="20" w:type="dxa"/>
            <w:vAlign w:val="bottom"/>
          </w:tcPr>
          <w:p>
            <w:pPr>
              <w:spacing w:after="0"/>
              <w:rPr>
                <w:sz w:val="24"/>
                <w:szCs w:val="24"/>
                <w:color w:val="auto"/>
              </w:rPr>
            </w:pPr>
          </w:p>
        </w:tc>
        <w:tc>
          <w:tcPr>
            <w:tcW w:w="10060" w:type="dxa"/>
            <w:vAlign w:val="bottom"/>
            <w:gridSpan w:val="26"/>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332">
              <w:r>
                <w:rPr>
                  <w:rFonts w:ascii="Arial" w:cs="Arial" w:eastAsia="Arial" w:hAnsi="Arial"/>
                  <w:sz w:val="18"/>
                  <w:szCs w:val="18"/>
                  <w:color w:val="0000FF"/>
                  <w:w w:val="95"/>
                </w:rPr>
                <w:t>Form of Director LTIP Grant Letter (February 2017) - Director Grant - Designated Directors and Audit Committee Members (PAA</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1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332">
              <w:r>
                <w:rPr>
                  <w:rFonts w:ascii="Arial" w:cs="Arial" w:eastAsia="Arial" w:hAnsi="Arial"/>
                  <w:sz w:val="18"/>
                  <w:szCs w:val="18"/>
                  <w:color w:val="0000FF"/>
                  <w:w w:val="91"/>
                </w:rPr>
                <w:t>Plan) (incorporated by reference to Exhibit 10.1 to our Quarterly Report on Form 10-Q for the quarter ended March 31, 2017).</w:t>
              </w:r>
            </w:hyperlink>
          </w:p>
        </w:tc>
        <w:tc>
          <w:tcPr>
            <w:tcW w:w="3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10.63***</w:t>
            </w:r>
          </w:p>
        </w:tc>
        <w:tc>
          <w:tcPr>
            <w:tcW w:w="20" w:type="dxa"/>
            <w:vAlign w:val="bottom"/>
          </w:tcPr>
          <w:p>
            <w:pPr>
              <w:spacing w:after="0"/>
              <w:rPr>
                <w:sz w:val="24"/>
                <w:szCs w:val="24"/>
                <w:color w:val="auto"/>
              </w:rPr>
            </w:pPr>
          </w:p>
        </w:tc>
        <w:tc>
          <w:tcPr>
            <w:tcW w:w="10060" w:type="dxa"/>
            <w:vAlign w:val="bottom"/>
            <w:gridSpan w:val="26"/>
          </w:tcPr>
          <w:p>
            <w:pPr>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333">
              <w:r>
                <w:rPr>
                  <w:rFonts w:ascii="Arial" w:cs="Arial" w:eastAsia="Arial" w:hAnsi="Arial"/>
                  <w:sz w:val="18"/>
                  <w:szCs w:val="18"/>
                  <w:color w:val="0000FF"/>
                  <w:w w:val="98"/>
                </w:rPr>
                <w:t>Form of Director LTIP Grant Letter (February 2017) - Audit Committee Supplement (PAA Plan) (incorporated by reference to</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1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333">
              <w:r>
                <w:rPr>
                  <w:rFonts w:ascii="Arial" w:cs="Arial" w:eastAsia="Arial" w:hAnsi="Arial"/>
                  <w:sz w:val="18"/>
                  <w:szCs w:val="18"/>
                  <w:color w:val="0000FF"/>
                </w:rPr>
                <w:t>Exhibit 10.2 to our Quarterly Report on Form 10-Q for the quarter ended March 31, 2017).</w:t>
              </w:r>
            </w:hyperlink>
          </w:p>
        </w:tc>
        <w:tc>
          <w:tcPr>
            <w:tcW w:w="10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24"/>
                <w:szCs w:val="24"/>
                <w:color w:val="auto"/>
              </w:rPr>
            </w:pPr>
          </w:p>
        </w:tc>
        <w:tc>
          <w:tcPr>
            <w:tcW w:w="10060" w:type="dxa"/>
            <w:vAlign w:val="bottom"/>
            <w:gridSpan w:val="26"/>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334">
              <w:r>
                <w:rPr>
                  <w:rFonts w:ascii="Arial" w:cs="Arial" w:eastAsia="Arial" w:hAnsi="Arial"/>
                  <w:sz w:val="18"/>
                  <w:szCs w:val="18"/>
                  <w:color w:val="0000FF"/>
                  <w:w w:val="94"/>
                </w:rPr>
                <w:t>Form of Director LTIP Grant Letter (February 2017) - Independent Director Grant (PAA Plan) (incorporated by reference to Exhibit</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334">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our Quarterly Report on Form 10-Q for the quarter ended March 31, 2017).</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10.65***</w:t>
            </w:r>
          </w:p>
        </w:tc>
        <w:tc>
          <w:tcPr>
            <w:tcW w:w="20" w:type="dxa"/>
            <w:vAlign w:val="bottom"/>
          </w:tcPr>
          <w:p>
            <w:pPr>
              <w:spacing w:after="0"/>
              <w:rPr>
                <w:sz w:val="24"/>
                <w:szCs w:val="24"/>
                <w:color w:val="auto"/>
              </w:rPr>
            </w:pPr>
          </w:p>
        </w:tc>
        <w:tc>
          <w:tcPr>
            <w:tcW w:w="10060" w:type="dxa"/>
            <w:vAlign w:val="bottom"/>
            <w:gridSpan w:val="26"/>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335">
              <w:r>
                <w:rPr>
                  <w:rFonts w:ascii="Arial" w:cs="Arial" w:eastAsia="Arial" w:hAnsi="Arial"/>
                  <w:sz w:val="18"/>
                  <w:szCs w:val="18"/>
                  <w:color w:val="0000FF"/>
                  <w:w w:val="93"/>
                </w:rPr>
                <w:t>Form of Director LTIP Grant Letter (February 2017) - Director Grant - Designated Directors and Audit Committee Members (PAGP</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1"/>
              </w:rPr>
            </w:pPr>
            <w:hyperlink r:id="rId335">
              <w:r>
                <w:rPr>
                  <w:rFonts w:ascii="Arial" w:cs="Arial" w:eastAsia="Arial" w:hAnsi="Arial"/>
                  <w:sz w:val="18"/>
                  <w:szCs w:val="18"/>
                  <w:color w:val="0000FF"/>
                  <w:w w:val="91"/>
                </w:rPr>
                <w:t>Plan) (incorporated by reference to Exhibit 10.1 to PAGP’s Quarterly Report on Form 10-Q for the quarter ended March 31, 2017).</w:t>
              </w:r>
            </w:hyperlink>
          </w:p>
        </w:tc>
        <w:tc>
          <w:tcPr>
            <w:tcW w:w="10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24"/>
                <w:szCs w:val="24"/>
                <w:color w:val="auto"/>
              </w:rPr>
            </w:pPr>
          </w:p>
        </w:tc>
        <w:tc>
          <w:tcPr>
            <w:tcW w:w="10060" w:type="dxa"/>
            <w:vAlign w:val="bottom"/>
            <w:gridSpan w:val="26"/>
          </w:tcPr>
          <w:p>
            <w:pPr>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336">
              <w:r>
                <w:rPr>
                  <w:rFonts w:ascii="Arial" w:cs="Arial" w:eastAsia="Arial" w:hAnsi="Arial"/>
                  <w:sz w:val="18"/>
                  <w:szCs w:val="18"/>
                  <w:color w:val="0000FF"/>
                  <w:w w:val="96"/>
                </w:rPr>
                <w:t>Form of Director LTIP Grant Letter (February 2017) - Audit Committee Supplement (PAGP Plan) (incorporated by reference to</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336">
              <w:r>
                <w:rPr>
                  <w:rFonts w:ascii="Arial" w:cs="Arial" w:eastAsia="Arial" w:hAnsi="Arial"/>
                  <w:sz w:val="18"/>
                  <w:szCs w:val="18"/>
                  <w:color w:val="0000FF"/>
                </w:rPr>
                <w:t>Exhibit 10.2 to PAGP’s Quarterly Report on Form 10-Q for the quarter ended March 31, 2017).</w:t>
              </w:r>
            </w:hyperlink>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10.67***</w:t>
            </w:r>
          </w:p>
        </w:tc>
        <w:tc>
          <w:tcPr>
            <w:tcW w:w="20" w:type="dxa"/>
            <w:vAlign w:val="bottom"/>
          </w:tcPr>
          <w:p>
            <w:pPr>
              <w:spacing w:after="0"/>
              <w:rPr>
                <w:sz w:val="24"/>
                <w:szCs w:val="24"/>
                <w:color w:val="auto"/>
              </w:rPr>
            </w:pPr>
          </w:p>
        </w:tc>
        <w:tc>
          <w:tcPr>
            <w:tcW w:w="10060" w:type="dxa"/>
            <w:vAlign w:val="bottom"/>
            <w:gridSpan w:val="26"/>
          </w:tcPr>
          <w:p>
            <w:pPr>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337">
              <w:r>
                <w:rPr>
                  <w:rFonts w:ascii="Arial" w:cs="Arial" w:eastAsia="Arial" w:hAnsi="Arial"/>
                  <w:sz w:val="18"/>
                  <w:szCs w:val="18"/>
                  <w:color w:val="0000FF"/>
                  <w:w w:val="98"/>
                </w:rPr>
                <w:t>Form of Director LTIP Grant Letter (February 2017) - Independent Director Grant (PAGP Plan) (incorporated by reference to</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337">
              <w:r>
                <w:rPr>
                  <w:rFonts w:ascii="Arial" w:cs="Arial" w:eastAsia="Arial" w:hAnsi="Arial"/>
                  <w:sz w:val="18"/>
                  <w:szCs w:val="18"/>
                  <w:color w:val="0000FF"/>
                </w:rPr>
                <w:t>Exhibit 10.3 to PAGP’s Quarterly Report on Form 10-Q for the quarter ended March 31, 2017).</w:t>
              </w:r>
            </w:hyperlink>
          </w:p>
        </w:tc>
        <w:tc>
          <w:tcPr>
            <w:tcW w:w="34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10.68***</w:t>
            </w:r>
          </w:p>
        </w:tc>
        <w:tc>
          <w:tcPr>
            <w:tcW w:w="20" w:type="dxa"/>
            <w:vAlign w:val="bottom"/>
          </w:tcPr>
          <w:p>
            <w:pPr>
              <w:spacing w:after="0"/>
              <w:rPr>
                <w:sz w:val="24"/>
                <w:szCs w:val="24"/>
                <w:color w:val="auto"/>
              </w:rPr>
            </w:pPr>
          </w:p>
        </w:tc>
        <w:tc>
          <w:tcPr>
            <w:tcW w:w="10060" w:type="dxa"/>
            <w:vAlign w:val="bottom"/>
            <w:gridSpan w:val="26"/>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338">
              <w:r>
                <w:rPr>
                  <w:rFonts w:ascii="Arial" w:cs="Arial" w:eastAsia="Arial" w:hAnsi="Arial"/>
                  <w:sz w:val="18"/>
                  <w:szCs w:val="18"/>
                  <w:color w:val="0000FF"/>
                  <w:w w:val="95"/>
                </w:rPr>
                <w:t>Form of Director LTIP Grant Letter (August 2018) (incorporated by reference to Exhibit 10.66 to our Annual Report on Form 10-K</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338">
              <w:r>
                <w:rPr>
                  <w:rFonts w:ascii="Arial" w:cs="Arial" w:eastAsia="Arial" w:hAnsi="Arial"/>
                  <w:sz w:val="18"/>
                  <w:szCs w:val="18"/>
                  <w:color w:val="0000FF"/>
                </w:rPr>
                <w:t>for the year ended December 31, 2018).</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580" w:type="dxa"/>
            <w:vAlign w:val="bottom"/>
            <w:tcBorders>
              <w:bottom w:val="single" w:sz="8" w:color="0000FF"/>
            </w:tcBorders>
            <w:gridSpan w:val="24"/>
          </w:tcPr>
          <w:p>
            <w:pPr>
              <w:spacing w:after="0"/>
              <w:rPr>
                <w:rFonts w:ascii="Arial" w:cs="Arial" w:eastAsia="Arial" w:hAnsi="Arial"/>
                <w:sz w:val="18"/>
                <w:szCs w:val="18"/>
                <w:color w:val="0000FF"/>
                <w:w w:val="91"/>
              </w:rPr>
            </w:pPr>
            <w:hyperlink r:id="rId339">
              <w:r>
                <w:rPr>
                  <w:rFonts w:ascii="Arial" w:cs="Arial" w:eastAsia="Arial" w:hAnsi="Arial"/>
                  <w:sz w:val="18"/>
                  <w:szCs w:val="18"/>
                  <w:color w:val="0000FF"/>
                  <w:w w:val="91"/>
                </w:rPr>
                <w:t>Director LTIP Grant Letter (December 2018) (incorporated by reference to Exhibit 10.67 to our Annual Report on Form 10-K for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80" w:type="dxa"/>
            <w:vAlign w:val="bottom"/>
            <w:gridSpan w:val="24"/>
          </w:tcPr>
          <w:p>
            <w:pPr>
              <w:spacing w:after="0" w:line="156" w:lineRule="exact"/>
              <w:rPr>
                <w:rFonts w:ascii="Arial" w:cs="Arial" w:eastAsia="Arial" w:hAnsi="Arial"/>
                <w:sz w:val="18"/>
                <w:szCs w:val="18"/>
                <w:color w:val="0000FF"/>
              </w:rPr>
            </w:pPr>
            <w:hyperlink r:id="rId339">
              <w:r>
                <w:rPr>
                  <w:rFonts w:ascii="Arial" w:cs="Arial" w:eastAsia="Arial" w:hAnsi="Arial"/>
                  <w:sz w:val="18"/>
                  <w:szCs w:val="18"/>
                  <w:color w:val="0000FF"/>
                </w:rPr>
                <w:t>year ended December 31, 2018).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380" w:type="dxa"/>
            <w:vAlign w:val="bottom"/>
            <w:tcBorders>
              <w:bottom w:val="single" w:sz="8" w:color="0000FF"/>
            </w:tcBorders>
            <w:gridSpan w:val="18"/>
          </w:tcPr>
          <w:p>
            <w:pPr>
              <w:spacing w:after="0"/>
              <w:rPr>
                <w:rFonts w:ascii="Arial" w:cs="Arial" w:eastAsia="Arial" w:hAnsi="Arial"/>
                <w:sz w:val="18"/>
                <w:szCs w:val="18"/>
                <w:color w:val="0000FF"/>
                <w:w w:val="91"/>
              </w:rPr>
            </w:pPr>
            <w:hyperlink r:id="rId340">
              <w:r>
                <w:rPr>
                  <w:rFonts w:ascii="Arial" w:cs="Arial" w:eastAsia="Arial" w:hAnsi="Arial"/>
                  <w:sz w:val="18"/>
                  <w:szCs w:val="18"/>
                  <w:color w:val="0000FF"/>
                  <w:w w:val="91"/>
                </w:rPr>
                <w:t>Form of LTIP Grant Letter dated August 15, 2019 (Officers) (incorporated by reference to Exhibit 10.2 to our Quarterly Report on</w:t>
              </w:r>
            </w:hyperlink>
          </w:p>
        </w:tc>
        <w:tc>
          <w:tcPr>
            <w:tcW w:w="60" w:type="dxa"/>
            <w:vAlign w:val="bottom"/>
          </w:tcPr>
          <w:p>
            <w:pPr>
              <w:spacing w:after="0"/>
              <w:rPr>
                <w:sz w:val="24"/>
                <w:szCs w:val="24"/>
                <w:color w:val="auto"/>
              </w:rPr>
            </w:pPr>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80" w:type="dxa"/>
            <w:vAlign w:val="bottom"/>
            <w:gridSpan w:val="18"/>
          </w:tcPr>
          <w:p>
            <w:pPr>
              <w:spacing w:after="0" w:line="156" w:lineRule="exact"/>
              <w:rPr>
                <w:rFonts w:ascii="Arial" w:cs="Arial" w:eastAsia="Arial" w:hAnsi="Arial"/>
                <w:sz w:val="18"/>
                <w:szCs w:val="18"/>
                <w:color w:val="0000FF"/>
              </w:rPr>
            </w:pPr>
            <w:hyperlink r:id="rId340">
              <w:r>
                <w:rPr>
                  <w:rFonts w:ascii="Arial" w:cs="Arial" w:eastAsia="Arial" w:hAnsi="Arial"/>
                  <w:sz w:val="18"/>
                  <w:szCs w:val="18"/>
                  <w:color w:val="0000FF"/>
                </w:rPr>
                <w:t>Form 10-Q for the quarter ended September 30, 2019).</w:t>
              </w:r>
            </w:hyperlink>
          </w:p>
        </w:tc>
        <w:tc>
          <w:tcPr>
            <w:tcW w:w="6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10.71***</w:t>
            </w:r>
          </w:p>
        </w:tc>
        <w:tc>
          <w:tcPr>
            <w:tcW w:w="20" w:type="dxa"/>
            <w:vAlign w:val="bottom"/>
          </w:tcPr>
          <w:p>
            <w:pPr>
              <w:spacing w:after="0"/>
              <w:rPr>
                <w:sz w:val="24"/>
                <w:szCs w:val="24"/>
                <w:color w:val="auto"/>
              </w:rPr>
            </w:pPr>
          </w:p>
        </w:tc>
        <w:tc>
          <w:tcPr>
            <w:tcW w:w="10060" w:type="dxa"/>
            <w:vAlign w:val="bottom"/>
            <w:gridSpan w:val="26"/>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341">
              <w:r>
                <w:rPr>
                  <w:rFonts w:ascii="Arial" w:cs="Arial" w:eastAsia="Arial" w:hAnsi="Arial"/>
                  <w:sz w:val="18"/>
                  <w:szCs w:val="18"/>
                  <w:color w:val="0000FF"/>
                  <w:w w:val="94"/>
                </w:rPr>
                <w:t>Form of LTIP Grant Letter dated August 15, 2019 (Directors) (incorporated by reference to exhibit 10.3 to our Quarterly Report on</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341">
              <w:r>
                <w:rPr>
                  <w:rFonts w:ascii="Arial" w:cs="Arial" w:eastAsia="Arial" w:hAnsi="Arial"/>
                  <w:sz w:val="18"/>
                  <w:szCs w:val="18"/>
                  <w:color w:val="0000FF"/>
                </w:rPr>
                <w:t>Form 10-Q for the quarter ended September 30, 2019).</w:t>
              </w:r>
            </w:hyperlink>
          </w:p>
        </w:tc>
        <w:tc>
          <w:tcPr>
            <w:tcW w:w="1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10.72***†</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Borders>
              <w:top w:val="single" w:sz="8" w:color="0000FF"/>
            </w:tcBorders>
            <w:gridSpan w:val="5"/>
          </w:tcPr>
          <w:p>
            <w:pPr>
              <w:spacing w:after="0"/>
              <w:rPr>
                <w:rFonts w:ascii="Arial" w:cs="Arial" w:eastAsia="Arial" w:hAnsi="Arial"/>
                <w:sz w:val="18"/>
                <w:szCs w:val="18"/>
                <w:color w:val="0000FF"/>
              </w:rPr>
            </w:pPr>
            <w:hyperlink w:anchor="page212">
              <w:r>
                <w:rPr>
                  <w:rFonts w:ascii="Arial" w:cs="Arial" w:eastAsia="Arial" w:hAnsi="Arial"/>
                  <w:sz w:val="18"/>
                  <w:szCs w:val="18"/>
                  <w:color w:val="0000FF"/>
                </w:rPr>
                <w:t>Director LTIP Grant Letter (January 2020)</w:t>
              </w:r>
            </w:hyperlink>
          </w:p>
        </w:tc>
        <w:tc>
          <w:tcPr>
            <w:tcW w:w="56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gridSpan w:val="2"/>
            <w:vMerge w:val="restart"/>
          </w:tcPr>
          <w:p>
            <w:pPr>
              <w:ind w:left="20"/>
              <w:spacing w:after="0"/>
              <w:rPr>
                <w:sz w:val="20"/>
                <w:szCs w:val="20"/>
                <w:color w:val="auto"/>
              </w:rPr>
            </w:pPr>
            <w:r>
              <w:rPr>
                <w:rFonts w:ascii="Arial" w:cs="Arial" w:eastAsia="Arial" w:hAnsi="Arial"/>
                <w:sz w:val="18"/>
                <w:szCs w:val="18"/>
                <w:color w:val="auto"/>
              </w:rPr>
              <w:t>21.1 †</w:t>
            </w:r>
          </w:p>
        </w:tc>
        <w:tc>
          <w:tcPr>
            <w:tcW w:w="460" w:type="dxa"/>
            <w:vAlign w:val="bottom"/>
            <w:vMerge w:val="restart"/>
          </w:tcPr>
          <w:p>
            <w:pPr>
              <w:spacing w:after="0"/>
              <w:rPr>
                <w:sz w:val="20"/>
                <w:szCs w:val="20"/>
                <w:color w:val="auto"/>
              </w:rPr>
            </w:pPr>
            <w:r>
              <w:rPr>
                <w:rFonts w:ascii="Arial" w:cs="Arial" w:eastAsia="Arial" w:hAnsi="Arial"/>
                <w:sz w:val="18"/>
                <w:szCs w:val="18"/>
                <w:color w:val="auto"/>
              </w:rPr>
              <w:t>—</w:t>
            </w:r>
          </w:p>
        </w:tc>
        <w:tc>
          <w:tcPr>
            <w:tcW w:w="218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100" w:type="dxa"/>
            <w:vAlign w:val="bottom"/>
            <w:tcBorders>
              <w:left w:val="single" w:sz="8" w:color="0000FF"/>
            </w:tcBorders>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00" w:type="dxa"/>
            <w:vAlign w:val="bottom"/>
            <w:gridSpan w:val="2"/>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9600" w:type="dxa"/>
            <w:vAlign w:val="bottom"/>
            <w:gridSpan w:val="25"/>
          </w:tcPr>
          <w:p>
            <w:pPr>
              <w:spacing w:after="0"/>
              <w:rPr>
                <w:rFonts w:ascii="Arial" w:cs="Arial" w:eastAsia="Arial" w:hAnsi="Arial"/>
                <w:sz w:val="18"/>
                <w:szCs w:val="18"/>
                <w:color w:val="0000FF"/>
              </w:rPr>
            </w:pPr>
            <w:hyperlink w:anchor="page215">
              <w:r>
                <w:rPr>
                  <w:rFonts w:ascii="Arial" w:cs="Arial" w:eastAsia="Arial" w:hAnsi="Arial"/>
                  <w:sz w:val="18"/>
                  <w:szCs w:val="18"/>
                  <w:color w:val="0000FF"/>
                </w:rPr>
                <w:t>List of Subsidiaries of Plains All American Pipeline, L.P.</w:t>
              </w:r>
            </w:hyperlink>
          </w:p>
        </w:tc>
        <w:tc>
          <w:tcPr>
            <w:tcW w:w="0" w:type="dxa"/>
            <w:vAlign w:val="bottom"/>
          </w:tcPr>
          <w:p>
            <w:pPr>
              <w:spacing w:after="0"/>
              <w:rPr>
                <w:sz w:val="1"/>
                <w:szCs w:val="1"/>
                <w:color w:val="auto"/>
              </w:rPr>
            </w:pPr>
          </w:p>
        </w:tc>
      </w:tr>
      <w:tr>
        <w:trPr>
          <w:trHeight w:val="358"/>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23.1 †</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4100" w:type="dxa"/>
            <w:vAlign w:val="bottom"/>
            <w:tcBorders>
              <w:top w:val="single" w:sz="8" w:color="0000FF"/>
            </w:tcBorders>
            <w:gridSpan w:val="6"/>
          </w:tcPr>
          <w:p>
            <w:pPr>
              <w:spacing w:after="0"/>
              <w:rPr>
                <w:rFonts w:ascii="Arial" w:cs="Arial" w:eastAsia="Arial" w:hAnsi="Arial"/>
                <w:sz w:val="18"/>
                <w:szCs w:val="18"/>
                <w:color w:val="0000FF"/>
              </w:rPr>
            </w:pPr>
            <w:hyperlink w:anchor="page217">
              <w:r>
                <w:rPr>
                  <w:rFonts w:ascii="Arial" w:cs="Arial" w:eastAsia="Arial" w:hAnsi="Arial"/>
                  <w:sz w:val="18"/>
                  <w:szCs w:val="18"/>
                  <w:color w:val="0000FF"/>
                </w:rPr>
                <w:t>Consent of PricewaterhouseCoopers LLP.</w:t>
              </w:r>
            </w:hyperlink>
          </w:p>
        </w:tc>
        <w:tc>
          <w:tcPr>
            <w:tcW w:w="55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gridSpan w:val="2"/>
            <w:vMerge w:val="restart"/>
          </w:tcPr>
          <w:p>
            <w:pPr>
              <w:ind w:left="20"/>
              <w:spacing w:after="0"/>
              <w:rPr>
                <w:sz w:val="20"/>
                <w:szCs w:val="20"/>
                <w:color w:val="auto"/>
              </w:rPr>
            </w:pPr>
            <w:r>
              <w:rPr>
                <w:rFonts w:ascii="Arial" w:cs="Arial" w:eastAsia="Arial" w:hAnsi="Arial"/>
                <w:sz w:val="18"/>
                <w:szCs w:val="18"/>
                <w:color w:val="auto"/>
              </w:rPr>
              <w:t>31.1 †</w:t>
            </w:r>
          </w:p>
        </w:tc>
        <w:tc>
          <w:tcPr>
            <w:tcW w:w="460" w:type="dxa"/>
            <w:vAlign w:val="bottom"/>
            <w:vMerge w:val="restart"/>
          </w:tcPr>
          <w:p>
            <w:pPr>
              <w:spacing w:after="0"/>
              <w:rPr>
                <w:sz w:val="20"/>
                <w:szCs w:val="20"/>
                <w:color w:val="auto"/>
              </w:rPr>
            </w:pPr>
            <w:r>
              <w:rPr>
                <w:rFonts w:ascii="Arial" w:cs="Arial" w:eastAsia="Arial" w:hAnsi="Arial"/>
                <w:sz w:val="18"/>
                <w:szCs w:val="18"/>
                <w:color w:val="auto"/>
              </w:rPr>
              <w:t>—</w:t>
            </w:r>
          </w:p>
        </w:tc>
        <w:tc>
          <w:tcPr>
            <w:tcW w:w="218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00" w:type="dxa"/>
            <w:vAlign w:val="bottom"/>
            <w:gridSpan w:val="2"/>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734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218">
              <w:r>
                <w:rPr>
                  <w:rFonts w:ascii="Arial" w:cs="Arial" w:eastAsia="Arial" w:hAnsi="Arial"/>
                  <w:sz w:val="18"/>
                  <w:szCs w:val="18"/>
                  <w:color w:val="0000FF"/>
                  <w:w w:val="91"/>
                </w:rPr>
                <w:t>Certification of Principal Executive Officer pursuant to Exchange Act Rules 13a-14(a) and 15d-14(a).</w:t>
              </w:r>
            </w:hyperlink>
          </w:p>
        </w:tc>
        <w:tc>
          <w:tcPr>
            <w:tcW w:w="22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31.2 †</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00" w:type="dxa"/>
            <w:vAlign w:val="bottom"/>
            <w:gridSpan w:val="25"/>
          </w:tcPr>
          <w:p>
            <w:pPr>
              <w:spacing w:after="0"/>
              <w:rPr>
                <w:rFonts w:ascii="Arial" w:cs="Arial" w:eastAsia="Arial" w:hAnsi="Arial"/>
                <w:sz w:val="18"/>
                <w:szCs w:val="18"/>
                <w:color w:val="0000FF"/>
              </w:rPr>
            </w:pPr>
            <w:hyperlink w:anchor="page219">
              <w:r>
                <w:rPr>
                  <w:rFonts w:ascii="Arial" w:cs="Arial" w:eastAsia="Arial" w:hAnsi="Arial"/>
                  <w:sz w:val="18"/>
                  <w:szCs w:val="18"/>
                  <w:color w:val="0000FF"/>
                </w:rPr>
                <w:t>Certification of Principal Financial Officer pursuant to Exchange Act Rules 13a-14(a) and 15d-14(a).</w:t>
              </w:r>
            </w:hyperlink>
          </w:p>
        </w:tc>
        <w:tc>
          <w:tcPr>
            <w:tcW w:w="0" w:type="dxa"/>
            <w:vAlign w:val="bottom"/>
          </w:tcPr>
          <w:p>
            <w:pPr>
              <w:spacing w:after="0"/>
              <w:rPr>
                <w:sz w:val="1"/>
                <w:szCs w:val="1"/>
                <w:color w:val="auto"/>
              </w:rPr>
            </w:pPr>
          </w:p>
        </w:tc>
      </w:tr>
      <w:tr>
        <w:trPr>
          <w:trHeight w:val="358"/>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32.1 ††</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2"/>
              </w:rPr>
            </w:pPr>
            <w:hyperlink w:anchor="page220">
              <w:r>
                <w:rPr>
                  <w:rFonts w:ascii="Arial" w:cs="Arial" w:eastAsia="Arial" w:hAnsi="Arial"/>
                  <w:sz w:val="18"/>
                  <w:szCs w:val="18"/>
                  <w:color w:val="0000FF"/>
                  <w:w w:val="92"/>
                </w:rPr>
                <w:t>Certification of Principal Executive Officer pursuant to 18 U.S.C. 1350.</w:t>
              </w:r>
            </w:hyperlink>
          </w:p>
        </w:tc>
        <w:tc>
          <w:tcPr>
            <w:tcW w:w="2100" w:type="dxa"/>
            <w:vAlign w:val="bottom"/>
            <w:tcBorders>
              <w:top w:val="single" w:sz="8" w:color="0000FF"/>
            </w:tcBorders>
            <w:gridSpan w:val="4"/>
          </w:tcPr>
          <w:p>
            <w:pPr>
              <w:spacing w:after="0"/>
              <w:rPr>
                <w:sz w:val="24"/>
                <w:szCs w:val="24"/>
                <w:color w:val="auto"/>
              </w:rPr>
            </w:pPr>
          </w:p>
        </w:tc>
        <w:tc>
          <w:tcPr>
            <w:tcW w:w="23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32.2 ††</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00" w:type="dxa"/>
            <w:vAlign w:val="bottom"/>
            <w:gridSpan w:val="25"/>
          </w:tcPr>
          <w:p>
            <w:pPr>
              <w:spacing w:after="0"/>
              <w:rPr>
                <w:rFonts w:ascii="Arial" w:cs="Arial" w:eastAsia="Arial" w:hAnsi="Arial"/>
                <w:sz w:val="18"/>
                <w:szCs w:val="18"/>
                <w:color w:val="0000FF"/>
              </w:rPr>
            </w:pPr>
            <w:hyperlink w:anchor="page221">
              <w:r>
                <w:rPr>
                  <w:rFonts w:ascii="Arial" w:cs="Arial" w:eastAsia="Arial" w:hAnsi="Arial"/>
                  <w:sz w:val="18"/>
                  <w:szCs w:val="18"/>
                  <w:color w:val="0000FF"/>
                </w:rPr>
                <w:t>Certification of Principal Financial Officer pursuant to 18 U.S.C. 1350.</w:t>
              </w:r>
            </w:hyperlink>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44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101. INS†</w:t>
            </w:r>
          </w:p>
        </w:tc>
        <w:tc>
          <w:tcPr>
            <w:tcW w:w="10060" w:type="dxa"/>
            <w:vAlign w:val="bottom"/>
            <w:gridSpan w:val="26"/>
          </w:tcPr>
          <w:p>
            <w:pPr>
              <w:spacing w:after="0"/>
              <w:rPr>
                <w:sz w:val="20"/>
                <w:szCs w:val="20"/>
                <w:color w:val="auto"/>
              </w:rPr>
            </w:pPr>
            <w:r>
              <w:rPr>
                <w:rFonts w:ascii="Arial" w:cs="Arial" w:eastAsia="Arial" w:hAnsi="Arial"/>
                <w:sz w:val="18"/>
                <w:szCs w:val="18"/>
                <w:color w:val="auto"/>
                <w:w w:val="91"/>
              </w:rPr>
              <w:t>—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0" w:type="dxa"/>
            <w:vAlign w:val="bottom"/>
            <w:gridSpan w:val="25"/>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78"/>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10060" w:type="dxa"/>
            <w:vAlign w:val="bottom"/>
            <w:gridSpan w:val="26"/>
          </w:tcPr>
          <w:p>
            <w:pPr>
              <w:spacing w:after="0"/>
              <w:rPr>
                <w:sz w:val="20"/>
                <w:szCs w:val="20"/>
                <w:color w:val="auto"/>
              </w:rPr>
            </w:pPr>
            <w:r>
              <w:rPr>
                <w:rFonts w:ascii="Arial" w:cs="Arial" w:eastAsia="Arial" w:hAnsi="Arial"/>
                <w:sz w:val="18"/>
                <w:szCs w:val="18"/>
                <w:color w:val="auto"/>
              </w:rPr>
              <w:t>—   Inline XBRL Taxonomy Extension Schema Document</w:t>
            </w:r>
          </w:p>
        </w:tc>
        <w:tc>
          <w:tcPr>
            <w:tcW w:w="0" w:type="dxa"/>
            <w:vAlign w:val="bottom"/>
          </w:tcPr>
          <w:p>
            <w:pPr>
              <w:spacing w:after="0"/>
              <w:rPr>
                <w:sz w:val="1"/>
                <w:szCs w:val="1"/>
                <w:color w:val="auto"/>
              </w:rPr>
            </w:pPr>
          </w:p>
        </w:tc>
      </w:tr>
      <w:tr>
        <w:trPr>
          <w:trHeight w:val="378"/>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10060" w:type="dxa"/>
            <w:vAlign w:val="bottom"/>
            <w:gridSpan w:val="26"/>
          </w:tcPr>
          <w:p>
            <w:pPr>
              <w:spacing w:after="0"/>
              <w:rPr>
                <w:sz w:val="20"/>
                <w:szCs w:val="20"/>
                <w:color w:val="auto"/>
              </w:rPr>
            </w:pPr>
            <w:r>
              <w:rPr>
                <w:rFonts w:ascii="Arial" w:cs="Arial" w:eastAsia="Arial" w:hAnsi="Arial"/>
                <w:sz w:val="18"/>
                <w:szCs w:val="18"/>
                <w:color w:val="auto"/>
              </w:rPr>
              <w:t>—   Inline XBRL Taxonomy Extension Calculation Linkbase Document</w:t>
            </w:r>
          </w:p>
        </w:tc>
        <w:tc>
          <w:tcPr>
            <w:tcW w:w="0" w:type="dxa"/>
            <w:vAlign w:val="bottom"/>
          </w:tcPr>
          <w:p>
            <w:pPr>
              <w:spacing w:after="0"/>
              <w:rPr>
                <w:sz w:val="1"/>
                <w:szCs w:val="1"/>
                <w:color w:val="auto"/>
              </w:rPr>
            </w:pPr>
          </w:p>
        </w:tc>
      </w:tr>
      <w:tr>
        <w:trPr>
          <w:trHeight w:val="378"/>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10060" w:type="dxa"/>
            <w:vAlign w:val="bottom"/>
            <w:gridSpan w:val="26"/>
          </w:tcPr>
          <w:p>
            <w:pPr>
              <w:spacing w:after="0"/>
              <w:rPr>
                <w:sz w:val="20"/>
                <w:szCs w:val="20"/>
                <w:color w:val="auto"/>
              </w:rPr>
            </w:pPr>
            <w:r>
              <w:rPr>
                <w:rFonts w:ascii="Arial" w:cs="Arial" w:eastAsia="Arial" w:hAnsi="Arial"/>
                <w:sz w:val="18"/>
                <w:szCs w:val="18"/>
                <w:color w:val="auto"/>
              </w:rPr>
              <w:t>—   Inline XBRL Taxonomy Extension Definition Linkbase Document</w:t>
            </w:r>
          </w:p>
        </w:tc>
        <w:tc>
          <w:tcPr>
            <w:tcW w:w="0" w:type="dxa"/>
            <w:vAlign w:val="bottom"/>
          </w:tcPr>
          <w:p>
            <w:pPr>
              <w:spacing w:after="0"/>
              <w:rPr>
                <w:sz w:val="1"/>
                <w:szCs w:val="1"/>
                <w:color w:val="auto"/>
              </w:rPr>
            </w:pPr>
          </w:p>
        </w:tc>
      </w:tr>
      <w:tr>
        <w:trPr>
          <w:trHeight w:val="378"/>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10060" w:type="dxa"/>
            <w:vAlign w:val="bottom"/>
            <w:gridSpan w:val="26"/>
          </w:tcPr>
          <w:p>
            <w:pPr>
              <w:spacing w:after="0"/>
              <w:rPr>
                <w:sz w:val="20"/>
                <w:szCs w:val="20"/>
                <w:color w:val="auto"/>
              </w:rPr>
            </w:pPr>
            <w:r>
              <w:rPr>
                <w:rFonts w:ascii="Arial" w:cs="Arial" w:eastAsia="Arial" w:hAnsi="Arial"/>
                <w:sz w:val="18"/>
                <w:szCs w:val="18"/>
                <w:color w:val="auto"/>
              </w:rPr>
              <w:t>—   Inline XBRL Taxonomy Extension Label Linkbase Document</w:t>
            </w:r>
          </w:p>
        </w:tc>
        <w:tc>
          <w:tcPr>
            <w:tcW w:w="0" w:type="dxa"/>
            <w:vAlign w:val="bottom"/>
          </w:tcPr>
          <w:p>
            <w:pPr>
              <w:spacing w:after="0"/>
              <w:rPr>
                <w:sz w:val="1"/>
                <w:szCs w:val="1"/>
                <w:color w:val="auto"/>
              </w:rPr>
            </w:pPr>
          </w:p>
        </w:tc>
      </w:tr>
      <w:tr>
        <w:trPr>
          <w:trHeight w:val="378"/>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10060" w:type="dxa"/>
            <w:vAlign w:val="bottom"/>
            <w:gridSpan w:val="26"/>
          </w:tcPr>
          <w:p>
            <w:pPr>
              <w:spacing w:after="0"/>
              <w:rPr>
                <w:sz w:val="20"/>
                <w:szCs w:val="20"/>
                <w:color w:val="auto"/>
              </w:rPr>
            </w:pPr>
            <w:r>
              <w:rPr>
                <w:rFonts w:ascii="Arial" w:cs="Arial" w:eastAsia="Arial" w:hAnsi="Arial"/>
                <w:sz w:val="18"/>
                <w:szCs w:val="18"/>
                <w:color w:val="auto"/>
              </w:rPr>
              <w:t>—   Inline XBRL Taxonomy Extension Presentation Linkbase Document</w:t>
            </w:r>
          </w:p>
        </w:tc>
        <w:tc>
          <w:tcPr>
            <w:tcW w:w="0" w:type="dxa"/>
            <w:vAlign w:val="bottom"/>
          </w:tcPr>
          <w:p>
            <w:pPr>
              <w:spacing w:after="0"/>
              <w:rPr>
                <w:sz w:val="1"/>
                <w:szCs w:val="1"/>
                <w:color w:val="auto"/>
              </w:rPr>
            </w:pPr>
          </w:p>
        </w:tc>
      </w:tr>
      <w:tr>
        <w:trPr>
          <w:trHeight w:val="378"/>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0060" w:type="dxa"/>
            <w:vAlign w:val="bottom"/>
            <w:gridSpan w:val="26"/>
          </w:tcPr>
          <w:p>
            <w:pPr>
              <w:spacing w:after="0"/>
              <w:rPr>
                <w:sz w:val="20"/>
                <w:szCs w:val="20"/>
                <w:color w:val="auto"/>
              </w:rPr>
            </w:pPr>
            <w:r>
              <w:rPr>
                <w:rFonts w:ascii="Arial" w:cs="Arial" w:eastAsia="Arial" w:hAnsi="Arial"/>
                <w:sz w:val="18"/>
                <w:szCs w:val="18"/>
                <w:color w:val="auto"/>
              </w:rPr>
              <w:t>—   Cover Page Interactive Data File (formatted as Inline XBRL and contained in Exhibit 101)</w:t>
            </w:r>
          </w:p>
        </w:tc>
        <w:tc>
          <w:tcPr>
            <w:tcW w:w="0" w:type="dxa"/>
            <w:vAlign w:val="bottom"/>
          </w:tcPr>
          <w:p>
            <w:pPr>
              <w:spacing w:after="0"/>
              <w:rPr>
                <w:sz w:val="1"/>
                <w:szCs w:val="1"/>
                <w:color w:val="auto"/>
              </w:rPr>
            </w:pPr>
          </w:p>
        </w:tc>
      </w:tr>
      <w:tr>
        <w:trPr>
          <w:trHeight w:val="459"/>
        </w:trPr>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08" w:right="31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hanging="92"/>
        <w:spacing w:after="0"/>
        <w:tabs>
          <w:tab w:leader="none" w:pos="100" w:val="left"/>
        </w:tabs>
        <w:numPr>
          <w:ilvl w:val="0"/>
          <w:numId w:val="67"/>
        </w:numPr>
        <w:rPr>
          <w:rFonts w:ascii="Arial" w:cs="Arial" w:eastAsia="Arial" w:hAnsi="Arial"/>
          <w:sz w:val="13"/>
          <w:szCs w:val="13"/>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160" w:hanging="152"/>
        <w:spacing w:after="0"/>
        <w:tabs>
          <w:tab w:leader="none" w:pos="160" w:val="left"/>
        </w:tabs>
        <w:numPr>
          <w:ilvl w:val="0"/>
          <w:numId w:val="68"/>
        </w:numPr>
        <w:rPr>
          <w:rFonts w:ascii="Arial" w:cs="Arial" w:eastAsia="Arial" w:hAnsi="Arial"/>
          <w:sz w:val="13"/>
          <w:szCs w:val="13"/>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660" w:right="500" w:hanging="647"/>
        <w:spacing w:after="0" w:line="308" w:lineRule="auto"/>
        <w:rPr>
          <w:sz w:val="20"/>
          <w:szCs w:val="20"/>
          <w:color w:val="auto"/>
        </w:rPr>
      </w:pPr>
      <w:r>
        <w:rPr>
          <w:rFonts w:ascii="Arial" w:cs="Arial" w:eastAsia="Arial" w:hAnsi="Arial"/>
          <w:sz w:val="17"/>
          <w:szCs w:val="17"/>
          <w:color w:val="auto"/>
        </w:rPr>
        <w:t>* Certain confidential portions of this exhibit have been omitted pursuant to an Application for Confidential Treatment under Rule 24b-2 under the Exchange Act. This exhibit, with the omitted language, has been filed separately with the Securities and Exchange Commission.</w:t>
      </w:r>
    </w:p>
    <w:p>
      <w:pPr>
        <w:spacing w:after="0" w:line="38" w:lineRule="exact"/>
        <w:rPr>
          <w:sz w:val="20"/>
          <w:szCs w:val="20"/>
          <w:color w:val="auto"/>
        </w:rPr>
      </w:pPr>
    </w:p>
    <w:p>
      <w:pPr>
        <w:ind w:left="660" w:hanging="652"/>
        <w:spacing w:after="0" w:line="277" w:lineRule="auto"/>
        <w:tabs>
          <w:tab w:leader="none" w:pos="237"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PLAINS ALL AMERICAN PIPELINE, L.P.</w:t>
      </w:r>
    </w:p>
    <w:p>
      <w:pPr>
        <w:spacing w:after="0" w:line="283"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PAA GP LLC,</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its general partner</w:t>
      </w:r>
    </w:p>
    <w:p>
      <w:pPr>
        <w:spacing w:after="0" w:line="320"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Plains AAP, L.P.,</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its sole member</w:t>
      </w:r>
    </w:p>
    <w:p>
      <w:pPr>
        <w:spacing w:after="0" w:line="320"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PLAINS ALL AMERICAN GP LLC,</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its general partner</w:t>
      </w:r>
    </w:p>
    <w:p>
      <w:pPr>
        <w:spacing w:after="0" w:line="320"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362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4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5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Willie Chiang,</w:t>
      </w:r>
    </w:p>
    <w:p>
      <w:pPr>
        <w:spacing w:after="0" w:line="67" w:lineRule="exact"/>
        <w:rPr>
          <w:sz w:val="20"/>
          <w:szCs w:val="20"/>
          <w:color w:val="auto"/>
        </w:rPr>
      </w:pPr>
    </w:p>
    <w:p>
      <w:pPr>
        <w:ind w:left="616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27, 2020</w:t>
      </w:r>
    </w:p>
    <w:p>
      <w:pPr>
        <w:spacing w:after="0" w:line="320"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362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4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5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16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Plains All</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8"/>
          <w:szCs w:val="18"/>
          <w:b w:val="1"/>
          <w:bCs w:val="1"/>
          <w:i w:val="1"/>
          <w:iCs w:val="1"/>
          <w:color w:val="auto"/>
        </w:rPr>
        <w:t>American GP LLC</w:t>
      </w:r>
    </w:p>
    <w:p>
      <w:pPr>
        <w:spacing w:after="0" w:line="49" w:lineRule="exact"/>
        <w:rPr>
          <w:sz w:val="20"/>
          <w:szCs w:val="20"/>
          <w:color w:val="auto"/>
        </w:rPr>
      </w:pPr>
    </w:p>
    <w:p>
      <w:pPr>
        <w:ind w:left="616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27, 2020</w:t>
      </w:r>
    </w:p>
    <w:p>
      <w:pPr>
        <w:spacing w:after="0" w:line="320"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362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4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5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160"/>
        <w:spacing w:after="0"/>
        <w:rPr>
          <w:sz w:val="20"/>
          <w:szCs w:val="20"/>
          <w:color w:val="auto"/>
        </w:rPr>
      </w:pPr>
      <w:r>
        <w:rPr>
          <w:rFonts w:ascii="Arial" w:cs="Arial" w:eastAsia="Arial" w:hAnsi="Arial"/>
          <w:sz w:val="17"/>
          <w:szCs w:val="17"/>
          <w:b w:val="1"/>
          <w:bCs w:val="1"/>
          <w:i w:val="1"/>
          <w:iCs w:val="1"/>
          <w:color w:val="auto"/>
        </w:rPr>
        <w:t>Senior Vice President and Chief Accounting Officer of Plains All</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b w:val="1"/>
          <w:bCs w:val="1"/>
          <w:i w:val="1"/>
          <w:iCs w:val="1"/>
          <w:color w:val="auto"/>
        </w:rPr>
        <w:t>American GP LLC</w:t>
      </w:r>
    </w:p>
    <w:p>
      <w:pPr>
        <w:spacing w:after="0" w:line="49" w:lineRule="exact"/>
        <w:rPr>
          <w:sz w:val="20"/>
          <w:szCs w:val="20"/>
          <w:color w:val="auto"/>
        </w:rPr>
      </w:pPr>
    </w:p>
    <w:p>
      <w:pPr>
        <w:ind w:left="616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6520" w:type="dxa"/>
            <w:vAlign w:val="bottom"/>
            <w:tcBorders>
              <w:bottom w:val="single" w:sz="8" w:color="auto"/>
            </w:tcBorders>
          </w:tcPr>
          <w:p>
            <w:pPr>
              <w:ind w:left="312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71"/>
        </w:trPr>
        <w:tc>
          <w:tcPr>
            <w:tcW w:w="2880" w:type="dxa"/>
            <w:vAlign w:val="bottom"/>
          </w:tcPr>
          <w:p>
            <w:pPr>
              <w:jc w:val="center"/>
              <w:spacing w:after="0"/>
              <w:rPr>
                <w:sz w:val="20"/>
                <w:szCs w:val="20"/>
                <w:color w:val="auto"/>
              </w:rPr>
            </w:pPr>
            <w:r>
              <w:rPr>
                <w:rFonts w:ascii="Arial" w:cs="Arial" w:eastAsia="Arial" w:hAnsi="Arial"/>
                <w:sz w:val="18"/>
                <w:szCs w:val="18"/>
                <w:color w:val="auto"/>
                <w:w w:val="96"/>
              </w:rPr>
              <w:t>/s/ Willie Chiang</w:t>
            </w:r>
          </w:p>
        </w:tc>
        <w:tc>
          <w:tcPr>
            <w:tcW w:w="100" w:type="dxa"/>
            <w:vAlign w:val="bottom"/>
          </w:tcPr>
          <w:p>
            <w:pPr>
              <w:spacing w:after="0"/>
              <w:rPr>
                <w:sz w:val="24"/>
                <w:szCs w:val="24"/>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w w:val="96"/>
              </w:rPr>
              <w:t>Chairman of the Board of PAA GP Holdings LLC and Chief Executive Officer of Plains</w:t>
            </w:r>
          </w:p>
        </w:tc>
        <w:tc>
          <w:tcPr>
            <w:tcW w:w="1760" w:type="dxa"/>
            <w:vAlign w:val="bottom"/>
          </w:tcPr>
          <w:p>
            <w:pPr>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41"/>
        </w:trPr>
        <w:tc>
          <w:tcPr>
            <w:tcW w:w="28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640" w:type="dxa"/>
            <w:vAlign w:val="bottom"/>
            <w:gridSpan w:val="2"/>
            <w:vMerge w:val="restart"/>
          </w:tcPr>
          <w:p>
            <w:pPr>
              <w:ind w:left="20"/>
              <w:spacing w:after="0"/>
              <w:rPr>
                <w:sz w:val="20"/>
                <w:szCs w:val="20"/>
                <w:color w:val="auto"/>
              </w:rPr>
            </w:pPr>
            <w:r>
              <w:rPr>
                <w:rFonts w:ascii="Arial" w:cs="Arial" w:eastAsia="Arial" w:hAnsi="Arial"/>
                <w:sz w:val="18"/>
                <w:szCs w:val="18"/>
                <w:color w:val="auto"/>
              </w:rPr>
              <w:t>All American GP LLC (Principal Executive Officer)</w:t>
            </w: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5"/>
              </w:rPr>
              <w:t>Willie Chiang</w:t>
            </w:r>
          </w:p>
        </w:tc>
        <w:tc>
          <w:tcPr>
            <w:tcW w:w="100" w:type="dxa"/>
            <w:vAlign w:val="bottom"/>
            <w:vMerge w:val="continue"/>
          </w:tcPr>
          <w:p>
            <w:pPr>
              <w:spacing w:after="0"/>
              <w:rPr>
                <w:sz w:val="14"/>
                <w:szCs w:val="14"/>
                <w:color w:val="auto"/>
              </w:rPr>
            </w:pPr>
          </w:p>
        </w:tc>
        <w:tc>
          <w:tcPr>
            <w:tcW w:w="664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2"/>
        </w:trPr>
        <w:tc>
          <w:tcPr>
            <w:tcW w:w="2880" w:type="dxa"/>
            <w:vAlign w:val="bottom"/>
          </w:tcPr>
          <w:p>
            <w:pPr>
              <w:jc w:val="center"/>
              <w:spacing w:after="0"/>
              <w:rPr>
                <w:sz w:val="20"/>
                <w:szCs w:val="20"/>
                <w:color w:val="auto"/>
              </w:rPr>
            </w:pPr>
            <w:r>
              <w:rPr>
                <w:rFonts w:ascii="Arial" w:cs="Arial" w:eastAsia="Arial" w:hAnsi="Arial"/>
                <w:sz w:val="18"/>
                <w:szCs w:val="18"/>
                <w:color w:val="auto"/>
                <w:w w:val="92"/>
              </w:rPr>
              <w:t>/s/ Harry N. Pefanis</w:t>
            </w:r>
          </w:p>
        </w:tc>
        <w:tc>
          <w:tcPr>
            <w:tcW w:w="100" w:type="dxa"/>
            <w:vAlign w:val="bottom"/>
          </w:tcPr>
          <w:p>
            <w:pPr>
              <w:spacing w:after="0"/>
              <w:rPr>
                <w:sz w:val="24"/>
                <w:szCs w:val="24"/>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 and President and Chief Commercial Officer of</w:t>
            </w:r>
          </w:p>
        </w:tc>
        <w:tc>
          <w:tcPr>
            <w:tcW w:w="1760" w:type="dxa"/>
            <w:vAlign w:val="bottom"/>
          </w:tcPr>
          <w:p>
            <w:pPr>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41"/>
        </w:trPr>
        <w:tc>
          <w:tcPr>
            <w:tcW w:w="28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640" w:type="dxa"/>
            <w:vAlign w:val="bottom"/>
            <w:gridSpan w:val="2"/>
            <w:vMerge w:val="restart"/>
          </w:tcPr>
          <w:p>
            <w:pPr>
              <w:ind w:left="20"/>
              <w:spacing w:after="0"/>
              <w:rPr>
                <w:sz w:val="20"/>
                <w:szCs w:val="20"/>
                <w:color w:val="auto"/>
              </w:rPr>
            </w:pPr>
            <w:r>
              <w:rPr>
                <w:rFonts w:ascii="Arial" w:cs="Arial" w:eastAsia="Arial" w:hAnsi="Arial"/>
                <w:sz w:val="18"/>
                <w:szCs w:val="18"/>
                <w:color w:val="auto"/>
              </w:rPr>
              <w:t>Plains All American GP LLC</w:t>
            </w: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0"/>
              </w:rPr>
              <w:t>Harry N. Pefanis</w:t>
            </w:r>
          </w:p>
        </w:tc>
        <w:tc>
          <w:tcPr>
            <w:tcW w:w="100" w:type="dxa"/>
            <w:vAlign w:val="bottom"/>
            <w:vMerge w:val="continue"/>
          </w:tcPr>
          <w:p>
            <w:pPr>
              <w:spacing w:after="0"/>
              <w:rPr>
                <w:sz w:val="14"/>
                <w:szCs w:val="14"/>
                <w:color w:val="auto"/>
              </w:rPr>
            </w:pPr>
          </w:p>
        </w:tc>
        <w:tc>
          <w:tcPr>
            <w:tcW w:w="664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2"/>
        </w:trPr>
        <w:tc>
          <w:tcPr>
            <w:tcW w:w="2880" w:type="dxa"/>
            <w:vAlign w:val="bottom"/>
          </w:tcPr>
          <w:p>
            <w:pPr>
              <w:jc w:val="center"/>
              <w:spacing w:after="0"/>
              <w:rPr>
                <w:sz w:val="20"/>
                <w:szCs w:val="20"/>
                <w:color w:val="auto"/>
              </w:rPr>
            </w:pPr>
            <w:r>
              <w:rPr>
                <w:rFonts w:ascii="Arial" w:cs="Arial" w:eastAsia="Arial" w:hAnsi="Arial"/>
                <w:sz w:val="18"/>
                <w:szCs w:val="18"/>
                <w:color w:val="auto"/>
                <w:w w:val="90"/>
              </w:rPr>
              <w:t>/s/ Al Swanson</w:t>
            </w:r>
          </w:p>
        </w:tc>
        <w:tc>
          <w:tcPr>
            <w:tcW w:w="100" w:type="dxa"/>
            <w:vAlign w:val="bottom"/>
          </w:tcPr>
          <w:p>
            <w:pPr>
              <w:spacing w:after="0"/>
              <w:rPr>
                <w:sz w:val="24"/>
                <w:szCs w:val="24"/>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w w:val="99"/>
              </w:rPr>
              <w:t>Executive Vice President and Chief Financial Officer of Plains All American GP LLC</w:t>
            </w:r>
          </w:p>
        </w:tc>
        <w:tc>
          <w:tcPr>
            <w:tcW w:w="1760" w:type="dxa"/>
            <w:vAlign w:val="bottom"/>
          </w:tcPr>
          <w:p>
            <w:pPr>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41"/>
        </w:trPr>
        <w:tc>
          <w:tcPr>
            <w:tcW w:w="28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64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Officer)</w:t>
            </w: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2"/>
              </w:rPr>
              <w:t>Al Swanson</w:t>
            </w:r>
          </w:p>
        </w:tc>
        <w:tc>
          <w:tcPr>
            <w:tcW w:w="100" w:type="dxa"/>
            <w:vAlign w:val="bottom"/>
            <w:vMerge w:val="continue"/>
          </w:tcPr>
          <w:p>
            <w:pPr>
              <w:spacing w:after="0"/>
              <w:rPr>
                <w:sz w:val="14"/>
                <w:szCs w:val="14"/>
                <w:color w:val="auto"/>
              </w:rPr>
            </w:pPr>
          </w:p>
        </w:tc>
        <w:tc>
          <w:tcPr>
            <w:tcW w:w="664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2"/>
        </w:trPr>
        <w:tc>
          <w:tcPr>
            <w:tcW w:w="2880" w:type="dxa"/>
            <w:vAlign w:val="bottom"/>
          </w:tcPr>
          <w:p>
            <w:pPr>
              <w:jc w:val="center"/>
              <w:spacing w:after="0"/>
              <w:rPr>
                <w:sz w:val="20"/>
                <w:szCs w:val="20"/>
                <w:color w:val="auto"/>
              </w:rPr>
            </w:pPr>
            <w:r>
              <w:rPr>
                <w:rFonts w:ascii="Arial" w:cs="Arial" w:eastAsia="Arial" w:hAnsi="Arial"/>
                <w:sz w:val="18"/>
                <w:szCs w:val="18"/>
                <w:color w:val="auto"/>
                <w:w w:val="92"/>
              </w:rPr>
              <w:t>/s/ Chris Herbold</w:t>
            </w:r>
          </w:p>
        </w:tc>
        <w:tc>
          <w:tcPr>
            <w:tcW w:w="100" w:type="dxa"/>
            <w:vAlign w:val="bottom"/>
          </w:tcPr>
          <w:p>
            <w:pPr>
              <w:spacing w:after="0"/>
              <w:rPr>
                <w:sz w:val="24"/>
                <w:szCs w:val="24"/>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Chief Accounting Officer of Plains All American GP LLC</w:t>
            </w:r>
          </w:p>
        </w:tc>
        <w:tc>
          <w:tcPr>
            <w:tcW w:w="1760" w:type="dxa"/>
            <w:vAlign w:val="bottom"/>
          </w:tcPr>
          <w:p>
            <w:pPr>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41"/>
        </w:trPr>
        <w:tc>
          <w:tcPr>
            <w:tcW w:w="28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64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Accounting Officer)</w:t>
            </w: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4"/>
              </w:rPr>
              <w:t>Chris Herbold</w:t>
            </w:r>
          </w:p>
        </w:tc>
        <w:tc>
          <w:tcPr>
            <w:tcW w:w="100" w:type="dxa"/>
            <w:vAlign w:val="bottom"/>
            <w:vMerge w:val="continue"/>
          </w:tcPr>
          <w:p>
            <w:pPr>
              <w:spacing w:after="0"/>
              <w:rPr>
                <w:sz w:val="14"/>
                <w:szCs w:val="14"/>
                <w:color w:val="auto"/>
              </w:rPr>
            </w:pPr>
          </w:p>
        </w:tc>
        <w:tc>
          <w:tcPr>
            <w:tcW w:w="664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2880" w:type="dxa"/>
            <w:vAlign w:val="bottom"/>
          </w:tcPr>
          <w:p>
            <w:pPr>
              <w:jc w:val="center"/>
              <w:spacing w:after="0"/>
              <w:rPr>
                <w:sz w:val="20"/>
                <w:szCs w:val="20"/>
                <w:color w:val="auto"/>
              </w:rPr>
            </w:pPr>
            <w:r>
              <w:rPr>
                <w:rFonts w:ascii="Arial" w:cs="Arial" w:eastAsia="Arial" w:hAnsi="Arial"/>
                <w:sz w:val="18"/>
                <w:szCs w:val="18"/>
                <w:color w:val="auto"/>
                <w:w w:val="92"/>
              </w:rPr>
              <w:t>/s/ Greg L. Armstrong</w:t>
            </w:r>
          </w:p>
        </w:tc>
        <w:tc>
          <w:tcPr>
            <w:tcW w:w="100" w:type="dxa"/>
            <w:vAlign w:val="bottom"/>
          </w:tcPr>
          <w:p>
            <w:pPr>
              <w:spacing w:after="0"/>
              <w:rPr>
                <w:sz w:val="24"/>
                <w:szCs w:val="24"/>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4"/>
              </w:rPr>
              <w:t>Greg L. Armstrong</w:t>
            </w: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80" w:type="dxa"/>
            <w:vAlign w:val="bottom"/>
          </w:tcPr>
          <w:p>
            <w:pPr>
              <w:jc w:val="center"/>
              <w:spacing w:after="0"/>
              <w:rPr>
                <w:sz w:val="20"/>
                <w:szCs w:val="20"/>
                <w:color w:val="auto"/>
              </w:rPr>
            </w:pPr>
            <w:r>
              <w:rPr>
                <w:rFonts w:ascii="Arial" w:cs="Arial" w:eastAsia="Arial" w:hAnsi="Arial"/>
                <w:sz w:val="18"/>
                <w:szCs w:val="18"/>
                <w:color w:val="auto"/>
                <w:w w:val="96"/>
              </w:rPr>
              <w:t>/s/ Victor Burk</w:t>
            </w:r>
          </w:p>
        </w:tc>
        <w:tc>
          <w:tcPr>
            <w:tcW w:w="100" w:type="dxa"/>
            <w:vAlign w:val="bottom"/>
          </w:tcPr>
          <w:p>
            <w:pPr>
              <w:spacing w:after="0"/>
              <w:rPr>
                <w:sz w:val="24"/>
                <w:szCs w:val="24"/>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5"/>
              </w:rPr>
              <w:t>Victor Burk</w:t>
            </w: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80" w:type="dxa"/>
            <w:vAlign w:val="bottom"/>
          </w:tcPr>
          <w:p>
            <w:pPr>
              <w:jc w:val="center"/>
              <w:spacing w:after="0"/>
              <w:rPr>
                <w:sz w:val="20"/>
                <w:szCs w:val="20"/>
                <w:color w:val="auto"/>
              </w:rPr>
            </w:pPr>
            <w:r>
              <w:rPr>
                <w:rFonts w:ascii="Arial" w:cs="Arial" w:eastAsia="Arial" w:hAnsi="Arial"/>
                <w:sz w:val="18"/>
                <w:szCs w:val="18"/>
                <w:color w:val="auto"/>
                <w:w w:val="89"/>
              </w:rPr>
              <w:t>/s/ Everardo Goyanes</w:t>
            </w:r>
          </w:p>
        </w:tc>
        <w:tc>
          <w:tcPr>
            <w:tcW w:w="100" w:type="dxa"/>
            <w:vAlign w:val="bottom"/>
          </w:tcPr>
          <w:p>
            <w:pPr>
              <w:spacing w:after="0"/>
              <w:rPr>
                <w:sz w:val="24"/>
                <w:szCs w:val="24"/>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87"/>
              </w:rPr>
              <w:t>Everardo Goyanes</w:t>
            </w: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80" w:type="dxa"/>
            <w:vAlign w:val="bottom"/>
          </w:tcPr>
          <w:p>
            <w:pPr>
              <w:jc w:val="center"/>
              <w:spacing w:after="0"/>
              <w:rPr>
                <w:sz w:val="20"/>
                <w:szCs w:val="20"/>
                <w:color w:val="auto"/>
              </w:rPr>
            </w:pPr>
            <w:r>
              <w:rPr>
                <w:rFonts w:ascii="Arial" w:cs="Arial" w:eastAsia="Arial" w:hAnsi="Arial"/>
                <w:sz w:val="18"/>
                <w:szCs w:val="18"/>
                <w:color w:val="auto"/>
                <w:w w:val="88"/>
              </w:rPr>
              <w:t>/s/ Gary R. Petersen</w:t>
            </w:r>
          </w:p>
        </w:tc>
        <w:tc>
          <w:tcPr>
            <w:tcW w:w="100" w:type="dxa"/>
            <w:vAlign w:val="bottom"/>
          </w:tcPr>
          <w:p>
            <w:pPr>
              <w:spacing w:after="0"/>
              <w:rPr>
                <w:sz w:val="24"/>
                <w:szCs w:val="24"/>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89"/>
              </w:rPr>
              <w:t>Gary R. Petersen</w:t>
            </w: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80" w:type="dxa"/>
            <w:vAlign w:val="bottom"/>
          </w:tcPr>
          <w:p>
            <w:pPr>
              <w:jc w:val="center"/>
              <w:spacing w:after="0"/>
              <w:rPr>
                <w:sz w:val="20"/>
                <w:szCs w:val="20"/>
                <w:color w:val="auto"/>
              </w:rPr>
            </w:pPr>
            <w:r>
              <w:rPr>
                <w:rFonts w:ascii="Arial" w:cs="Arial" w:eastAsia="Arial" w:hAnsi="Arial"/>
                <w:sz w:val="18"/>
                <w:szCs w:val="18"/>
                <w:color w:val="auto"/>
                <w:w w:val="91"/>
              </w:rPr>
              <w:t>/s/ Alexandra D. Pruner</w:t>
            </w:r>
          </w:p>
        </w:tc>
        <w:tc>
          <w:tcPr>
            <w:tcW w:w="100" w:type="dxa"/>
            <w:vAlign w:val="bottom"/>
          </w:tcPr>
          <w:p>
            <w:pPr>
              <w:spacing w:after="0"/>
              <w:rPr>
                <w:sz w:val="24"/>
                <w:szCs w:val="24"/>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0"/>
              </w:rPr>
              <w:t>Alexandra D. Pruner</w:t>
            </w: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80" w:type="dxa"/>
            <w:vAlign w:val="bottom"/>
          </w:tcPr>
          <w:p>
            <w:pPr>
              <w:jc w:val="center"/>
              <w:spacing w:after="0"/>
              <w:rPr>
                <w:sz w:val="20"/>
                <w:szCs w:val="20"/>
                <w:color w:val="auto"/>
              </w:rPr>
            </w:pPr>
            <w:r>
              <w:rPr>
                <w:rFonts w:ascii="Arial" w:cs="Arial" w:eastAsia="Arial" w:hAnsi="Arial"/>
                <w:sz w:val="18"/>
                <w:szCs w:val="18"/>
                <w:color w:val="auto"/>
                <w:w w:val="89"/>
              </w:rPr>
              <w:t>/s/ John T. Raymond</w:t>
            </w:r>
          </w:p>
        </w:tc>
        <w:tc>
          <w:tcPr>
            <w:tcW w:w="100" w:type="dxa"/>
            <w:vAlign w:val="bottom"/>
          </w:tcPr>
          <w:p>
            <w:pPr>
              <w:spacing w:after="0"/>
              <w:rPr>
                <w:sz w:val="24"/>
                <w:szCs w:val="24"/>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0"/>
              </w:rPr>
              <w:t>John T. Raymond</w:t>
            </w: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80" w:type="dxa"/>
            <w:vAlign w:val="bottom"/>
          </w:tcPr>
          <w:p>
            <w:pPr>
              <w:jc w:val="center"/>
              <w:spacing w:after="0"/>
              <w:rPr>
                <w:sz w:val="20"/>
                <w:szCs w:val="20"/>
                <w:color w:val="auto"/>
              </w:rPr>
            </w:pPr>
            <w:r>
              <w:rPr>
                <w:rFonts w:ascii="Arial" w:cs="Arial" w:eastAsia="Arial" w:hAnsi="Arial"/>
                <w:sz w:val="18"/>
                <w:szCs w:val="18"/>
                <w:color w:val="auto"/>
                <w:w w:val="90"/>
              </w:rPr>
              <w:t>/s/ Bobby S. Shackouls</w:t>
            </w:r>
          </w:p>
        </w:tc>
        <w:tc>
          <w:tcPr>
            <w:tcW w:w="100" w:type="dxa"/>
            <w:vAlign w:val="bottom"/>
          </w:tcPr>
          <w:p>
            <w:pPr>
              <w:spacing w:after="0"/>
              <w:rPr>
                <w:sz w:val="24"/>
                <w:szCs w:val="24"/>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89"/>
              </w:rPr>
              <w:t>Bobby S. Shackouls</w:t>
            </w: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80" w:type="dxa"/>
            <w:vAlign w:val="bottom"/>
          </w:tcPr>
          <w:p>
            <w:pPr>
              <w:jc w:val="center"/>
              <w:spacing w:after="0"/>
              <w:rPr>
                <w:sz w:val="20"/>
                <w:szCs w:val="20"/>
                <w:color w:val="auto"/>
              </w:rPr>
            </w:pPr>
            <w:r>
              <w:rPr>
                <w:rFonts w:ascii="Arial" w:cs="Arial" w:eastAsia="Arial" w:hAnsi="Arial"/>
                <w:sz w:val="18"/>
                <w:szCs w:val="18"/>
                <w:color w:val="auto"/>
                <w:w w:val="91"/>
              </w:rPr>
              <w:t>/s/ Robert V. Sinnott</w:t>
            </w:r>
          </w:p>
        </w:tc>
        <w:tc>
          <w:tcPr>
            <w:tcW w:w="100" w:type="dxa"/>
            <w:vAlign w:val="bottom"/>
          </w:tcPr>
          <w:p>
            <w:pPr>
              <w:spacing w:after="0"/>
              <w:rPr>
                <w:sz w:val="24"/>
                <w:szCs w:val="24"/>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0"/>
              </w:rPr>
              <w:t>Robert V. Sinnott</w:t>
            </w: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80" w:type="dxa"/>
            <w:vAlign w:val="bottom"/>
          </w:tcPr>
          <w:p>
            <w:pPr>
              <w:jc w:val="center"/>
              <w:spacing w:after="0"/>
              <w:rPr>
                <w:sz w:val="20"/>
                <w:szCs w:val="20"/>
                <w:color w:val="auto"/>
              </w:rPr>
            </w:pPr>
            <w:r>
              <w:rPr>
                <w:rFonts w:ascii="Arial" w:cs="Arial" w:eastAsia="Arial" w:hAnsi="Arial"/>
                <w:sz w:val="18"/>
                <w:szCs w:val="18"/>
                <w:color w:val="auto"/>
                <w:w w:val="88"/>
              </w:rPr>
              <w:t>/s/ J. Taft Symonds</w:t>
            </w:r>
          </w:p>
        </w:tc>
        <w:tc>
          <w:tcPr>
            <w:tcW w:w="100" w:type="dxa"/>
            <w:vAlign w:val="bottom"/>
          </w:tcPr>
          <w:p>
            <w:pPr>
              <w:spacing w:after="0"/>
              <w:rPr>
                <w:sz w:val="24"/>
                <w:szCs w:val="24"/>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89"/>
              </w:rPr>
              <w:t>J. Taft Symonds</w:t>
            </w: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80" w:type="dxa"/>
            <w:vAlign w:val="bottom"/>
          </w:tcPr>
          <w:p>
            <w:pPr>
              <w:jc w:val="center"/>
              <w:spacing w:after="0"/>
              <w:rPr>
                <w:sz w:val="20"/>
                <w:szCs w:val="20"/>
                <w:color w:val="auto"/>
              </w:rPr>
            </w:pPr>
            <w:r>
              <w:rPr>
                <w:rFonts w:ascii="Arial" w:cs="Arial" w:eastAsia="Arial" w:hAnsi="Arial"/>
                <w:sz w:val="18"/>
                <w:szCs w:val="18"/>
                <w:color w:val="auto"/>
                <w:w w:val="90"/>
              </w:rPr>
              <w:t>/s/ Christopher M. Temple</w:t>
            </w:r>
          </w:p>
        </w:tc>
        <w:tc>
          <w:tcPr>
            <w:tcW w:w="100" w:type="dxa"/>
            <w:vAlign w:val="bottom"/>
          </w:tcPr>
          <w:p>
            <w:pPr>
              <w:spacing w:after="0"/>
              <w:rPr>
                <w:sz w:val="24"/>
                <w:szCs w:val="24"/>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1"/>
              </w:rPr>
              <w:t>Christopher M. Temple</w:t>
            </w: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80" w:type="dxa"/>
            <w:vAlign w:val="bottom"/>
          </w:tcPr>
          <w:p>
            <w:pPr>
              <w:jc w:val="center"/>
              <w:spacing w:after="0"/>
              <w:rPr>
                <w:sz w:val="20"/>
                <w:szCs w:val="20"/>
                <w:color w:val="auto"/>
              </w:rPr>
            </w:pPr>
            <w:r>
              <w:rPr>
                <w:rFonts w:ascii="Arial" w:cs="Arial" w:eastAsia="Arial" w:hAnsi="Arial"/>
                <w:sz w:val="18"/>
                <w:szCs w:val="18"/>
                <w:color w:val="auto"/>
                <w:w w:val="91"/>
              </w:rPr>
              <w:t>/s/ Lawrence M. Ziemba</w:t>
            </w:r>
          </w:p>
        </w:tc>
        <w:tc>
          <w:tcPr>
            <w:tcW w:w="100" w:type="dxa"/>
            <w:vAlign w:val="bottom"/>
          </w:tcPr>
          <w:p>
            <w:pPr>
              <w:spacing w:after="0"/>
              <w:rPr>
                <w:sz w:val="24"/>
                <w:szCs w:val="24"/>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2"/>
              </w:rPr>
              <w:t>Lawrence M. Ziemba</w:t>
            </w: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10420" w:type="dxa"/>
            <w:vAlign w:val="bottom"/>
            <w:gridSpan w:val="31"/>
          </w:tcPr>
          <w:p>
            <w:pPr>
              <w:spacing w:after="0"/>
              <w:rPr>
                <w:sz w:val="20"/>
                <w:szCs w:val="20"/>
                <w:color w:val="auto"/>
              </w:rPr>
            </w:pPr>
            <w:r>
              <w:rPr>
                <w:rFonts w:ascii="Arial" w:cs="Arial" w:eastAsia="Arial" w:hAnsi="Arial"/>
                <w:sz w:val="18"/>
                <w:szCs w:val="18"/>
                <w:color w:val="auto"/>
              </w:rPr>
              <w:t>Consolidated Financial Statements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20" w:type="dxa"/>
            <w:vAlign w:val="bottom"/>
            <w:gridSpan w:val="31"/>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Management’s Report on Internal Control Over Financial Reporting</w:t>
              </w:r>
            </w:hyperlink>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rPr>
            </w:pPr>
            <w:hyperlink w:anchor="page125">
              <w:r>
                <w:rPr>
                  <w:rFonts w:ascii="Arial" w:cs="Arial" w:eastAsia="Arial" w:hAnsi="Arial"/>
                  <w:sz w:val="18"/>
                  <w:szCs w:val="18"/>
                  <w:color w:val="0000FF"/>
                </w:rPr>
                <w:t>F-2</w:t>
              </w:r>
            </w:hyperlink>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5"/>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Report of Independent Registered Public Accounting Firm</w:t>
              </w:r>
            </w:hyperlink>
          </w:p>
        </w:tc>
        <w:tc>
          <w:tcPr>
            <w:tcW w:w="5520" w:type="dxa"/>
            <w:vAlign w:val="bottom"/>
            <w:gridSpan w:val="6"/>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rPr>
            </w:pPr>
            <w:hyperlink w:anchor="page126">
              <w:r>
                <w:rPr>
                  <w:rFonts w:ascii="Arial" w:cs="Arial" w:eastAsia="Arial" w:hAnsi="Arial"/>
                  <w:sz w:val="18"/>
                  <w:szCs w:val="18"/>
                  <w:color w:val="0000FF"/>
                </w:rPr>
                <w:t>F-3</w:t>
              </w:r>
            </w:hyperlink>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24"/>
          </w:tcPr>
          <w:p>
            <w:pPr>
              <w:spacing w:after="0"/>
              <w:rPr>
                <w:rFonts w:ascii="Arial" w:cs="Arial" w:eastAsia="Arial" w:hAnsi="Arial"/>
                <w:sz w:val="18"/>
                <w:szCs w:val="18"/>
                <w:color w:val="0000FF"/>
                <w:w w:val="88"/>
              </w:rPr>
            </w:pPr>
            <w:hyperlink w:anchor="page130">
              <w:r>
                <w:rPr>
                  <w:rFonts w:ascii="Arial" w:cs="Arial" w:eastAsia="Arial" w:hAnsi="Arial"/>
                  <w:sz w:val="18"/>
                  <w:szCs w:val="18"/>
                  <w:color w:val="0000FF"/>
                  <w:w w:val="88"/>
                </w:rPr>
                <w:t>Consolidated Balance Sheets as of December 31, 2019 and 2018</w:t>
              </w:r>
            </w:hyperlink>
          </w:p>
        </w:tc>
        <w:tc>
          <w:tcPr>
            <w:tcW w:w="5760" w:type="dxa"/>
            <w:vAlign w:val="bottom"/>
            <w:gridSpan w:val="7"/>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rPr>
            </w:pPr>
            <w:hyperlink w:anchor="page130">
              <w:r>
                <w:rPr>
                  <w:rFonts w:ascii="Arial" w:cs="Arial" w:eastAsia="Arial" w:hAnsi="Arial"/>
                  <w:sz w:val="18"/>
                  <w:szCs w:val="18"/>
                  <w:color w:val="0000FF"/>
                </w:rPr>
                <w:t>F-6</w:t>
              </w:r>
            </w:hyperlink>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6"/>
          </w:tcPr>
          <w:p>
            <w:pPr>
              <w:spacing w:after="0"/>
              <w:rPr>
                <w:rFonts w:ascii="Arial" w:cs="Arial" w:eastAsia="Arial" w:hAnsi="Arial"/>
                <w:sz w:val="18"/>
                <w:szCs w:val="18"/>
                <w:color w:val="0000FF"/>
                <w:w w:val="89"/>
              </w:rPr>
            </w:pPr>
            <w:hyperlink w:anchor="page130">
              <w:r>
                <w:rPr>
                  <w:rFonts w:ascii="Arial" w:cs="Arial" w:eastAsia="Arial" w:hAnsi="Arial"/>
                  <w:sz w:val="18"/>
                  <w:szCs w:val="18"/>
                  <w:color w:val="0000FF"/>
                  <w:w w:val="89"/>
                </w:rPr>
                <w:t>Consolidated Statements of Operations for the years ended December 31, 2019, 2018 and 2017</w:t>
              </w:r>
            </w:hyperlink>
          </w:p>
        </w:tc>
        <w:tc>
          <w:tcPr>
            <w:tcW w:w="3560" w:type="dxa"/>
            <w:vAlign w:val="bottom"/>
            <w:gridSpan w:val="5"/>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rPr>
            </w:pPr>
            <w:hyperlink w:anchor="page130">
              <w:r>
                <w:rPr>
                  <w:rFonts w:ascii="Arial" w:cs="Arial" w:eastAsia="Arial" w:hAnsi="Arial"/>
                  <w:sz w:val="18"/>
                  <w:szCs w:val="18"/>
                  <w:color w:val="0000FF"/>
                </w:rPr>
                <w:t>F-7</w:t>
              </w:r>
            </w:hyperlink>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20" w:type="dxa"/>
            <w:vAlign w:val="bottom"/>
            <w:gridSpan w:val="31"/>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Consolidated Statements of Comprehensive Income for the years ended December 31, 2019, 2018 and 2017</w:t>
              </w:r>
            </w:hyperlink>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rPr>
            </w:pPr>
            <w:hyperlink w:anchor="page131">
              <w:r>
                <w:rPr>
                  <w:rFonts w:ascii="Arial" w:cs="Arial" w:eastAsia="Arial" w:hAnsi="Arial"/>
                  <w:sz w:val="18"/>
                  <w:szCs w:val="18"/>
                  <w:color w:val="0000FF"/>
                </w:rPr>
                <w:t>F-8</w:t>
              </w:r>
            </w:hyperlink>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20" w:type="dxa"/>
            <w:vAlign w:val="bottom"/>
            <w:gridSpan w:val="31"/>
          </w:tcPr>
          <w:p>
            <w:pPr>
              <w:spacing w:after="0"/>
              <w:rPr>
                <w:rFonts w:ascii="Arial" w:cs="Arial" w:eastAsia="Arial" w:hAnsi="Arial"/>
                <w:sz w:val="18"/>
                <w:szCs w:val="18"/>
                <w:color w:val="0000FF"/>
                <w:w w:val="91"/>
              </w:rPr>
            </w:pPr>
            <w:hyperlink w:anchor="page132">
              <w:r>
                <w:rPr>
                  <w:rFonts w:ascii="Arial" w:cs="Arial" w:eastAsia="Arial" w:hAnsi="Arial"/>
                  <w:sz w:val="18"/>
                  <w:szCs w:val="18"/>
                  <w:color w:val="0000FF"/>
                  <w:w w:val="91"/>
                </w:rPr>
                <w:t>Consolidated Statements of Changes in Accumulated Other Comprehensive Income/(Loss) for the years ended December 31, 2019, 2018 and</w:t>
              </w:r>
            </w:hyperlink>
          </w:p>
        </w:tc>
        <w:tc>
          <w:tcPr>
            <w:tcW w:w="580" w:type="dxa"/>
            <w:vAlign w:val="bottom"/>
          </w:tcPr>
          <w:p>
            <w:pPr>
              <w:spacing w:after="0"/>
              <w:rPr>
                <w:sz w:val="18"/>
                <w:szCs w:val="18"/>
                <w:color w:val="auto"/>
              </w:rPr>
            </w:pPr>
          </w:p>
        </w:tc>
        <w:tc>
          <w:tcPr>
            <w:tcW w:w="360" w:type="dxa"/>
            <w:vAlign w:val="bottom"/>
            <w:gridSpan w:val="3"/>
            <w:vMerge w:val="restart"/>
          </w:tcPr>
          <w:p>
            <w:pPr>
              <w:jc w:val="right"/>
              <w:ind w:right="20"/>
              <w:spacing w:after="0"/>
              <w:rPr>
                <w:rFonts w:ascii="Arial" w:cs="Arial" w:eastAsia="Arial" w:hAnsi="Arial"/>
                <w:sz w:val="18"/>
                <w:szCs w:val="18"/>
                <w:color w:val="0000FF"/>
              </w:rPr>
            </w:pPr>
            <w:hyperlink w:anchor="page132">
              <w:r>
                <w:rPr>
                  <w:rFonts w:ascii="Arial" w:cs="Arial" w:eastAsia="Arial" w:hAnsi="Arial"/>
                  <w:sz w:val="18"/>
                  <w:szCs w:val="18"/>
                  <w:color w:val="0000FF"/>
                </w:rPr>
                <w:t>F-8</w:t>
              </w:r>
            </w:hyperlink>
          </w:p>
        </w:tc>
        <w:tc>
          <w:tcPr>
            <w:tcW w:w="0" w:type="dxa"/>
            <w:vAlign w:val="bottom"/>
          </w:tcPr>
          <w:p>
            <w:pPr>
              <w:spacing w:after="0"/>
              <w:rPr>
                <w:sz w:val="1"/>
                <w:szCs w:val="1"/>
                <w:color w:val="auto"/>
              </w:rPr>
            </w:pPr>
          </w:p>
        </w:tc>
      </w:tr>
      <w:tr>
        <w:trPr>
          <w:trHeight w:val="156"/>
        </w:trPr>
        <w:tc>
          <w:tcPr>
            <w:tcW w:w="360" w:type="dxa"/>
            <w:vAlign w:val="bottom"/>
            <w:tcBorders>
              <w:top w:val="single" w:sz="8" w:color="0000FF"/>
            </w:tcBorders>
            <w:gridSpan w:val="3"/>
          </w:tcPr>
          <w:p>
            <w:pPr>
              <w:spacing w:after="0" w:line="156" w:lineRule="exact"/>
              <w:rPr>
                <w:rFonts w:ascii="Arial" w:cs="Arial" w:eastAsia="Arial" w:hAnsi="Arial"/>
                <w:sz w:val="18"/>
                <w:szCs w:val="18"/>
                <w:color w:val="0000FF"/>
                <w:w w:val="84"/>
              </w:rPr>
            </w:pPr>
            <w:hyperlink w:anchor="page132">
              <w:r>
                <w:rPr>
                  <w:rFonts w:ascii="Arial" w:cs="Arial" w:eastAsia="Arial" w:hAnsi="Arial"/>
                  <w:sz w:val="18"/>
                  <w:szCs w:val="18"/>
                  <w:color w:val="0000FF"/>
                  <w:w w:val="84"/>
                </w:rPr>
                <w:t>2017</w:t>
              </w:r>
            </w:hyperlink>
          </w:p>
        </w:tc>
        <w:tc>
          <w:tcPr>
            <w:tcW w:w="3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27"/>
          </w:tcPr>
          <w:p>
            <w:pPr>
              <w:spacing w:after="0"/>
              <w:rPr>
                <w:rFonts w:ascii="Arial" w:cs="Arial" w:eastAsia="Arial" w:hAnsi="Arial"/>
                <w:sz w:val="18"/>
                <w:szCs w:val="18"/>
                <w:color w:val="0000FF"/>
                <w:w w:val="89"/>
              </w:rPr>
            </w:pPr>
            <w:hyperlink w:anchor="page132">
              <w:r>
                <w:rPr>
                  <w:rFonts w:ascii="Arial" w:cs="Arial" w:eastAsia="Arial" w:hAnsi="Arial"/>
                  <w:sz w:val="18"/>
                  <w:szCs w:val="18"/>
                  <w:color w:val="0000FF"/>
                  <w:w w:val="89"/>
                </w:rPr>
                <w:t>Consolidated Statements of Cash Flows for the years ended December 31, 2019, 2018 and 2017</w:t>
              </w:r>
            </w:hyperlink>
          </w:p>
        </w:tc>
        <w:tc>
          <w:tcPr>
            <w:tcW w:w="350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rPr>
            </w:pPr>
            <w:hyperlink w:anchor="page132">
              <w:r>
                <w:rPr>
                  <w:rFonts w:ascii="Arial" w:cs="Arial" w:eastAsia="Arial" w:hAnsi="Arial"/>
                  <w:sz w:val="18"/>
                  <w:szCs w:val="18"/>
                  <w:color w:val="0000FF"/>
                </w:rPr>
                <w:t>F-9</w:t>
              </w:r>
            </w:hyperlink>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gridSpan w:val="29"/>
          </w:tcPr>
          <w:p>
            <w:pPr>
              <w:spacing w:after="0"/>
              <w:rPr>
                <w:rFonts w:ascii="Arial" w:cs="Arial" w:eastAsia="Arial" w:hAnsi="Arial"/>
                <w:sz w:val="18"/>
                <w:szCs w:val="18"/>
                <w:color w:val="0000FF"/>
                <w:w w:val="89"/>
              </w:rPr>
            </w:pPr>
            <w:hyperlink w:anchor="page133">
              <w:r>
                <w:rPr>
                  <w:rFonts w:ascii="Arial" w:cs="Arial" w:eastAsia="Arial" w:hAnsi="Arial"/>
                  <w:sz w:val="18"/>
                  <w:szCs w:val="18"/>
                  <w:color w:val="0000FF"/>
                  <w:w w:val="89"/>
                </w:rPr>
                <w:t>Consolidated Statements of Changes in Partners’ Capital for the years ended December 31, 2019, 2018 and 2017</w:t>
              </w:r>
            </w:hyperlink>
          </w:p>
        </w:tc>
        <w:tc>
          <w:tcPr>
            <w:tcW w:w="22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33">
              <w:r>
                <w:rPr>
                  <w:rFonts w:ascii="Arial" w:cs="Arial" w:eastAsia="Arial" w:hAnsi="Arial"/>
                  <w:sz w:val="18"/>
                  <w:szCs w:val="18"/>
                  <w:color w:val="0000FF"/>
                  <w:w w:val="86"/>
                </w:rPr>
                <w:t>F-10</w:t>
              </w:r>
            </w:hyperlink>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gridSpan w:val="18"/>
          </w:tcPr>
          <w:p>
            <w:pPr>
              <w:spacing w:after="0"/>
              <w:rPr>
                <w:rFonts w:ascii="Arial" w:cs="Arial" w:eastAsia="Arial" w:hAnsi="Arial"/>
                <w:sz w:val="18"/>
                <w:szCs w:val="18"/>
                <w:color w:val="0000FF"/>
                <w:w w:val="89"/>
              </w:rPr>
            </w:pPr>
            <w:hyperlink w:anchor="page134">
              <w:r>
                <w:rPr>
                  <w:rFonts w:ascii="Arial" w:cs="Arial" w:eastAsia="Arial" w:hAnsi="Arial"/>
                  <w:sz w:val="18"/>
                  <w:szCs w:val="18"/>
                  <w:color w:val="0000FF"/>
                  <w:w w:val="89"/>
                </w:rPr>
                <w:t>Notes to the Consolidated Financial Statements:</w:t>
              </w:r>
            </w:hyperlink>
          </w:p>
        </w:tc>
        <w:tc>
          <w:tcPr>
            <w:tcW w:w="4660" w:type="dxa"/>
            <w:vAlign w:val="bottom"/>
            <w:gridSpan w:val="11"/>
          </w:tcPr>
          <w:p>
            <w:pPr>
              <w:spacing w:after="0"/>
              <w:rPr>
                <w:sz w:val="18"/>
                <w:szCs w:val="18"/>
                <w:color w:val="auto"/>
              </w:rPr>
            </w:pPr>
          </w:p>
        </w:tc>
        <w:tc>
          <w:tcPr>
            <w:tcW w:w="22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34">
              <w:r>
                <w:rPr>
                  <w:rFonts w:ascii="Arial" w:cs="Arial" w:eastAsia="Arial" w:hAnsi="Arial"/>
                  <w:sz w:val="18"/>
                  <w:szCs w:val="18"/>
                  <w:color w:val="0000FF"/>
                  <w:w w:val="86"/>
                </w:rPr>
                <w:t>F-11</w:t>
              </w:r>
            </w:hyperlink>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 w:type="dxa"/>
            <w:vAlign w:val="bottom"/>
          </w:tcPr>
          <w:p>
            <w:pPr>
              <w:spacing w:after="0"/>
              <w:rPr>
                <w:rFonts w:ascii="Arial" w:cs="Arial" w:eastAsia="Arial" w:hAnsi="Arial"/>
                <w:sz w:val="18"/>
                <w:szCs w:val="18"/>
                <w:color w:val="0000FF"/>
                <w:w w:val="92"/>
              </w:rPr>
            </w:pPr>
            <w:hyperlink w:anchor="page135">
              <w:r>
                <w:rPr>
                  <w:rFonts w:ascii="Arial" w:cs="Arial" w:eastAsia="Arial" w:hAnsi="Arial"/>
                  <w:sz w:val="18"/>
                  <w:szCs w:val="18"/>
                  <w:color w:val="0000FF"/>
                  <w:w w:val="92"/>
                </w:rPr>
                <w:t>1.</w:t>
              </w:r>
            </w:hyperlink>
          </w:p>
        </w:tc>
        <w:tc>
          <w:tcPr>
            <w:tcW w:w="4200" w:type="dxa"/>
            <w:vAlign w:val="bottom"/>
            <w:gridSpan w:val="20"/>
          </w:tcPr>
          <w:p>
            <w:pPr>
              <w:ind w:left="20"/>
              <w:spacing w:after="0"/>
              <w:rPr>
                <w:rFonts w:ascii="Arial" w:cs="Arial" w:eastAsia="Arial" w:hAnsi="Arial"/>
                <w:sz w:val="18"/>
                <w:szCs w:val="18"/>
                <w:color w:val="0000FF"/>
                <w:w w:val="90"/>
              </w:rPr>
            </w:pPr>
            <w:hyperlink w:anchor="page135">
              <w:r>
                <w:rPr>
                  <w:rFonts w:ascii="Arial" w:cs="Arial" w:eastAsia="Arial" w:hAnsi="Arial"/>
                  <w:sz w:val="18"/>
                  <w:szCs w:val="18"/>
                  <w:color w:val="0000FF"/>
                  <w:w w:val="90"/>
                </w:rPr>
                <w:t>Organization and Basis of Consolidation and Presentation</w:t>
              </w:r>
            </w:hyperlink>
          </w:p>
        </w:tc>
        <w:tc>
          <w:tcPr>
            <w:tcW w:w="594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35">
              <w:r>
                <w:rPr>
                  <w:rFonts w:ascii="Arial" w:cs="Arial" w:eastAsia="Arial" w:hAnsi="Arial"/>
                  <w:sz w:val="18"/>
                  <w:szCs w:val="18"/>
                  <w:color w:val="0000FF"/>
                  <w:w w:val="86"/>
                </w:rPr>
                <w:t>F-11</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 w:type="dxa"/>
            <w:vAlign w:val="bottom"/>
          </w:tcPr>
          <w:p>
            <w:pPr>
              <w:spacing w:after="0"/>
              <w:rPr>
                <w:rFonts w:ascii="Arial" w:cs="Arial" w:eastAsia="Arial" w:hAnsi="Arial"/>
                <w:sz w:val="18"/>
                <w:szCs w:val="18"/>
                <w:color w:val="0000FF"/>
                <w:w w:val="92"/>
              </w:rPr>
            </w:pPr>
            <w:hyperlink w:anchor="page136">
              <w:r>
                <w:rPr>
                  <w:rFonts w:ascii="Arial" w:cs="Arial" w:eastAsia="Arial" w:hAnsi="Arial"/>
                  <w:sz w:val="18"/>
                  <w:szCs w:val="18"/>
                  <w:color w:val="0000FF"/>
                  <w:w w:val="92"/>
                </w:rPr>
                <w:t>2.</w:t>
              </w:r>
            </w:hyperlink>
          </w:p>
        </w:tc>
        <w:tc>
          <w:tcPr>
            <w:tcW w:w="3200" w:type="dxa"/>
            <w:vAlign w:val="bottom"/>
            <w:gridSpan w:val="16"/>
          </w:tcPr>
          <w:p>
            <w:pPr>
              <w:ind w:left="20"/>
              <w:spacing w:after="0"/>
              <w:rPr>
                <w:rFonts w:ascii="Arial" w:cs="Arial" w:eastAsia="Arial" w:hAnsi="Arial"/>
                <w:sz w:val="18"/>
                <w:szCs w:val="18"/>
                <w:color w:val="0000FF"/>
                <w:w w:val="90"/>
              </w:rPr>
            </w:pPr>
            <w:hyperlink w:anchor="page136">
              <w:r>
                <w:rPr>
                  <w:rFonts w:ascii="Arial" w:cs="Arial" w:eastAsia="Arial" w:hAnsi="Arial"/>
                  <w:sz w:val="18"/>
                  <w:szCs w:val="18"/>
                  <w:color w:val="0000FF"/>
                  <w:w w:val="90"/>
                </w:rPr>
                <w:t>Summary of Significant Accounting Policies</w:t>
              </w:r>
            </w:hyperlink>
          </w:p>
        </w:tc>
        <w:tc>
          <w:tcPr>
            <w:tcW w:w="1000" w:type="dxa"/>
            <w:vAlign w:val="bottom"/>
            <w:gridSpan w:val="4"/>
          </w:tcPr>
          <w:p>
            <w:pPr>
              <w:spacing w:after="0"/>
              <w:rPr>
                <w:sz w:val="18"/>
                <w:szCs w:val="18"/>
                <w:color w:val="auto"/>
              </w:rPr>
            </w:pPr>
          </w:p>
        </w:tc>
        <w:tc>
          <w:tcPr>
            <w:tcW w:w="594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36">
              <w:r>
                <w:rPr>
                  <w:rFonts w:ascii="Arial" w:cs="Arial" w:eastAsia="Arial" w:hAnsi="Arial"/>
                  <w:sz w:val="18"/>
                  <w:szCs w:val="18"/>
                  <w:color w:val="0000FF"/>
                  <w:w w:val="86"/>
                </w:rPr>
                <w:t>F-13</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 w:type="dxa"/>
            <w:vAlign w:val="bottom"/>
          </w:tcPr>
          <w:p>
            <w:pPr>
              <w:spacing w:after="0"/>
              <w:rPr>
                <w:rFonts w:ascii="Arial" w:cs="Arial" w:eastAsia="Arial" w:hAnsi="Arial"/>
                <w:sz w:val="18"/>
                <w:szCs w:val="18"/>
                <w:color w:val="0000FF"/>
                <w:w w:val="92"/>
              </w:rPr>
            </w:pPr>
            <w:hyperlink w:anchor="page141">
              <w:r>
                <w:rPr>
                  <w:rFonts w:ascii="Arial" w:cs="Arial" w:eastAsia="Arial" w:hAnsi="Arial"/>
                  <w:sz w:val="18"/>
                  <w:szCs w:val="18"/>
                  <w:color w:val="0000FF"/>
                  <w:w w:val="92"/>
                </w:rPr>
                <w:t>3.</w:t>
              </w:r>
            </w:hyperlink>
          </w:p>
        </w:tc>
        <w:tc>
          <w:tcPr>
            <w:tcW w:w="3200" w:type="dxa"/>
            <w:vAlign w:val="bottom"/>
            <w:gridSpan w:val="16"/>
          </w:tcPr>
          <w:p>
            <w:pPr>
              <w:ind w:left="20"/>
              <w:spacing w:after="0"/>
              <w:rPr>
                <w:rFonts w:ascii="Arial" w:cs="Arial" w:eastAsia="Arial" w:hAnsi="Arial"/>
                <w:sz w:val="18"/>
                <w:szCs w:val="18"/>
                <w:color w:val="0000FF"/>
              </w:rPr>
            </w:pPr>
            <w:hyperlink w:anchor="page141">
              <w:r>
                <w:rPr>
                  <w:rFonts w:ascii="Arial" w:cs="Arial" w:eastAsia="Arial" w:hAnsi="Arial"/>
                  <w:sz w:val="18"/>
                  <w:szCs w:val="18"/>
                  <w:color w:val="0000FF"/>
                </w:rPr>
                <w:t>Revenues and Accounts Receivable</w:t>
              </w:r>
            </w:hyperlink>
          </w:p>
        </w:tc>
        <w:tc>
          <w:tcPr>
            <w:tcW w:w="6940" w:type="dxa"/>
            <w:vAlign w:val="bottom"/>
            <w:gridSpan w:val="13"/>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41">
              <w:r>
                <w:rPr>
                  <w:rFonts w:ascii="Arial" w:cs="Arial" w:eastAsia="Arial" w:hAnsi="Arial"/>
                  <w:sz w:val="18"/>
                  <w:szCs w:val="18"/>
                  <w:color w:val="0000FF"/>
                  <w:w w:val="86"/>
                </w:rPr>
                <w:t>F-17</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 w:type="dxa"/>
            <w:vAlign w:val="bottom"/>
          </w:tcPr>
          <w:p>
            <w:pPr>
              <w:spacing w:after="0"/>
              <w:rPr>
                <w:rFonts w:ascii="Arial" w:cs="Arial" w:eastAsia="Arial" w:hAnsi="Arial"/>
                <w:sz w:val="18"/>
                <w:szCs w:val="18"/>
                <w:color w:val="0000FF"/>
                <w:w w:val="92"/>
              </w:rPr>
            </w:pPr>
            <w:hyperlink w:anchor="page146">
              <w:r>
                <w:rPr>
                  <w:rFonts w:ascii="Arial" w:cs="Arial" w:eastAsia="Arial" w:hAnsi="Arial"/>
                  <w:sz w:val="18"/>
                  <w:szCs w:val="18"/>
                  <w:color w:val="0000FF"/>
                  <w:w w:val="92"/>
                </w:rPr>
                <w:t>4.</w:t>
              </w:r>
            </w:hyperlink>
          </w:p>
        </w:tc>
        <w:tc>
          <w:tcPr>
            <w:tcW w:w="2240" w:type="dxa"/>
            <w:vAlign w:val="bottom"/>
            <w:gridSpan w:val="10"/>
          </w:tcPr>
          <w:p>
            <w:pPr>
              <w:ind w:left="20"/>
              <w:spacing w:after="0"/>
              <w:rPr>
                <w:rFonts w:ascii="Arial" w:cs="Arial" w:eastAsia="Arial" w:hAnsi="Arial"/>
                <w:sz w:val="18"/>
                <w:szCs w:val="18"/>
                <w:color w:val="0000FF"/>
                <w:w w:val="91"/>
              </w:rPr>
            </w:pPr>
            <w:hyperlink w:anchor="page146">
              <w:r>
                <w:rPr>
                  <w:rFonts w:ascii="Arial" w:cs="Arial" w:eastAsia="Arial" w:hAnsi="Arial"/>
                  <w:sz w:val="18"/>
                  <w:szCs w:val="18"/>
                  <w:color w:val="0000FF"/>
                  <w:w w:val="91"/>
                </w:rPr>
                <w:t>Net Income Per Common Unit</w:t>
              </w:r>
            </w:hyperlink>
          </w:p>
        </w:tc>
        <w:tc>
          <w:tcPr>
            <w:tcW w:w="360" w:type="dxa"/>
            <w:vAlign w:val="bottom"/>
            <w:gridSpan w:val="3"/>
          </w:tcPr>
          <w:p>
            <w:pPr>
              <w:spacing w:after="0"/>
              <w:rPr>
                <w:sz w:val="18"/>
                <w:szCs w:val="18"/>
                <w:color w:val="auto"/>
              </w:rPr>
            </w:pPr>
          </w:p>
        </w:tc>
        <w:tc>
          <w:tcPr>
            <w:tcW w:w="7540" w:type="dxa"/>
            <w:vAlign w:val="bottom"/>
            <w:gridSpan w:val="16"/>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46">
              <w:r>
                <w:rPr>
                  <w:rFonts w:ascii="Arial" w:cs="Arial" w:eastAsia="Arial" w:hAnsi="Arial"/>
                  <w:sz w:val="18"/>
                  <w:szCs w:val="18"/>
                  <w:color w:val="0000FF"/>
                  <w:w w:val="86"/>
                </w:rPr>
                <w:t>F-22</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 w:type="dxa"/>
            <w:vAlign w:val="bottom"/>
          </w:tcPr>
          <w:p>
            <w:pPr>
              <w:spacing w:after="0"/>
              <w:rPr>
                <w:rFonts w:ascii="Arial" w:cs="Arial" w:eastAsia="Arial" w:hAnsi="Arial"/>
                <w:sz w:val="18"/>
                <w:szCs w:val="18"/>
                <w:color w:val="0000FF"/>
                <w:w w:val="92"/>
              </w:rPr>
            </w:pPr>
            <w:hyperlink w:anchor="page147">
              <w:r>
                <w:rPr>
                  <w:rFonts w:ascii="Arial" w:cs="Arial" w:eastAsia="Arial" w:hAnsi="Arial"/>
                  <w:sz w:val="18"/>
                  <w:szCs w:val="18"/>
                  <w:color w:val="0000FF"/>
                  <w:w w:val="92"/>
                </w:rPr>
                <w:t>5.</w:t>
              </w:r>
            </w:hyperlink>
          </w:p>
        </w:tc>
        <w:tc>
          <w:tcPr>
            <w:tcW w:w="4240" w:type="dxa"/>
            <w:vAlign w:val="bottom"/>
            <w:gridSpan w:val="21"/>
          </w:tcPr>
          <w:p>
            <w:pPr>
              <w:ind w:left="20"/>
              <w:spacing w:after="0"/>
              <w:rPr>
                <w:rFonts w:ascii="Arial" w:cs="Arial" w:eastAsia="Arial" w:hAnsi="Arial"/>
                <w:sz w:val="18"/>
                <w:szCs w:val="18"/>
                <w:color w:val="0000FF"/>
                <w:w w:val="92"/>
              </w:rPr>
            </w:pPr>
            <w:hyperlink w:anchor="page147">
              <w:r>
                <w:rPr>
                  <w:rFonts w:ascii="Arial" w:cs="Arial" w:eastAsia="Arial" w:hAnsi="Arial"/>
                  <w:sz w:val="18"/>
                  <w:szCs w:val="18"/>
                  <w:color w:val="0000FF"/>
                  <w:w w:val="92"/>
                </w:rPr>
                <w:t>Inventory, Linefill and Base Gas and Long-term Inventory</w:t>
              </w:r>
            </w:hyperlink>
          </w:p>
        </w:tc>
        <w:tc>
          <w:tcPr>
            <w:tcW w:w="5900" w:type="dxa"/>
            <w:vAlign w:val="bottom"/>
            <w:gridSpan w:val="8"/>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47">
              <w:r>
                <w:rPr>
                  <w:rFonts w:ascii="Arial" w:cs="Arial" w:eastAsia="Arial" w:hAnsi="Arial"/>
                  <w:sz w:val="18"/>
                  <w:szCs w:val="18"/>
                  <w:color w:val="0000FF"/>
                  <w:w w:val="86"/>
                </w:rPr>
                <w:t>F-24</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 w:type="dxa"/>
            <w:vAlign w:val="bottom"/>
          </w:tcPr>
          <w:p>
            <w:pPr>
              <w:spacing w:after="0"/>
              <w:rPr>
                <w:rFonts w:ascii="Arial" w:cs="Arial" w:eastAsia="Arial" w:hAnsi="Arial"/>
                <w:sz w:val="18"/>
                <w:szCs w:val="18"/>
                <w:color w:val="0000FF"/>
                <w:w w:val="92"/>
              </w:rPr>
            </w:pPr>
            <w:hyperlink w:anchor="page149">
              <w:r>
                <w:rPr>
                  <w:rFonts w:ascii="Arial" w:cs="Arial" w:eastAsia="Arial" w:hAnsi="Arial"/>
                  <w:sz w:val="18"/>
                  <w:szCs w:val="18"/>
                  <w:color w:val="0000FF"/>
                  <w:w w:val="92"/>
                </w:rPr>
                <w:t>6.</w:t>
              </w:r>
            </w:hyperlink>
          </w:p>
        </w:tc>
        <w:tc>
          <w:tcPr>
            <w:tcW w:w="4240" w:type="dxa"/>
            <w:vAlign w:val="bottom"/>
            <w:gridSpan w:val="21"/>
          </w:tcPr>
          <w:p>
            <w:pPr>
              <w:ind w:left="20"/>
              <w:spacing w:after="0"/>
              <w:rPr>
                <w:rFonts w:ascii="Arial" w:cs="Arial" w:eastAsia="Arial" w:hAnsi="Arial"/>
                <w:sz w:val="18"/>
                <w:szCs w:val="18"/>
                <w:color w:val="0000FF"/>
              </w:rPr>
            </w:pPr>
            <w:hyperlink w:anchor="page149">
              <w:r>
                <w:rPr>
                  <w:rFonts w:ascii="Arial" w:cs="Arial" w:eastAsia="Arial" w:hAnsi="Arial"/>
                  <w:sz w:val="18"/>
                  <w:szCs w:val="18"/>
                  <w:color w:val="0000FF"/>
                </w:rPr>
                <w:t>Property and Equipment</w:t>
              </w:r>
            </w:hyperlink>
          </w:p>
        </w:tc>
        <w:tc>
          <w:tcPr>
            <w:tcW w:w="5900" w:type="dxa"/>
            <w:vAlign w:val="bottom"/>
            <w:gridSpan w:val="8"/>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49">
              <w:r>
                <w:rPr>
                  <w:rFonts w:ascii="Arial" w:cs="Arial" w:eastAsia="Arial" w:hAnsi="Arial"/>
                  <w:sz w:val="18"/>
                  <w:szCs w:val="18"/>
                  <w:color w:val="0000FF"/>
                  <w:w w:val="86"/>
                </w:rPr>
                <w:t>F-25</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 w:type="dxa"/>
            <w:vAlign w:val="bottom"/>
          </w:tcPr>
          <w:p>
            <w:pPr>
              <w:spacing w:after="0"/>
              <w:rPr>
                <w:rFonts w:ascii="Arial" w:cs="Arial" w:eastAsia="Arial" w:hAnsi="Arial"/>
                <w:sz w:val="18"/>
                <w:szCs w:val="18"/>
                <w:color w:val="0000FF"/>
                <w:w w:val="92"/>
              </w:rPr>
            </w:pPr>
            <w:hyperlink w:anchor="page151">
              <w:r>
                <w:rPr>
                  <w:rFonts w:ascii="Arial" w:cs="Arial" w:eastAsia="Arial" w:hAnsi="Arial"/>
                  <w:sz w:val="18"/>
                  <w:szCs w:val="18"/>
                  <w:color w:val="0000FF"/>
                  <w:w w:val="92"/>
                </w:rPr>
                <w:t>7.</w:t>
              </w:r>
            </w:hyperlink>
          </w:p>
        </w:tc>
        <w:tc>
          <w:tcPr>
            <w:tcW w:w="2160" w:type="dxa"/>
            <w:vAlign w:val="bottom"/>
            <w:gridSpan w:val="9"/>
          </w:tcPr>
          <w:p>
            <w:pPr>
              <w:ind w:left="20"/>
              <w:spacing w:after="0"/>
              <w:rPr>
                <w:rFonts w:ascii="Arial" w:cs="Arial" w:eastAsia="Arial" w:hAnsi="Arial"/>
                <w:sz w:val="18"/>
                <w:szCs w:val="18"/>
                <w:color w:val="0000FF"/>
                <w:w w:val="92"/>
              </w:rPr>
            </w:pPr>
            <w:hyperlink w:anchor="page151">
              <w:r>
                <w:rPr>
                  <w:rFonts w:ascii="Arial" w:cs="Arial" w:eastAsia="Arial" w:hAnsi="Arial"/>
                  <w:sz w:val="18"/>
                  <w:szCs w:val="18"/>
                  <w:color w:val="0000FF"/>
                  <w:w w:val="92"/>
                </w:rPr>
                <w:t>Acquisitions and Divestitures</w:t>
              </w:r>
            </w:hyperlink>
          </w:p>
        </w:tc>
        <w:tc>
          <w:tcPr>
            <w:tcW w:w="7980" w:type="dxa"/>
            <w:vAlign w:val="bottom"/>
            <w:gridSpan w:val="20"/>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51">
              <w:r>
                <w:rPr>
                  <w:rFonts w:ascii="Arial" w:cs="Arial" w:eastAsia="Arial" w:hAnsi="Arial"/>
                  <w:sz w:val="18"/>
                  <w:szCs w:val="18"/>
                  <w:color w:val="0000FF"/>
                  <w:w w:val="86"/>
                </w:rPr>
                <w:t>F-27</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 w:type="dxa"/>
            <w:vAlign w:val="bottom"/>
          </w:tcPr>
          <w:p>
            <w:pPr>
              <w:spacing w:after="0"/>
              <w:rPr>
                <w:rFonts w:ascii="Arial" w:cs="Arial" w:eastAsia="Arial" w:hAnsi="Arial"/>
                <w:sz w:val="18"/>
                <w:szCs w:val="18"/>
                <w:color w:val="0000FF"/>
                <w:w w:val="92"/>
              </w:rPr>
            </w:pPr>
            <w:hyperlink w:anchor="page153">
              <w:r>
                <w:rPr>
                  <w:rFonts w:ascii="Arial" w:cs="Arial" w:eastAsia="Arial" w:hAnsi="Arial"/>
                  <w:sz w:val="18"/>
                  <w:szCs w:val="18"/>
                  <w:color w:val="0000FF"/>
                  <w:w w:val="92"/>
                </w:rPr>
                <w:t>8.</w:t>
              </w:r>
            </w:hyperlink>
          </w:p>
        </w:tc>
        <w:tc>
          <w:tcPr>
            <w:tcW w:w="2160" w:type="dxa"/>
            <w:vAlign w:val="bottom"/>
            <w:gridSpan w:val="9"/>
          </w:tcPr>
          <w:p>
            <w:pPr>
              <w:ind w:left="20"/>
              <w:spacing w:after="0"/>
              <w:rPr>
                <w:rFonts w:ascii="Arial" w:cs="Arial" w:eastAsia="Arial" w:hAnsi="Arial"/>
                <w:sz w:val="18"/>
                <w:szCs w:val="18"/>
                <w:color w:val="0000FF"/>
              </w:rPr>
            </w:pPr>
            <w:hyperlink w:anchor="page153">
              <w:r>
                <w:rPr>
                  <w:rFonts w:ascii="Arial" w:cs="Arial" w:eastAsia="Arial" w:hAnsi="Arial"/>
                  <w:sz w:val="18"/>
                  <w:szCs w:val="18"/>
                  <w:color w:val="0000FF"/>
                </w:rPr>
                <w:t>Goodwill</w:t>
              </w:r>
            </w:hyperlink>
          </w:p>
        </w:tc>
        <w:tc>
          <w:tcPr>
            <w:tcW w:w="7980" w:type="dxa"/>
            <w:vAlign w:val="bottom"/>
            <w:gridSpan w:val="20"/>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53">
              <w:r>
                <w:rPr>
                  <w:rFonts w:ascii="Arial" w:cs="Arial" w:eastAsia="Arial" w:hAnsi="Arial"/>
                  <w:sz w:val="18"/>
                  <w:szCs w:val="18"/>
                  <w:color w:val="0000FF"/>
                  <w:w w:val="86"/>
                </w:rPr>
                <w:t>F-30</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4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 w:type="dxa"/>
            <w:vAlign w:val="bottom"/>
          </w:tcPr>
          <w:p>
            <w:pPr>
              <w:spacing w:after="0"/>
              <w:rPr>
                <w:rFonts w:ascii="Arial" w:cs="Arial" w:eastAsia="Arial" w:hAnsi="Arial"/>
                <w:sz w:val="18"/>
                <w:szCs w:val="18"/>
                <w:color w:val="0000FF"/>
                <w:w w:val="92"/>
              </w:rPr>
            </w:pPr>
            <w:hyperlink w:anchor="page154">
              <w:r>
                <w:rPr>
                  <w:rFonts w:ascii="Arial" w:cs="Arial" w:eastAsia="Arial" w:hAnsi="Arial"/>
                  <w:sz w:val="18"/>
                  <w:szCs w:val="18"/>
                  <w:color w:val="0000FF"/>
                  <w:w w:val="92"/>
                </w:rPr>
                <w:t>9.</w:t>
              </w:r>
            </w:hyperlink>
          </w:p>
        </w:tc>
        <w:tc>
          <w:tcPr>
            <w:tcW w:w="2860" w:type="dxa"/>
            <w:vAlign w:val="bottom"/>
            <w:gridSpan w:val="15"/>
          </w:tcPr>
          <w:p>
            <w:pPr>
              <w:ind w:left="20"/>
              <w:spacing w:after="0"/>
              <w:rPr>
                <w:rFonts w:ascii="Arial" w:cs="Arial" w:eastAsia="Arial" w:hAnsi="Arial"/>
                <w:sz w:val="18"/>
                <w:szCs w:val="18"/>
                <w:color w:val="0000FF"/>
                <w:w w:val="91"/>
              </w:rPr>
            </w:pPr>
            <w:hyperlink w:anchor="page154">
              <w:r>
                <w:rPr>
                  <w:rFonts w:ascii="Arial" w:cs="Arial" w:eastAsia="Arial" w:hAnsi="Arial"/>
                  <w:sz w:val="18"/>
                  <w:szCs w:val="18"/>
                  <w:color w:val="0000FF"/>
                  <w:w w:val="91"/>
                </w:rPr>
                <w:t>Investments in Unconsolidated Entities</w:t>
              </w:r>
            </w:hyperlink>
          </w:p>
        </w:tc>
        <w:tc>
          <w:tcPr>
            <w:tcW w:w="7280" w:type="dxa"/>
            <w:vAlign w:val="bottom"/>
            <w:gridSpan w:val="14"/>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54">
              <w:r>
                <w:rPr>
                  <w:rFonts w:ascii="Arial" w:cs="Arial" w:eastAsia="Arial" w:hAnsi="Arial"/>
                  <w:sz w:val="18"/>
                  <w:szCs w:val="18"/>
                  <w:color w:val="0000FF"/>
                  <w:w w:val="86"/>
                </w:rPr>
                <w:t>F-30</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4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40" w:type="dxa"/>
            <w:vAlign w:val="bottom"/>
            <w:gridSpan w:val="2"/>
          </w:tcPr>
          <w:p>
            <w:pPr>
              <w:spacing w:after="0"/>
              <w:rPr>
                <w:rFonts w:ascii="Arial" w:cs="Arial" w:eastAsia="Arial" w:hAnsi="Arial"/>
                <w:sz w:val="18"/>
                <w:szCs w:val="18"/>
                <w:color w:val="0000FF"/>
                <w:w w:val="87"/>
              </w:rPr>
            </w:pPr>
            <w:hyperlink w:anchor="page158">
              <w:r>
                <w:rPr>
                  <w:rFonts w:ascii="Arial" w:cs="Arial" w:eastAsia="Arial" w:hAnsi="Arial"/>
                  <w:sz w:val="18"/>
                  <w:szCs w:val="18"/>
                  <w:color w:val="0000FF"/>
                  <w:w w:val="87"/>
                </w:rPr>
                <w:t>10.</w:t>
              </w:r>
            </w:hyperlink>
          </w:p>
        </w:tc>
        <w:tc>
          <w:tcPr>
            <w:tcW w:w="2180" w:type="dxa"/>
            <w:vAlign w:val="bottom"/>
            <w:gridSpan w:val="10"/>
          </w:tcPr>
          <w:p>
            <w:pPr>
              <w:ind w:left="40"/>
              <w:spacing w:after="0"/>
              <w:rPr>
                <w:rFonts w:ascii="Arial" w:cs="Arial" w:eastAsia="Arial" w:hAnsi="Arial"/>
                <w:sz w:val="18"/>
                <w:szCs w:val="18"/>
                <w:color w:val="0000FF"/>
                <w:w w:val="90"/>
              </w:rPr>
            </w:pPr>
            <w:hyperlink w:anchor="page158">
              <w:r>
                <w:rPr>
                  <w:rFonts w:ascii="Arial" w:cs="Arial" w:eastAsia="Arial" w:hAnsi="Arial"/>
                  <w:sz w:val="18"/>
                  <w:szCs w:val="18"/>
                  <w:color w:val="0000FF"/>
                  <w:w w:val="90"/>
                </w:rPr>
                <w:t>Other Long-Term Assets, Net</w:t>
              </w:r>
            </w:hyperlink>
          </w:p>
        </w:tc>
        <w:tc>
          <w:tcPr>
            <w:tcW w:w="600" w:type="dxa"/>
            <w:vAlign w:val="bottom"/>
            <w:gridSpan w:val="4"/>
          </w:tcPr>
          <w:p>
            <w:pPr>
              <w:spacing w:after="0"/>
              <w:rPr>
                <w:sz w:val="18"/>
                <w:szCs w:val="18"/>
                <w:color w:val="auto"/>
              </w:rPr>
            </w:pPr>
          </w:p>
        </w:tc>
        <w:tc>
          <w:tcPr>
            <w:tcW w:w="7280" w:type="dxa"/>
            <w:vAlign w:val="bottom"/>
            <w:gridSpan w:val="14"/>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58">
              <w:r>
                <w:rPr>
                  <w:rFonts w:ascii="Arial" w:cs="Arial" w:eastAsia="Arial" w:hAnsi="Arial"/>
                  <w:sz w:val="18"/>
                  <w:szCs w:val="18"/>
                  <w:color w:val="0000FF"/>
                  <w:w w:val="86"/>
                </w:rPr>
                <w:t>F-34</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4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420" w:type="dxa"/>
            <w:vAlign w:val="bottom"/>
            <w:gridSpan w:val="12"/>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11. Debt</w:t>
              </w:r>
            </w:hyperlink>
          </w:p>
        </w:tc>
        <w:tc>
          <w:tcPr>
            <w:tcW w:w="7880" w:type="dxa"/>
            <w:vAlign w:val="bottom"/>
            <w:gridSpan w:val="18"/>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58">
              <w:r>
                <w:rPr>
                  <w:rFonts w:ascii="Arial" w:cs="Arial" w:eastAsia="Arial" w:hAnsi="Arial"/>
                  <w:sz w:val="18"/>
                  <w:szCs w:val="18"/>
                  <w:color w:val="0000FF"/>
                  <w:w w:val="86"/>
                </w:rPr>
                <w:t>F-35</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4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40" w:type="dxa"/>
            <w:vAlign w:val="bottom"/>
            <w:gridSpan w:val="2"/>
          </w:tcPr>
          <w:p>
            <w:pPr>
              <w:spacing w:after="0"/>
              <w:rPr>
                <w:rFonts w:ascii="Arial" w:cs="Arial" w:eastAsia="Arial" w:hAnsi="Arial"/>
                <w:sz w:val="18"/>
                <w:szCs w:val="18"/>
                <w:color w:val="0000FF"/>
                <w:w w:val="87"/>
              </w:rPr>
            </w:pPr>
            <w:hyperlink w:anchor="page162">
              <w:r>
                <w:rPr>
                  <w:rFonts w:ascii="Arial" w:cs="Arial" w:eastAsia="Arial" w:hAnsi="Arial"/>
                  <w:sz w:val="18"/>
                  <w:szCs w:val="18"/>
                  <w:color w:val="0000FF"/>
                  <w:w w:val="87"/>
                </w:rPr>
                <w:t>12.</w:t>
              </w:r>
            </w:hyperlink>
          </w:p>
        </w:tc>
        <w:tc>
          <w:tcPr>
            <w:tcW w:w="10060" w:type="dxa"/>
            <w:vAlign w:val="bottom"/>
            <w:gridSpan w:val="28"/>
          </w:tcPr>
          <w:p>
            <w:pPr>
              <w:ind w:left="40"/>
              <w:spacing w:after="0"/>
              <w:rPr>
                <w:rFonts w:ascii="Arial" w:cs="Arial" w:eastAsia="Arial" w:hAnsi="Arial"/>
                <w:sz w:val="18"/>
                <w:szCs w:val="18"/>
                <w:color w:val="0000FF"/>
              </w:rPr>
            </w:pPr>
            <w:hyperlink w:anchor="page162">
              <w:r>
                <w:rPr>
                  <w:rFonts w:ascii="Arial" w:cs="Arial" w:eastAsia="Arial" w:hAnsi="Arial"/>
                  <w:sz w:val="18"/>
                  <w:szCs w:val="18"/>
                  <w:color w:val="0000FF"/>
                </w:rPr>
                <w:t>Partners’ Capital and Distributions</w:t>
              </w:r>
            </w:hyperlink>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62">
              <w:r>
                <w:rPr>
                  <w:rFonts w:ascii="Arial" w:cs="Arial" w:eastAsia="Arial" w:hAnsi="Arial"/>
                  <w:sz w:val="18"/>
                  <w:szCs w:val="18"/>
                  <w:color w:val="0000FF"/>
                  <w:w w:val="86"/>
                </w:rPr>
                <w:t>F-39</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40" w:type="dxa"/>
            <w:vAlign w:val="bottom"/>
            <w:gridSpan w:val="2"/>
          </w:tcPr>
          <w:p>
            <w:pPr>
              <w:spacing w:after="0"/>
              <w:rPr>
                <w:rFonts w:ascii="Arial" w:cs="Arial" w:eastAsia="Arial" w:hAnsi="Arial"/>
                <w:sz w:val="18"/>
                <w:szCs w:val="18"/>
                <w:color w:val="0000FF"/>
                <w:w w:val="87"/>
              </w:rPr>
            </w:pPr>
            <w:hyperlink w:anchor="page167">
              <w:r>
                <w:rPr>
                  <w:rFonts w:ascii="Arial" w:cs="Arial" w:eastAsia="Arial" w:hAnsi="Arial"/>
                  <w:sz w:val="18"/>
                  <w:szCs w:val="18"/>
                  <w:color w:val="0000FF"/>
                  <w:w w:val="87"/>
                </w:rPr>
                <w:t>13.</w:t>
              </w:r>
            </w:hyperlink>
          </w:p>
        </w:tc>
        <w:tc>
          <w:tcPr>
            <w:tcW w:w="3280" w:type="dxa"/>
            <w:vAlign w:val="bottom"/>
            <w:gridSpan w:val="16"/>
          </w:tcPr>
          <w:p>
            <w:pPr>
              <w:ind w:left="40"/>
              <w:spacing w:after="0"/>
              <w:rPr>
                <w:rFonts w:ascii="Arial" w:cs="Arial" w:eastAsia="Arial" w:hAnsi="Arial"/>
                <w:sz w:val="18"/>
                <w:szCs w:val="18"/>
                <w:color w:val="0000FF"/>
                <w:w w:val="91"/>
              </w:rPr>
            </w:pPr>
            <w:hyperlink w:anchor="page167">
              <w:r>
                <w:rPr>
                  <w:rFonts w:ascii="Arial" w:cs="Arial" w:eastAsia="Arial" w:hAnsi="Arial"/>
                  <w:sz w:val="18"/>
                  <w:szCs w:val="18"/>
                  <w:color w:val="0000FF"/>
                  <w:w w:val="91"/>
                </w:rPr>
                <w:t>Derivatives and Risk Management Activities</w:t>
              </w:r>
            </w:hyperlink>
          </w:p>
        </w:tc>
        <w:tc>
          <w:tcPr>
            <w:tcW w:w="678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67">
              <w:r>
                <w:rPr>
                  <w:rFonts w:ascii="Arial" w:cs="Arial" w:eastAsia="Arial" w:hAnsi="Arial"/>
                  <w:sz w:val="18"/>
                  <w:szCs w:val="18"/>
                  <w:color w:val="0000FF"/>
                  <w:w w:val="86"/>
                </w:rPr>
                <w:t>F-43</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40" w:type="dxa"/>
            <w:vAlign w:val="bottom"/>
            <w:gridSpan w:val="2"/>
          </w:tcPr>
          <w:p>
            <w:pPr>
              <w:spacing w:after="0"/>
              <w:rPr>
                <w:rFonts w:ascii="Arial" w:cs="Arial" w:eastAsia="Arial" w:hAnsi="Arial"/>
                <w:sz w:val="18"/>
                <w:szCs w:val="18"/>
                <w:color w:val="0000FF"/>
                <w:w w:val="87"/>
              </w:rPr>
            </w:pPr>
            <w:hyperlink w:anchor="page174">
              <w:r>
                <w:rPr>
                  <w:rFonts w:ascii="Arial" w:cs="Arial" w:eastAsia="Arial" w:hAnsi="Arial"/>
                  <w:sz w:val="18"/>
                  <w:szCs w:val="18"/>
                  <w:color w:val="0000FF"/>
                  <w:w w:val="87"/>
                </w:rPr>
                <w:t>14.</w:t>
              </w:r>
            </w:hyperlink>
          </w:p>
        </w:tc>
        <w:tc>
          <w:tcPr>
            <w:tcW w:w="3280" w:type="dxa"/>
            <w:vAlign w:val="bottom"/>
            <w:gridSpan w:val="16"/>
          </w:tcPr>
          <w:p>
            <w:pPr>
              <w:ind w:left="40"/>
              <w:spacing w:after="0"/>
              <w:rPr>
                <w:rFonts w:ascii="Arial" w:cs="Arial" w:eastAsia="Arial" w:hAnsi="Arial"/>
                <w:sz w:val="18"/>
                <w:szCs w:val="18"/>
                <w:color w:val="0000FF"/>
              </w:rPr>
            </w:pPr>
            <w:hyperlink w:anchor="page174">
              <w:r>
                <w:rPr>
                  <w:rFonts w:ascii="Arial" w:cs="Arial" w:eastAsia="Arial" w:hAnsi="Arial"/>
                  <w:sz w:val="18"/>
                  <w:szCs w:val="18"/>
                  <w:color w:val="0000FF"/>
                </w:rPr>
                <w:t>Leases</w:t>
              </w:r>
            </w:hyperlink>
          </w:p>
        </w:tc>
        <w:tc>
          <w:tcPr>
            <w:tcW w:w="678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74">
              <w:r>
                <w:rPr>
                  <w:rFonts w:ascii="Arial" w:cs="Arial" w:eastAsia="Arial" w:hAnsi="Arial"/>
                  <w:sz w:val="18"/>
                  <w:szCs w:val="18"/>
                  <w:color w:val="0000FF"/>
                  <w:w w:val="86"/>
                </w:rPr>
                <w:t>F-50</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34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0000FF"/>
                <w:w w:val="87"/>
              </w:rPr>
              <w:t>15.</w:t>
            </w:r>
          </w:p>
        </w:tc>
        <w:tc>
          <w:tcPr>
            <w:tcW w:w="1040" w:type="dxa"/>
            <w:vAlign w:val="bottom"/>
            <w:gridSpan w:val="4"/>
          </w:tcPr>
          <w:p>
            <w:pPr>
              <w:ind w:left="40"/>
              <w:spacing w:after="0"/>
              <w:rPr>
                <w:rFonts w:ascii="Arial" w:cs="Arial" w:eastAsia="Arial" w:hAnsi="Arial"/>
                <w:sz w:val="18"/>
                <w:szCs w:val="18"/>
                <w:color w:val="0000FF"/>
                <w:w w:val="86"/>
              </w:rPr>
            </w:pPr>
            <w:hyperlink w:anchor="page177">
              <w:r>
                <w:rPr>
                  <w:rFonts w:ascii="Arial" w:cs="Arial" w:eastAsia="Arial" w:hAnsi="Arial"/>
                  <w:sz w:val="18"/>
                  <w:szCs w:val="18"/>
                  <w:color w:val="0000FF"/>
                  <w:w w:val="86"/>
                </w:rPr>
                <w:t>Income Taxes</w:t>
              </w:r>
            </w:hyperlink>
          </w:p>
        </w:tc>
        <w:tc>
          <w:tcPr>
            <w:tcW w:w="9020" w:type="dxa"/>
            <w:vAlign w:val="bottom"/>
            <w:gridSpan w:val="24"/>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77">
              <w:r>
                <w:rPr>
                  <w:rFonts w:ascii="Arial" w:cs="Arial" w:eastAsia="Arial" w:hAnsi="Arial"/>
                  <w:sz w:val="18"/>
                  <w:szCs w:val="18"/>
                  <w:color w:val="0000FF"/>
                  <w:w w:val="86"/>
                </w:rPr>
                <w:t>F-53</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34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0000FF"/>
                <w:w w:val="87"/>
              </w:rPr>
              <w:t>16.</w:t>
            </w:r>
          </w:p>
        </w:tc>
        <w:tc>
          <w:tcPr>
            <w:tcW w:w="10060" w:type="dxa"/>
            <w:vAlign w:val="bottom"/>
            <w:gridSpan w:val="28"/>
          </w:tcPr>
          <w:p>
            <w:pPr>
              <w:ind w:left="40"/>
              <w:spacing w:after="0"/>
              <w:rPr>
                <w:rFonts w:ascii="Arial" w:cs="Arial" w:eastAsia="Arial" w:hAnsi="Arial"/>
                <w:sz w:val="18"/>
                <w:szCs w:val="18"/>
                <w:color w:val="0000FF"/>
              </w:rPr>
            </w:pPr>
            <w:hyperlink w:anchor="page179">
              <w:r>
                <w:rPr>
                  <w:rFonts w:ascii="Arial" w:cs="Arial" w:eastAsia="Arial" w:hAnsi="Arial"/>
                  <w:sz w:val="18"/>
                  <w:szCs w:val="18"/>
                  <w:color w:val="0000FF"/>
                </w:rPr>
                <w:t>Major Customers and Concentration of Credit Risk</w:t>
              </w:r>
            </w:hyperlink>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79">
              <w:r>
                <w:rPr>
                  <w:rFonts w:ascii="Arial" w:cs="Arial" w:eastAsia="Arial" w:hAnsi="Arial"/>
                  <w:sz w:val="18"/>
                  <w:szCs w:val="18"/>
                  <w:color w:val="0000FF"/>
                  <w:w w:val="86"/>
                </w:rPr>
                <w:t>F-56</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0000FF"/>
                <w:w w:val="87"/>
              </w:rPr>
              <w:t>17.</w:t>
            </w:r>
          </w:p>
        </w:tc>
        <w:tc>
          <w:tcPr>
            <w:tcW w:w="1980" w:type="dxa"/>
            <w:vAlign w:val="bottom"/>
            <w:gridSpan w:val="7"/>
          </w:tcPr>
          <w:p>
            <w:pPr>
              <w:ind w:left="40"/>
              <w:spacing w:after="0"/>
              <w:rPr>
                <w:rFonts w:ascii="Arial" w:cs="Arial" w:eastAsia="Arial" w:hAnsi="Arial"/>
                <w:sz w:val="18"/>
                <w:szCs w:val="18"/>
                <w:color w:val="0000FF"/>
                <w:w w:val="88"/>
              </w:rPr>
            </w:pPr>
            <w:hyperlink w:anchor="page180">
              <w:r>
                <w:rPr>
                  <w:rFonts w:ascii="Arial" w:cs="Arial" w:eastAsia="Arial" w:hAnsi="Arial"/>
                  <w:sz w:val="18"/>
                  <w:szCs w:val="18"/>
                  <w:color w:val="0000FF"/>
                  <w:w w:val="88"/>
                </w:rPr>
                <w:t>Related Party Transactions</w:t>
              </w:r>
            </w:hyperlink>
          </w:p>
        </w:tc>
        <w:tc>
          <w:tcPr>
            <w:tcW w:w="1740" w:type="dxa"/>
            <w:vAlign w:val="bottom"/>
            <w:gridSpan w:val="10"/>
          </w:tcPr>
          <w:p>
            <w:pPr>
              <w:spacing w:after="0"/>
              <w:rPr>
                <w:sz w:val="18"/>
                <w:szCs w:val="18"/>
                <w:color w:val="auto"/>
              </w:rPr>
            </w:pPr>
          </w:p>
        </w:tc>
        <w:tc>
          <w:tcPr>
            <w:tcW w:w="6340" w:type="dxa"/>
            <w:vAlign w:val="bottom"/>
            <w:gridSpan w:val="11"/>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80">
              <w:r>
                <w:rPr>
                  <w:rFonts w:ascii="Arial" w:cs="Arial" w:eastAsia="Arial" w:hAnsi="Arial"/>
                  <w:sz w:val="18"/>
                  <w:szCs w:val="18"/>
                  <w:color w:val="0000FF"/>
                  <w:w w:val="86"/>
                </w:rPr>
                <w:t>F-56</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0000FF"/>
                <w:w w:val="87"/>
              </w:rPr>
              <w:t>18.</w:t>
            </w:r>
          </w:p>
        </w:tc>
        <w:tc>
          <w:tcPr>
            <w:tcW w:w="2680" w:type="dxa"/>
            <w:vAlign w:val="bottom"/>
            <w:gridSpan w:val="13"/>
          </w:tcPr>
          <w:p>
            <w:pPr>
              <w:ind w:left="40"/>
              <w:spacing w:after="0"/>
              <w:rPr>
                <w:rFonts w:ascii="Arial" w:cs="Arial" w:eastAsia="Arial" w:hAnsi="Arial"/>
                <w:sz w:val="18"/>
                <w:szCs w:val="18"/>
                <w:color w:val="0000FF"/>
                <w:w w:val="89"/>
              </w:rPr>
            </w:pPr>
            <w:hyperlink w:anchor="page182">
              <w:r>
                <w:rPr>
                  <w:rFonts w:ascii="Arial" w:cs="Arial" w:eastAsia="Arial" w:hAnsi="Arial"/>
                  <w:sz w:val="18"/>
                  <w:szCs w:val="18"/>
                  <w:color w:val="0000FF"/>
                  <w:w w:val="89"/>
                </w:rPr>
                <w:t>Equity-Indexed Compensation Plans</w:t>
              </w:r>
            </w:hyperlink>
          </w:p>
        </w:tc>
        <w:tc>
          <w:tcPr>
            <w:tcW w:w="7380" w:type="dxa"/>
            <w:vAlign w:val="bottom"/>
            <w:gridSpan w:val="15"/>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82">
              <w:r>
                <w:rPr>
                  <w:rFonts w:ascii="Arial" w:cs="Arial" w:eastAsia="Arial" w:hAnsi="Arial"/>
                  <w:sz w:val="18"/>
                  <w:szCs w:val="18"/>
                  <w:color w:val="0000FF"/>
                  <w:w w:val="86"/>
                </w:rPr>
                <w:t>F-58</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0000FF"/>
                <w:w w:val="87"/>
              </w:rPr>
              <w:t>19.</w:t>
            </w:r>
          </w:p>
        </w:tc>
        <w:tc>
          <w:tcPr>
            <w:tcW w:w="2440" w:type="dxa"/>
            <w:vAlign w:val="bottom"/>
            <w:gridSpan w:val="11"/>
          </w:tcPr>
          <w:p>
            <w:pPr>
              <w:ind w:left="40"/>
              <w:spacing w:after="0"/>
              <w:rPr>
                <w:rFonts w:ascii="Arial" w:cs="Arial" w:eastAsia="Arial" w:hAnsi="Arial"/>
                <w:sz w:val="18"/>
                <w:szCs w:val="18"/>
                <w:color w:val="0000FF"/>
                <w:w w:val="89"/>
              </w:rPr>
            </w:pPr>
            <w:hyperlink w:anchor="page184">
              <w:r>
                <w:rPr>
                  <w:rFonts w:ascii="Arial" w:cs="Arial" w:eastAsia="Arial" w:hAnsi="Arial"/>
                  <w:sz w:val="18"/>
                  <w:szCs w:val="18"/>
                  <w:color w:val="0000FF"/>
                  <w:w w:val="89"/>
                </w:rPr>
                <w:t>Commitments and Contingencies</w:t>
              </w:r>
            </w:hyperlink>
          </w:p>
        </w:tc>
        <w:tc>
          <w:tcPr>
            <w:tcW w:w="240" w:type="dxa"/>
            <w:vAlign w:val="bottom"/>
            <w:gridSpan w:val="2"/>
          </w:tcPr>
          <w:p>
            <w:pPr>
              <w:spacing w:after="0"/>
              <w:rPr>
                <w:sz w:val="18"/>
                <w:szCs w:val="18"/>
                <w:color w:val="auto"/>
              </w:rPr>
            </w:pPr>
          </w:p>
        </w:tc>
        <w:tc>
          <w:tcPr>
            <w:tcW w:w="7380" w:type="dxa"/>
            <w:vAlign w:val="bottom"/>
            <w:gridSpan w:val="15"/>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84">
              <w:r>
                <w:rPr>
                  <w:rFonts w:ascii="Arial" w:cs="Arial" w:eastAsia="Arial" w:hAnsi="Arial"/>
                  <w:sz w:val="18"/>
                  <w:szCs w:val="18"/>
                  <w:color w:val="0000FF"/>
                  <w:w w:val="86"/>
                </w:rPr>
                <w:t>F-60</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40" w:type="dxa"/>
            <w:vAlign w:val="bottom"/>
            <w:gridSpan w:val="2"/>
          </w:tcPr>
          <w:p>
            <w:pPr>
              <w:spacing w:after="0"/>
              <w:rPr>
                <w:rFonts w:ascii="Arial" w:cs="Arial" w:eastAsia="Arial" w:hAnsi="Arial"/>
                <w:sz w:val="18"/>
                <w:szCs w:val="18"/>
                <w:color w:val="0000FF"/>
                <w:w w:val="87"/>
              </w:rPr>
            </w:pPr>
            <w:hyperlink w:anchor="page190">
              <w:r>
                <w:rPr>
                  <w:rFonts w:ascii="Arial" w:cs="Arial" w:eastAsia="Arial" w:hAnsi="Arial"/>
                  <w:sz w:val="18"/>
                  <w:szCs w:val="18"/>
                  <w:color w:val="0000FF"/>
                  <w:w w:val="87"/>
                </w:rPr>
                <w:t>20.</w:t>
              </w:r>
            </w:hyperlink>
          </w:p>
        </w:tc>
        <w:tc>
          <w:tcPr>
            <w:tcW w:w="10060" w:type="dxa"/>
            <w:vAlign w:val="bottom"/>
            <w:gridSpan w:val="28"/>
          </w:tcPr>
          <w:p>
            <w:pPr>
              <w:ind w:left="40"/>
              <w:spacing w:after="0"/>
              <w:rPr>
                <w:rFonts w:ascii="Arial" w:cs="Arial" w:eastAsia="Arial" w:hAnsi="Arial"/>
                <w:sz w:val="18"/>
                <w:szCs w:val="18"/>
                <w:color w:val="0000FF"/>
              </w:rPr>
            </w:pPr>
            <w:hyperlink w:anchor="page190">
              <w:r>
                <w:rPr>
                  <w:rFonts w:ascii="Arial" w:cs="Arial" w:eastAsia="Arial" w:hAnsi="Arial"/>
                  <w:sz w:val="18"/>
                  <w:szCs w:val="18"/>
                  <w:color w:val="0000FF"/>
                </w:rPr>
                <w:t>Quarterly Financial Data (Unaudited)</w:t>
              </w:r>
            </w:hyperlink>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90">
              <w:r>
                <w:rPr>
                  <w:rFonts w:ascii="Arial" w:cs="Arial" w:eastAsia="Arial" w:hAnsi="Arial"/>
                  <w:sz w:val="18"/>
                  <w:szCs w:val="18"/>
                  <w:color w:val="0000FF"/>
                  <w:w w:val="86"/>
                </w:rPr>
                <w:t>F-67</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0000FF"/>
                <w:w w:val="87"/>
              </w:rPr>
              <w:t>21.</w:t>
            </w:r>
          </w:p>
        </w:tc>
        <w:tc>
          <w:tcPr>
            <w:tcW w:w="2680" w:type="dxa"/>
            <w:vAlign w:val="bottom"/>
            <w:gridSpan w:val="13"/>
          </w:tcPr>
          <w:p>
            <w:pPr>
              <w:ind w:left="40"/>
              <w:spacing w:after="0"/>
              <w:rPr>
                <w:rFonts w:ascii="Arial" w:cs="Arial" w:eastAsia="Arial" w:hAnsi="Arial"/>
                <w:sz w:val="18"/>
                <w:szCs w:val="18"/>
                <w:color w:val="0000FF"/>
              </w:rPr>
            </w:pPr>
            <w:hyperlink w:anchor="page191">
              <w:r>
                <w:rPr>
                  <w:rFonts w:ascii="Arial" w:cs="Arial" w:eastAsia="Arial" w:hAnsi="Arial"/>
                  <w:sz w:val="18"/>
                  <w:szCs w:val="18"/>
                  <w:color w:val="0000FF"/>
                </w:rPr>
                <w:t>Operating Segments</w:t>
              </w:r>
            </w:hyperlink>
          </w:p>
        </w:tc>
        <w:tc>
          <w:tcPr>
            <w:tcW w:w="7380" w:type="dxa"/>
            <w:vAlign w:val="bottom"/>
            <w:gridSpan w:val="15"/>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91">
              <w:r>
                <w:rPr>
                  <w:rFonts w:ascii="Arial" w:cs="Arial" w:eastAsia="Arial" w:hAnsi="Arial"/>
                  <w:sz w:val="18"/>
                  <w:szCs w:val="18"/>
                  <w:color w:val="0000FF"/>
                  <w:w w:val="86"/>
                </w:rPr>
                <w:t>F-67</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9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0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2019.</w:t>
      </w:r>
    </w:p>
    <w:p>
      <w:pPr>
        <w:spacing w:after="0" w:line="174" w:lineRule="exact"/>
        <w:rPr>
          <w:sz w:val="20"/>
          <w:szCs w:val="20"/>
          <w:color w:val="auto"/>
        </w:rPr>
      </w:pPr>
    </w:p>
    <w:p>
      <w:pPr>
        <w:jc w:val="both"/>
        <w:ind w:right="1780" w:firstLine="648"/>
        <w:spacing w:after="0" w:line="342" w:lineRule="auto"/>
        <w:rPr>
          <w:sz w:val="20"/>
          <w:szCs w:val="20"/>
          <w:color w:val="auto"/>
        </w:rPr>
      </w:pPr>
      <w:r>
        <w:rPr>
          <w:rFonts w:ascii="Arial" w:cs="Arial" w:eastAsia="Arial" w:hAnsi="Arial"/>
          <w:sz w:val="16"/>
          <w:szCs w:val="16"/>
          <w:color w:val="auto"/>
        </w:rPr>
        <w:t>The effectiveness of the Partnership’s internal control over financial reporting as of December 31, 2019 has been audited by PricewaterhouseCoopers LLP, an independent registered public accounting firm, as stated in their report which appears on Page F-3.</w:t>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31750</wp:posOffset>
            </wp:positionV>
            <wp:extent cx="349885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5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Executive Officer of Plains All American GP LLC</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Executive Officer)</w:t>
      </w:r>
    </w:p>
    <w:p>
      <w:pPr>
        <w:spacing w:after="0" w:line="32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31750</wp:posOffset>
            </wp:positionV>
            <wp:extent cx="349885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51">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Executive Vice President and Chief Financial Officer of Plains All</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American GP LLC</w:t>
      </w:r>
    </w:p>
    <w:p>
      <w:pPr>
        <w:spacing w:after="0" w:line="4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Financial Officer)</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540"/>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PAA GP Holdings LLC and Unitholders of Plains All American Pipeline,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Plains All American Pipeline, L.P. and its subsidiaries (the “Partnership”) as of December 31, 2019 and 2018, and the related consolidated statements of operations, of comprehensive income, of changes in accumulated other comprehensive income/(loss), of changes in partners’ capital and of cash flows for each of the three years in the period ended December 31, 2019, including the related notes (collectively referred to as the “consolidated financial statements”). We also have audited the Partnership’s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Partnership as of December 31, 2019 and 2018</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December 31, 2019 in conformity with accounting principles generally accepted in the United States of America. Also in our opinion, the Partnership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Facilities and Supply and Logistics Segments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described in Note 8 to the consolidated financial statements, the Partnership’s consolidated goodwill balance was $2,540 million as of December 31, 2019, which includes $1,488 million of goodwill related to the Facilities and Supply and Logistics segments. Goodwill is tested for impairment at a level of reporting referred to as a reporting unit. A reporting unit is an operating segment or one level below an operating segment for which discrete financial information is available and regularly reviewed by segment management. Management tests goodwill to determine whether an impairment has occurred at least annually (as of June 30) and on an interim basis if it is more likely than not that a reporting unit’s fair value is less than its carrying value. In the quantitative test, management compares the fair value of the reporting unit with the respective book values, including goodwill, by using an income approach based on a discounted cash flow analysis. This approach requires management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 is determined using significant unobservable inputs, or Level 3 inputs in the fair value hierarchy.</w:t>
      </w:r>
    </w:p>
    <w:p>
      <w:pPr>
        <w:spacing w:after="0" w:line="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principal considerations for our determination that performing procedures relating to the goodwill impairment assessment – Facilities and Supply and Logistics segments is a critical audit matter are there was significant judgment by management when developing the fair value measurement of the reporting units. This in turn led to a high degree of auditor judgment, subjectivity, and effort in performing procedures and evaluating management’s significant assumptions for net revenues and the weighted average cost of capital. In addition, the audit effort involved the use of professionals with specialized skill and knowledge to assist in performing these procedures and evaluating the audit evidence obtained from these procedures.</w:t>
      </w:r>
    </w:p>
    <w:p>
      <w:pPr>
        <w:spacing w:after="0" w:line="6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Partnership’s reporting units. These procedures also included, among others, testing management’s process for developing the fair value estimate; evaluating the appropriateness of the discounted cash flow models; testing the completeness, accuracy, and relevance of underlying data used in the models; and evaluating the reasonableness of significant assumptions used by management, including net revenues and the weighted average cost of capital. Evaluating management’s assumptions related to the forecast of net revenues involved evaluating whether the assumptions used were reasonable considering (i) the current and past performance of the reporting units; (ii) the consistency with external market and industry data, and (iii) whether these assumptions were consistent with evidence obtained in other areas of the audit. Professionals with specialized skill and knowledge were used to assist in the evaluation of the Partnership’s discounted cash flow models and certain significant assumptions, including the weighted average cost of capital.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Investment in Capline LLC</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described in Note 9 to the consolidated financial statements, during the first quarter of 2019, the owners of the Capline pipeline system contributed their undivided joint interests in the system for equity interests in a legal entity, Capline Pipeline Company LLC (“Capline LLC”). Although the Partnership owns a majority of Capline LLC’s equity, the Partnership does not have a controlling financial interest in Capline LLC because the other members have substantive participating rights. Therefore, management accounts for its ownership interest in Capline LLC as an equity method investment. The transaction resulted in a “loss of control” of the undivided joint interest, which was derecognized and contributed to Capline LLC. The loss of control required management to measure the equity investment in Capline LLC at fair value. At the time of the transaction, the Partnership’s 54% undivided joint interest in the Capline pipeline system had a carrying value of $175 million. Management determined the fair value of the investment in Capline LLC to be approximately $444 million, resulting in the recognition of a gain of $269 million during the year ended December 31, 2019. The fair value of the investment was determined using significant unobservable inputs, or Level 3 inputs in the fair value hierarchy. The fair value of the Partnership’s investment in Capline LLC was based on an income approach utilizing a discounted cash flow analysis. Those cash flow forecasts require the use of various assumptions and estimates, which include those related to the timing and amount of capital expenditures, expected tariff rates, volumes of crude oil, and the terminal value. Management probability-weighted various forecasted cash flow scenarios in the analysis to consider the possible outcomes and used a discount rate representing the estimate of the risk adjusted discount rate that would be used by market participants.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the fair value of the investment in Capline LLC is a critical audit matter are there was significant judgment by management when developing the fair value estimate of the equity investment. This in turn led to a high degree of auditor judgment, subjectivity, and effort in performing procedures and evaluating management’s fair value estimate of the investment in Capline LLC and significant assumptions, including expected tariff rates, volumes of crude oil, terminal value and the discount rate. In addition, the audit effort involved the use of professionals with specialized skill and knowledge to assist in performing these procedures and evaluating the audit evidence obtained from these procedures.</w:t>
      </w:r>
    </w:p>
    <w:p>
      <w:pPr>
        <w:spacing w:after="0" w:line="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determination of the fair value of the Partnership’s investment in Capline LLC. These procedures also included, among others, testing management’s process for developing the fair value estimate of the investment in Capline LLC; evaluating the appropriateness of the discounted cash flow model; testing the completeness, accuracy and relevance of underlying data used in the model; and evaluating the reasonableness of significant assumptions, including expected tariff rates, volumes of crude oil, terminal value and discount rate. Evaluating management’s assumptions related to the forecasted volumes of crude oil and expected tariff rates involved evaluating whether the assumptions used were reasonable considering (i) relevant industry forecasts and macroeconomic conditions; (ii) consistency with external market and industry data; and (iii) whether these assumptions were consistent with evidence obtained in other areas of the audit. Professionals with specialized skill and knowledge were used to assist in the evaluation of the Partnership’s discounted cash flow model and certain significant assumptions, including the terminal value and the discount rate.</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27, 2020</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Partnership’s auditor since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unit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4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December 31, 2018</w:t>
            </w:r>
          </w:p>
        </w:tc>
      </w:tr>
      <w:tr>
        <w:trPr>
          <w:trHeight w:val="236"/>
        </w:trPr>
        <w:tc>
          <w:tcPr>
            <w:tcW w:w="8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03"/>
        </w:trPr>
        <w:tc>
          <w:tcPr>
            <w:tcW w:w="8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66</w:t>
            </w:r>
          </w:p>
        </w:tc>
      </w:tr>
      <w:tr>
        <w:trPr>
          <w:trHeight w:val="27"/>
        </w:trPr>
        <w:tc>
          <w:tcPr>
            <w:tcW w:w="8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color w:val="auto"/>
              </w:rPr>
              <w:t>Trade accounts receivable and other receivables, net</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3,614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2,454</w:t>
            </w:r>
          </w:p>
        </w:tc>
      </w:tr>
      <w:tr>
        <w:trPr>
          <w:trHeight w:val="27"/>
        </w:trPr>
        <w:tc>
          <w:tcPr>
            <w:tcW w:w="8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640</w:t>
            </w: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373</w:t>
            </w:r>
          </w:p>
        </w:tc>
      </w:tr>
      <w:tr>
        <w:trPr>
          <w:trHeight w:val="27"/>
        </w:trPr>
        <w:tc>
          <w:tcPr>
            <w:tcW w:w="8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3,533</w:t>
            </w:r>
          </w:p>
        </w:tc>
      </w:tr>
      <w:tr>
        <w:trPr>
          <w:trHeight w:val="142"/>
        </w:trPr>
        <w:tc>
          <w:tcPr>
            <w:tcW w:w="88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17,866</w:t>
            </w: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(3,079)</w:t>
            </w:r>
          </w:p>
        </w:tc>
      </w:tr>
      <w:tr>
        <w:trPr>
          <w:trHeight w:val="27"/>
        </w:trPr>
        <w:tc>
          <w:tcPr>
            <w:tcW w:w="8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15,355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14,787</w:t>
            </w:r>
          </w:p>
        </w:tc>
      </w:tr>
      <w:tr>
        <w:trPr>
          <w:trHeight w:val="142"/>
        </w:trPr>
        <w:tc>
          <w:tcPr>
            <w:tcW w:w="88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2,521</w:t>
            </w:r>
          </w:p>
        </w:tc>
      </w:tr>
      <w:tr>
        <w:trPr>
          <w:trHeight w:val="27"/>
        </w:trPr>
        <w:tc>
          <w:tcPr>
            <w:tcW w:w="8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2,702</w:t>
            </w: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color w:val="auto"/>
              </w:rPr>
              <w:t>Linefill and base gas</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916</w:t>
            </w:r>
          </w:p>
        </w:tc>
      </w:tr>
      <w:tr>
        <w:trPr>
          <w:trHeight w:val="27"/>
        </w:trPr>
        <w:tc>
          <w:tcPr>
            <w:tcW w:w="8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operating lease right-of-use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color w:val="auto"/>
              </w:rPr>
              <w:t>Long-term inventory</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136</w:t>
            </w:r>
          </w:p>
        </w:tc>
      </w:tr>
      <w:tr>
        <w:trPr>
          <w:trHeight w:val="27"/>
        </w:trPr>
        <w:tc>
          <w:tcPr>
            <w:tcW w:w="8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916</w:t>
            </w:r>
          </w:p>
        </w:tc>
      </w:tr>
      <w:tr>
        <w:trPr>
          <w:trHeight w:val="264"/>
        </w:trPr>
        <w:tc>
          <w:tcPr>
            <w:tcW w:w="884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28,677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25,511</w:t>
            </w: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9"/>
        </w:trPr>
        <w:tc>
          <w:tcPr>
            <w:tcW w:w="8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b w:val="1"/>
                <w:bCs w:val="1"/>
                <w:color w:val="auto"/>
              </w:rPr>
              <w:t>LIABILITIES AND PARTNERS’ CAPITAL</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62"/>
        </w:trPr>
        <w:tc>
          <w:tcPr>
            <w:tcW w:w="8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2,704</w:t>
            </w: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color w:val="auto"/>
              </w:rPr>
              <w:t>Short-term debt</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66</w:t>
            </w:r>
          </w:p>
        </w:tc>
      </w:tr>
      <w:tr>
        <w:trPr>
          <w:trHeight w:val="27"/>
        </w:trPr>
        <w:tc>
          <w:tcPr>
            <w:tcW w:w="8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686</w:t>
            </w:r>
          </w:p>
        </w:tc>
      </w:tr>
      <w:tr>
        <w:trPr>
          <w:trHeight w:val="237"/>
        </w:trPr>
        <w:tc>
          <w:tcPr>
            <w:tcW w:w="8840" w:type="dxa"/>
            <w:vAlign w:val="bottom"/>
          </w:tcPr>
          <w:p>
            <w:pPr>
              <w:ind w:left="12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3,456</w:t>
            </w:r>
          </w:p>
        </w:tc>
      </w:tr>
      <w:tr>
        <w:trPr>
          <w:trHeight w:val="27"/>
        </w:trPr>
        <w:tc>
          <w:tcPr>
            <w:tcW w:w="8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42"/>
        </w:trPr>
        <w:tc>
          <w:tcPr>
            <w:tcW w:w="8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8,941</w:t>
            </w: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color w:val="auto"/>
              </w:rPr>
              <w:t>Other long-term debt, net</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202</w:t>
            </w:r>
          </w:p>
        </w:tc>
      </w:tr>
      <w:tr>
        <w:trPr>
          <w:trHeight w:val="27"/>
        </w:trPr>
        <w:tc>
          <w:tcPr>
            <w:tcW w:w="8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color w:val="auto"/>
              </w:rPr>
              <w:t>Other long-term liabilities and deferred credits</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910</w:t>
            </w:r>
          </w:p>
        </w:tc>
      </w:tr>
      <w:tr>
        <w:trPr>
          <w:trHeight w:val="27"/>
        </w:trPr>
        <w:tc>
          <w:tcPr>
            <w:tcW w:w="8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long-term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10,053</w:t>
            </w:r>
          </w:p>
        </w:tc>
      </w:tr>
      <w:tr>
        <w:trPr>
          <w:trHeight w:val="142"/>
        </w:trPr>
        <w:tc>
          <w:tcPr>
            <w:tcW w:w="88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19)</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162"/>
        </w:trPr>
        <w:tc>
          <w:tcPr>
            <w:tcW w:w="8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70"/>
        </w:trPr>
        <w:tc>
          <w:tcPr>
            <w:tcW w:w="8840" w:type="dxa"/>
            <w:vAlign w:val="bottom"/>
          </w:tcPr>
          <w:p>
            <w:pPr>
              <w:ind w:left="20"/>
              <w:spacing w:after="0"/>
              <w:rPr>
                <w:sz w:val="20"/>
                <w:szCs w:val="20"/>
                <w:color w:val="auto"/>
              </w:rPr>
            </w:pPr>
            <w:r>
              <w:rPr>
                <w:rFonts w:ascii="Arial" w:cs="Arial" w:eastAsia="Arial" w:hAnsi="Arial"/>
                <w:sz w:val="18"/>
                <w:szCs w:val="18"/>
                <w:color w:val="auto"/>
              </w:rPr>
              <w:t>Series A preferred unitholders (71,090,468 and 71,090,468 units outstanding, respectively)</w:t>
            </w:r>
          </w:p>
        </w:tc>
        <w:tc>
          <w:tcPr>
            <w:tcW w:w="3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1,505</w:t>
            </w:r>
          </w:p>
        </w:tc>
      </w:tr>
      <w:tr>
        <w:trPr>
          <w:trHeight w:val="27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preferred unitholders (800,000 and 800,000 units outstanding, respectively)</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787</w:t>
            </w:r>
          </w:p>
        </w:tc>
      </w:tr>
      <w:tr>
        <w:trPr>
          <w:trHeight w:val="270"/>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unitholders (728,028,576 and 726,361,924 units outstanding, respectively)</w:t>
            </w: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10,770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9,710</w:t>
            </w:r>
          </w:p>
        </w:tc>
      </w:tr>
      <w:tr>
        <w:trPr>
          <w:trHeight w:val="244"/>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partners’ capital excluding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12,002</w:t>
            </w: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partners’ capital</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12,002</w:t>
            </w:r>
          </w:p>
        </w:tc>
      </w:tr>
      <w:tr>
        <w:trPr>
          <w:trHeight w:val="264"/>
        </w:trPr>
        <w:tc>
          <w:tcPr>
            <w:tcW w:w="8840" w:type="dxa"/>
            <w:vAlign w:val="bottom"/>
          </w:tcPr>
          <w:p>
            <w:pPr>
              <w:ind w:left="120"/>
              <w:spacing w:after="0"/>
              <w:rPr>
                <w:sz w:val="20"/>
                <w:szCs w:val="20"/>
                <w:color w:val="auto"/>
              </w:rPr>
            </w:pPr>
            <w:r>
              <w:rPr>
                <w:rFonts w:ascii="Arial" w:cs="Arial" w:eastAsia="Arial" w:hAnsi="Arial"/>
                <w:sz w:val="18"/>
                <w:szCs w:val="18"/>
                <w:color w:val="auto"/>
              </w:rPr>
              <w:t>Total liabilities and partners’ capital</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28,677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25,511</w:t>
            </w:r>
          </w:p>
        </w:tc>
      </w:tr>
      <w:tr>
        <w:trPr>
          <w:trHeight w:val="21"/>
        </w:trPr>
        <w:tc>
          <w:tcPr>
            <w:tcW w:w="8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380"/>
          </w:cols>
          <w:pgMar w:left="240" w:top="125" w:right="279" w:bottom="854"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854" w:gutter="0" w:footer="0" w:header="0"/>
          <w:type w:val="continuous"/>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except per unit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Borders>
              <w:bottom w:val="single" w:sz="8" w:color="auto"/>
            </w:tcBorders>
          </w:tcPr>
          <w:p>
            <w:pPr>
              <w:spacing w:after="0"/>
              <w:rPr>
                <w:sz w:val="16"/>
                <w:szCs w:val="16"/>
                <w:color w:val="auto"/>
              </w:rPr>
            </w:pPr>
          </w:p>
        </w:tc>
      </w:tr>
      <w:tr>
        <w:trPr>
          <w:trHeight w:val="196"/>
        </w:trPr>
        <w:tc>
          <w:tcPr>
            <w:tcW w:w="75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r>
      <w:tr>
        <w:trPr>
          <w:trHeight w:val="236"/>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Supply and Logistics segment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32,272</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32,819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25,056</w:t>
            </w: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segment revenues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612</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Facilities segment revenues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555</w:t>
            </w:r>
          </w:p>
        </w:tc>
      </w:tr>
      <w:tr>
        <w:trPr>
          <w:trHeight w:val="27"/>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34,055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26,223</w:t>
            </w:r>
          </w:p>
        </w:tc>
      </w:tr>
      <w:tr>
        <w:trPr>
          <w:trHeight w:val="216"/>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29,793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22,985</w:t>
            </w: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1,183</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276</w:t>
            </w: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517</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109</w:t>
            </w:r>
          </w:p>
        </w:tc>
      </w:tr>
      <w:tr>
        <w:trPr>
          <w:trHeight w:val="27"/>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31,778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25,070</w:t>
            </w:r>
          </w:p>
        </w:tc>
      </w:tr>
      <w:tr>
        <w:trPr>
          <w:trHeight w:val="257"/>
        </w:trPr>
        <w:tc>
          <w:tcPr>
            <w:tcW w:w="7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1,153</w:t>
            </w:r>
          </w:p>
        </w:tc>
      </w:tr>
      <w:tr>
        <w:trPr>
          <w:trHeight w:val="216"/>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290</w:t>
            </w: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investment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70"/>
        </w:trPr>
        <w:tc>
          <w:tcPr>
            <w:tcW w:w="7500" w:type="dxa"/>
            <w:vAlign w:val="bottom"/>
          </w:tcPr>
          <w:p>
            <w:pPr>
              <w:ind w:left="20"/>
              <w:spacing w:after="0"/>
              <w:rPr>
                <w:sz w:val="20"/>
                <w:szCs w:val="20"/>
                <w:color w:val="auto"/>
              </w:rPr>
            </w:pPr>
            <w:r>
              <w:rPr>
                <w:rFonts w:ascii="Arial" w:cs="Arial" w:eastAsia="Arial" w:hAnsi="Arial"/>
                <w:sz w:val="18"/>
                <w:szCs w:val="18"/>
                <w:color w:val="auto"/>
              </w:rPr>
              <w:t>Interest expense (net of capitalized interest of $34, $30 and $35, respectively)</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(510)</w:t>
            </w:r>
          </w:p>
        </w:tc>
      </w:tr>
      <w:tr>
        <w:trPr>
          <w:trHeight w:val="27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37"/>
        </w:trPr>
        <w:tc>
          <w:tcPr>
            <w:tcW w:w="75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902</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(expense)/benefit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37"/>
        </w:trPr>
        <w:tc>
          <w:tcPr>
            <w:tcW w:w="75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858</w:t>
            </w:r>
          </w:p>
        </w:tc>
      </w:tr>
      <w:tr>
        <w:trPr>
          <w:trHeight w:val="243"/>
        </w:trPr>
        <w:tc>
          <w:tcPr>
            <w:tcW w:w="7500" w:type="dxa"/>
            <w:vAlign w:val="bottom"/>
          </w:tcPr>
          <w:p>
            <w:pPr>
              <w:ind w:left="1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4"/>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PAA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856</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7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COMMON UNIT (NOTE 4):</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120"/>
              <w:spacing w:after="0"/>
              <w:rPr>
                <w:sz w:val="20"/>
                <w:szCs w:val="20"/>
                <w:color w:val="auto"/>
              </w:rPr>
            </w:pPr>
            <w:r>
              <w:rPr>
                <w:rFonts w:ascii="Arial" w:cs="Arial" w:eastAsia="Arial" w:hAnsi="Arial"/>
                <w:sz w:val="18"/>
                <w:szCs w:val="18"/>
                <w:color w:val="auto"/>
              </w:rPr>
              <w:t>Net income allocated to common unitholders —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1,967</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685</w:t>
            </w: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717</w:t>
            </w:r>
          </w:p>
        </w:tc>
      </w:tr>
      <w:tr>
        <w:trPr>
          <w:trHeight w:val="270"/>
        </w:trPr>
        <w:tc>
          <w:tcPr>
            <w:tcW w:w="7500" w:type="dxa"/>
            <w:vAlign w:val="bottom"/>
          </w:tcPr>
          <w:p>
            <w:pPr>
              <w:ind w:left="120"/>
              <w:spacing w:after="0"/>
              <w:rPr>
                <w:sz w:val="20"/>
                <w:szCs w:val="20"/>
                <w:color w:val="auto"/>
              </w:rPr>
            </w:pPr>
            <w:r>
              <w:rPr>
                <w:rFonts w:ascii="Arial" w:cs="Arial" w:eastAsia="Arial" w:hAnsi="Arial"/>
                <w:sz w:val="18"/>
                <w:szCs w:val="18"/>
                <w:color w:val="auto"/>
              </w:rPr>
              <w:t>Basic net income per common unit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0.96</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3"/>
        </w:trPr>
        <w:tc>
          <w:tcPr>
            <w:tcW w:w="7500" w:type="dxa"/>
            <w:vAlign w:val="bottom"/>
          </w:tcPr>
          <w:p>
            <w:pPr>
              <w:ind w:left="120"/>
              <w:spacing w:after="0"/>
              <w:rPr>
                <w:sz w:val="20"/>
                <w:szCs w:val="20"/>
                <w:color w:val="auto"/>
              </w:rPr>
            </w:pPr>
            <w:r>
              <w:rPr>
                <w:rFonts w:ascii="Arial" w:cs="Arial" w:eastAsia="Arial" w:hAnsi="Arial"/>
                <w:sz w:val="18"/>
                <w:szCs w:val="18"/>
                <w:color w:val="auto"/>
              </w:rPr>
              <w:t>Net income allocated to common unitholders —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2,119</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2,164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685</w:t>
            </w: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weighted average common units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718</w:t>
            </w:r>
          </w:p>
        </w:tc>
      </w:tr>
      <w:tr>
        <w:trPr>
          <w:trHeight w:val="270"/>
        </w:trPr>
        <w:tc>
          <w:tcPr>
            <w:tcW w:w="7500" w:type="dxa"/>
            <w:vAlign w:val="bottom"/>
          </w:tcPr>
          <w:p>
            <w:pPr>
              <w:ind w:left="120"/>
              <w:spacing w:after="0"/>
              <w:rPr>
                <w:sz w:val="20"/>
                <w:szCs w:val="20"/>
                <w:color w:val="auto"/>
              </w:rPr>
            </w:pPr>
            <w:r>
              <w:rPr>
                <w:rFonts w:ascii="Arial" w:cs="Arial" w:eastAsia="Arial" w:hAnsi="Arial"/>
                <w:sz w:val="18"/>
                <w:szCs w:val="18"/>
                <w:color w:val="auto"/>
              </w:rPr>
              <w:t>Diluted net income per common unit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2.65</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0.95</w:t>
            </w:r>
          </w:p>
        </w:tc>
      </w:tr>
      <w:tr>
        <w:trPr>
          <w:trHeight w:val="21"/>
        </w:trPr>
        <w:tc>
          <w:tcPr>
            <w:tcW w:w="7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Borders>
              <w:bottom w:val="single" w:sz="8" w:color="auto"/>
            </w:tcBorders>
          </w:tcPr>
          <w:p>
            <w:pPr>
              <w:spacing w:after="0"/>
              <w:rPr>
                <w:sz w:val="16"/>
                <w:szCs w:val="16"/>
                <w:color w:val="auto"/>
              </w:rPr>
            </w:pPr>
          </w:p>
        </w:tc>
      </w:tr>
      <w:tr>
        <w:trPr>
          <w:trHeight w:val="196"/>
        </w:trPr>
        <w:tc>
          <w:tcPr>
            <w:tcW w:w="75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858</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Other comprehensive income/(loss)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239</w:t>
            </w:r>
          </w:p>
        </w:tc>
      </w:tr>
      <w:tr>
        <w:trPr>
          <w:trHeight w:val="27"/>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1,097</w:t>
            </w:r>
          </w:p>
        </w:tc>
      </w:tr>
      <w:tr>
        <w:trPr>
          <w:trHeight w:val="243"/>
        </w:trPr>
        <w:tc>
          <w:tcPr>
            <w:tcW w:w="7500" w:type="dxa"/>
            <w:vAlign w:val="bottom"/>
          </w:tcPr>
          <w:p>
            <w:pPr>
              <w:ind w:left="120"/>
              <w:spacing w:after="0"/>
              <w:rPr>
                <w:sz w:val="20"/>
                <w:szCs w:val="20"/>
                <w:color w:val="auto"/>
              </w:rPr>
            </w:pPr>
            <w:r>
              <w:rPr>
                <w:rFonts w:ascii="Arial" w:cs="Arial" w:eastAsia="Arial" w:hAnsi="Arial"/>
                <w:sz w:val="18"/>
                <w:szCs w:val="18"/>
                <w:color w:val="auto"/>
              </w:rPr>
              <w:t>Comprehensive income attributable to noncontrolling interests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PAA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1,956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1,095</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ACCUMULATED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COMPREHENSIVE INCOME/(LOSS)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Translation</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8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Unrealized loss on hedges</w:t>
            </w: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7"/>
        </w:trPr>
        <w:tc>
          <w:tcPr>
            <w:tcW w:w="6160" w:type="dxa"/>
            <w:vAlign w:val="bottom"/>
          </w:tcPr>
          <w:p>
            <w:pPr>
              <w:ind w:left="120"/>
              <w:spacing w:after="0"/>
              <w:rPr>
                <w:sz w:val="20"/>
                <w:szCs w:val="20"/>
                <w:color w:val="auto"/>
              </w:rPr>
            </w:pPr>
            <w:r>
              <w:rPr>
                <w:rFonts w:ascii="Arial" w:cs="Arial" w:eastAsia="Arial" w:hAnsi="Arial"/>
                <w:sz w:val="18"/>
                <w:szCs w:val="18"/>
                <w:color w:val="auto"/>
              </w:rPr>
              <w:t>2017 Activity</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Unrealized gain on hedges</w:t>
            </w:r>
          </w:p>
        </w:tc>
        <w:tc>
          <w:tcPr>
            <w:tcW w:w="1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2018 Activity</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7"/>
        </w:trPr>
        <w:tc>
          <w:tcPr>
            <w:tcW w:w="616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Reclassification adjustments</w:t>
            </w:r>
          </w:p>
        </w:tc>
        <w:tc>
          <w:tcPr>
            <w:tcW w:w="1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hedges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2019 Activity</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616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196"/>
        </w:trPr>
        <w:tc>
          <w:tcPr>
            <w:tcW w:w="7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r>
      <w:tr>
        <w:trPr>
          <w:trHeight w:val="22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2,180</w:t>
            </w:r>
          </w:p>
        </w:tc>
        <w:tc>
          <w:tcPr>
            <w:tcW w:w="12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2,216</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858</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Reconciliation of net income to net cash provided by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4"/>
        </w:trPr>
        <w:tc>
          <w:tcPr>
            <w:tcW w:w="78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517</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(Gains)/losses on asset sales and asset impairments, net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w:t>
            </w:r>
          </w:p>
        </w:tc>
      </w:tr>
      <w:tr>
        <w:trPr>
          <w:trHeight w:val="224"/>
        </w:trPr>
        <w:tc>
          <w:tcPr>
            <w:tcW w:w="7860" w:type="dxa"/>
            <w:vAlign w:val="bottom"/>
          </w:tcPr>
          <w:p>
            <w:pPr>
              <w:ind w:left="120"/>
              <w:spacing w:after="0"/>
              <w:rPr>
                <w:sz w:val="20"/>
                <w:szCs w:val="20"/>
                <w:color w:val="auto"/>
              </w:rPr>
            </w:pPr>
            <w:r>
              <w:rPr>
                <w:rFonts w:ascii="Arial" w:cs="Arial" w:eastAsia="Arial" w:hAnsi="Arial"/>
                <w:sz w:val="16"/>
                <w:szCs w:val="16"/>
                <w:color w:val="auto"/>
              </w:rPr>
              <w:t>Equity-indexed compensation expense</w:t>
            </w: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41</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Inventory valuation adjustments (Note 5)</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r>
      <w:tr>
        <w:trPr>
          <w:trHeight w:val="224"/>
        </w:trPr>
        <w:tc>
          <w:tcPr>
            <w:tcW w:w="7860" w:type="dxa"/>
            <w:vAlign w:val="bottom"/>
          </w:tcPr>
          <w:p>
            <w:pPr>
              <w:ind w:left="120"/>
              <w:spacing w:after="0"/>
              <w:rPr>
                <w:sz w:val="20"/>
                <w:szCs w:val="20"/>
                <w:color w:val="auto"/>
              </w:rPr>
            </w:pPr>
            <w:r>
              <w:rPr>
                <w:rFonts w:ascii="Arial" w:cs="Arial" w:eastAsia="Arial" w:hAnsi="Arial"/>
                <w:sz w:val="16"/>
                <w:szCs w:val="16"/>
                <w:color w:val="auto"/>
              </w:rPr>
              <w:t>Deferred income tax expense/(benefit)</w:t>
            </w: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16</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Settlement of terminated interest rate hedging instruments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r>
      <w:tr>
        <w:trPr>
          <w:trHeight w:val="224"/>
        </w:trPr>
        <w:tc>
          <w:tcPr>
            <w:tcW w:w="7860" w:type="dxa"/>
            <w:vAlign w:val="bottom"/>
          </w:tcPr>
          <w:p>
            <w:pPr>
              <w:ind w:left="120"/>
              <w:spacing w:after="0"/>
              <w:rPr>
                <w:sz w:val="20"/>
                <w:szCs w:val="20"/>
                <w:color w:val="auto"/>
              </w:rPr>
            </w:pPr>
            <w:r>
              <w:rPr>
                <w:rFonts w:ascii="Arial" w:cs="Arial" w:eastAsia="Arial" w:hAnsi="Arial"/>
                <w:sz w:val="16"/>
                <w:szCs w:val="16"/>
                <w:color w:val="auto"/>
              </w:rPr>
              <w:t>Equity earnings in unconsolidated entities</w:t>
            </w: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(290)</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Distributions on earnings from unconsolidated entities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304</w:t>
            </w:r>
          </w:p>
        </w:tc>
      </w:tr>
      <w:tr>
        <w:trPr>
          <w:trHeight w:val="224"/>
        </w:trPr>
        <w:tc>
          <w:tcPr>
            <w:tcW w:w="7860" w:type="dxa"/>
            <w:vAlign w:val="bottom"/>
          </w:tcPr>
          <w:p>
            <w:pPr>
              <w:ind w:left="120"/>
              <w:spacing w:after="0"/>
              <w:rPr>
                <w:sz w:val="20"/>
                <w:szCs w:val="20"/>
                <w:color w:val="auto"/>
              </w:rPr>
            </w:pPr>
            <w:r>
              <w:rPr>
                <w:rFonts w:ascii="Arial" w:cs="Arial" w:eastAsia="Arial" w:hAnsi="Arial"/>
                <w:sz w:val="16"/>
                <w:szCs w:val="16"/>
                <w:color w:val="auto"/>
              </w:rPr>
              <w:t>Gain on investment in unconsolidated entities</w:t>
            </w: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Changes in assets and liabilities, net of acquisitions: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Trade accounts receivable and other</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w:t>
            </w:r>
          </w:p>
        </w:tc>
      </w:tr>
      <w:tr>
        <w:trPr>
          <w:trHeight w:val="224"/>
        </w:trPr>
        <w:tc>
          <w:tcPr>
            <w:tcW w:w="786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605</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Trade accounts payable and other</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847</w:t>
            </w:r>
          </w:p>
        </w:tc>
      </w:tr>
      <w:tr>
        <w:trPr>
          <w:trHeight w:val="217"/>
        </w:trPr>
        <w:tc>
          <w:tcPr>
            <w:tcW w:w="786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2,504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2,608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2,499</w:t>
            </w: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88"/>
        </w:trPr>
        <w:tc>
          <w:tcPr>
            <w:tcW w:w="78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in connection with acquisitions, net of cash acquired (Note 7)</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Investments in unconsolidated entities (Note 9)</w:t>
            </w: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(416)</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 to property, equipment and other</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(1,024)</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Proceeds from sales of assets (Note 7)</w:t>
            </w: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1,334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1,083</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Return of investment from unconsolidated entities (Note 9)</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Cash received from sales of linefill and base gas</w:t>
            </w:r>
          </w:p>
        </w:tc>
        <w:tc>
          <w:tcPr>
            <w:tcW w:w="2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49</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purchases of linefill and base gas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(1,570)</w:t>
            </w:r>
          </w:p>
        </w:tc>
      </w:tr>
      <w:tr>
        <w:trPr>
          <w:trHeight w:val="88"/>
        </w:trPr>
        <w:tc>
          <w:tcPr>
            <w:tcW w:w="786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Net borrowings/(repayments) under commercial paper program (Note 11)</w:t>
            </w: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(690)</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borrowings/(repayments) under senior secured hedged inventory facility (Note 11)</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Proceeds from GO Zone term loans (Note 11)</w:t>
            </w:r>
          </w:p>
        </w:tc>
        <w:tc>
          <w:tcPr>
            <w:tcW w:w="2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the issuance of senior notes (Note 11)</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Repayments of senior notes (Note 11)</w:t>
            </w: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(1,350)</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proceeds from the sale of Series B preferred units (Note 12)</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788</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Net proceeds from the sale of common units (Note 12)</w:t>
            </w:r>
          </w:p>
        </w:tc>
        <w:tc>
          <w:tcPr>
            <w:tcW w:w="2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1,664</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Distributions paid to Series A preferred unitholders (Note 12)</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Distributions paid to Series B preferred unitholders (Note 12)</w:t>
            </w: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Distributions paid to common unitholders (Note 12)</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(1,386)</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Sale of noncontrolling interest in a subsidiary (Note 12)</w:t>
            </w: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17"/>
        </w:trPr>
        <w:tc>
          <w:tcPr>
            <w:tcW w:w="7860" w:type="dxa"/>
            <w:vAlign w:val="bottom"/>
          </w:tcPr>
          <w:p>
            <w:pPr>
              <w:ind w:left="34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(943)</w:t>
            </w: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88"/>
        </w:trPr>
        <w:tc>
          <w:tcPr>
            <w:tcW w:w="78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Effect of translation adjustment on cash</w:t>
            </w: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08"/>
        </w:trPr>
        <w:tc>
          <w:tcPr>
            <w:tcW w:w="78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Net increase/(decrease) in cash and cash equivalents and restricted cash</w:t>
            </w: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beginning of period</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w:t>
            </w: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end of period</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37</w:t>
            </w:r>
          </w:p>
        </w:tc>
      </w:tr>
      <w:tr>
        <w:trPr>
          <w:trHeight w:val="33"/>
        </w:trPr>
        <w:tc>
          <w:tcPr>
            <w:tcW w:w="7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5"/>
        </w:trPr>
        <w:tc>
          <w:tcPr>
            <w:tcW w:w="78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Cash paid for:</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net of amounts capitalized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486</w:t>
            </w:r>
          </w:p>
        </w:tc>
      </w:tr>
      <w:tr>
        <w:trPr>
          <w:trHeight w:val="224"/>
        </w:trPr>
        <w:tc>
          <w:tcPr>
            <w:tcW w:w="7860" w:type="dxa"/>
            <w:vAlign w:val="bottom"/>
          </w:tcPr>
          <w:p>
            <w:pPr>
              <w:ind w:left="120"/>
              <w:spacing w:after="0"/>
              <w:rPr>
                <w:sz w:val="20"/>
                <w:szCs w:val="20"/>
                <w:color w:val="auto"/>
              </w:rPr>
            </w:pPr>
            <w:r>
              <w:rPr>
                <w:rFonts w:ascii="Arial" w:cs="Arial" w:eastAsia="Arial" w:hAnsi="Arial"/>
                <w:sz w:val="16"/>
                <w:szCs w:val="16"/>
                <w:color w:val="auto"/>
              </w:rPr>
              <w:t>Income taxes, net of amounts refunded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50</w:t>
            </w:r>
          </w:p>
        </w:tc>
      </w:tr>
    </w:tbl>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PLAINS ALL AMERICAN PIPELINE, L.P. AND SUBSIDIARIES CONSOLIDATED STATEMENTS OF CHANGES IN PARTNERS’ CAPITAL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Limited Partners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Partners’ Capital</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35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Excluding</w:t>
            </w: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center"/>
              <w:ind w:right="112"/>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9"/>
        </w:trPr>
        <w:tc>
          <w:tcPr>
            <w:tcW w:w="3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60" w:type="dxa"/>
            <w:vAlign w:val="bottom"/>
            <w:gridSpan w:val="4"/>
            <w:vMerge w:val="restart"/>
          </w:tcPr>
          <w:p>
            <w:pPr>
              <w:jc w:val="right"/>
              <w:ind w:right="411"/>
              <w:spacing w:after="0"/>
              <w:rPr>
                <w:sz w:val="20"/>
                <w:szCs w:val="20"/>
                <w:color w:val="auto"/>
              </w:rPr>
            </w:pPr>
            <w:r>
              <w:rPr>
                <w:rFonts w:ascii="Arial" w:cs="Arial" w:eastAsia="Arial" w:hAnsi="Arial"/>
                <w:sz w:val="14"/>
                <w:szCs w:val="14"/>
                <w:b w:val="1"/>
                <w:bCs w:val="1"/>
                <w:color w:val="auto"/>
              </w:rPr>
              <w:t>Preferred Unitholders</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ind w:left="120"/>
              <w:spacing w:after="0" w:line="158"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9"/>
                <w:szCs w:val="9"/>
                <w:color w:val="auto"/>
              </w:rPr>
            </w:pPr>
          </w:p>
        </w:tc>
        <w:tc>
          <w:tcPr>
            <w:tcW w:w="1340" w:type="dxa"/>
            <w:vAlign w:val="bottom"/>
            <w:gridSpan w:val="2"/>
            <w:vMerge w:val="restart"/>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Noncontrolling</w:t>
            </w:r>
          </w:p>
        </w:tc>
        <w:tc>
          <w:tcPr>
            <w:tcW w:w="180" w:type="dxa"/>
            <w:vAlign w:val="bottom"/>
          </w:tcPr>
          <w:p>
            <w:pPr>
              <w:spacing w:after="0"/>
              <w:rPr>
                <w:sz w:val="9"/>
                <w:szCs w:val="9"/>
                <w:color w:val="auto"/>
              </w:rPr>
            </w:pPr>
          </w:p>
        </w:tc>
        <w:tc>
          <w:tcPr>
            <w:tcW w:w="1400" w:type="dxa"/>
            <w:vAlign w:val="bottom"/>
            <w:gridSpan w:val="2"/>
            <w:vMerge w:val="restart"/>
          </w:tcPr>
          <w:p>
            <w:pPr>
              <w:ind w:left="80"/>
              <w:spacing w:after="0" w:line="158" w:lineRule="exact"/>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9"/>
                <w:szCs w:val="9"/>
                <w:color w:val="auto"/>
              </w:rPr>
            </w:pPr>
          </w:p>
        </w:tc>
        <w:tc>
          <w:tcPr>
            <w:tcW w:w="960" w:type="dxa"/>
            <w:vAlign w:val="bottom"/>
            <w:vMerge w:val="restart"/>
          </w:tcPr>
          <w:p>
            <w:pPr>
              <w:jc w:val="center"/>
              <w:ind w:right="92"/>
              <w:spacing w:after="0" w:line="158"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Series A</w:t>
            </w:r>
          </w:p>
        </w:tc>
        <w:tc>
          <w:tcPr>
            <w:tcW w:w="1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Series B</w:t>
            </w:r>
          </w:p>
        </w:tc>
        <w:tc>
          <w:tcPr>
            <w:tcW w:w="10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7"/>
              </w:rPr>
              <w:t>Unitholders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Interests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9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7,251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8,759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43"/>
        </w:trPr>
        <w:tc>
          <w:tcPr>
            <w:tcW w:w="3540" w:type="dxa"/>
            <w:vAlign w:val="bottom"/>
          </w:tcPr>
          <w:p>
            <w:pPr>
              <w:ind w:left="120"/>
              <w:spacing w:after="0"/>
              <w:rPr>
                <w:sz w:val="20"/>
                <w:szCs w:val="20"/>
                <w:color w:val="auto"/>
              </w:rPr>
            </w:pPr>
            <w:r>
              <w:rPr>
                <w:rFonts w:ascii="Arial" w:cs="Arial" w:eastAsia="Arial" w:hAnsi="Arial"/>
                <w:sz w:val="18"/>
                <w:szCs w:val="18"/>
                <w:color w:val="auto"/>
              </w:rPr>
              <w:t>Distributions (Note 12)</w:t>
            </w:r>
          </w:p>
        </w:tc>
        <w:tc>
          <w:tcPr>
            <w:tcW w:w="2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Sale of Series B preferred units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43"/>
        </w:trPr>
        <w:tc>
          <w:tcPr>
            <w:tcW w:w="3540" w:type="dxa"/>
            <w:vAlign w:val="bottom"/>
          </w:tcPr>
          <w:p>
            <w:pPr>
              <w:ind w:left="120"/>
              <w:spacing w:after="0"/>
              <w:rPr>
                <w:sz w:val="20"/>
                <w:szCs w:val="20"/>
                <w:color w:val="auto"/>
              </w:rPr>
            </w:pPr>
            <w:r>
              <w:rPr>
                <w:rFonts w:ascii="Arial" w:cs="Arial" w:eastAsia="Arial" w:hAnsi="Arial"/>
                <w:sz w:val="18"/>
                <w:szCs w:val="18"/>
                <w:color w:val="auto"/>
              </w:rPr>
              <w:t>Sales of common units</w:t>
            </w:r>
          </w:p>
        </w:tc>
        <w:tc>
          <w:tcPr>
            <w:tcW w:w="2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Acquisition of interest in Advantage Joint</w:t>
            </w:r>
          </w:p>
        </w:tc>
        <w:tc>
          <w:tcPr>
            <w:tcW w:w="2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Venture (Note 7)</w:t>
            </w:r>
          </w:p>
        </w:tc>
        <w:tc>
          <w:tcPr>
            <w:tcW w:w="2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140"/>
              <w:spacing w:after="0" w:line="176" w:lineRule="exact"/>
              <w:rPr>
                <w:sz w:val="20"/>
                <w:szCs w:val="20"/>
                <w:color w:val="auto"/>
              </w:rPr>
            </w:pPr>
            <w:r>
              <w:rPr>
                <w:rFonts w:ascii="Arial" w:cs="Arial" w:eastAsia="Arial" w:hAnsi="Arial"/>
                <w:sz w:val="18"/>
                <w:szCs w:val="18"/>
                <w:color w:val="auto"/>
              </w:rPr>
              <w:t>Sale of interest in SLC Pipeline LLC (Note</w:t>
            </w:r>
          </w:p>
        </w:tc>
        <w:tc>
          <w:tcPr>
            <w:tcW w:w="200" w:type="dxa"/>
            <w:vAlign w:val="bottom"/>
          </w:tcPr>
          <w:p>
            <w:pPr>
              <w:spacing w:after="0"/>
              <w:rPr>
                <w:sz w:val="15"/>
                <w:szCs w:val="15"/>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80" w:type="dxa"/>
            <w:vAlign w:val="bottom"/>
            <w:vMerge w:val="restart"/>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540" w:type="dxa"/>
            <w:vAlign w:val="bottom"/>
          </w:tcPr>
          <w:p>
            <w:pPr>
              <w:ind w:left="3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0"/>
        </w:trPr>
        <w:tc>
          <w:tcPr>
            <w:tcW w:w="3540" w:type="dxa"/>
            <w:vAlign w:val="bottom"/>
          </w:tcPr>
          <w:p>
            <w:pPr>
              <w:ind w:left="140"/>
              <w:spacing w:after="0"/>
              <w:rPr>
                <w:sz w:val="20"/>
                <w:szCs w:val="20"/>
                <w:color w:val="auto"/>
              </w:rPr>
            </w:pPr>
            <w:r>
              <w:rPr>
                <w:rFonts w:ascii="Arial" w:cs="Arial" w:eastAsia="Arial" w:hAnsi="Arial"/>
                <w:sz w:val="18"/>
                <w:szCs w:val="18"/>
                <w:color w:val="auto"/>
              </w:rPr>
              <w:t>Equity-indexed compensation expense</w:t>
            </w:r>
          </w:p>
        </w:tc>
        <w:tc>
          <w:tcPr>
            <w:tcW w:w="20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8,665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10,958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Impact of adoption of ASU 2017-05</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11,071</w:t>
            </w:r>
          </w:p>
        </w:tc>
        <w:tc>
          <w:tcPr>
            <w:tcW w:w="0" w:type="dxa"/>
            <w:vAlign w:val="bottom"/>
          </w:tcPr>
          <w:p>
            <w:pPr>
              <w:spacing w:after="0"/>
              <w:rPr>
                <w:sz w:val="1"/>
                <w:szCs w:val="1"/>
                <w:color w:val="auto"/>
              </w:rPr>
            </w:pPr>
          </w:p>
        </w:tc>
      </w:tr>
      <w:tr>
        <w:trPr>
          <w:trHeight w:val="243"/>
        </w:trPr>
        <w:tc>
          <w:tcPr>
            <w:tcW w:w="35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2,216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Distributions (Note 12)</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43"/>
        </w:trPr>
        <w:tc>
          <w:tcPr>
            <w:tcW w:w="354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540" w:type="dxa"/>
            <w:vAlign w:val="bottom"/>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9,710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12,002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12,002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43"/>
        </w:trPr>
        <w:tc>
          <w:tcPr>
            <w:tcW w:w="3540" w:type="dxa"/>
            <w:vAlign w:val="bottom"/>
          </w:tcPr>
          <w:p>
            <w:pPr>
              <w:ind w:left="120"/>
              <w:spacing w:after="0"/>
              <w:rPr>
                <w:sz w:val="20"/>
                <w:szCs w:val="20"/>
                <w:color w:val="auto"/>
              </w:rPr>
            </w:pPr>
            <w:r>
              <w:rPr>
                <w:rFonts w:ascii="Arial" w:cs="Arial" w:eastAsia="Arial" w:hAnsi="Arial"/>
                <w:sz w:val="18"/>
                <w:szCs w:val="18"/>
                <w:color w:val="auto"/>
              </w:rPr>
              <w:t>Distributions (Note 12)</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0"/>
        </w:trPr>
        <w:tc>
          <w:tcPr>
            <w:tcW w:w="3540" w:type="dxa"/>
            <w:vAlign w:val="bottom"/>
          </w:tcPr>
          <w:p>
            <w:pPr>
              <w:ind w:left="140"/>
              <w:spacing w:after="0"/>
              <w:rPr>
                <w:sz w:val="20"/>
                <w:szCs w:val="20"/>
                <w:color w:val="auto"/>
              </w:rPr>
            </w:pPr>
            <w:r>
              <w:rPr>
                <w:rFonts w:ascii="Arial" w:cs="Arial" w:eastAsia="Arial" w:hAnsi="Arial"/>
                <w:sz w:val="18"/>
                <w:szCs w:val="18"/>
                <w:color w:val="auto"/>
              </w:rPr>
              <w:t>Equity-indexed compensation expense</w:t>
            </w:r>
          </w:p>
        </w:tc>
        <w:tc>
          <w:tcPr>
            <w:tcW w:w="20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6"/>
        </w:trPr>
        <w:tc>
          <w:tcPr>
            <w:tcW w:w="3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Sale of noncontrolling interest in a subsidiary</w:t>
            </w:r>
          </w:p>
        </w:tc>
        <w:tc>
          <w:tcPr>
            <w:tcW w:w="2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 12)</w:t>
            </w:r>
          </w:p>
        </w:tc>
        <w:tc>
          <w:tcPr>
            <w:tcW w:w="2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10,770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13,062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10-K and unless the context indicates otherwise, the terms “Partnership,” “we,” “us,” “our,” “ours” and similar terms refer to PAA and its subsidiaries.</w:t>
      </w:r>
    </w:p>
    <w:p>
      <w:pPr>
        <w:spacing w:after="0" w:line="20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primarily for crude oil, natural gas liquids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21 for further discussion of our operating segments.</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non-economic general partner interest is held by PAA GP LLC (“PAA GP”), a Delaware limited liability company, whose sole member is Plains AAP, L.P. (“AAP”), a Delaware limited partnership. In addition to its ownership of PAA GP, as of December 31, 2019, AAP also owned a limited partner interest in us through its ownership of approximately 249.6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December 31, 2019, owned an approximate 73% limited partner interest in AAP. PAA GP Holdings LLC (“PAGP GP”) is the general partner of PAGP.</w:t>
      </w:r>
    </w:p>
    <w:p>
      <w:pPr>
        <w:spacing w:after="0" w:line="22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208"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References to the “PAGP Entities” include PAGP GP, PAGP, GP LLC, AAP and PAA GP. References to our “general partner,” as the context requires, include any or all of the PAGP Entities. References to the “Plains Entities” include us, our subsidiaries and the PAGP Entities.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the following notes and shall have the meanings indicated below:</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AOCI</w:t>
            </w:r>
          </w:p>
        </w:tc>
        <w:tc>
          <w:tcPr>
            <w:tcW w:w="5580" w:type="dxa"/>
            <w:vAlign w:val="bottom"/>
            <w:gridSpan w:val="2"/>
          </w:tcPr>
          <w:p>
            <w:pPr>
              <w:ind w:left="760"/>
              <w:spacing w:after="0"/>
              <w:rPr>
                <w:sz w:val="20"/>
                <w:szCs w:val="20"/>
                <w:color w:val="auto"/>
              </w:rPr>
            </w:pPr>
            <w:r>
              <w:rPr>
                <w:rFonts w:ascii="Arial" w:cs="Arial" w:eastAsia="Arial" w:hAnsi="Arial"/>
                <w:sz w:val="18"/>
                <w:szCs w:val="18"/>
                <w:color w:val="auto"/>
              </w:rPr>
              <w:t>=   Accumulated other comprehensive income/(loss)</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ASC</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ASU</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Bcf</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Billion cubic feet</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CAD</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Canadian dollar</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CODM</w:t>
            </w:r>
          </w:p>
        </w:tc>
        <w:tc>
          <w:tcPr>
            <w:tcW w:w="5580" w:type="dxa"/>
            <w:vAlign w:val="bottom"/>
            <w:gridSpan w:val="2"/>
          </w:tcPr>
          <w:p>
            <w:pPr>
              <w:ind w:left="760"/>
              <w:spacing w:after="0"/>
              <w:rPr>
                <w:sz w:val="20"/>
                <w:szCs w:val="20"/>
                <w:color w:val="auto"/>
              </w:rPr>
            </w:pPr>
            <w:r>
              <w:rPr>
                <w:rFonts w:ascii="Arial" w:cs="Arial" w:eastAsia="Arial" w:hAnsi="Arial"/>
                <w:sz w:val="18"/>
                <w:szCs w:val="18"/>
                <w:color w:val="auto"/>
              </w:rPr>
              <w:t>=   Chief Operating Decision Maker</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DERs</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Distribution equivalent rights</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EBITDA</w:t>
            </w:r>
          </w:p>
        </w:tc>
        <w:tc>
          <w:tcPr>
            <w:tcW w:w="5580" w:type="dxa"/>
            <w:vAlign w:val="bottom"/>
            <w:gridSpan w:val="2"/>
          </w:tcPr>
          <w:p>
            <w:pPr>
              <w:ind w:left="760"/>
              <w:spacing w:after="0"/>
              <w:rPr>
                <w:sz w:val="20"/>
                <w:szCs w:val="20"/>
                <w:color w:val="auto"/>
              </w:rPr>
            </w:pPr>
            <w:r>
              <w:rPr>
                <w:rFonts w:ascii="Arial" w:cs="Arial" w:eastAsia="Arial" w:hAnsi="Arial"/>
                <w:sz w:val="18"/>
                <w:szCs w:val="18"/>
                <w:color w:val="auto"/>
                <w:w w:val="93"/>
              </w:rPr>
              <w:t>=   Earnings before interest, taxes, depreciation and amortization</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EPA</w:t>
            </w:r>
          </w:p>
        </w:tc>
        <w:tc>
          <w:tcPr>
            <w:tcW w:w="5580" w:type="dxa"/>
            <w:vAlign w:val="bottom"/>
            <w:gridSpan w:val="2"/>
          </w:tcPr>
          <w:p>
            <w:pPr>
              <w:ind w:left="760"/>
              <w:spacing w:after="0"/>
              <w:rPr>
                <w:sz w:val="20"/>
                <w:szCs w:val="20"/>
                <w:color w:val="auto"/>
              </w:rPr>
            </w:pPr>
            <w:r>
              <w:rPr>
                <w:rFonts w:ascii="Arial" w:cs="Arial" w:eastAsia="Arial" w:hAnsi="Arial"/>
                <w:sz w:val="18"/>
                <w:szCs w:val="18"/>
                <w:color w:val="auto"/>
              </w:rPr>
              <w:t>=   United States Environmental Protection Agency</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FASB</w:t>
            </w:r>
          </w:p>
        </w:tc>
        <w:tc>
          <w:tcPr>
            <w:tcW w:w="5580" w:type="dxa"/>
            <w:vAlign w:val="bottom"/>
            <w:gridSpan w:val="2"/>
          </w:tcPr>
          <w:p>
            <w:pPr>
              <w:ind w:left="760"/>
              <w:spacing w:after="0"/>
              <w:rPr>
                <w:sz w:val="20"/>
                <w:szCs w:val="20"/>
                <w:color w:val="auto"/>
              </w:rPr>
            </w:pPr>
            <w:r>
              <w:rPr>
                <w:rFonts w:ascii="Arial" w:cs="Arial" w:eastAsia="Arial" w:hAnsi="Arial"/>
                <w:sz w:val="18"/>
                <w:szCs w:val="18"/>
                <w:color w:val="auto"/>
              </w:rPr>
              <w:t>=   Financial Accounting Standards Board</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GAAP</w:t>
            </w:r>
          </w:p>
        </w:tc>
        <w:tc>
          <w:tcPr>
            <w:tcW w:w="5580" w:type="dxa"/>
            <w:vAlign w:val="bottom"/>
            <w:gridSpan w:val="2"/>
          </w:tcPr>
          <w:p>
            <w:pPr>
              <w:ind w:left="760"/>
              <w:spacing w:after="0"/>
              <w:rPr>
                <w:sz w:val="20"/>
                <w:szCs w:val="20"/>
                <w:color w:val="auto"/>
              </w:rPr>
            </w:pPr>
            <w:r>
              <w:rPr>
                <w:rFonts w:ascii="Arial" w:cs="Arial" w:eastAsia="Arial" w:hAnsi="Arial"/>
                <w:sz w:val="18"/>
                <w:szCs w:val="18"/>
                <w:color w:val="auto"/>
                <w:w w:val="93"/>
              </w:rPr>
              <w:t>=   Generally accepted accounting principles in the United States</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ICE</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Intercontinental Exchange</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ISDA</w:t>
            </w:r>
          </w:p>
        </w:tc>
        <w:tc>
          <w:tcPr>
            <w:tcW w:w="5580" w:type="dxa"/>
            <w:vAlign w:val="bottom"/>
            <w:gridSpan w:val="2"/>
          </w:tcPr>
          <w:p>
            <w:pPr>
              <w:ind w:left="760"/>
              <w:spacing w:after="0"/>
              <w:rPr>
                <w:sz w:val="20"/>
                <w:szCs w:val="20"/>
                <w:color w:val="auto"/>
              </w:rPr>
            </w:pPr>
            <w:r>
              <w:rPr>
                <w:rFonts w:ascii="Arial" w:cs="Arial" w:eastAsia="Arial" w:hAnsi="Arial"/>
                <w:sz w:val="18"/>
                <w:szCs w:val="18"/>
                <w:color w:val="auto"/>
              </w:rPr>
              <w:t>=   International Swaps and Derivatives Association</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LIBOR</w:t>
            </w:r>
          </w:p>
        </w:tc>
        <w:tc>
          <w:tcPr>
            <w:tcW w:w="5580" w:type="dxa"/>
            <w:vAlign w:val="bottom"/>
            <w:gridSpan w:val="2"/>
          </w:tcPr>
          <w:p>
            <w:pPr>
              <w:ind w:left="760"/>
              <w:spacing w:after="0"/>
              <w:rPr>
                <w:sz w:val="20"/>
                <w:szCs w:val="20"/>
                <w:color w:val="auto"/>
              </w:rPr>
            </w:pPr>
            <w:r>
              <w:rPr>
                <w:rFonts w:ascii="Arial" w:cs="Arial" w:eastAsia="Arial" w:hAnsi="Arial"/>
                <w:sz w:val="18"/>
                <w:szCs w:val="18"/>
                <w:color w:val="auto"/>
              </w:rPr>
              <w:t>=   London Interbank Offered Rate</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LTIP</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Long-term incentive plan</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Mcf</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Thousand cubic feet</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MMbls</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Million barrels</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MLP</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Master limited partnership</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NGL</w:t>
            </w:r>
          </w:p>
        </w:tc>
        <w:tc>
          <w:tcPr>
            <w:tcW w:w="5580" w:type="dxa"/>
            <w:vAlign w:val="bottom"/>
            <w:gridSpan w:val="2"/>
          </w:tcPr>
          <w:p>
            <w:pPr>
              <w:ind w:left="760"/>
              <w:spacing w:after="0"/>
              <w:rPr>
                <w:sz w:val="20"/>
                <w:szCs w:val="20"/>
                <w:color w:val="auto"/>
              </w:rPr>
            </w:pPr>
            <w:r>
              <w:rPr>
                <w:rFonts w:ascii="Arial" w:cs="Arial" w:eastAsia="Arial" w:hAnsi="Arial"/>
                <w:sz w:val="18"/>
                <w:szCs w:val="18"/>
                <w:color w:val="auto"/>
                <w:w w:val="98"/>
              </w:rPr>
              <w:t>=   Natural gas liquids, including ethane, propane and butane</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NYMEX</w:t>
            </w:r>
          </w:p>
        </w:tc>
        <w:tc>
          <w:tcPr>
            <w:tcW w:w="5580" w:type="dxa"/>
            <w:vAlign w:val="bottom"/>
            <w:gridSpan w:val="2"/>
          </w:tcPr>
          <w:p>
            <w:pPr>
              <w:ind w:left="760"/>
              <w:spacing w:after="0"/>
              <w:rPr>
                <w:sz w:val="20"/>
                <w:szCs w:val="20"/>
                <w:color w:val="auto"/>
              </w:rPr>
            </w:pPr>
            <w:r>
              <w:rPr>
                <w:rFonts w:ascii="Arial" w:cs="Arial" w:eastAsia="Arial" w:hAnsi="Arial"/>
                <w:sz w:val="18"/>
                <w:szCs w:val="18"/>
                <w:color w:val="auto"/>
              </w:rPr>
              <w:t>=   New York Mercantile Exchange</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Oxy</w:t>
            </w:r>
          </w:p>
        </w:tc>
        <w:tc>
          <w:tcPr>
            <w:tcW w:w="5580" w:type="dxa"/>
            <w:vAlign w:val="bottom"/>
            <w:gridSpan w:val="2"/>
          </w:tcPr>
          <w:p>
            <w:pPr>
              <w:ind w:left="760"/>
              <w:spacing w:after="0"/>
              <w:rPr>
                <w:sz w:val="20"/>
                <w:szCs w:val="20"/>
                <w:color w:val="auto"/>
              </w:rPr>
            </w:pPr>
            <w:r>
              <w:rPr>
                <w:rFonts w:ascii="Arial" w:cs="Arial" w:eastAsia="Arial" w:hAnsi="Arial"/>
                <w:sz w:val="18"/>
                <w:szCs w:val="18"/>
                <w:color w:val="auto"/>
              </w:rPr>
              <w:t>=   Occidental Petroleum Corporation or its subsidiaries</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w:t>
            </w:r>
          </w:p>
        </w:tc>
        <w:tc>
          <w:tcPr>
            <w:tcW w:w="5580" w:type="dxa"/>
            <w:vAlign w:val="bottom"/>
            <w:gridSpan w:val="2"/>
          </w:tcPr>
          <w:p>
            <w:pPr>
              <w:ind w:left="760"/>
              <w:spacing w:after="0"/>
              <w:rPr>
                <w:sz w:val="20"/>
                <w:szCs w:val="20"/>
                <w:color w:val="auto"/>
              </w:rPr>
            </w:pPr>
            <w:r>
              <w:rPr>
                <w:rFonts w:ascii="Arial" w:cs="Arial" w:eastAsia="Arial" w:hAnsi="Arial"/>
                <w:sz w:val="18"/>
                <w:szCs w:val="18"/>
                <w:color w:val="auto"/>
              </w:rPr>
              <w:t>=   United States Securities and Exchange Commission</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TWh</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Terawatt hour</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USD</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United States dollar</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WTI</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West Texas Intermediate</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accompanying financial statements and related notes present and discuss our consolidated financial position as of December 31, 2019 and 2018, and the consolidated results of our operations, cash flows, changes in partners’ capital, comprehensive income and changes in accumulated other comprehensive income/(loss) for the years ended December 31, 2019, 2018 and 2017. All significant intercompany transactions have been eliminated in consolidation, and certain reclassifications have been made to information from previous years to conform to the current presentation.</w:t>
      </w:r>
    </w:p>
    <w:p>
      <w:pPr>
        <w:spacing w:after="0" w:line="19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w:t>
      </w:r>
    </w:p>
    <w:p>
      <w:pPr>
        <w:spacing w:after="0" w:line="20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impairment assessments of goodwill and intangible assets,</w:t>
      </w:r>
    </w:p>
    <w:p>
      <w:pPr>
        <w:spacing w:after="0" w:line="2" w:lineRule="exact"/>
        <w:rPr>
          <w:sz w:val="20"/>
          <w:szCs w:val="20"/>
          <w:color w:val="auto"/>
        </w:rPr>
      </w:pPr>
    </w:p>
    <w:p>
      <w:pPr>
        <w:ind w:firstLine="8"/>
        <w:spacing w:after="0" w:line="255" w:lineRule="auto"/>
        <w:tabs>
          <w:tab w:leader="none" w:pos="3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fair value of derivatives, (iv) accruals and contingent liabilities, (v) equity-indexed compensation plan accruals, (vi) property and equipment, depreciation and amortization expense, asset retirement obligations and impairments, (vii) allowance for doubtful accounts and (viii) inventory valuations. Although we believe these estimates are reasonable, actual results could differ from these estimates.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Related Costs</w:t>
      </w:r>
    </w:p>
    <w:p>
      <w:pPr>
        <w:spacing w:after="0" w:line="252"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Purchases and related costs include (i) the weighted average cost of crude oil, NGL and natural gas sold to customers, (ii) fees incurred for storage and transportation, whether by pipeline, truck, rail, ship or barge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Operating Costs and General and Administrative Expenses</w:t>
      </w:r>
    </w:p>
    <w:p>
      <w:pPr>
        <w:spacing w:after="0" w:line="25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Transactions/Translation</w:t>
      </w:r>
    </w:p>
    <w:p>
      <w:pPr>
        <w:spacing w:after="0" w:line="25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21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The revaluation of foreign currency transactions and monetary assets and liabilities resulted in amounts recorded to the Consolidated Statements of Operations of a net gain of $1 million in each of the years ended December 31, 2019 and 2018 and a net gain of $21 million for the year ended December 31, 2017.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25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20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accordance with our policy, unless they may be covered by funds on deposit, outstanding checks are classified as trade accounts payable rather than negative cash. As of December 31, 2019 and 2018, trade accounts payable included $38 million and $57 million, respectively, of outstanding checks that were reclassified from cash and cash equivalents.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Consolidated Balance Sheet that sum to the total of the amount shown on our Consolidated Statement of Cash Flows as of December 31, 2019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December 31, 2019</w:t>
            </w: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w:t>
            </w: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580" w:type="dxa"/>
            <w:vAlign w:val="bottom"/>
          </w:tcPr>
          <w:p>
            <w:pPr>
              <w:jc w:val="right"/>
              <w:ind w:right="74"/>
              <w:spacing w:after="0"/>
              <w:rPr>
                <w:sz w:val="20"/>
                <w:szCs w:val="20"/>
                <w:color w:val="auto"/>
              </w:rPr>
            </w:pPr>
            <w:r>
              <w:rPr>
                <w:rFonts w:ascii="Arial" w:cs="Arial" w:eastAsia="Arial" w:hAnsi="Arial"/>
                <w:sz w:val="18"/>
                <w:szCs w:val="18"/>
                <w:color w:val="auto"/>
              </w:rPr>
              <w:t>37</w:t>
            </w:r>
          </w:p>
        </w:tc>
      </w:tr>
      <w:tr>
        <w:trPr>
          <w:trHeight w:val="27"/>
        </w:trPr>
        <w:tc>
          <w:tcPr>
            <w:tcW w:w="9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9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and cash equivalents and restricted cash</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82</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restricted cash as of December 31,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8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12 for additional discussion regarding our noncontrolling interests.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9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9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spacing w:after="0" w:line="19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of which $135 million, $107 million and $99 million were reflected in “Other long-term liabilities and deferred credits” with the remaining portion reflected in “Other current liabilities” on our Consolidated Balance Sheets as of December 31, 2019, 2018 and 2017, respectively (in millions):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96"/>
        </w:trPr>
        <w:tc>
          <w:tcPr>
            <w:tcW w:w="75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76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w:t>
            </w:r>
          </w:p>
        </w:tc>
      </w:tr>
      <w:tr>
        <w:trPr>
          <w:trHeight w:val="243"/>
        </w:trPr>
        <w:tc>
          <w:tcPr>
            <w:tcW w:w="7500" w:type="dxa"/>
            <w:vAlign w:val="bottom"/>
          </w:tcPr>
          <w:p>
            <w:pPr>
              <w:ind w:left="120"/>
              <w:spacing w:after="0"/>
              <w:rPr>
                <w:sz w:val="20"/>
                <w:szCs w:val="20"/>
                <w:color w:val="auto"/>
              </w:rPr>
            </w:pPr>
            <w:r>
              <w:rPr>
                <w:rFonts w:ascii="Arial" w:cs="Arial" w:eastAsia="Arial" w:hAnsi="Arial"/>
                <w:sz w:val="18"/>
                <w:szCs w:val="18"/>
                <w:color w:val="auto"/>
              </w:rPr>
              <w:t>Liabilities incurred</w:t>
            </w:r>
          </w:p>
        </w:tc>
        <w:tc>
          <w:tcPr>
            <w:tcW w:w="76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33</w:t>
            </w:r>
          </w:p>
        </w:tc>
      </w:tr>
      <w:tr>
        <w:trPr>
          <w:trHeight w:val="27"/>
        </w:trPr>
        <w:tc>
          <w:tcPr>
            <w:tcW w:w="7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Liabilities settled</w:t>
            </w: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r>
      <w:tr>
        <w:trPr>
          <w:trHeight w:val="243"/>
        </w:trPr>
        <w:tc>
          <w:tcPr>
            <w:tcW w:w="7500" w:type="dxa"/>
            <w:vAlign w:val="bottom"/>
          </w:tcPr>
          <w:p>
            <w:pPr>
              <w:ind w:left="120"/>
              <w:spacing w:after="0"/>
              <w:rPr>
                <w:sz w:val="20"/>
                <w:szCs w:val="20"/>
                <w:color w:val="auto"/>
              </w:rPr>
            </w:pPr>
            <w:r>
              <w:rPr>
                <w:rFonts w:ascii="Arial" w:cs="Arial" w:eastAsia="Arial" w:hAnsi="Arial"/>
                <w:sz w:val="18"/>
                <w:szCs w:val="18"/>
                <w:color w:val="auto"/>
              </w:rPr>
              <w:t>Accretion expense</w:t>
            </w:r>
          </w:p>
        </w:tc>
        <w:tc>
          <w:tcPr>
            <w:tcW w:w="76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w:t>
            </w:r>
          </w:p>
        </w:tc>
      </w:tr>
      <w:tr>
        <w:trPr>
          <w:trHeight w:val="27"/>
        </w:trPr>
        <w:tc>
          <w:tcPr>
            <w:tcW w:w="7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Revisions in estimated cash flows</w:t>
            </w:r>
          </w:p>
        </w:tc>
        <w:tc>
          <w:tcPr>
            <w:tcW w:w="7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w:t>
            </w:r>
          </w:p>
        </w:tc>
      </w:tr>
      <w:tr>
        <w:trPr>
          <w:trHeight w:val="264"/>
        </w:trPr>
        <w:tc>
          <w:tcPr>
            <w:tcW w:w="75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137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103</w:t>
            </w:r>
          </w:p>
        </w:tc>
      </w:tr>
      <w:tr>
        <w:trPr>
          <w:trHeight w:val="21"/>
        </w:trPr>
        <w:tc>
          <w:tcPr>
            <w:tcW w:w="7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8" w:name="page139"/>
    <w:bookmarkEnd w:id="1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 13 for further discussion.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the respective footnotes for our accounting policies regarding (i) revenues and accounts receivable, (ii) net income per common unit,</w:t>
      </w:r>
    </w:p>
    <w:p>
      <w:pPr>
        <w:spacing w:after="0" w:line="35" w:lineRule="exact"/>
        <w:rPr>
          <w:sz w:val="20"/>
          <w:szCs w:val="20"/>
          <w:color w:val="auto"/>
        </w:rPr>
      </w:pPr>
    </w:p>
    <w:p>
      <w:pPr>
        <w:ind w:right="140" w:firstLine="8"/>
        <w:spacing w:after="0" w:line="281" w:lineRule="auto"/>
        <w:tabs>
          <w:tab w:leader="none" w:pos="315"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inventory, linefill and base gas and long-term inventory, (iv) property and equipment, (v) acquisitions, (vi) goodwill, (vii) investments in unconsolidated entities, (viii) other long-term assets, net, (ix) income allocation for partners’ capital presentation purposes, (x) derivatives and risk management activities,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leases, (xii) income taxes, (xiii) equity-indexed compensation and (xiv) legal and environmental matters.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In December 2019, the FASB issued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to simplify the accounting for income taxes based on changes suggested by stakeholders as part of the FASB’s simplification initiative. This guidance is effective for interim and annual periods beginning after December 15, 2020, with early adoption permitted. We expect to adopt this guidance on January 1, 2021, and we are currently evaluating the effect that our adoption of this guidance will have on our financial position, results of operations and cash flows.</w:t>
      </w:r>
    </w:p>
    <w:p>
      <w:pPr>
        <w:spacing w:after="0" w:line="198"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 xml:space="preserve">In April 2019, the FASB issued 2019-04, </w:t>
      </w:r>
      <w:r>
        <w:rPr>
          <w:rFonts w:ascii="Arial" w:cs="Arial" w:eastAsia="Arial" w:hAnsi="Arial"/>
          <w:sz w:val="18"/>
          <w:szCs w:val="18"/>
          <w:i w:val="1"/>
          <w:iCs w:val="1"/>
          <w:color w:val="auto"/>
        </w:rPr>
        <w:t>Codification Improvements to Topic 326, Financial Instruments—Credit Losses, Topic 815,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and Topic 825, Financial Instruments</w:t>
      </w:r>
      <w:r>
        <w:rPr>
          <w:rFonts w:ascii="Arial" w:cs="Arial" w:eastAsia="Arial" w:hAnsi="Arial"/>
          <w:sz w:val="18"/>
          <w:szCs w:val="18"/>
          <w:color w:val="auto"/>
        </w:rPr>
        <w:t>, which clarifies certain aspects of accounting for credit losses, hedging activities and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adopt this guidance effective January 1, 2020, and do not anticipate that the adoption will have a material impact on our financial position, results of operations or cash flows.</w:t>
      </w:r>
    </w:p>
    <w:p>
      <w:pPr>
        <w:spacing w:after="0" w:line="21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In October 2018, the FASB issued ASU 2018-17, </w:t>
      </w:r>
      <w:r>
        <w:rPr>
          <w:rFonts w:ascii="Arial" w:cs="Arial" w:eastAsia="Arial" w:hAnsi="Arial"/>
          <w:sz w:val="16"/>
          <w:szCs w:val="16"/>
          <w:i w:val="1"/>
          <w:iCs w:val="1"/>
          <w:color w:val="auto"/>
        </w:rPr>
        <w:t>Consolidation (Topic 810): Targeted Improvements to Related Party Guidance for Variable 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Entities</w:t>
      </w:r>
      <w:r>
        <w:rPr>
          <w:rFonts w:ascii="Arial" w:cs="Arial" w:eastAsia="Arial" w:hAnsi="Arial"/>
          <w:sz w:val="16"/>
          <w:szCs w:val="16"/>
          <w:color w:val="auto"/>
        </w:rPr>
        <w:t>, in response to stakeholder observations that improvements could be made by requiring reporting entities to consider indirect interests held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parties under common control on a proportional basis rather than as the equivalent of a direct interest in its entirety as currently required in GAAP. This guidance is effective for interim and annual periods beginning after December 15, 2019, with early adoption permitted. We will adopt this guidance effective January 1, 2020, and do not anticipate that the adoption will have a material impact on our financial position, results of operations or cash flows.</w:t>
      </w:r>
    </w:p>
    <w:p>
      <w:pPr>
        <w:spacing w:after="0" w:line="18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In October 2018, the FASB issued ASU 2018-16, </w:t>
      </w:r>
      <w:r>
        <w:rPr>
          <w:rFonts w:ascii="Arial" w:cs="Arial" w:eastAsia="Arial" w:hAnsi="Arial"/>
          <w:sz w:val="16"/>
          <w:szCs w:val="16"/>
          <w:i w:val="1"/>
          <w:iCs w:val="1"/>
          <w:color w:val="auto"/>
        </w:rPr>
        <w:t>Derivatives and Hedging (Topic 815): Inclusion of the Secured Overnight Financing Rate (SOFR)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Overnight Index Swap (OIS) Rate as a Benchmark Interest Rate for Hedge Accounting Purposes, </w:t>
      </w:r>
      <w:r>
        <w:rPr>
          <w:rFonts w:ascii="Arial" w:cs="Arial" w:eastAsia="Arial" w:hAnsi="Arial"/>
          <w:sz w:val="16"/>
          <w:szCs w:val="16"/>
          <w:color w:val="auto"/>
        </w:rPr>
        <w:t>to include the OIS rate based on SOFR as an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benchmark interest rate during the early stages of the marketplace transition to facilitate the LIBOR to SOFR transition and provide sufficient lead time for entities to prepare for changes to interest rate risk hedging strategies for both risk management and hedge accounting purposes</w:t>
      </w:r>
      <w:r>
        <w:rPr>
          <w:rFonts w:ascii="Arial" w:cs="Arial" w:eastAsia="Arial" w:hAnsi="Arial"/>
          <w:sz w:val="16"/>
          <w:szCs w:val="16"/>
          <w:i w:val="1"/>
          <w:iCs w:val="1"/>
          <w:color w:val="auto"/>
        </w:rPr>
        <w:t>.</w:t>
      </w:r>
      <w:r>
        <w:rPr>
          <w:rFonts w:ascii="Arial" w:cs="Arial" w:eastAsia="Arial" w:hAnsi="Arial"/>
          <w:sz w:val="16"/>
          <w:szCs w:val="16"/>
          <w:color w:val="auto"/>
        </w:rPr>
        <w:t xml:space="preserve"> This guidance is effective for interim and annual periods beginning after December 15, 2018, and must be adopted concurrently with the amendments in ASU 2017-12 (see below). We adopted this guidance effective January 1, 2019, and our adoption did not have a material impact on our financial position, results of operations or cash flows.</w:t>
      </w:r>
    </w:p>
    <w:p>
      <w:pPr>
        <w:spacing w:after="0" w:line="19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 (a consensus of the FASB Emerging Issues Task Force)</w:t>
      </w:r>
      <w:r>
        <w:rPr>
          <w:rFonts w:ascii="Arial" w:cs="Arial" w:eastAsia="Arial" w:hAnsi="Arial"/>
          <w:sz w:val="17"/>
          <w:szCs w:val="17"/>
          <w:color w:val="auto"/>
        </w:rPr>
        <w:t>, to address the accounting for implementation costs of a hosting arrangement that is a service contract and to align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for hosting arrangements, regardless of whether they convey a license to the hosted software. This guidance is effective for interim and annual periods beginning after December 15, 2019, with early adoption permitted. We will adopt this guidance effective January 1, 2020, and do not anticipate that the adoption will have a material impact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modifying the disclosure requirements on fair value measurements in Topic 820. This guidance is effective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and annual periods beginning after December 15, 2019, with early adoption permitted. We will adopt this guidance effective January 1, 2020, and will apply the new guidance to any applicable disclosures.</w:t>
      </w:r>
    </w:p>
    <w:p>
      <w:pPr>
        <w:spacing w:after="0" w:line="21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In July 2018, the FASB issued ASU 2018-09,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which makes updates for clarifications, technical corrections and other minor improvements to a wide variety of Topics to make the ASC easier to understand and to apply. The transition and effective date is based on the facts and circumstances of each amendment with some amendments effective upon issuance. The remaining amendments are effective for annual periods beginning after December 15, 2018. We adopted this guidance effective January 1, 2019, and our adoption did not have a material impact on our financial position, results of operations or cash flows.</w:t>
      </w:r>
    </w:p>
    <w:p>
      <w:pPr>
        <w:spacing w:after="0" w:line="21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expands the scope of Topic 718 to include share-based payment awards to nonemployees and eliminates the 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for employee and nonemployee share-based payment awards. This guidance is effective for interim and annual periods beginning after December 15, 2018, with early adoption permitted. We adopted this guidance effective January 1, 2019, and our adoption did not have a material impact on our financial position, results of operations or cash flows.</w:t>
      </w:r>
    </w:p>
    <w:p>
      <w:pPr>
        <w:spacing w:after="0" w:line="21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xml:space="preserve"> to better align an entity’s risk management activities and financial reporting for hedging relationships through changes to both the designation and measurement guidance for qualifying hedging relationships and the presentation of hedge results. Under the new guidance, (i) more financial and nonfinancial hedging strategies will be eligible for hedge accounting, (ii) presentation and disclosure requirements are amended and (iii) companies will change the way they assess effectiveness. This guidance is effective for interim and annual periods beginning after December 15, 2018, with early adoption permitted. We adopted this guidance effective January 1, 2019, and our adoption did not have a material impact on our financial position, results of operations or cash flows.</w:t>
      </w:r>
    </w:p>
    <w:p>
      <w:pPr>
        <w:spacing w:after="0" w:line="19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(followed by a series of related accounting standard updates), which amends guidance on the impairment of financial instruments and adds an</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model (known as the current expected credit loss (or CECL) model) that is based on expected losses rather than incurred losses. This guidance will become effective for interim and annual periods beginning after December 15, 2019, with early adoption permitted by one year. We will adopt this guidance effective January 1, 2020, and do not anticipate that the adoption will have a material impact on our financial position, results of operations or cash flows.</w:t>
      </w:r>
    </w:p>
    <w:p>
      <w:pPr>
        <w:spacing w:after="0" w:line="22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(followed by a series of related accounting standard updates (collectively referred to as “Topic 842”)), that revises the current accounting model for leases. The most significant changes are the clarification of the definition of a lease and required lessee recognition on the balance sheet of right-of-use assets and lease liabilities with lease terms of more than 12 months (with the election of the practical expedient to exclude short-term leases on the balance sheet), including extensive quantitative and qualitative disclosures. This guidance became effective for interim and annual periods beginning after December 15, 2018. We adopted this guidance effective January 1, 2019. Our adoption resulted in the recording of additional net lease right-of-use assets and lease liabilities of approximately $560 million and $570 million, respectively, on January 1, 2019, and did not have a material impact on our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elected the package of practical expedients permitted under the transition guidance within Topic 842, which, among other things, allowed us to carry forward the historical accounting related to lease identification, classification and indirect costs. We also elected the practical expedient related to land easements, allowing us to carry forward our accounting treatment for land easements (including rights of way) on existing agreements. Additionally, we elected the non-lease component separation practical expedient for certain classes of assets where we are the lessee and for all classes where we are the lessor. Further, we elected the practical expedient which provides us with an optional transitional method, thereby applying the new guidance at the effective date, without adjusting the comparative periods and, if necessary, recognizing a cumulative-effect adjustment to the opening balance of Partners’ Capital upon adoption. There was no impact to retained earnings related to our adoption. We did not elect the practical expedient related to using hindsight in determining the lease term as this was not relevant following our election of the optional transitional method. We implemented a process to evaluate the impact of adopting this guidance on each type of lease contract we have entered into with counterparties. Our implementation team determined appropriate changes to our business processes, systems and controls to support recognition and disclosure under Topic 842. In addition to the above, which primarily relates to our accounting as a lessee, our accounting from a lessor perspective remains substantially unchanged under Topic 842. See Note 14 for information about our leases.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 xml:space="preserve">On January 1, 2018, we adopted </w:t>
      </w:r>
      <w:r>
        <w:rPr>
          <w:rFonts w:ascii="Arial" w:cs="Arial" w:eastAsia="Arial" w:hAnsi="Arial"/>
          <w:sz w:val="16"/>
          <w:szCs w:val="16"/>
          <w:i w:val="1"/>
          <w:iCs w:val="1"/>
          <w:color w:val="auto"/>
        </w:rPr>
        <w:t>Revenues from Contracts with Customers</w:t>
      </w:r>
      <w:r>
        <w:rPr>
          <w:rFonts w:ascii="Arial" w:cs="Arial" w:eastAsia="Arial" w:hAnsi="Arial"/>
          <w:sz w:val="16"/>
          <w:szCs w:val="16"/>
          <w:color w:val="auto"/>
        </w:rPr>
        <w:t xml:space="preserve"> (“Topic 606”) using the modified retrospective approach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under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w:t>
      </w:r>
    </w:p>
    <w:p>
      <w:pPr>
        <w:spacing w:after="0" w:line="174"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Under Topic 606, we disaggregate our revenues by segment and type of activity. These categories depict how the nature, amount, timing and uncertainty of revenues and cash flows are affected by economic factors.</w:t>
      </w:r>
    </w:p>
    <w:p>
      <w:pPr>
        <w:spacing w:after="0" w:line="19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Supply and Logistics Segment Revenues from Contracts with Customers. </w:t>
      </w:r>
      <w:r>
        <w:rPr>
          <w:rFonts w:ascii="Arial" w:cs="Arial" w:eastAsia="Arial" w:hAnsi="Arial"/>
          <w:sz w:val="18"/>
          <w:szCs w:val="18"/>
          <w:color w:val="auto"/>
        </w:rPr>
        <w:t>The following table presents our Supply and Logistics segment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contracts with customers disaggregated by type of activity (in millions):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020" w:type="dxa"/>
            <w:vAlign w:val="bottom"/>
            <w:tcBorders>
              <w:bottom w:val="single" w:sz="8" w:color="auto"/>
            </w:tcBorders>
          </w:tcPr>
          <w:p>
            <w:pPr>
              <w:spacing w:after="0"/>
              <w:rPr>
                <w:sz w:val="16"/>
                <w:szCs w:val="16"/>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w w:val="83"/>
              </w:rPr>
              <w:t>2018</w:t>
            </w:r>
          </w:p>
        </w:tc>
      </w:tr>
      <w:tr>
        <w:trPr>
          <w:trHeight w:val="23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Supply and Logistics segment revenues from contracts with customers</w:t>
            </w:r>
          </w:p>
        </w:tc>
        <w:tc>
          <w:tcPr>
            <w:tcW w:w="10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720" w:type="dxa"/>
            <w:vAlign w:val="bottom"/>
          </w:tcPr>
          <w:p>
            <w:pPr>
              <w:ind w:left="120"/>
              <w:spacing w:after="0"/>
              <w:rPr>
                <w:sz w:val="20"/>
                <w:szCs w:val="20"/>
                <w:color w:val="auto"/>
              </w:rPr>
            </w:pPr>
            <w:r>
              <w:rPr>
                <w:rFonts w:ascii="Arial" w:cs="Arial" w:eastAsia="Arial" w:hAnsi="Arial"/>
                <w:sz w:val="18"/>
                <w:szCs w:val="18"/>
                <w:color w:val="auto"/>
              </w:rPr>
              <w:t>Crude oil transactions</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30,082</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29,592</w:t>
            </w:r>
          </w:p>
        </w:tc>
      </w:tr>
      <w:tr>
        <w:trPr>
          <w:trHeight w:val="27"/>
        </w:trPr>
        <w:tc>
          <w:tcPr>
            <w:tcW w:w="7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NGL and other transactions</w:t>
            </w:r>
          </w:p>
        </w:tc>
        <w:tc>
          <w:tcPr>
            <w:tcW w:w="10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3,108</w:t>
            </w:r>
          </w:p>
        </w:tc>
      </w:tr>
      <w:tr>
        <w:trPr>
          <w:trHeight w:val="264"/>
        </w:trPr>
        <w:tc>
          <w:tcPr>
            <w:tcW w:w="7720" w:type="dxa"/>
            <w:vAlign w:val="bottom"/>
          </w:tcPr>
          <w:p>
            <w:pPr>
              <w:ind w:left="20"/>
              <w:spacing w:after="0"/>
              <w:rPr>
                <w:sz w:val="20"/>
                <w:szCs w:val="20"/>
                <w:color w:val="auto"/>
              </w:rPr>
            </w:pPr>
            <w:r>
              <w:rPr>
                <w:rFonts w:ascii="Arial" w:cs="Arial" w:eastAsia="Arial" w:hAnsi="Arial"/>
                <w:sz w:val="18"/>
                <w:szCs w:val="18"/>
                <w:color w:val="auto"/>
              </w:rPr>
              <w:t>Total Supply and Logistics segment revenues from contracts with customers</w:t>
            </w: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31,966</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32,700</w:t>
            </w:r>
          </w:p>
        </w:tc>
      </w:tr>
      <w:tr>
        <w:trPr>
          <w:trHeight w:val="21"/>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Revenues from sales of crude oil, NGL and natural gas are recognized at the time title to the product sold transfers to the purchaser, which occurs upon delivery of the product to the purchaser or its designee. Sales of crude oil and NGL consist of outright sales contracts. The consideration received under these contracts is variable based on commodity prices. Inventory exchanges under buy/sell transactions are excluded from Supply and Logistics segment revenues in our Consolidated Statements of Operations. Revenues recognized by our Supply and Logistics segment primarily represent margin based activities.</w:t>
      </w:r>
    </w:p>
    <w:p>
      <w:pPr>
        <w:spacing w:after="0" w:line="21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addition, we have certain crude oil sales agreements that are entered into in conjunction with storage arrangements and future inventory exchanges. The revenues under these agreements are deferred until all performance obligations associated with the related agreements are completed. The inventory that has been sold under these crude oil sales agreements is reflected in “Other current assets” on our Consolidated Balance Sheet until all of our performance obligations are complete. At that time, the inventory that has been sold is removed from our Consolidated Balance Sheet and recorded as “Purchases and related costs” in our Consolidated Statement of Operations. At December 31, 2019, other current assets and deferred revenue associated with these agreements were approximately $142 million and $155 million, respectively. At December 31, 2018, other current assets and deferred revenue associated with these agreements was approximately $115 million and $116 million, respectively. See Contract Balances below for further discussion of contract liabilities associated with these agreements.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We may also utilize derivatives in connection with the transactions described above. Derivative revenue is not included as a component of revenue from contracts with customers, but is included in other items in revenue. The change in the fair value of derivatives that are not designated or do not qualify for hedge accounting is recognized in revenues each period.</w:t>
      </w:r>
    </w:p>
    <w:p>
      <w:pPr>
        <w:spacing w:after="0" w:line="20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Transportation Segment Revenues from Contracts with Customers. </w:t>
      </w:r>
      <w:r>
        <w:rPr>
          <w:rFonts w:ascii="Arial" w:cs="Arial" w:eastAsia="Arial" w:hAnsi="Arial"/>
          <w:sz w:val="18"/>
          <w:szCs w:val="18"/>
          <w:color w:val="auto"/>
        </w:rPr>
        <w:t>The following table presents our Transportation segment revenues from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customers disaggregated by type of activity (in millions):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r>
      <w:tr>
        <w:trPr>
          <w:trHeight w:val="196"/>
        </w:trPr>
        <w:tc>
          <w:tcPr>
            <w:tcW w:w="77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7"/>
                <w:szCs w:val="17"/>
                <w:color w:val="auto"/>
              </w:rPr>
            </w:pPr>
          </w:p>
        </w:tc>
      </w:tr>
      <w:tr>
        <w:trPr>
          <w:trHeight w:val="236"/>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43"/>
        </w:trPr>
        <w:tc>
          <w:tcPr>
            <w:tcW w:w="7700" w:type="dxa"/>
            <w:vAlign w:val="bottom"/>
          </w:tcPr>
          <w:p>
            <w:pPr>
              <w:ind w:left="100"/>
              <w:spacing w:after="0"/>
              <w:rPr>
                <w:sz w:val="20"/>
                <w:szCs w:val="20"/>
                <w:color w:val="auto"/>
              </w:rPr>
            </w:pPr>
            <w:r>
              <w:rPr>
                <w:rFonts w:ascii="Arial" w:cs="Arial" w:eastAsia="Arial" w:hAnsi="Arial"/>
                <w:sz w:val="18"/>
                <w:szCs w:val="18"/>
                <w:color w:val="auto"/>
              </w:rPr>
              <w:t>Tariff activities:</w:t>
            </w: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1,724</w:t>
            </w:r>
          </w:p>
        </w:tc>
      </w:tr>
      <w:tr>
        <w:trPr>
          <w:trHeight w:val="243"/>
        </w:trPr>
        <w:tc>
          <w:tcPr>
            <w:tcW w:w="7700" w:type="dxa"/>
            <w:vAlign w:val="bottom"/>
          </w:tcPr>
          <w:p>
            <w:pPr>
              <w:ind w:left="200"/>
              <w:spacing w:after="0"/>
              <w:rPr>
                <w:sz w:val="20"/>
                <w:szCs w:val="20"/>
                <w:color w:val="auto"/>
              </w:rPr>
            </w:pPr>
            <w:r>
              <w:rPr>
                <w:rFonts w:ascii="Arial" w:cs="Arial" w:eastAsia="Arial" w:hAnsi="Arial"/>
                <w:sz w:val="18"/>
                <w:szCs w:val="18"/>
                <w:color w:val="auto"/>
              </w:rPr>
              <w:t>NGL pipelines</w:t>
            </w:r>
          </w:p>
        </w:tc>
        <w:tc>
          <w:tcPr>
            <w:tcW w:w="11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103</w:t>
            </w:r>
          </w:p>
        </w:tc>
      </w:tr>
      <w:tr>
        <w:trPr>
          <w:trHeight w:val="27"/>
        </w:trPr>
        <w:tc>
          <w:tcPr>
            <w:tcW w:w="7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tariff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1,827</w:t>
            </w:r>
          </w:p>
        </w:tc>
      </w:tr>
      <w:tr>
        <w:trPr>
          <w:trHeight w:val="243"/>
        </w:trPr>
        <w:tc>
          <w:tcPr>
            <w:tcW w:w="7700" w:type="dxa"/>
            <w:vAlign w:val="bottom"/>
          </w:tcPr>
          <w:p>
            <w:pPr>
              <w:ind w:left="100"/>
              <w:spacing w:after="0"/>
              <w:rPr>
                <w:sz w:val="20"/>
                <w:szCs w:val="20"/>
                <w:color w:val="auto"/>
              </w:rPr>
            </w:pPr>
            <w:r>
              <w:rPr>
                <w:rFonts w:ascii="Arial" w:cs="Arial" w:eastAsia="Arial" w:hAnsi="Arial"/>
                <w:sz w:val="18"/>
                <w:szCs w:val="18"/>
                <w:color w:val="auto"/>
              </w:rPr>
              <w:t>Trucking</w:t>
            </w:r>
          </w:p>
        </w:tc>
        <w:tc>
          <w:tcPr>
            <w:tcW w:w="11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149</w:t>
            </w:r>
          </w:p>
        </w:tc>
      </w:tr>
      <w:tr>
        <w:trPr>
          <w:trHeight w:val="27"/>
        </w:trPr>
        <w:tc>
          <w:tcPr>
            <w:tcW w:w="7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9"/>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1,976</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Our Transportation segment operations generally consist of fee-based activities associated with transporting crude oil and NGL on pipelines, gathering systems 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20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Facilities Segment Revenues from Contracts with Customers. </w:t>
      </w:r>
      <w:r>
        <w:rPr>
          <w:rFonts w:ascii="Arial" w:cs="Arial" w:eastAsia="Arial" w:hAnsi="Arial"/>
          <w:sz w:val="18"/>
          <w:szCs w:val="18"/>
          <w:color w:val="auto"/>
        </w:rPr>
        <w:t>The following table presents our Facilities segment revenues from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disaggregated by type of activity (in millions):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020" w:type="dxa"/>
            <w:vAlign w:val="bottom"/>
            <w:tcBorders>
              <w:bottom w:val="single" w:sz="8" w:color="auto"/>
            </w:tcBorders>
          </w:tcPr>
          <w:p>
            <w:pPr>
              <w:spacing w:after="0"/>
              <w:rPr>
                <w:sz w:val="16"/>
                <w:szCs w:val="16"/>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w w:val="83"/>
              </w:rPr>
              <w:t>2018</w:t>
            </w:r>
          </w:p>
        </w:tc>
      </w:tr>
      <w:tr>
        <w:trPr>
          <w:trHeight w:val="23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10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720" w:type="dxa"/>
            <w:vAlign w:val="bottom"/>
          </w:tcPr>
          <w:p>
            <w:pPr>
              <w:ind w:left="120"/>
              <w:spacing w:after="0"/>
              <w:rPr>
                <w:sz w:val="20"/>
                <w:szCs w:val="20"/>
                <w:color w:val="auto"/>
              </w:rPr>
            </w:pPr>
            <w:r>
              <w:rPr>
                <w:rFonts w:ascii="Arial" w:cs="Arial" w:eastAsia="Arial" w:hAnsi="Arial"/>
                <w:sz w:val="18"/>
                <w:szCs w:val="18"/>
                <w:color w:val="auto"/>
              </w:rPr>
              <w:t>Crude oil, NGL and other terminalling and storage</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688</w:t>
            </w:r>
          </w:p>
        </w:tc>
      </w:tr>
      <w:tr>
        <w:trPr>
          <w:trHeight w:val="27"/>
        </w:trPr>
        <w:tc>
          <w:tcPr>
            <w:tcW w:w="7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NGL and natural gas processing and fractionation</w:t>
            </w:r>
          </w:p>
        </w:tc>
        <w:tc>
          <w:tcPr>
            <w:tcW w:w="10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364</w:t>
            </w:r>
          </w:p>
        </w:tc>
      </w:tr>
      <w:tr>
        <w:trPr>
          <w:trHeight w:val="243"/>
        </w:trPr>
        <w:tc>
          <w:tcPr>
            <w:tcW w:w="7720" w:type="dxa"/>
            <w:vAlign w:val="bottom"/>
          </w:tcPr>
          <w:p>
            <w:pPr>
              <w:ind w:left="120"/>
              <w:spacing w:after="0"/>
              <w:rPr>
                <w:sz w:val="20"/>
                <w:szCs w:val="20"/>
                <w:color w:val="auto"/>
              </w:rPr>
            </w:pPr>
            <w:r>
              <w:rPr>
                <w:rFonts w:ascii="Arial" w:cs="Arial" w:eastAsia="Arial" w:hAnsi="Arial"/>
                <w:sz w:val="18"/>
                <w:szCs w:val="18"/>
                <w:color w:val="auto"/>
              </w:rPr>
              <w:t>Rail load / unload</w:t>
            </w:r>
          </w:p>
        </w:tc>
        <w:tc>
          <w:tcPr>
            <w:tcW w:w="1020" w:type="dxa"/>
            <w:vAlign w:val="bottom"/>
          </w:tcPr>
          <w:p>
            <w:pPr>
              <w:spacing w:after="0"/>
              <w:rPr>
                <w:sz w:val="21"/>
                <w:szCs w:val="21"/>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84</w:t>
            </w:r>
          </w:p>
        </w:tc>
      </w:tr>
      <w:tr>
        <w:trPr>
          <w:trHeight w:val="27"/>
        </w:trPr>
        <w:tc>
          <w:tcPr>
            <w:tcW w:w="77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1,136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Revenues generated in this segment include (i) fees that are generated when we receive liquids from one connecting source and deliver the applicable product to another connecting carrier, fees from storage capacity agreements and fees associated with natural gas storage related activities (collectively “Crude oil, NGL and other terminalling and storage”), (ii) fees from natural gas and condensate processing services and from NGL fractionation and isomerization services (collectively, “NGL and natural gas processing and fractionation”) and (iii) loading and unloading fees at our rail terminals.</w:t>
      </w:r>
    </w:p>
    <w:p>
      <w:pPr>
        <w:spacing w:after="0" w:line="19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rail fees) are recognized as the liquids enter or exit the terminal and are received from or delivered to the connecting carrier or third-party terminal, as applicable. Fees from NGL fractionation and isomerization services and gas processing services are recognized in the period when the services are performed. Natural gas storage related activities fees are recognized in the period the natural gas moves across our header system. We recognize rail loading and unloading fees when the volumes are delivered or received.</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42" w:name="page143"/>
    <w:bookmarkEnd w:id="1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Topic 606 requires us to provide information about the relationship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disaggregated revenues presented above and segment revenues. These disclosures only include information regarding revenues associated with consolidated entities, and revenues from entities accounted for by the equity method are not included in the disclosures. The following tables present the reconciliation of our revenues from contracts with customers (as described above for each segment) to segment revenues and total revenues as disclosed in our Consolidated Statements of Operations (in millions):</w:t>
      </w: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Supply and Logistics</w:t>
            </w:r>
          </w:p>
        </w:tc>
        <w:tc>
          <w:tcPr>
            <w:tcW w:w="120" w:type="dxa"/>
            <w:vAlign w:val="bottom"/>
            <w:tcBorders>
              <w:bottom w:val="single" w:sz="8" w:color="CCEEFF"/>
            </w:tcBorders>
            <w:gridSpan w:val="2"/>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31,966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35,371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1,171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32,276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35,767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33,669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5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Logistics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32,700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35,812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1,161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32,822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35,973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(1,918)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34,055</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20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December 31, 2019 and December 31, 2018, counterparty deficiencies associated with contracts with customers and buy/sell arrangements that include minimum volume commitments totaled $42 million and $62 million, respectively, of which $22 million and $40 million, respectively, was recorded as a contract liability. The remaining balance of $20 million and $22 million at December 31, 2019 and December 31, 2018, respectively, was related to deficiencies for which the counterparties had not met their contractual minimum commitments and were not reflected in our Consolidated Financial Statements as we had not yet billed or collected such amounts.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changes in the contract liability balance (in millions):</w:t>
      </w: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9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Contract Liabilities</w:t>
            </w:r>
          </w:p>
        </w:tc>
      </w:tr>
      <w:tr>
        <w:trPr>
          <w:trHeight w:val="295"/>
        </w:trPr>
        <w:tc>
          <w:tcPr>
            <w:tcW w:w="9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90</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280" w:type="dxa"/>
            <w:vAlign w:val="bottom"/>
          </w:tcPr>
          <w:p>
            <w:pPr>
              <w:ind w:left="120"/>
              <w:spacing w:after="0"/>
              <w:rPr>
                <w:sz w:val="20"/>
                <w:szCs w:val="20"/>
                <w:color w:val="auto"/>
              </w:rPr>
            </w:pPr>
            <w:r>
              <w:rPr>
                <w:rFonts w:ascii="Arial" w:cs="Arial" w:eastAsia="Arial" w:hAnsi="Arial"/>
                <w:sz w:val="18"/>
                <w:szCs w:val="18"/>
                <w:color w:val="auto"/>
              </w:rPr>
              <w:t>Amounts recognized as revenue</w:t>
            </w:r>
          </w:p>
        </w:tc>
        <w:tc>
          <w:tcPr>
            <w:tcW w:w="260" w:type="dxa"/>
            <w:vAlign w:val="bottom"/>
          </w:tcPr>
          <w:p>
            <w:pPr>
              <w:spacing w:after="0"/>
              <w:rPr>
                <w:sz w:val="18"/>
                <w:szCs w:val="18"/>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(81)</w:t>
            </w:r>
          </w:p>
        </w:tc>
      </w:tr>
      <w:tr>
        <w:trPr>
          <w:trHeight w:val="27"/>
        </w:trPr>
        <w:tc>
          <w:tcPr>
            <w:tcW w:w="9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9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(1) (2)</w:t>
            </w: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332</w:t>
            </w:r>
          </w:p>
        </w:tc>
      </w:tr>
      <w:tr>
        <w:trPr>
          <w:trHeight w:val="243"/>
        </w:trPr>
        <w:tc>
          <w:tcPr>
            <w:tcW w:w="9280" w:type="dxa"/>
            <w:vAlign w:val="bottom"/>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9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9"/>
        </w:trPr>
        <w:tc>
          <w:tcPr>
            <w:tcW w:w="9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338</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280" w:type="dxa"/>
            <w:vAlign w:val="bottom"/>
          </w:tcPr>
          <w:p>
            <w:pPr>
              <w:ind w:left="120"/>
              <w:spacing w:after="0"/>
              <w:rPr>
                <w:sz w:val="20"/>
                <w:szCs w:val="20"/>
                <w:color w:val="auto"/>
              </w:rPr>
            </w:pPr>
            <w:r>
              <w:rPr>
                <w:rFonts w:ascii="Arial" w:cs="Arial" w:eastAsia="Arial" w:hAnsi="Arial"/>
                <w:sz w:val="18"/>
                <w:szCs w:val="18"/>
                <w:color w:val="auto"/>
              </w:rPr>
              <w:t>Amounts recognized as revenue</w:t>
            </w:r>
          </w:p>
        </w:tc>
        <w:tc>
          <w:tcPr>
            <w:tcW w:w="260" w:type="dxa"/>
            <w:vAlign w:val="bottom"/>
          </w:tcPr>
          <w:p>
            <w:pPr>
              <w:spacing w:after="0"/>
              <w:rPr>
                <w:sz w:val="18"/>
                <w:szCs w:val="18"/>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(227)</w:t>
            </w:r>
          </w:p>
        </w:tc>
      </w:tr>
      <w:tr>
        <w:trPr>
          <w:trHeight w:val="27"/>
        </w:trPr>
        <w:tc>
          <w:tcPr>
            <w:tcW w:w="9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9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244</w:t>
            </w:r>
          </w:p>
        </w:tc>
      </w:tr>
      <w:tr>
        <w:trPr>
          <w:trHeight w:val="243"/>
        </w:trPr>
        <w:tc>
          <w:tcPr>
            <w:tcW w:w="9280" w:type="dxa"/>
            <w:vAlign w:val="bottom"/>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9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9"/>
        </w:trPr>
        <w:tc>
          <w:tcPr>
            <w:tcW w:w="9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354</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7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00" w:hanging="652"/>
        <w:spacing w:after="0" w:line="282" w:lineRule="auto"/>
        <w:tabs>
          <w:tab w:leader="none" w:pos="177" w:val="left"/>
        </w:tabs>
        <w:numPr>
          <w:ilvl w:val="0"/>
          <w:numId w:val="74"/>
        </w:numPr>
        <w:rPr>
          <w:rFonts w:ascii="Arial" w:cs="Arial" w:eastAsia="Arial" w:hAnsi="Arial"/>
          <w:sz w:val="20"/>
          <w:szCs w:val="20"/>
          <w:color w:val="auto"/>
          <w:vertAlign w:val="superscript"/>
        </w:rPr>
      </w:pPr>
      <w:r>
        <w:rPr>
          <w:rFonts w:ascii="Arial" w:cs="Arial" w:eastAsia="Arial" w:hAnsi="Arial"/>
          <w:sz w:val="16"/>
          <w:szCs w:val="16"/>
          <w:color w:val="auto"/>
        </w:rPr>
        <w:t>Includes approximately $116 million associated with crude oil sales agreements that are entered into in conjunction with storage arrangements and future inventory exchanges. Such amount was recognized as revenue in the first quarter of 2019.</w:t>
      </w:r>
    </w:p>
    <w:p>
      <w:pPr>
        <w:spacing w:after="0" w:line="42"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74"/>
        </w:numPr>
        <w:rPr>
          <w:rFonts w:ascii="Arial" w:cs="Arial" w:eastAsia="Arial" w:hAnsi="Arial"/>
          <w:sz w:val="21"/>
          <w:szCs w:val="21"/>
          <w:color w:val="auto"/>
          <w:vertAlign w:val="superscript"/>
        </w:rPr>
      </w:pPr>
      <w:r>
        <w:rPr>
          <w:rFonts w:ascii="Arial" w:cs="Arial" w:eastAsia="Arial" w:hAnsi="Arial"/>
          <w:sz w:val="16"/>
          <w:szCs w:val="16"/>
          <w:color w:val="auto"/>
        </w:rPr>
        <w:t>Includes $100 million associated with long-term capacity agreements with Cactus II Pipeline LLC. See Note 9 for additional information.</w:t>
      </w:r>
    </w:p>
    <w:p>
      <w:pPr>
        <w:spacing w:after="0" w:line="55" w:lineRule="exact"/>
        <w:rPr>
          <w:rFonts w:ascii="Arial" w:cs="Arial" w:eastAsia="Arial" w:hAnsi="Arial"/>
          <w:sz w:val="21"/>
          <w:szCs w:val="21"/>
          <w:color w:val="auto"/>
          <w:vertAlign w:val="superscript"/>
        </w:rPr>
      </w:pPr>
    </w:p>
    <w:p>
      <w:pPr>
        <w:ind w:left="660" w:right="180" w:hanging="652"/>
        <w:spacing w:after="0" w:line="261" w:lineRule="auto"/>
        <w:tabs>
          <w:tab w:leader="none" w:pos="177" w:val="left"/>
        </w:tabs>
        <w:numPr>
          <w:ilvl w:val="0"/>
          <w:numId w:val="74"/>
        </w:numPr>
        <w:rPr>
          <w:rFonts w:ascii="Arial" w:cs="Arial" w:eastAsia="Arial" w:hAnsi="Arial"/>
          <w:sz w:val="20"/>
          <w:szCs w:val="20"/>
          <w:color w:val="auto"/>
          <w:vertAlign w:val="superscript"/>
        </w:rPr>
      </w:pPr>
      <w:r>
        <w:rPr>
          <w:rFonts w:ascii="Arial" w:cs="Arial" w:eastAsia="Arial" w:hAnsi="Arial"/>
          <w:sz w:val="16"/>
          <w:szCs w:val="16"/>
          <w:color w:val="auto"/>
        </w:rPr>
        <w:t>Includes approximately $155 million associated with crude oil sales agreements that are entered into in conjunction with storage arrangements and future inventory exchanges. Such amount is expected to be recognized as revenue in the first quarter of 2020.</w:t>
      </w:r>
    </w:p>
    <w:p>
      <w:pPr>
        <w:spacing w:after="0" w:line="20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December 31, 2019 (in millions):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2025 and</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Pipeline revenues supported by minimum volume</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3"/>
              </w:rPr>
              <w:t>Storage, terminalling and throughput agreement revenues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89"/>
        </w:trPr>
        <w:tc>
          <w:tcPr>
            <w:tcW w:w="4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7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80" w:hanging="172"/>
        <w:spacing w:after="0"/>
        <w:tabs>
          <w:tab w:leader="none" w:pos="180" w:val="left"/>
        </w:tabs>
        <w:numPr>
          <w:ilvl w:val="0"/>
          <w:numId w:val="75"/>
        </w:numPr>
        <w:rPr>
          <w:rFonts w:ascii="Arial" w:cs="Arial" w:eastAsia="Arial" w:hAnsi="Arial"/>
          <w:sz w:val="21"/>
          <w:szCs w:val="21"/>
          <w:color w:val="auto"/>
          <w:vertAlign w:val="superscript"/>
        </w:rPr>
      </w:pPr>
      <w:r>
        <w:rPr>
          <w:rFonts w:ascii="Arial" w:cs="Arial" w:eastAsia="Arial" w:hAnsi="Arial"/>
          <w:sz w:val="16"/>
          <w:szCs w:val="16"/>
          <w:color w:val="auto"/>
        </w:rPr>
        <w:t>Calculated as volumes committed under contracts multiplied by the current applicable tariff rate.</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376"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4" w:name="page145"/>
    <w:bookmarkEnd w:id="1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85" w:lineRule="exact"/>
        <w:rPr>
          <w:sz w:val="20"/>
          <w:szCs w:val="20"/>
          <w:color w:val="auto"/>
        </w:rPr>
      </w:pPr>
    </w:p>
    <w:p>
      <w:pPr>
        <w:ind w:left="820" w:hanging="164"/>
        <w:spacing w:after="0"/>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Supply and Logistics buy/sell arrangements with future committed volumes;</w:t>
      </w:r>
    </w:p>
    <w:p>
      <w:pPr>
        <w:spacing w:after="0" w:line="117" w:lineRule="exact"/>
        <w:rPr>
          <w:rFonts w:ascii="Arial" w:cs="Arial" w:eastAsia="Arial" w:hAnsi="Arial"/>
          <w:sz w:val="18"/>
          <w:szCs w:val="18"/>
          <w:color w:val="auto"/>
        </w:rPr>
      </w:pPr>
    </w:p>
    <w:p>
      <w:pPr>
        <w:ind w:left="820" w:right="200" w:hanging="164"/>
        <w:spacing w:after="0" w:line="277" w:lineRule="auto"/>
        <w:tabs>
          <w:tab w:leader="none" w:pos="8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other Supply and Logistics contracts, due to the election of practical expedients related to variable consideration and short-term contracts, as discussed below;</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 as discussed below;</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36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under Topic 606 due to variability in amount of performance obligation remaining, variability in the timing of recognition or variability in consideration. Acreage dedications do require us to perform future services but do not contain a minimum level of services and are therefore excluded from this presentation. Long-term supply and logistics arrangements contain variable timing, volumes and/or consideration and are excluded from this presentation. The duration of these contracts varies across the periods presented above.</w:t>
      </w:r>
    </w:p>
    <w:p>
      <w:pPr>
        <w:spacing w:after="0" w:line="220" w:lineRule="exact"/>
        <w:rPr>
          <w:sz w:val="20"/>
          <w:szCs w:val="20"/>
          <w:color w:val="auto"/>
        </w:rPr>
      </w:pPr>
    </w:p>
    <w:p>
      <w:pPr>
        <w:jc w:val="both"/>
        <w:ind w:right="440" w:firstLine="648"/>
        <w:spacing w:after="0" w:line="312" w:lineRule="auto"/>
        <w:rPr>
          <w:sz w:val="20"/>
          <w:szCs w:val="20"/>
          <w:color w:val="auto"/>
        </w:rPr>
      </w:pPr>
      <w:r>
        <w:rPr>
          <w:rFonts w:ascii="Arial" w:cs="Arial" w:eastAsia="Arial" w:hAnsi="Arial"/>
          <w:sz w:val="16"/>
          <w:szCs w:val="16"/>
          <w:color w:val="auto"/>
        </w:rPr>
        <w:t>Additionally, we have elected practical expedients to exclude contracts with terms of one year or less, and therefore exclude the presentation of remaining performance obligations for short-term transportation, storage and processing services, supply and logistics arrangements, including the non-cancelable period of evergreen arrangements, and any other types of arrangements with terms of one year or less.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supply and logistics activities that can generally be described as high volume and low margin activities, in many cases involving exchanges of crude oil volumes.</w:t>
      </w:r>
    </w:p>
    <w:p>
      <w:pPr>
        <w:spacing w:after="0" w:line="21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5" w:name="page146"/>
    <w:bookmarkEnd w:id="1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a reserve for amounts that we expect will not be fully recovered. We do not apply actual balances against the reserve until we have exhausted substantially all collection efforts. At December 31, 2019 and December 31, 2018, substantially all of our trade accounts receivable (net of allowance for doubtful accounts) were less than 30 days past their scheduled invoice date. Our allowance for doubtful accounts receivable totaled $3 million at both December 31, 2019 and December 31, 2018. Although we consider our allowance for doubtful accounts receivable to be adequate, actual amounts could vary significantly from estimated amounts.</w:t>
      </w:r>
    </w:p>
    <w:p>
      <w:pPr>
        <w:spacing w:after="0" w:line="21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Consolidated Balance Sheets (in millions):</w:t>
      </w: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196"/>
        </w:trPr>
        <w:tc>
          <w:tcPr>
            <w:tcW w:w="80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7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3,381</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88"/>
              </w:rPr>
              <w:t>2,277</w:t>
            </w:r>
          </w:p>
        </w:tc>
      </w:tr>
      <w:tr>
        <w:trPr>
          <w:trHeight w:val="270"/>
        </w:trPr>
        <w:tc>
          <w:tcPr>
            <w:tcW w:w="8080" w:type="dxa"/>
            <w:vAlign w:val="bottom"/>
          </w:tcPr>
          <w:p>
            <w:pPr>
              <w:ind w:left="20"/>
              <w:spacing w:after="0"/>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94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3,576</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center"/>
              <w:ind w:left="274"/>
              <w:spacing w:after="0"/>
              <w:rPr>
                <w:sz w:val="20"/>
                <w:szCs w:val="20"/>
                <w:color w:val="auto"/>
              </w:rPr>
            </w:pPr>
            <w:r>
              <w:rPr>
                <w:rFonts w:ascii="Arial" w:cs="Arial" w:eastAsia="Arial" w:hAnsi="Arial"/>
                <w:sz w:val="18"/>
                <w:szCs w:val="18"/>
                <w:color w:val="auto"/>
                <w:w w:val="88"/>
              </w:rPr>
              <w:t>2,732</w:t>
            </w: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(3,343)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left="234"/>
              <w:spacing w:after="0"/>
              <w:rPr>
                <w:sz w:val="20"/>
                <w:szCs w:val="20"/>
                <w:color w:val="auto"/>
              </w:rPr>
            </w:pPr>
            <w:r>
              <w:rPr>
                <w:rFonts w:ascii="Arial" w:cs="Arial" w:eastAsia="Arial" w:hAnsi="Arial"/>
                <w:sz w:val="18"/>
                <w:szCs w:val="18"/>
                <w:color w:val="auto"/>
                <w:w w:val="91"/>
              </w:rPr>
              <w:t>(2,555)</w:t>
            </w:r>
          </w:p>
        </w:tc>
      </w:tr>
      <w:tr>
        <w:trPr>
          <w:trHeight w:val="264"/>
        </w:trPr>
        <w:tc>
          <w:tcPr>
            <w:tcW w:w="8080" w:type="dxa"/>
            <w:vAlign w:val="bottom"/>
          </w:tcPr>
          <w:p>
            <w:pPr>
              <w:ind w:left="120"/>
              <w:spacing w:after="0"/>
              <w:rPr>
                <w:sz w:val="20"/>
                <w:szCs w:val="20"/>
                <w:color w:val="auto"/>
              </w:rPr>
            </w:pPr>
            <w:r>
              <w:rPr>
                <w:rFonts w:ascii="Arial" w:cs="Arial" w:eastAsia="Arial" w:hAnsi="Arial"/>
                <w:sz w:val="18"/>
                <w:szCs w:val="18"/>
                <w:color w:val="auto"/>
              </w:rPr>
              <w:t>Trade accounts receivable and other receivables, net</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3,614</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center"/>
              <w:ind w:left="274"/>
              <w:spacing w:after="0"/>
              <w:rPr>
                <w:sz w:val="20"/>
                <w:szCs w:val="20"/>
                <w:color w:val="auto"/>
              </w:rPr>
            </w:pPr>
            <w:r>
              <w:rPr>
                <w:rFonts w:ascii="Arial" w:cs="Arial" w:eastAsia="Arial" w:hAnsi="Arial"/>
                <w:sz w:val="18"/>
                <w:szCs w:val="18"/>
                <w:color w:val="auto"/>
                <w:w w:val="88"/>
              </w:rPr>
              <w:t>2,454</w:t>
            </w:r>
          </w:p>
        </w:tc>
      </w:tr>
      <w:tr>
        <w:trPr>
          <w:trHeight w:val="21"/>
        </w:trPr>
        <w:tc>
          <w:tcPr>
            <w:tcW w:w="8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7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The balance is comprised primarily of accounts receivable associated with buy/sell arrangements that are not within the scope of Topic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Common Unit</w:t>
      </w:r>
    </w:p>
    <w:p>
      <w:pPr>
        <w:spacing w:after="0" w:line="25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After consideration of distributions to preferred unitholders (whether paid in cash or in-kind), basic and diluted net income per common unit is determined pursuant to the two-class method as prescribed in FASB guidance. This method is an earnings allocation formula that is used to determine allocations to our limited partners and participating securities according to distributions pertaining to the current period’s net income and participation rights in undistributed earnings or distributions in excess of earnings. Under the two-class method, net income is reduced by distributions pertaining to the period, and all remaining earnings or distributions in excess of earnings are then allocated to our common unitholders and participating securities based on their respective rights to share in distributions, regardless of whether those earnings would actually be distributed during a particular period from an economic or practical perspective. Participating securities include equity-indexed compensation plan awards that have vested DERs, which entitle the grantee to a cash payment equal to the cash distribution paid on our outstanding common units.</w:t>
      </w:r>
    </w:p>
    <w:p>
      <w:pPr>
        <w:spacing w:after="0" w:line="206"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We calculate basic and diluted net income per common unit by dividing net income attributable to PAA (after deducting amounts allocated to the preferred unitholders and participating securities) by the basic and diluted weighted average number of common units outstanding during the period.</w:t>
      </w:r>
    </w:p>
    <w:p>
      <w:pPr>
        <w:spacing w:after="0" w:line="151"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12 for additional information regarding our Series A preferred units. See Note 18 for a complete discussion of our equity-indexed compensation plan awards. When applying the if-converted method prescribed by FASB guidance, the possible conversion of our Series A preferred units was excluded from the calculation of diluted net income per common unit for the year ended December 31, 2017 as the effect was antidilutive. 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were deemed to be dilutive during the three years ended December 31, 2019 were reduced by a hypothetical common unit repurchase based on the remaining unamortized fair value, as prescribed by the treasury stock method in guidance issued by the FASB.</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46" w:name="page147"/>
    <w:bookmarkEnd w:id="1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common unit (in millions, except per unit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r>
      <w:tr>
        <w:trPr>
          <w:trHeight w:val="223"/>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Basic Net Income per Common Unit</w:t>
            </w:r>
          </w:p>
        </w:tc>
        <w:tc>
          <w:tcPr>
            <w:tcW w:w="8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6"/>
        </w:trPr>
        <w:tc>
          <w:tcPr>
            <w:tcW w:w="6840" w:type="dxa"/>
            <w:vAlign w:val="bottom"/>
          </w:tcPr>
          <w:p>
            <w:pPr>
              <w:ind w:left="120"/>
              <w:spacing w:after="0"/>
              <w:rPr>
                <w:sz w:val="20"/>
                <w:szCs w:val="20"/>
                <w:color w:val="auto"/>
              </w:rPr>
            </w:pPr>
            <w:r>
              <w:rPr>
                <w:rFonts w:ascii="Arial" w:cs="Arial" w:eastAsia="Arial" w:hAnsi="Arial"/>
                <w:sz w:val="17"/>
                <w:szCs w:val="17"/>
                <w:color w:val="auto"/>
              </w:rPr>
              <w:t>Net income attributable to PAA</w:t>
            </w:r>
          </w:p>
        </w:tc>
        <w:tc>
          <w:tcPr>
            <w:tcW w:w="880" w:type="dxa"/>
            <w:vAlign w:val="bottom"/>
          </w:tcPr>
          <w:p>
            <w:pPr>
              <w:jc w:val="right"/>
              <w:ind w:right="696"/>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w w:val="93"/>
              </w:rPr>
              <w:t>2,171</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2,216</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856</w:t>
            </w:r>
          </w:p>
        </w:tc>
      </w:tr>
      <w:tr>
        <w:trPr>
          <w:trHeight w:val="31"/>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Distributions to Series A preferred unitholders</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(142)</w:t>
            </w:r>
          </w:p>
        </w:tc>
      </w:tr>
      <w:tr>
        <w:trPr>
          <w:trHeight w:val="226"/>
        </w:trPr>
        <w:tc>
          <w:tcPr>
            <w:tcW w:w="6840" w:type="dxa"/>
            <w:vAlign w:val="bottom"/>
          </w:tcPr>
          <w:p>
            <w:pPr>
              <w:ind w:left="220"/>
              <w:spacing w:after="0"/>
              <w:rPr>
                <w:sz w:val="20"/>
                <w:szCs w:val="20"/>
                <w:color w:val="auto"/>
              </w:rPr>
            </w:pPr>
            <w:r>
              <w:rPr>
                <w:rFonts w:ascii="Arial" w:cs="Arial" w:eastAsia="Arial" w:hAnsi="Arial"/>
                <w:sz w:val="17"/>
                <w:szCs w:val="17"/>
                <w:color w:val="auto"/>
              </w:rPr>
              <w:t>Distributions to Series B preferred unitholders</w:t>
            </w:r>
          </w:p>
        </w:tc>
        <w:tc>
          <w:tcPr>
            <w:tcW w:w="88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(11)</w:t>
            </w:r>
          </w:p>
        </w:tc>
      </w:tr>
      <w:tr>
        <w:trPr>
          <w:trHeight w:val="31"/>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Distributions to participating securities</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w:t>
            </w:r>
          </w:p>
        </w:tc>
      </w:tr>
      <w:tr>
        <w:trPr>
          <w:trHeight w:val="226"/>
        </w:trPr>
        <w:tc>
          <w:tcPr>
            <w:tcW w:w="6840" w:type="dxa"/>
            <w:vAlign w:val="bottom"/>
          </w:tcPr>
          <w:p>
            <w:pPr>
              <w:ind w:left="220"/>
              <w:spacing w:after="0"/>
              <w:rPr>
                <w:sz w:val="20"/>
                <w:szCs w:val="20"/>
                <w:color w:val="auto"/>
              </w:rPr>
            </w:pPr>
            <w:r>
              <w:rPr>
                <w:rFonts w:ascii="Arial" w:cs="Arial" w:eastAsia="Arial" w:hAnsi="Arial"/>
                <w:sz w:val="17"/>
                <w:szCs w:val="17"/>
                <w:color w:val="auto"/>
              </w:rPr>
              <w:t>Other</w:t>
            </w:r>
          </w:p>
        </w:tc>
        <w:tc>
          <w:tcPr>
            <w:tcW w:w="88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(16)</w:t>
            </w:r>
          </w:p>
        </w:tc>
      </w:tr>
      <w:tr>
        <w:trPr>
          <w:trHeight w:val="31"/>
        </w:trPr>
        <w:tc>
          <w:tcPr>
            <w:tcW w:w="68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0"/>
        </w:trPr>
        <w:tc>
          <w:tcPr>
            <w:tcW w:w="6840" w:type="dxa"/>
            <w:vAlign w:val="bottom"/>
            <w:shd w:val="clear" w:color="auto" w:fill="CCEEFF"/>
          </w:tcPr>
          <w:p>
            <w:pPr>
              <w:ind w:left="140"/>
              <w:spacing w:after="0" w:line="250" w:lineRule="exact"/>
              <w:rPr>
                <w:sz w:val="20"/>
                <w:szCs w:val="20"/>
                <w:color w:val="auto"/>
              </w:rPr>
            </w:pPr>
            <w:r>
              <w:rPr>
                <w:rFonts w:ascii="Arial" w:cs="Arial" w:eastAsia="Arial" w:hAnsi="Arial"/>
                <w:sz w:val="17"/>
                <w:szCs w:val="17"/>
                <w:color w:val="auto"/>
              </w:rPr>
              <w:t xml:space="preserve">Net income allocated to common unitholders </w:t>
            </w:r>
            <w:r>
              <w:rPr>
                <w:rFonts w:ascii="Arial" w:cs="Arial" w:eastAsia="Arial" w:hAnsi="Arial"/>
                <w:sz w:val="22"/>
                <w:szCs w:val="22"/>
                <w:color w:val="auto"/>
                <w:vertAlign w:val="superscript"/>
              </w:rPr>
              <w:t>(1)</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93"/>
              </w:rPr>
              <w:t>1,967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2,009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685</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7"/>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Basic weighted average common units outstanding</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727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717</w:t>
            </w:r>
          </w:p>
        </w:tc>
      </w:tr>
      <w:tr>
        <w:trPr>
          <w:trHeight w:val="257"/>
        </w:trPr>
        <w:tc>
          <w:tcPr>
            <w:tcW w:w="68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5"/>
        </w:trPr>
        <w:tc>
          <w:tcPr>
            <w:tcW w:w="6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Basic net income per common unit</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2.70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2.77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0.96</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06"/>
        </w:trPr>
        <w:tc>
          <w:tcPr>
            <w:tcW w:w="6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Diluted Net Income per Common Unit</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6"/>
        </w:trPr>
        <w:tc>
          <w:tcPr>
            <w:tcW w:w="6840" w:type="dxa"/>
            <w:vAlign w:val="bottom"/>
          </w:tcPr>
          <w:p>
            <w:pPr>
              <w:ind w:left="120"/>
              <w:spacing w:after="0"/>
              <w:rPr>
                <w:sz w:val="20"/>
                <w:szCs w:val="20"/>
                <w:color w:val="auto"/>
              </w:rPr>
            </w:pPr>
            <w:r>
              <w:rPr>
                <w:rFonts w:ascii="Arial" w:cs="Arial" w:eastAsia="Arial" w:hAnsi="Arial"/>
                <w:sz w:val="17"/>
                <w:szCs w:val="17"/>
                <w:color w:val="auto"/>
              </w:rPr>
              <w:t>Net income attributable to PAA</w:t>
            </w:r>
          </w:p>
        </w:tc>
        <w:tc>
          <w:tcPr>
            <w:tcW w:w="880" w:type="dxa"/>
            <w:vAlign w:val="bottom"/>
          </w:tcPr>
          <w:p>
            <w:pPr>
              <w:jc w:val="right"/>
              <w:ind w:right="696"/>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w w:val="93"/>
              </w:rPr>
              <w:t>2,171</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2,216</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856</w:t>
            </w:r>
          </w:p>
        </w:tc>
      </w:tr>
      <w:tr>
        <w:trPr>
          <w:trHeight w:val="31"/>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Distributions to Series A preferred unitholders</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(142)</w:t>
            </w:r>
          </w:p>
        </w:tc>
      </w:tr>
      <w:tr>
        <w:trPr>
          <w:trHeight w:val="226"/>
        </w:trPr>
        <w:tc>
          <w:tcPr>
            <w:tcW w:w="6840" w:type="dxa"/>
            <w:vAlign w:val="bottom"/>
          </w:tcPr>
          <w:p>
            <w:pPr>
              <w:ind w:left="220"/>
              <w:spacing w:after="0"/>
              <w:rPr>
                <w:sz w:val="20"/>
                <w:szCs w:val="20"/>
                <w:color w:val="auto"/>
              </w:rPr>
            </w:pPr>
            <w:r>
              <w:rPr>
                <w:rFonts w:ascii="Arial" w:cs="Arial" w:eastAsia="Arial" w:hAnsi="Arial"/>
                <w:sz w:val="17"/>
                <w:szCs w:val="17"/>
                <w:color w:val="auto"/>
              </w:rPr>
              <w:t>Distributions to Series B preferred unitholders</w:t>
            </w:r>
          </w:p>
        </w:tc>
        <w:tc>
          <w:tcPr>
            <w:tcW w:w="88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(11)</w:t>
            </w:r>
          </w:p>
        </w:tc>
      </w:tr>
      <w:tr>
        <w:trPr>
          <w:trHeight w:val="31"/>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Distributions to participating securities</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w:t>
            </w:r>
          </w:p>
        </w:tc>
      </w:tr>
      <w:tr>
        <w:trPr>
          <w:trHeight w:val="226"/>
        </w:trPr>
        <w:tc>
          <w:tcPr>
            <w:tcW w:w="6840" w:type="dxa"/>
            <w:vAlign w:val="bottom"/>
          </w:tcPr>
          <w:p>
            <w:pPr>
              <w:ind w:left="220"/>
              <w:spacing w:after="0"/>
              <w:rPr>
                <w:sz w:val="20"/>
                <w:szCs w:val="20"/>
                <w:color w:val="auto"/>
              </w:rPr>
            </w:pPr>
            <w:r>
              <w:rPr>
                <w:rFonts w:ascii="Arial" w:cs="Arial" w:eastAsia="Arial" w:hAnsi="Arial"/>
                <w:sz w:val="17"/>
                <w:szCs w:val="17"/>
                <w:color w:val="auto"/>
              </w:rPr>
              <w:t>Other</w:t>
            </w:r>
          </w:p>
        </w:tc>
        <w:tc>
          <w:tcPr>
            <w:tcW w:w="880" w:type="dxa"/>
            <w:vAlign w:val="bottom"/>
          </w:tcPr>
          <w:p>
            <w:pPr>
              <w:spacing w:after="0"/>
              <w:rPr>
                <w:sz w:val="19"/>
                <w:szCs w:val="19"/>
                <w:color w:val="auto"/>
              </w:rPr>
            </w:pP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(16)</w:t>
            </w:r>
          </w:p>
        </w:tc>
      </w:tr>
      <w:tr>
        <w:trPr>
          <w:trHeight w:val="31"/>
        </w:trPr>
        <w:tc>
          <w:tcPr>
            <w:tcW w:w="68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0"/>
        </w:trPr>
        <w:tc>
          <w:tcPr>
            <w:tcW w:w="6840" w:type="dxa"/>
            <w:vAlign w:val="bottom"/>
            <w:shd w:val="clear" w:color="auto" w:fill="CCEEFF"/>
          </w:tcPr>
          <w:p>
            <w:pPr>
              <w:ind w:left="140"/>
              <w:spacing w:after="0" w:line="250" w:lineRule="exact"/>
              <w:rPr>
                <w:sz w:val="20"/>
                <w:szCs w:val="20"/>
                <w:color w:val="auto"/>
              </w:rPr>
            </w:pPr>
            <w:r>
              <w:rPr>
                <w:rFonts w:ascii="Arial" w:cs="Arial" w:eastAsia="Arial" w:hAnsi="Arial"/>
                <w:sz w:val="17"/>
                <w:szCs w:val="17"/>
                <w:color w:val="auto"/>
              </w:rPr>
              <w:t xml:space="preserve">Net income allocated to common unitholders </w:t>
            </w:r>
            <w:r>
              <w:rPr>
                <w:rFonts w:ascii="Arial" w:cs="Arial" w:eastAsia="Arial" w:hAnsi="Arial"/>
                <w:sz w:val="22"/>
                <w:szCs w:val="22"/>
                <w:color w:val="auto"/>
                <w:vertAlign w:val="superscript"/>
              </w:rPr>
              <w:t>(1)</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93"/>
              </w:rPr>
              <w:t>2,119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2,164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685</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7"/>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Basic weighted average common units outstanding</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727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717</w:t>
            </w:r>
          </w:p>
        </w:tc>
      </w:tr>
      <w:tr>
        <w:trPr>
          <w:trHeight w:val="226"/>
        </w:trPr>
        <w:tc>
          <w:tcPr>
            <w:tcW w:w="6840" w:type="dxa"/>
            <w:vAlign w:val="bottom"/>
          </w:tcPr>
          <w:p>
            <w:pPr>
              <w:ind w:left="380"/>
              <w:spacing w:after="0"/>
              <w:rPr>
                <w:sz w:val="20"/>
                <w:szCs w:val="20"/>
                <w:color w:val="auto"/>
              </w:rPr>
            </w:pPr>
            <w:r>
              <w:rPr>
                <w:rFonts w:ascii="Arial" w:cs="Arial" w:eastAsia="Arial" w:hAnsi="Arial"/>
                <w:sz w:val="17"/>
                <w:szCs w:val="17"/>
                <w:color w:val="auto"/>
              </w:rPr>
              <w:t>Effect of dilutive securities: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1"/>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Series A preferred units</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26"/>
        </w:trPr>
        <w:tc>
          <w:tcPr>
            <w:tcW w:w="6840" w:type="dxa"/>
            <w:vAlign w:val="bottom"/>
          </w:tcPr>
          <w:p>
            <w:pPr>
              <w:ind w:left="500"/>
              <w:spacing w:after="0"/>
              <w:rPr>
                <w:sz w:val="20"/>
                <w:szCs w:val="20"/>
                <w:color w:val="auto"/>
              </w:rPr>
            </w:pPr>
            <w:r>
              <w:rPr>
                <w:rFonts w:ascii="Arial" w:cs="Arial" w:eastAsia="Arial" w:hAnsi="Arial"/>
                <w:sz w:val="17"/>
                <w:szCs w:val="17"/>
                <w:color w:val="auto"/>
              </w:rPr>
              <w:t>Equity-indexed compensation plan awards</w:t>
            </w:r>
          </w:p>
        </w:tc>
        <w:tc>
          <w:tcPr>
            <w:tcW w:w="880" w:type="dxa"/>
            <w:vAlign w:val="bottom"/>
          </w:tcPr>
          <w:p>
            <w:pPr>
              <w:spacing w:after="0"/>
              <w:rPr>
                <w:sz w:val="19"/>
                <w:szCs w:val="19"/>
                <w:color w:val="auto"/>
              </w:rPr>
            </w:pP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1</w:t>
            </w:r>
          </w:p>
        </w:tc>
      </w:tr>
      <w:tr>
        <w:trPr>
          <w:trHeight w:val="31"/>
        </w:trPr>
        <w:tc>
          <w:tcPr>
            <w:tcW w:w="68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3"/>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Diluted weighted average common units outstanding</w:t>
            </w:r>
          </w:p>
        </w:tc>
        <w:tc>
          <w:tcPr>
            <w:tcW w:w="8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800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799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718</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75"/>
        </w:trPr>
        <w:tc>
          <w:tcPr>
            <w:tcW w:w="6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Diluted net income per common unit</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2.65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2.71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0.95</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7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80" w:hanging="652"/>
        <w:spacing w:after="0" w:line="254" w:lineRule="auto"/>
        <w:tabs>
          <w:tab w:leader="none" w:pos="648" w:val="left"/>
        </w:tabs>
        <w:numPr>
          <w:ilvl w:val="0"/>
          <w:numId w:val="78"/>
        </w:numPr>
        <w:rPr>
          <w:rFonts w:ascii="Arial" w:cs="Arial" w:eastAsia="Arial" w:hAnsi="Arial"/>
          <w:sz w:val="22"/>
          <w:szCs w:val="22"/>
          <w:color w:val="auto"/>
          <w:vertAlign w:val="superscript"/>
        </w:rPr>
      </w:pPr>
      <w:r>
        <w:rPr>
          <w:rFonts w:ascii="Arial" w:cs="Arial" w:eastAsia="Arial" w:hAnsi="Arial"/>
          <w:sz w:val="17"/>
          <w:szCs w:val="17"/>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7" w:name="page148"/>
    <w:bookmarkEnd w:id="1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5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During the years ended December 31, 2019, 2018 and 2017, we recorded charges of $11 million, $8 million and $35 million, respectively, related to the writedown of our crude oil inventory due to declines in prices. A portion of these inventory valuation adjustments was offset by the recognition of gains on derivative instruments being utilized to hedge future sales of our crude oil inventory. Such gains were recorded to “Supply and Logistics segment revenues” in our accompanying Consolidated Statements of Operations. See Note 13 for discussion of our derivative and risk management activities.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Linefill and base gas in assets we own are recorded at historical cost and consist of crude oil, NGL and natural gas. We classify as linefill or base gas</w:t>
      </w:r>
    </w:p>
    <w:p>
      <w:pPr>
        <w:spacing w:after="0" w:line="46" w:lineRule="exact"/>
        <w:rPr>
          <w:sz w:val="20"/>
          <w:szCs w:val="20"/>
          <w:color w:val="auto"/>
        </w:rPr>
      </w:pPr>
    </w:p>
    <w:p>
      <w:pPr>
        <w:ind w:right="180" w:firstLine="8"/>
        <w:spacing w:after="0" w:line="255" w:lineRule="auto"/>
        <w:tabs>
          <w:tab w:leader="none" w:pos="215"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proportionate share of barrels used to fill a pipeline that we own such that when an incremental barrel is pumped into or enters a pipeline it forces product out at another location, (ii) barrels that represent the minimum working requirements in tanks and caverns that we own and (iii) natural gas required to maintain the minimum operating pressure of natural gas storage facilities we own.</w:t>
      </w:r>
    </w:p>
    <w:p>
      <w:pPr>
        <w:spacing w:after="0" w:line="2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Linefill and base gas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2019, 2018 and 2017, we did not recognize any impairments of linefill and base gas.</w:t>
      </w:r>
    </w:p>
    <w:p>
      <w:pPr>
        <w:spacing w:after="0" w:line="214"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8" w:name="page149"/>
    <w:bookmarkEnd w:id="1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Volumes</w:t>
            </w: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 of</w:t>
            </w:r>
          </w:p>
        </w:tc>
        <w:tc>
          <w:tcPr>
            <w:tcW w:w="160" w:type="dxa"/>
            <w:vAlign w:val="bottom"/>
          </w:tcPr>
          <w:p>
            <w:pPr>
              <w:spacing w:after="0"/>
              <w:rPr>
                <w:sz w:val="14"/>
                <w:szCs w:val="14"/>
                <w:color w:val="auto"/>
              </w:rPr>
            </w:pPr>
          </w:p>
        </w:tc>
        <w:tc>
          <w:tcPr>
            <w:tcW w:w="800" w:type="dxa"/>
            <w:vAlign w:val="bottom"/>
          </w:tcPr>
          <w:p>
            <w:pPr>
              <w:jc w:val="right"/>
              <w:ind w:right="113"/>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Price/</w:t>
            </w:r>
          </w:p>
        </w:tc>
        <w:tc>
          <w:tcPr>
            <w:tcW w:w="80" w:type="dxa"/>
            <w:vAlign w:val="bottom"/>
          </w:tcPr>
          <w:p>
            <w:pPr>
              <w:spacing w:after="0"/>
              <w:rPr>
                <w:sz w:val="14"/>
                <w:szCs w:val="14"/>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Volumes</w:t>
            </w: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4"/>
                <w:szCs w:val="14"/>
                <w:color w:val="auto"/>
              </w:rPr>
            </w:pPr>
          </w:p>
        </w:tc>
        <w:tc>
          <w:tcPr>
            <w:tcW w:w="800" w:type="dxa"/>
            <w:vAlign w:val="bottom"/>
          </w:tcPr>
          <w:p>
            <w:pPr>
              <w:jc w:val="right"/>
              <w:ind w:right="93"/>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6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 xml:space="preserve">Unit </w:t>
            </w:r>
            <w:r>
              <w:rPr>
                <w:rFonts w:ascii="Arial" w:cs="Arial" w:eastAsia="Arial" w:hAnsi="Arial"/>
                <w:sz w:val="9"/>
                <w:szCs w:val="9"/>
                <w:b w:val="1"/>
                <w:bCs w:val="1"/>
                <w:color w:val="auto"/>
                <w:w w:val="99"/>
              </w:rPr>
              <w:t>(1)</w:t>
            </w: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7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32"/>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8,613</w:t>
            </w:r>
          </w:p>
        </w:tc>
        <w:tc>
          <w:tcPr>
            <w:tcW w:w="10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450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52.25</w:t>
            </w:r>
          </w:p>
        </w:tc>
        <w:tc>
          <w:tcPr>
            <w:tcW w:w="140" w:type="dxa"/>
            <w:vAlign w:val="bottom"/>
            <w:tcBorders>
              <w:right w:val="single" w:sz="8" w:color="auto"/>
            </w:tcBorders>
          </w:tcPr>
          <w:p>
            <w:pPr>
              <w:spacing w:after="0"/>
              <w:rPr>
                <w:sz w:val="21"/>
                <w:szCs w:val="21"/>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8"/>
                <w:szCs w:val="18"/>
                <w:color w:val="auto"/>
              </w:rPr>
              <w:t>9,657</w:t>
            </w:r>
          </w:p>
        </w:tc>
        <w:tc>
          <w:tcPr>
            <w:tcW w:w="10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367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7,574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18.75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10,384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1"/>
                <w:szCs w:val="21"/>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Inventory subtotal</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Linefill and base gas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14,316</w:t>
            </w:r>
          </w:p>
        </w:tc>
        <w:tc>
          <w:tcPr>
            <w:tcW w:w="10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826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57.70</w:t>
            </w:r>
          </w:p>
        </w:tc>
        <w:tc>
          <w:tcPr>
            <w:tcW w:w="140" w:type="dxa"/>
            <w:vAlign w:val="bottom"/>
            <w:tcBorders>
              <w:right w:val="single" w:sz="8" w:color="auto"/>
            </w:tcBorders>
          </w:tcPr>
          <w:p>
            <w:pPr>
              <w:spacing w:after="0"/>
              <w:rPr>
                <w:sz w:val="21"/>
                <w:szCs w:val="21"/>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8"/>
                <w:szCs w:val="18"/>
                <w:color w:val="auto"/>
              </w:rPr>
              <w:t>13,312</w:t>
            </w:r>
          </w:p>
        </w:tc>
        <w:tc>
          <w:tcPr>
            <w:tcW w:w="10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761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27.63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6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4.32</w:t>
            </w:r>
          </w:p>
        </w:tc>
        <w:tc>
          <w:tcPr>
            <w:tcW w:w="140" w:type="dxa"/>
            <w:vAlign w:val="bottom"/>
            <w:tcBorders>
              <w:right w:val="single" w:sz="8" w:color="auto"/>
            </w:tcBorders>
          </w:tcPr>
          <w:p>
            <w:pPr>
              <w:spacing w:after="0"/>
              <w:rPr>
                <w:sz w:val="21"/>
                <w:szCs w:val="21"/>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Linefill and base gas subtotal</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inventory</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152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58.51</w:t>
            </w:r>
          </w:p>
        </w:tc>
        <w:tc>
          <w:tcPr>
            <w:tcW w:w="140" w:type="dxa"/>
            <w:vAlign w:val="bottom"/>
            <w:tcBorders>
              <w:right w:val="single" w:sz="8" w:color="auto"/>
            </w:tcBorders>
          </w:tcPr>
          <w:p>
            <w:pPr>
              <w:spacing w:after="0"/>
              <w:rPr>
                <w:sz w:val="21"/>
                <w:szCs w:val="21"/>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79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17.57</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37"/>
        </w:trPr>
        <w:tc>
          <w:tcPr>
            <w:tcW w:w="2920" w:type="dxa"/>
            <w:vAlign w:val="bottom"/>
          </w:tcPr>
          <w:p>
            <w:pPr>
              <w:ind w:left="120"/>
              <w:spacing w:after="0"/>
              <w:rPr>
                <w:sz w:val="20"/>
                <w:szCs w:val="20"/>
                <w:color w:val="auto"/>
              </w:rPr>
            </w:pPr>
            <w:r>
              <w:rPr>
                <w:rFonts w:ascii="Arial" w:cs="Arial" w:eastAsia="Arial" w:hAnsi="Arial"/>
                <w:sz w:val="18"/>
                <w:szCs w:val="18"/>
                <w:color w:val="auto"/>
              </w:rPr>
              <w:t>Long-term inventory subtotal</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7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60" w:hanging="652"/>
        <w:spacing w:after="0" w:line="227" w:lineRule="auto"/>
        <w:tabs>
          <w:tab w:leader="none" w:pos="648" w:val="left"/>
        </w:tabs>
        <w:numPr>
          <w:ilvl w:val="0"/>
          <w:numId w:val="80"/>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6—Property and Equipment</w:t>
      </w:r>
    </w:p>
    <w:p>
      <w:pPr>
        <w:spacing w:after="0" w:line="2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accordance with our capitalization policy, expenditures made to expand the existing operating and/or earnings capacity of our assets are capitalized. We also capitalize certain costs directly related to the construction of such assets, including related internal labor costs, engineering costs and interest costs. For the years ended December 31, 2019, 2018 and 2017, capitalized interest recorded to property and equipment was $14 million, $21 million and $17 million, respectively. In addition, we capitalize interest related to investments in certain unconsolidated entities. See Note 9 for additional information.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49" w:name="page150"/>
    <w:bookmarkEnd w:id="1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is stated at cost and consisted of the following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Estimated Useful</w:t>
            </w: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01"/>
        </w:trPr>
        <w:tc>
          <w:tcPr>
            <w:tcW w:w="672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Lives (Years)</w:t>
            </w:r>
          </w:p>
        </w:tc>
        <w:tc>
          <w:tcPr>
            <w:tcW w:w="340" w:type="dxa"/>
            <w:vAlign w:val="bottom"/>
          </w:tcPr>
          <w:p>
            <w:pPr>
              <w:spacing w:after="0"/>
              <w:rPr>
                <w:sz w:val="17"/>
                <w:szCs w:val="17"/>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65"/>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Pipelines and related facilities </w:t>
            </w:r>
            <w:r>
              <w:rPr>
                <w:rFonts w:ascii="Arial" w:cs="Arial" w:eastAsia="Arial" w:hAnsi="Arial"/>
                <w:sz w:val="23"/>
                <w:szCs w:val="23"/>
                <w:color w:val="auto"/>
                <w:vertAlign w:val="superscript"/>
              </w:rPr>
              <w:t>(1)</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10 - 70</w:t>
            </w: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11,114</w:t>
            </w: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10,137</w:t>
            </w:r>
          </w:p>
        </w:tc>
      </w:tr>
      <w:tr>
        <w:trPr>
          <w:trHeight w:val="270"/>
        </w:trPr>
        <w:tc>
          <w:tcPr>
            <w:tcW w:w="6720" w:type="dxa"/>
            <w:vAlign w:val="bottom"/>
          </w:tcPr>
          <w:p>
            <w:pPr>
              <w:ind w:left="20"/>
              <w:spacing w:after="0"/>
              <w:rPr>
                <w:sz w:val="20"/>
                <w:szCs w:val="20"/>
                <w:color w:val="auto"/>
              </w:rPr>
            </w:pPr>
            <w:r>
              <w:rPr>
                <w:rFonts w:ascii="Arial" w:cs="Arial" w:eastAsia="Arial" w:hAnsi="Arial"/>
                <w:sz w:val="18"/>
                <w:szCs w:val="18"/>
                <w:color w:val="auto"/>
              </w:rPr>
              <w:t>Storage, terminal and rail facilities</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10 - 70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6,134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5,854</w:t>
            </w: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Trucking equipment and other</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2 - 15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410</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6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795</w:t>
            </w:r>
          </w:p>
        </w:tc>
      </w:tr>
      <w:tr>
        <w:trPr>
          <w:trHeight w:val="27"/>
        </w:trPr>
        <w:tc>
          <w:tcPr>
            <w:tcW w:w="6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property and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2 - 50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248</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Land and other</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422</w:t>
            </w:r>
          </w:p>
        </w:tc>
      </w:tr>
      <w:tr>
        <w:trPr>
          <w:trHeight w:val="27"/>
        </w:trPr>
        <w:tc>
          <w:tcPr>
            <w:tcW w:w="67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gross</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18,948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17,866</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(3,079)</w:t>
            </w:r>
          </w:p>
        </w:tc>
      </w:tr>
      <w:tr>
        <w:trPr>
          <w:trHeight w:val="27"/>
        </w:trPr>
        <w:tc>
          <w:tcPr>
            <w:tcW w:w="67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15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15,355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14,787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8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81"/>
        </w:numPr>
        <w:rPr>
          <w:rFonts w:ascii="Arial" w:cs="Arial" w:eastAsia="Arial" w:hAnsi="Arial"/>
          <w:sz w:val="23"/>
          <w:szCs w:val="23"/>
          <w:color w:val="auto"/>
          <w:vertAlign w:val="superscript"/>
        </w:rPr>
      </w:pPr>
      <w:r>
        <w:rPr>
          <w:rFonts w:ascii="Arial" w:cs="Arial" w:eastAsia="Arial" w:hAnsi="Arial"/>
          <w:sz w:val="18"/>
          <w:szCs w:val="18"/>
          <w:color w:val="auto"/>
        </w:rPr>
        <w:t>We include rights-of-way, which are intangible assets, in our Pipelines and related facilities amounts within property and equipment.</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calculate our depreciation using the straight-line method, based on estimated useful lives and salvage values of our assets. Depreciation expense for the years ended December 31, 2019, 2018 and 2017 was $525 million, $454 million and $463 million, respectively. See “Impairment of Long-Lived Assets” below for a discussion of our policy for the recognition of asset impairments.</w:t>
      </w:r>
    </w:p>
    <w:p>
      <w:pPr>
        <w:spacing w:after="0" w:line="20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December 31, 2019, 2018 and 2017, we incurred liabilities for construction in progress that had not been paid of $120 million, $206 million and $127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22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73" w:lineRule="exact"/>
        <w:rPr>
          <w:sz w:val="20"/>
          <w:szCs w:val="20"/>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there is an indication of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5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 addition, when we evaluate property and equipment and other long-lived assets for recoverability, it may also be necessary to review related depreciation estimates and methods.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0" w:name="page151"/>
    <w:bookmarkEnd w:id="1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did not recognize any material impairments during the years ended December 31, 2019 or 2018. During the year ended December 31, 2017, we recognized $152 million of non-cash charges related to the write-down of certain of our long-lived rail and other terminal assets included in our Facilities segment due to asset impairments and accelerated depreciation. Such charges are reflected in “(Gains)/losses on asset sales and asset impairments, net” on our Consolidated Financial Statements. The decline in demand for movements of crude oil by rail in the United States due to sustained unfavorable market conditions resulted in expected decreases in future cash flows for certain of our rail terminal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were based upon recent sales prices of comparable facilities, as well as management’s expectation of the market values for such assets based on their industry experience. We consider such inputs to be a Level 3 input in the fair value hierarchy.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7—Acquisitions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The following acquisitions were accounted for using the acquisition method of accounting (excluding asset acquisitions or acquired interests accounted for under the equity method of accounting mentioned specifically below) and the determination of the fair value of the assets and liabilities acquired has been estimated in accordance with the applicable accounting guidance.</w:t>
      </w:r>
    </w:p>
    <w:p>
      <w:pPr>
        <w:spacing w:after="0" w:line="20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February 2020, we acquired Felix Midstream LLC (“Felix Midstream”) from Felix Energy Holdings II, LLC (“Felix Energy”) for approximately $305 million. Felix Midstream owns and operates a newly constructed crude oil gathering system in the Delaware Basin, with associated crude oil storage and truck offloading capacity, and is supported by a long-term acreage dedication. The assets acquired will primarily be included in our Transportation segment. The initial accounting for this acquisition was not complete as of the financial statements issuance date.</w:t>
      </w:r>
    </w:p>
    <w:p>
      <w:pPr>
        <w:spacing w:after="0" w:line="198"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During the second quarter of 2019, we acquired a crude oil terminal, including tank bottoms and linefill, in Cushing, Oklahoma for cash consideration of $44 million, which was accounted for as an asset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Alpha Crude Connector Acquisition</w:t>
      </w:r>
    </w:p>
    <w:p>
      <w:pPr>
        <w:spacing w:after="0" w:line="252"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On February 14, 2017, we acquired all of the issued and outstanding membership interests in Alpha Holding Company, LLC for cash consideration of $1.215 billion, subject to working capital and other adjustments (the “ACC Acquisition”). The ACC Acquisition was initially funded through borrowings under our senior unsecured revolving credit facility. Such borrowings were subsequently repaid with proceeds from our March 2017 issuance of common units to AAP pursuant to the Omnibus Agreement and in connection with a PAGP underwritten equity offering. See Note 12 for additional information.</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Upon completion of the ACC Acquisition, we became the owner of a crude oil gathering system known as the “Alpha Crude Connector” (the “ACC System”) located in the Northern Delaware Basin in Southeastern New Mexico and West Texas. The ACC System comprises approximately 515 miles of gathering and transmission lines and five market interconnects, including to our Basin Pipeline at Wink. During 2017, we made additional interconnects to our existing Northern Delaware Basin systems as well as additional enhancements to increase the ACC System capacity to approximately 350,000 barrels per day, depending on the level of volume at each delivery point. The ACC System is supported by acreage dedications covering approximately 315,000 gross acres, including a significant acreage dedication from one of the largest producers in the region. The ACC System complements our other Permian Basin assets and enhances the services available to the producers in the Northern Delaware Basin.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1" w:name="page152"/>
    <w:bookmarkEnd w:id="1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fair value determination (in millions):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Identifiable assets acquired and liabilities assumed:</w:t>
            </w:r>
          </w:p>
        </w:tc>
        <w:tc>
          <w:tcPr>
            <w:tcW w:w="120" w:type="dxa"/>
            <w:vAlign w:val="bottom"/>
            <w:vMerge w:val="restart"/>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Estimated Useful Lives</w:t>
            </w:r>
          </w:p>
        </w:tc>
        <w:tc>
          <w:tcPr>
            <w:tcW w:w="140" w:type="dxa"/>
            <w:vAlign w:val="bottom"/>
          </w:tcPr>
          <w:p>
            <w:pPr>
              <w:spacing w:after="0"/>
              <w:rPr>
                <w:sz w:val="14"/>
                <w:szCs w:val="14"/>
                <w:color w:val="auto"/>
              </w:rPr>
            </w:pPr>
          </w:p>
        </w:tc>
        <w:tc>
          <w:tcPr>
            <w:tcW w:w="14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1"/>
              </w:rPr>
              <w:t>Recognized amount</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54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3 - 70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1540" w:type="dxa"/>
            <w:vAlign w:val="bottom"/>
          </w:tcPr>
          <w:p>
            <w:pPr>
              <w:jc w:val="right"/>
              <w:ind w:right="59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0"/>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 and liabilities, net (including $4 million of cash acquired)</w:t>
            </w:r>
          </w:p>
        </w:tc>
        <w:tc>
          <w:tcPr>
            <w:tcW w:w="16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9"/>
        </w:trPr>
        <w:tc>
          <w:tcPr>
            <w:tcW w:w="8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Intangible assets are included in “Other long-term assets, net” on our Consolidated Balance Sheets. The determination of fair value to intangible assets above is comprised of five acreage dedication contracts and associated customer relationships that will be amortized over a remaining weighted average useful life of approximately 20 years. The value assigned to such intangible assets will be amortized to earnings using methods that closely resemble the pattern in which the economic benefits will be consumed. Amortization expense was approximately $34 million, $25 million and $10 million during the years ended December 31, 2019, 2018 and 2017, respectively, and the future amortization expense through 2022 is estimated as follows (in millions):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514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89"/>
              </w:rPr>
              <w:t>2020</w:t>
            </w:r>
          </w:p>
        </w:tc>
        <w:tc>
          <w:tcPr>
            <w:tcW w:w="5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r>
      <w:tr>
        <w:trPr>
          <w:trHeight w:val="243"/>
        </w:trPr>
        <w:tc>
          <w:tcPr>
            <w:tcW w:w="5140" w:type="dxa"/>
            <w:vAlign w:val="bottom"/>
          </w:tcPr>
          <w:p>
            <w:pPr>
              <w:jc w:val="right"/>
              <w:ind w:right="4670"/>
              <w:spacing w:after="0"/>
              <w:rPr>
                <w:sz w:val="20"/>
                <w:szCs w:val="20"/>
                <w:color w:val="auto"/>
              </w:rPr>
            </w:pPr>
            <w:r>
              <w:rPr>
                <w:rFonts w:ascii="Arial" w:cs="Arial" w:eastAsia="Arial" w:hAnsi="Arial"/>
                <w:sz w:val="18"/>
                <w:szCs w:val="18"/>
                <w:color w:val="auto"/>
                <w:w w:val="89"/>
              </w:rPr>
              <w:t>2021</w:t>
            </w:r>
          </w:p>
        </w:tc>
        <w:tc>
          <w:tcPr>
            <w:tcW w:w="5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48</w:t>
            </w:r>
          </w:p>
        </w:tc>
      </w:tr>
      <w:tr>
        <w:trPr>
          <w:trHeight w:val="27"/>
        </w:trPr>
        <w:tc>
          <w:tcPr>
            <w:tcW w:w="51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514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89"/>
              </w:rPr>
              <w:t>2022</w:t>
            </w:r>
          </w:p>
        </w:tc>
        <w:tc>
          <w:tcPr>
            <w:tcW w:w="5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r>
      <w:tr>
        <w:trPr>
          <w:trHeight w:val="27"/>
        </w:trPr>
        <w:tc>
          <w:tcPr>
            <w:tcW w:w="5140" w:type="dxa"/>
            <w:vAlign w:val="bottom"/>
            <w:shd w:val="clear" w:color="auto" w:fill="CCEEFF"/>
          </w:tcPr>
          <w:p>
            <w:pPr>
              <w:spacing w:after="0"/>
              <w:rPr>
                <w:sz w:val="2"/>
                <w:szCs w:val="2"/>
                <w:color w:val="auto"/>
              </w:rPr>
            </w:pPr>
          </w:p>
        </w:tc>
        <w:tc>
          <w:tcPr>
            <w:tcW w:w="5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goodwill arising from the ACC Acquisition, which is tax deductible, represents the anticipated opportunities to generate future cash flows from undedicated acreage and the synergies created between the ACC System and our existing assets. The assets acquired in the ACC Acquisition, as well as the associated goodwill, are primarily included in our Transportation segment.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2017, we incurred approximately $6 million of acquisition-related costs associated with the ACC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costs are reflected as a component of “General and administrative expenses” on our Consolidated Statements of Operations.</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Pro forma financial information assuming the ACC Acquisition had occurred as of the beginning of the calendar year prior to the year of acquisition were not material for disclosure purposes.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Acquisitions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February 2017, we acquired a propane marine terminal for cash consideration of approximately $41 million. The assets acquired are included in our Facilities segment. We did not recognize any goodwill related to this acquisition.</w:t>
      </w:r>
    </w:p>
    <w:p>
      <w:pPr>
        <w:spacing w:after="0" w:line="19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April 3, 2017, we and an affiliate of Noble Midstream Partners LP (“Noble”) completed the acquisition of Advantage Pipeline, L.L.C. (“Advantage”) through a newly formed 50/50 joint venture (the “Advantage Joint Venture”). We account for our interest in the Advantage Joint Venture under the equity method of accounting. See Note 9 for additional discussion of our equity method investments.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2" w:name="page153"/>
    <w:bookmarkEnd w:id="1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In January 2020, we signed a definitive agreement to sell certain of our Los Angeles Basin crude oil terminals for $195 million, subject to certain adjustments. We expect the transaction to close in the second half of 2020, subject to customary closing conditions, including the receipt of regulatory approvals, and anticipate we will recognize a loss of approximately $160 million, including goodwill that will be included as part of the disposal group.</w:t>
      </w:r>
    </w:p>
    <w:p>
      <w:pPr>
        <w:spacing w:after="0" w:line="17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year ended December 31, 2019, we sold certain non-core assets for total proceeds of $77 million that primarily consisted of a storage terminal in North Dakota, which was previously reported in our Facilities segment. For the year ended December 31, 2019, we recognized a net loss related to these asset sales of $16 million, which is comprised of gains of $31 million and losses of $47 million. Such amounts are included in "(Gains)/losses on asset sales and asset impairments, net" on our Consolidated Statement of Operations.</w:t>
      </w:r>
    </w:p>
    <w:p>
      <w:pPr>
        <w:spacing w:after="0" w:line="214"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During the year ended December 31, 2018, we received proceeds from asset sales of $1.334 billion, which primarily consisted of the sale of a 30% interest in BridgeTex Pipeline Company, LLC for proceeds of $868 million, resulting in a gain of $200 million. See Note 9 for additional discussion. The other assets sold during the year ended December 31, 2018 primarily included non-core property and equipment or are associated with the formation of strategic joint ventures and were previously reported in our Facilities and Transportation segments. For the year ended December 31, 2018, we recognized a net gain on sales of assets of $120 million, which is comprised of gains of $146 million and losses of $26 million. Such amounts are included in “(Gains)/losses on asset sales and asset impairments, net” on our Consolidated Statement of Operations.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2017, we sold certain non-core assets for total proceeds of $1.083 billion, including:</w:t>
      </w:r>
    </w:p>
    <w:p>
      <w:pPr>
        <w:spacing w:after="0" w:line="185"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of our Bay Area terminal assets located in California;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Bluewater natural gas storage facility located in Michigan;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non-core pipelines in the Rocky Mountain and Bakken regions, including our interest in SLC Pipeline LLC;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non-core pipeline segments primarily located in the Midwestern United States; and</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40% undivided interest in a segment of our Red River Pipeline extending from Cushing, Oklahoma to the Hewitt Station near Ardmore, Oklahoma for our net book value.</w:t>
      </w:r>
    </w:p>
    <w:p>
      <w:pPr>
        <w:spacing w:after="0" w:line="19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Bay Area terminal assets and the Bluewater natural gas storage facility were reported in our Facilities segment. The pipeline assets were reported in our Transportation segment.</w:t>
      </w:r>
    </w:p>
    <w:p>
      <w:pPr>
        <w:spacing w:after="0" w:line="19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In the aggregate, including non-cash impairments recognized upon reclassifications to assets held for sale, we recognized a net gain related to pending or completed asset sales of approximately $43 million for the year ended December 31, 2017, which is included in “(Gains)/losses on asset sales and asset impairments, net” on our Consolidated Statement of Operations. Such amount is comprised of gains of $123 million and losses of $80 million.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3" w:name="page154"/>
    <w:bookmarkEnd w:id="1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8—Goodwill</w:t>
      </w:r>
    </w:p>
    <w:p>
      <w:pPr>
        <w:spacing w:after="0" w:line="25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Goodwill represents the future economic benefits arising from assets acquired in a business combination that are not individually identified and separately recognized.</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accordance with FASB guidance, we test goodwill to determine whether an impairment has occurred at least annually (as of June 30) and on an interim basis if it is more likely than not that a reporting unit’s fair value is less than its carrying value.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provides for a quantitative approach to testing goodwill for impairment; however, we may first assess certain qualitative factors to determine whether it is necessary to perform the quantitative goodwill impairment test. In the quantitative test,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goodwill is impaired by the amount by which a reporting unit’s carrying value exceeds its fair value, not to exceed the carrying value of goodwill.</w:t>
      </w:r>
    </w:p>
    <w:p>
      <w:pPr>
        <w:spacing w:after="0" w:line="196"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completed our goodwill impairment test as of June 30, 2019 using a quantitative assessment, which also includes a sensitivity analysis regarding the excess of our reporting unit’s fair value over book value. We determined that the fair value of each reporting unit was greater than its respective book value; therefore, goodwill was not considered impaired. We did not recognize any impairments of goodwill during the last three years.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is reflected in the following table (in millions):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6"/>
                <w:szCs w:val="16"/>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95"/>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1,070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988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508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2,566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40" w:type="dxa"/>
            <w:vAlign w:val="bottom"/>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18"/>
                <w:szCs w:val="18"/>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7"/>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Divestitures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64"/>
        </w:trPr>
        <w:tc>
          <w:tcPr>
            <w:tcW w:w="514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2,521</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4"/>
        </w:trPr>
        <w:tc>
          <w:tcPr>
            <w:tcW w:w="5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w:t>
            </w:r>
          </w:p>
        </w:tc>
      </w:tr>
      <w:tr>
        <w:trPr>
          <w:trHeight w:val="264"/>
        </w:trPr>
        <w:tc>
          <w:tcPr>
            <w:tcW w:w="514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2,540</w:t>
            </w:r>
          </w:p>
        </w:tc>
      </w:tr>
      <w:tr>
        <w:trPr>
          <w:trHeight w:val="21"/>
        </w:trPr>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9—Investments in Unconsolidated Entities</w:t>
      </w:r>
    </w:p>
    <w:p>
      <w:pPr>
        <w:spacing w:after="0" w:line="256"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4" w:name="page155"/>
    <w:bookmarkEnd w:id="1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Ownership</w:t>
            </w:r>
          </w:p>
        </w:tc>
        <w:tc>
          <w:tcPr>
            <w:tcW w:w="300" w:type="dxa"/>
            <w:vAlign w:val="bottom"/>
          </w:tcPr>
          <w:p>
            <w:pPr>
              <w:spacing w:after="0"/>
              <w:rPr>
                <w:sz w:val="14"/>
                <w:szCs w:val="14"/>
                <w:color w:val="auto"/>
              </w:rPr>
            </w:pPr>
          </w:p>
        </w:tc>
        <w:tc>
          <w:tcPr>
            <w:tcW w:w="2240" w:type="dxa"/>
            <w:vAlign w:val="bottom"/>
            <w:gridSpan w:val="4"/>
            <w:vMerge w:val="restart"/>
          </w:tcPr>
          <w:p>
            <w:pPr>
              <w:jc w:val="right"/>
              <w:ind w:right="571"/>
              <w:spacing w:after="0"/>
              <w:rPr>
                <w:sz w:val="20"/>
                <w:szCs w:val="20"/>
                <w:color w:val="auto"/>
              </w:rPr>
            </w:pPr>
            <w:r>
              <w:rPr>
                <w:rFonts w:ascii="Arial" w:cs="Arial" w:eastAsia="Arial" w:hAnsi="Arial"/>
                <w:sz w:val="14"/>
                <w:szCs w:val="14"/>
                <w:b w:val="1"/>
                <w:bCs w:val="1"/>
                <w:color w:val="auto"/>
              </w:rPr>
              <w:t>Investment Balance</w:t>
            </w:r>
          </w:p>
        </w:tc>
        <w:tc>
          <w:tcPr>
            <w:tcW w:w="0" w:type="dxa"/>
            <w:vAlign w:val="bottom"/>
          </w:tcPr>
          <w:p>
            <w:pPr>
              <w:spacing w:after="0"/>
              <w:rPr>
                <w:sz w:val="1"/>
                <w:szCs w:val="1"/>
                <w:color w:val="auto"/>
              </w:rPr>
            </w:pPr>
          </w:p>
        </w:tc>
      </w:tr>
      <w:tr>
        <w:trPr>
          <w:trHeight w:val="81"/>
        </w:trPr>
        <w:tc>
          <w:tcPr>
            <w:tcW w:w="4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Interest at</w:t>
            </w:r>
          </w:p>
        </w:tc>
        <w:tc>
          <w:tcPr>
            <w:tcW w:w="300" w:type="dxa"/>
            <w:vAlign w:val="bottom"/>
          </w:tcPr>
          <w:p>
            <w:pPr>
              <w:spacing w:after="0"/>
              <w:rPr>
                <w:sz w:val="7"/>
                <w:szCs w:val="7"/>
                <w:color w:val="auto"/>
              </w:rPr>
            </w:pPr>
          </w:p>
        </w:tc>
        <w:tc>
          <w:tcPr>
            <w:tcW w:w="22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vMerge w:val="continue"/>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7"/>
                <w:szCs w:val="17"/>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Advantage Pipeline Holdings LLC (“Advantage Joint Venture”)</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BridgeTex Pipeline Company, LLC (“BridgeTex”)</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Cactus II Pipeline LLC (“Cactus II”)</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Caddo Pipeline LLC</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xml:space="preserve">Crude Oil Pipeline </w:t>
            </w:r>
            <w:r>
              <w:rPr>
                <w:rFonts w:ascii="Arial" w:cs="Arial" w:eastAsia="Arial" w:hAnsi="Arial"/>
                <w:sz w:val="23"/>
                <w:szCs w:val="23"/>
                <w:color w:val="auto"/>
                <w:w w:val="88"/>
                <w:vertAlign w:val="superscript"/>
              </w:rPr>
              <w:t>(2) (3)</w:t>
            </w:r>
          </w:p>
        </w:tc>
        <w:tc>
          <w:tcPr>
            <w:tcW w:w="12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Cheyenne Pipeline LLC (“Cheyenne”)</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0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Cushing Connect Pipeline &amp; Terminal LLC</w:t>
            </w:r>
          </w:p>
        </w:tc>
        <w:tc>
          <w:tcPr>
            <w:tcW w:w="24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6"/>
              </w:rPr>
              <w:t xml:space="preserve">Crude Oil Pipeline </w:t>
            </w:r>
            <w:r>
              <w:rPr>
                <w:rFonts w:ascii="Arial" w:cs="Arial" w:eastAsia="Arial" w:hAnsi="Arial"/>
                <w:sz w:val="21"/>
                <w:szCs w:val="21"/>
                <w:color w:val="auto"/>
                <w:w w:val="96"/>
                <w:vertAlign w:val="superscript"/>
              </w:rPr>
              <w:t>(3)</w:t>
            </w:r>
          </w:p>
        </w:tc>
        <w:tc>
          <w:tcPr>
            <w:tcW w:w="1280" w:type="dxa"/>
            <w:vAlign w:val="bottom"/>
            <w:gridSpan w:val="2"/>
            <w:vMerge w:val="restart"/>
            <w:shd w:val="clear" w:color="auto" w:fill="CCEEFF"/>
          </w:tcPr>
          <w:p>
            <w:pPr>
              <w:jc w:val="right"/>
              <w:ind w:right="408"/>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and Terminal</w:t>
            </w:r>
          </w:p>
        </w:tc>
        <w:tc>
          <w:tcPr>
            <w:tcW w:w="12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Diamond Pipeline LLC (“Diamond”)</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Eagle Ford Pipeline LLC (“Eagle Ford Pipeline”)</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76"/>
        </w:trPr>
        <w:tc>
          <w:tcPr>
            <w:tcW w:w="5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Eagle Ford Terminals Corpus Christi LLC (“Eagle Ford</w:t>
            </w:r>
          </w:p>
        </w:tc>
        <w:tc>
          <w:tcPr>
            <w:tcW w:w="2440" w:type="dxa"/>
            <w:vAlign w:val="bottom"/>
            <w:vMerge w:val="restart"/>
          </w:tcPr>
          <w:p>
            <w:pPr>
              <w:jc w:val="center"/>
              <w:spacing w:after="0"/>
              <w:rPr>
                <w:sz w:val="20"/>
                <w:szCs w:val="20"/>
                <w:color w:val="auto"/>
              </w:rPr>
            </w:pPr>
            <w:r>
              <w:rPr>
                <w:rFonts w:ascii="Arial" w:cs="Arial" w:eastAsia="Arial" w:hAnsi="Arial"/>
                <w:sz w:val="18"/>
                <w:szCs w:val="18"/>
                <w:color w:val="auto"/>
                <w:w w:val="92"/>
              </w:rPr>
              <w:t>Crude Oil Terminal and Dock</w:t>
            </w:r>
          </w:p>
        </w:tc>
        <w:tc>
          <w:tcPr>
            <w:tcW w:w="1280" w:type="dxa"/>
            <w:vAlign w:val="bottom"/>
            <w:gridSpan w:val="2"/>
            <w:vMerge w:val="restart"/>
          </w:tcPr>
          <w:p>
            <w:pPr>
              <w:jc w:val="right"/>
              <w:ind w:right="408"/>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ind w:right="7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Terminals”)</w:t>
            </w:r>
          </w:p>
        </w:tc>
        <w:tc>
          <w:tcPr>
            <w:tcW w:w="244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Midway Pipeline LLC</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Red Oak Pipeline LLC (“Red Oak”)</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(3)</w:t>
            </w: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Saddlehorn Pipeline Company, LLC (“Saddlehorn”)</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Settoon Towing, LLC</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Barge Transportation Services</w:t>
            </w: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STACK Pipeline LLC (“STACK”)</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White Cliffs Pipeline, LLC</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Wink to Webster Pipeline LLC (“W2W Pipeline”)</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(3)</w:t>
            </w:r>
          </w:p>
        </w:tc>
        <w:tc>
          <w:tcPr>
            <w:tcW w:w="12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000" w:type="dxa"/>
            <w:vAlign w:val="bottom"/>
            <w:gridSpan w:val="2"/>
          </w:tcPr>
          <w:p>
            <w:pPr>
              <w:ind w:left="220"/>
              <w:spacing w:after="0"/>
              <w:rPr>
                <w:sz w:val="20"/>
                <w:szCs w:val="20"/>
                <w:color w:val="auto"/>
              </w:rPr>
            </w:pPr>
            <w:r>
              <w:rPr>
                <w:rFonts w:ascii="Arial" w:cs="Arial" w:eastAsia="Arial" w:hAnsi="Arial"/>
                <w:sz w:val="18"/>
                <w:szCs w:val="18"/>
                <w:color w:val="auto"/>
              </w:rPr>
              <w:t>Total Investments in Unconsolidated Entities</w:t>
            </w:r>
          </w:p>
        </w:tc>
        <w:tc>
          <w:tcPr>
            <w:tcW w:w="2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8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20" w:hanging="11"/>
        <w:spacing w:after="0" w:line="277" w:lineRule="auto"/>
        <w:rPr>
          <w:sz w:val="20"/>
          <w:szCs w:val="20"/>
          <w:color w:val="auto"/>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Capline pipeline was taken out of service pending the reversal of the pipeline system.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Asset is currently under construction or development by the entity and has not yet been placed in service.</w:t>
      </w:r>
    </w:p>
    <w:p>
      <w:pPr>
        <w:spacing w:after="0" w:line="200" w:lineRule="exact"/>
        <w:rPr>
          <w:sz w:val="20"/>
          <w:szCs w:val="20"/>
          <w:color w:val="auto"/>
        </w:rPr>
      </w:pPr>
    </w:p>
    <w:p>
      <w:pPr>
        <w:sectPr>
          <w:pgSz w:w="11900" w:h="16838" w:orient="portrait"/>
          <w:cols w:equalWidth="0" w:num="2">
            <w:col w:w="140" w:space="500"/>
            <w:col w:w="10740"/>
          </w:cols>
          <w:pgMar w:left="240" w:top="125" w:right="27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Formations and Divestitures</w:t>
      </w:r>
    </w:p>
    <w:p>
      <w:pPr>
        <w:spacing w:after="0" w:line="25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Capline LLC</w:t>
      </w:r>
      <w:r>
        <w:rPr>
          <w:rFonts w:ascii="Arial" w:cs="Arial" w:eastAsia="Arial" w:hAnsi="Arial"/>
          <w:sz w:val="16"/>
          <w:szCs w:val="16"/>
          <w:color w:val="auto"/>
        </w:rPr>
        <w:t>. During the first quarter of 2019, the owners of the Capline pipeline system contributed their undivided joint interests in the system to a</w:t>
      </w:r>
      <w:r>
        <w:rPr>
          <w:rFonts w:ascii="Arial" w:cs="Arial" w:eastAsia="Arial" w:hAnsi="Arial"/>
          <w:sz w:val="16"/>
          <w:szCs w:val="16"/>
          <w:i w:val="1"/>
          <w:iCs w:val="1"/>
          <w:color w:val="auto"/>
        </w:rPr>
        <w:t xml:space="preserve"> </w:t>
      </w:r>
      <w:r>
        <w:rPr>
          <w:rFonts w:ascii="Arial" w:cs="Arial" w:eastAsia="Arial" w:hAnsi="Arial"/>
          <w:sz w:val="16"/>
          <w:szCs w:val="16"/>
          <w:color w:val="auto"/>
        </w:rPr>
        <w:t>newly formed entity, Capline Pipeline Company LLC (“Capline LLC”), in exchange for equity interests in such entity. After the contribution, Capline LLC owns 100% of the pipeline system. Each owner’s undivided joint interest in the Capline pipeline system prior to the transaction is equal to each owner’s equity interest in Capline LLC. Although we own a majority of Capline LLC’s equity, we do not have a controlling financial interest in Capline LLC because the other members have substantive participating rights. Therefore, we account for our ownership interest in Capline LLC as an equity method investment.</w:t>
      </w:r>
    </w:p>
    <w:p>
      <w:pPr>
        <w:spacing w:after="0" w:line="18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Under applicable accounting rules, the transaction resulted in a “loss of control” of our undivided joint interest, which was derecognized and contributed to Capline LLC. The “loss of control” required us to measure our equity interest in Capline LLC at fair value. At the time of the transaction, our 54% undivided joint interest in the Capline pipeline system had a carrying value of $175 million, which primarily related to property and equipment included in our Transportation segment. We determined the fair value of our investment in Capline LLC to be approximately $444 million, resulting in the recognition of a gain of $269 million during the year ended December 31, 2019. Such gain is included in “Gain on investment in unconsolidated entities” on our Consolidated Statement of Operations.</w:t>
      </w:r>
    </w:p>
    <w:p>
      <w:pPr>
        <w:sectPr>
          <w:pgSz w:w="11900" w:h="16838" w:orient="portrait"/>
          <w:cols w:equalWidth="0" w:num="1">
            <w:col w:w="11380"/>
          </w:cols>
          <w:pgMar w:left="240" w:top="125"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155" w:name="page156"/>
    <w:bookmarkEnd w:id="1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fair value of our investment in Capline LLC was based on an income approach utilizing a discounted cash flow analysis. The cash flow forecasts require the use of various assumptions and estimates which include those related to the timing and amount of capital expenditures, the expected tariff rates and volumes of crude oil, and the terminal value. We probability-weighted various forecasted cash flow scenarios utilized in the analysis when we considered the possible outcomes. We used a discount rate representing our estimate of the risk adjusted discount rate that would be used by market participants. If shipper interest varies from the levels assumed in our model, the related cash flows, and thus the fair value of our investment, could be materially impacted. The fair value of our investment was determined using significant unobservable inputs, or Level 3 inputs in the fair value hierarchy.</w:t>
      </w:r>
    </w:p>
    <w:p>
      <w:pPr>
        <w:spacing w:after="0" w:line="19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W2W Pipeline</w:t>
      </w:r>
      <w:r>
        <w:rPr>
          <w:rFonts w:ascii="Arial" w:cs="Arial" w:eastAsia="Arial" w:hAnsi="Arial"/>
          <w:sz w:val="16"/>
          <w:szCs w:val="16"/>
          <w:color w:val="auto"/>
        </w:rPr>
        <w:t>. In 2019, we participated in the formation of W2W Pipeline, a joint venture with subsidiaries of ExxonMobil, Lotus Midstream, LLC</w:t>
      </w:r>
      <w:r>
        <w:rPr>
          <w:rFonts w:ascii="Arial" w:cs="Arial" w:eastAsia="Arial" w:hAnsi="Arial"/>
          <w:sz w:val="16"/>
          <w:szCs w:val="16"/>
          <w:i w:val="1"/>
          <w:iCs w:val="1"/>
          <w:color w:val="auto"/>
        </w:rPr>
        <w:t xml:space="preserve"> </w:t>
      </w:r>
      <w:r>
        <w:rPr>
          <w:rFonts w:ascii="Arial" w:cs="Arial" w:eastAsia="Arial" w:hAnsi="Arial"/>
          <w:sz w:val="16"/>
          <w:szCs w:val="16"/>
          <w:color w:val="auto"/>
        </w:rPr>
        <w:t>and three additional entities, in which we own a 16% interest. We account for our interest in W2W Pipeline under the equity method of accounting. W2W Pipeline is currently developing a new pipeline system that will originate in the Permian Basin in West Texas and transport crude oil to the Texas Gulf Coast. The pipeline system will provide approximately 1.5 million barrels per day of crude oil and condensate capacity and is targeted to commence operations in 2021. W2W Pipeline has entered into an undivided joint-ownership arrangement with a subsidiary of Enterprise Products Partners, L.P. that has acquired 29% of the capacity of the pipeline segment from Midland, Texas to Webster, Texas, and W2W Pipeline now owns 71% of this segment of the pipeline.</w:t>
      </w:r>
    </w:p>
    <w:p>
      <w:pPr>
        <w:spacing w:after="0" w:line="19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Red Oak</w:t>
      </w:r>
      <w:r>
        <w:rPr>
          <w:rFonts w:ascii="Arial" w:cs="Arial" w:eastAsia="Arial" w:hAnsi="Arial"/>
          <w:sz w:val="16"/>
          <w:szCs w:val="16"/>
          <w:color w:val="auto"/>
        </w:rPr>
        <w:t>. In June 2019, we announced the formation of Red Oak, a joint venture with a subsidiary of Phillips 66. We own a 50% interest in Red Oak,</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currently developing a new pipeline that will provide crude oil transportation service from Cushing, Oklahoma, and the Permian Basin in West Texas to multiple destinations along the Texas Gulf Coast, including Corpus Christi, Ingleside, Houston and Beaumont, Texas. The pipeline system will provide approximately 1 million barrels per day of capacity, and initial service from Cushing to the Gulf Coast is targeted to commence in the first half of 2021, subject to receipt of applicable permits and regulatory approvals. We account for our interest in Red Oak under the equity method of accounting.</w:t>
      </w:r>
    </w:p>
    <w:p>
      <w:pPr>
        <w:spacing w:after="0" w:line="185"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In addition to contributing cash for construction of the Red Oak pipeline system, we have also entered into a pipeline capacity lease agreement with Red Oak whereby Red Oak has agreed to lease 260,000 barrels of capacity on our Sunrise II pipeline once the Red Oak pipeline system is operational. Once the Red Oak pipeline system is operational, we will record (i) a $155 million increase to our investment in Red Oak associated with our deemed contribution of the value attributable to the capacity lease and (ii) corresponding deferred revenue that will be recognized on a straight-line basis over the initial lease term of 33 years.</w:t>
      </w:r>
    </w:p>
    <w:p>
      <w:pPr>
        <w:spacing w:after="0" w:line="215" w:lineRule="exact"/>
        <w:rPr>
          <w:sz w:val="20"/>
          <w:szCs w:val="20"/>
          <w:color w:val="auto"/>
        </w:rPr>
      </w:pPr>
    </w:p>
    <w:p>
      <w:pPr>
        <w:jc w:val="both"/>
        <w:ind w:right="260" w:firstLine="648"/>
        <w:spacing w:after="0" w:line="288" w:lineRule="auto"/>
        <w:rPr>
          <w:sz w:val="20"/>
          <w:szCs w:val="20"/>
          <w:color w:val="auto"/>
        </w:rPr>
      </w:pPr>
      <w:r>
        <w:rPr>
          <w:rFonts w:ascii="Arial" w:cs="Arial" w:eastAsia="Arial" w:hAnsi="Arial"/>
          <w:sz w:val="16"/>
          <w:szCs w:val="16"/>
          <w:i w:val="1"/>
          <w:iCs w:val="1"/>
          <w:color w:val="auto"/>
        </w:rPr>
        <w:t>Cushing Connect</w:t>
      </w:r>
      <w:r>
        <w:rPr>
          <w:rFonts w:ascii="Arial" w:cs="Arial" w:eastAsia="Arial" w:hAnsi="Arial"/>
          <w:sz w:val="16"/>
          <w:szCs w:val="16"/>
          <w:color w:val="auto"/>
        </w:rPr>
        <w:t>. During the fourth quarter of 2019, we announced the formation of Cushing Connect Pipeline &amp; Terminal LLC, a joint venture</w:t>
      </w:r>
      <w:r>
        <w:rPr>
          <w:rFonts w:ascii="Arial" w:cs="Arial" w:eastAsia="Arial" w:hAnsi="Arial"/>
          <w:sz w:val="16"/>
          <w:szCs w:val="16"/>
          <w:i w:val="1"/>
          <w:iCs w:val="1"/>
          <w:color w:val="auto"/>
        </w:rPr>
        <w:t xml:space="preserve"> </w:t>
      </w:r>
      <w:r>
        <w:rPr>
          <w:rFonts w:ascii="Arial" w:cs="Arial" w:eastAsia="Arial" w:hAnsi="Arial"/>
          <w:sz w:val="16"/>
          <w:szCs w:val="16"/>
          <w:color w:val="auto"/>
        </w:rPr>
        <w:t>with Holly Energy Partners LP for (i) the development and construction of a new 160,000 barrel per day pipeline that will connect the Cushing, Oklahoma crude oil hub to the Tulsa, Oklahoma refining complex owned by a subsidiary of HollyFrontier Corporation and (ii) the ownership and operation of</w:t>
      </w:r>
    </w:p>
    <w:p>
      <w:pPr>
        <w:ind w:right="140"/>
        <w:spacing w:after="0" w:line="290" w:lineRule="auto"/>
        <w:rPr>
          <w:sz w:val="20"/>
          <w:szCs w:val="20"/>
          <w:color w:val="auto"/>
        </w:rPr>
      </w:pPr>
      <w:r>
        <w:rPr>
          <w:rFonts w:ascii="Arial" w:cs="Arial" w:eastAsia="Arial" w:hAnsi="Arial"/>
          <w:sz w:val="17"/>
          <w:szCs w:val="17"/>
          <w:color w:val="auto"/>
        </w:rPr>
        <w:t>1.5 million barrels of crude oil storage in Cushing, Oklahoma (the “JV Terminal”). We contributed the crude oil storage to Cushing Connect and own a 50% interest, which is accounted for under the equity method of accounting. The pipeline is expected to be in service during the first quarter of 2021.</w:t>
      </w:r>
    </w:p>
    <w:p>
      <w:pPr>
        <w:spacing w:after="0" w:line="18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Cactus II. </w:t>
      </w:r>
      <w:r>
        <w:rPr>
          <w:rFonts w:ascii="Arial" w:cs="Arial" w:eastAsia="Arial" w:hAnsi="Arial"/>
          <w:sz w:val="16"/>
          <w:szCs w:val="16"/>
          <w:color w:val="auto"/>
        </w:rPr>
        <w:t>In the second quarter of 2018, a subsidiary of Oxy and another third party each exercised their purchase options for a 20% interest and a</w:t>
      </w:r>
      <w:r>
        <w:rPr>
          <w:rFonts w:ascii="Arial" w:cs="Arial" w:eastAsia="Arial" w:hAnsi="Arial"/>
          <w:sz w:val="16"/>
          <w:szCs w:val="16"/>
          <w:i w:val="1"/>
          <w:iCs w:val="1"/>
          <w:color w:val="auto"/>
        </w:rPr>
        <w:t xml:space="preserve"> </w:t>
      </w:r>
      <w:r>
        <w:rPr>
          <w:rFonts w:ascii="Arial" w:cs="Arial" w:eastAsia="Arial" w:hAnsi="Arial"/>
          <w:sz w:val="16"/>
          <w:szCs w:val="16"/>
          <w:color w:val="auto"/>
        </w:rPr>
        <w:t>15% interest, respectively, in Cactus II, which owns the Cactus II pipeline system that is currently under construction. Although we own a majority of Cactus II’s equity, we do not have a controlling financial interest in Cactus II because the other members have substantive participating rights. Therefore, we account for our ownership interest in Cactus II as an equity method investment. Following the exercise of the purchase options, we deconsolidated Cactus II resulting in a reduction of property and equipment of $74 million (which was representative of the costs incurred to date to construct the pipeline and equivalent to fair value), and we received $26 million of cash from Cactus II, which represented the other members’ portion of the property and equipment.</w:t>
      </w:r>
    </w:p>
    <w:p>
      <w:pPr>
        <w:spacing w:after="0" w:line="19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addition, during the second quarter of 2018, we received a $100 million advance cash payment from Cactus II associated with pipeline capacity agreements, which is recorded as long-term deferred revenue within “Other long-term liabilities and deferred credits” on our Consolidated Balance Sheet. Such amount is being recognized in revenue ratably over the life of the contracts.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6" w:name="page157"/>
    <w:bookmarkEnd w:id="1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700" w:firstLine="648"/>
        <w:spacing w:after="0" w:line="259" w:lineRule="auto"/>
        <w:rPr>
          <w:sz w:val="20"/>
          <w:szCs w:val="20"/>
          <w:color w:val="auto"/>
        </w:rPr>
      </w:pPr>
      <w:r>
        <w:rPr>
          <w:rFonts w:ascii="Arial" w:cs="Arial" w:eastAsia="Arial" w:hAnsi="Arial"/>
          <w:sz w:val="18"/>
          <w:szCs w:val="18"/>
          <w:i w:val="1"/>
          <w:iCs w:val="1"/>
          <w:color w:val="auto"/>
        </w:rPr>
        <w:t xml:space="preserve">BridgeTex. </w:t>
      </w:r>
      <w:r>
        <w:rPr>
          <w:rFonts w:ascii="Arial" w:cs="Arial" w:eastAsia="Arial" w:hAnsi="Arial"/>
          <w:sz w:val="18"/>
          <w:szCs w:val="18"/>
          <w:color w:val="auto"/>
        </w:rPr>
        <w:t>During the third quarter of 2018, we sold a 30% interest in BridgeTex for proceeds of $868 million, including working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and have retained a 20% interest. We recorded a gain of $200 million related to this sale, which is included in “Gain on investment in unconsolidated entities” on our Consolidated Statement of Operations. We continue to account for our remaining interest under the equity method of accounting.</w:t>
      </w:r>
    </w:p>
    <w:p>
      <w:pPr>
        <w:spacing w:after="0" w:line="21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Advantage Joint Venture. </w:t>
      </w:r>
      <w:r>
        <w:rPr>
          <w:rFonts w:ascii="Arial" w:cs="Arial" w:eastAsia="Arial" w:hAnsi="Arial"/>
          <w:sz w:val="17"/>
          <w:szCs w:val="17"/>
          <w:color w:val="auto"/>
        </w:rPr>
        <w:t>On April 3, 2017, we and an affiliate of Noble completed the acquisition of Advantage Pipeline, L.L.C. for a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price of $133 million through a newly formed 50/50 joint venture (the “Advantage Joint Venture”). For our 50% share ($66.5 million), we contributed approximately 1.3 million common units with a value of approximately $40 million and approximately $26 million in cash. Through the acquisition, the Advantage Joint Venture owns a 70-mile, 16-inch crude oil pipeline located in the southern Delaware Basin (the “Advantage Pipeline”), which is contractually supported by a third-party acreage dedication and a volume commitment from our wholly-owned marketing subsidiary. Noble serves as operator of the Advantage Pipeline. We account for our interest in the Advantage Joint Venture under the equity method of accounting.</w:t>
      </w:r>
    </w:p>
    <w:p>
      <w:pPr>
        <w:spacing w:after="0" w:line="20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Midway Pipeline LLC. </w:t>
      </w:r>
      <w:r>
        <w:rPr>
          <w:rFonts w:ascii="Arial" w:cs="Arial" w:eastAsia="Arial" w:hAnsi="Arial"/>
          <w:sz w:val="18"/>
          <w:szCs w:val="18"/>
          <w:color w:val="auto"/>
        </w:rPr>
        <w:t>During the fourth quarter of 2017, we and an affiliate of CVR Refining, LP (“CVR Refining”) formed a 50/50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Midway Pipeline LLC, which acquired from us the Cushing to Broome crude oil pipeline system. The Cushing to Broome pipeline system connects CVR Refining’s Coffeyville, Kansas refinery to the Cushing, Oklahoma oil hub. We continue to serve as operator of the pipeline. We account for our interest in Midway Pipeline LLC under the equity method of accounting.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252" w:lineRule="exact"/>
        <w:rPr>
          <w:sz w:val="20"/>
          <w:szCs w:val="20"/>
          <w:color w:val="auto"/>
        </w:rPr>
      </w:pPr>
    </w:p>
    <w:p>
      <w:pPr>
        <w:ind w:right="340" w:firstLine="648"/>
        <w:spacing w:after="0" w:line="273" w:lineRule="auto"/>
        <w:rPr>
          <w:sz w:val="20"/>
          <w:szCs w:val="20"/>
          <w:color w:val="auto"/>
        </w:rPr>
      </w:pPr>
      <w:r>
        <w:rPr>
          <w:rFonts w:ascii="Arial" w:cs="Arial" w:eastAsia="Arial" w:hAnsi="Arial"/>
          <w:sz w:val="17"/>
          <w:szCs w:val="17"/>
          <w:color w:val="auto"/>
        </w:rPr>
        <w:t>We generally fund our portion of development, construction or capital expansion projects of our equity method investees through capital contributions. Our contributions to these entities increase the carrying value of our investments and are reflected in our Consolidated Statements of Cash Flows as cash used in investing activities. During the years ended December 31, 2019, 2018 and 2017, we made cash contributions of $504 million, $459 million and $398 million, respectively, to certain of our equity method investees. In addition, we capitalized interest of $20 million, $9 million and $18 million during the years ended December 31, 2019, 2018 and 2017, respectively, related to contributions to unconsolidated entities for projects under development and construction. We anticipate that we will make additional contributions in 2020 related to ongoing projects.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Differences</w:t>
      </w:r>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investments in unconsolidated entities exceeded our share of the underlying equity in the net assets of such entities by $349 million and $467 million at December 31, 2019 and 2018,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2019 and 2018 was related to our ownership interest in BridgeTex.</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7" w:name="page158"/>
    <w:bookmarkEnd w:id="1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Financial Information of Unconsolidated Entities</w:t>
      </w:r>
    </w:p>
    <w:p>
      <w:pPr>
        <w:spacing w:after="0" w:line="252"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Combined summarized financial information for all of our unconsolidated entities is shown in the tables below (in millions). None of our unconsolidated entities have noncontrolling interests.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357</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4,861</w:t>
            </w:r>
          </w:p>
        </w:tc>
      </w:tr>
      <w:tr>
        <w:trPr>
          <w:trHeight w:val="27"/>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170</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30</w:t>
            </w:r>
          </w:p>
        </w:tc>
      </w:tr>
      <w:tr>
        <w:trPr>
          <w:trHeight w:val="602"/>
        </w:trPr>
        <w:tc>
          <w:tcPr>
            <w:tcW w:w="68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8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1,469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938</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994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650</w:t>
            </w:r>
          </w:p>
        </w:tc>
      </w:tr>
      <w:tr>
        <w:trPr>
          <w:trHeight w:val="27"/>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640</w:t>
            </w:r>
          </w:p>
        </w:tc>
      </w:tr>
      <w:tr>
        <w:trPr>
          <w:trHeight w:val="27"/>
        </w:trPr>
        <w:tc>
          <w:tcPr>
            <w:tcW w:w="68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10—Other Long-Term Assets,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assets, net of accumulated amortization, consisted of the following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80" w:type="dxa"/>
            <w:vAlign w:val="bottom"/>
          </w:tcPr>
          <w:p>
            <w:pPr>
              <w:spacing w:after="0"/>
              <w:rPr>
                <w:sz w:val="13"/>
                <w:szCs w:val="13"/>
                <w:color w:val="auto"/>
              </w:rPr>
            </w:pP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Estimated Useful</w:t>
            </w:r>
          </w:p>
        </w:tc>
        <w:tc>
          <w:tcPr>
            <w:tcW w:w="240" w:type="dxa"/>
            <w:vAlign w:val="bottom"/>
          </w:tcPr>
          <w:p>
            <w:pPr>
              <w:spacing w:after="0"/>
              <w:rPr>
                <w:sz w:val="13"/>
                <w:szCs w:val="13"/>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6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6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 and relationships</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 – 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0"/>
        </w:trPr>
        <w:tc>
          <w:tcPr>
            <w:tcW w:w="3080" w:type="dxa"/>
            <w:vAlign w:val="bottom"/>
          </w:tcPr>
          <w:p>
            <w:pPr>
              <w:ind w:left="20"/>
              <w:spacing w:after="0"/>
              <w:rPr>
                <w:sz w:val="20"/>
                <w:szCs w:val="20"/>
                <w:color w:val="auto"/>
              </w:rPr>
            </w:pPr>
            <w:r>
              <w:rPr>
                <w:rFonts w:ascii="Arial" w:cs="Arial" w:eastAsia="Arial" w:hAnsi="Arial"/>
                <w:sz w:val="18"/>
                <w:szCs w:val="18"/>
                <w:color w:val="auto"/>
              </w:rPr>
              <w:t>Property tax abatement</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7 – 13</w:t>
            </w:r>
          </w:p>
        </w:tc>
        <w:tc>
          <w:tcPr>
            <w:tcW w:w="240" w:type="dxa"/>
            <w:vAlign w:val="bottom"/>
          </w:tcPr>
          <w:p>
            <w:pPr>
              <w:spacing w:after="0"/>
              <w:rPr>
                <w:sz w:val="23"/>
                <w:szCs w:val="23"/>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agreements</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25 – 70</w:t>
            </w: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4"/>
        </w:trPr>
        <w:tc>
          <w:tcPr>
            <w:tcW w:w="3080" w:type="dxa"/>
            <w:vAlign w:val="bottom"/>
          </w:tcPr>
          <w:p>
            <w:pPr>
              <w:ind w:left="14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3"/>
                <w:szCs w:val="23"/>
                <w:color w:val="auto"/>
                <w:vertAlign w:val="superscript"/>
              </w:rPr>
              <w:t>(1)</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7"/>
        </w:trPr>
        <w:tc>
          <w:tcPr>
            <w:tcW w:w="3080" w:type="dxa"/>
            <w:vAlign w:val="bottom"/>
          </w:tcPr>
          <w:p>
            <w:pPr>
              <w:ind w:left="120"/>
              <w:spacing w:after="0"/>
              <w:rPr>
                <w:sz w:val="20"/>
                <w:szCs w:val="20"/>
                <w:color w:val="auto"/>
              </w:rPr>
            </w:pPr>
            <w:r>
              <w:rPr>
                <w:rFonts w:ascii="Arial" w:cs="Arial" w:eastAsia="Arial" w:hAnsi="Arial"/>
                <w:sz w:val="18"/>
                <w:szCs w:val="18"/>
                <w:color w:val="auto"/>
              </w:rPr>
              <w:t>Other long-term assets, net</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1,351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9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80" w:hanging="652"/>
        <w:spacing w:after="0" w:line="227" w:lineRule="auto"/>
        <w:tabs>
          <w:tab w:leader="none" w:pos="648" w:val="left"/>
        </w:tabs>
        <w:numPr>
          <w:ilvl w:val="0"/>
          <w:numId w:val="84"/>
        </w:numPr>
        <w:rPr>
          <w:rFonts w:ascii="Arial" w:cs="Arial" w:eastAsia="Arial" w:hAnsi="Arial"/>
          <w:sz w:val="23"/>
          <w:szCs w:val="23"/>
          <w:color w:val="auto"/>
          <w:vertAlign w:val="superscript"/>
        </w:rPr>
      </w:pPr>
      <w:r>
        <w:rPr>
          <w:rFonts w:ascii="Arial" w:cs="Arial" w:eastAsia="Arial" w:hAnsi="Arial"/>
          <w:sz w:val="18"/>
          <w:szCs w:val="18"/>
          <w:color w:val="auto"/>
        </w:rPr>
        <w:t>We include rights-of-way, which are intangible assets, in our pipeline and related facilities amounts within property and equipment. See Note 6 for a discussion of property and equipment.</w:t>
      </w:r>
    </w:p>
    <w:p>
      <w:pPr>
        <w:spacing w:after="0" w:line="229" w:lineRule="exact"/>
        <w:rPr>
          <w:sz w:val="20"/>
          <w:szCs w:val="20"/>
          <w:color w:val="auto"/>
        </w:rPr>
      </w:pPr>
    </w:p>
    <w:p>
      <w:pPr>
        <w:ind w:right="860" w:firstLine="648"/>
        <w:spacing w:after="0" w:line="308" w:lineRule="auto"/>
        <w:rPr>
          <w:sz w:val="20"/>
          <w:szCs w:val="20"/>
          <w:color w:val="auto"/>
        </w:rPr>
      </w:pPr>
      <w:r>
        <w:rPr>
          <w:rFonts w:ascii="Arial" w:cs="Arial" w:eastAsia="Arial" w:hAnsi="Arial"/>
          <w:sz w:val="17"/>
          <w:szCs w:val="17"/>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2019.</w:t>
      </w:r>
    </w:p>
    <w:p>
      <w:pPr>
        <w:spacing w:after="0" w:line="174"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Amortization expense for finite-lived intangible assets for the years ended December 31, 2019, 2018 and 2017 was $76 million, $66 million and $54 million, respectively. We estimate that our amortization expense related to finite-lived intangible assets for the next five years will be as follows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80" w:type="dxa"/>
            <w:vAlign w:val="bottom"/>
            <w:shd w:val="clear" w:color="auto" w:fill="CCEEFF"/>
          </w:tcPr>
          <w:p>
            <w:pPr>
              <w:jc w:val="right"/>
              <w:ind w:right="4710"/>
              <w:spacing w:after="0"/>
              <w:rPr>
                <w:sz w:val="20"/>
                <w:szCs w:val="20"/>
                <w:color w:val="auto"/>
              </w:rPr>
            </w:pPr>
            <w:r>
              <w:rPr>
                <w:rFonts w:ascii="Arial" w:cs="Arial" w:eastAsia="Arial" w:hAnsi="Arial"/>
                <w:sz w:val="18"/>
                <w:szCs w:val="18"/>
                <w:color w:val="auto"/>
                <w:w w:val="89"/>
              </w:rPr>
              <w:t>2020</w:t>
            </w:r>
          </w:p>
        </w:tc>
        <w:tc>
          <w:tcPr>
            <w:tcW w:w="5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r>
      <w:tr>
        <w:trPr>
          <w:trHeight w:val="243"/>
        </w:trPr>
        <w:tc>
          <w:tcPr>
            <w:tcW w:w="5180" w:type="dxa"/>
            <w:vAlign w:val="bottom"/>
          </w:tcPr>
          <w:p>
            <w:pPr>
              <w:jc w:val="right"/>
              <w:ind w:right="4710"/>
              <w:spacing w:after="0"/>
              <w:rPr>
                <w:sz w:val="20"/>
                <w:szCs w:val="20"/>
                <w:color w:val="auto"/>
              </w:rPr>
            </w:pPr>
            <w:r>
              <w:rPr>
                <w:rFonts w:ascii="Arial" w:cs="Arial" w:eastAsia="Arial" w:hAnsi="Arial"/>
                <w:sz w:val="18"/>
                <w:szCs w:val="18"/>
                <w:color w:val="auto"/>
                <w:w w:val="89"/>
              </w:rPr>
              <w:t>2021</w:t>
            </w:r>
          </w:p>
        </w:tc>
        <w:tc>
          <w:tcPr>
            <w:tcW w:w="5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73</w:t>
            </w:r>
          </w:p>
        </w:tc>
      </w:tr>
      <w:tr>
        <w:trPr>
          <w:trHeight w:val="27"/>
        </w:trPr>
        <w:tc>
          <w:tcPr>
            <w:tcW w:w="51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jc w:val="right"/>
              <w:ind w:right="4710"/>
              <w:spacing w:after="0"/>
              <w:rPr>
                <w:sz w:val="20"/>
                <w:szCs w:val="20"/>
                <w:color w:val="auto"/>
              </w:rPr>
            </w:pPr>
            <w:r>
              <w:rPr>
                <w:rFonts w:ascii="Arial" w:cs="Arial" w:eastAsia="Arial" w:hAnsi="Arial"/>
                <w:sz w:val="18"/>
                <w:szCs w:val="18"/>
                <w:color w:val="auto"/>
                <w:w w:val="89"/>
              </w:rPr>
              <w:t>2022</w:t>
            </w:r>
          </w:p>
        </w:tc>
        <w:tc>
          <w:tcPr>
            <w:tcW w:w="53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r>
      <w:tr>
        <w:trPr>
          <w:trHeight w:val="243"/>
        </w:trPr>
        <w:tc>
          <w:tcPr>
            <w:tcW w:w="5180" w:type="dxa"/>
            <w:vAlign w:val="bottom"/>
          </w:tcPr>
          <w:p>
            <w:pPr>
              <w:jc w:val="right"/>
              <w:ind w:right="4710"/>
              <w:spacing w:after="0"/>
              <w:rPr>
                <w:sz w:val="20"/>
                <w:szCs w:val="20"/>
                <w:color w:val="auto"/>
              </w:rPr>
            </w:pPr>
            <w:r>
              <w:rPr>
                <w:rFonts w:ascii="Arial" w:cs="Arial" w:eastAsia="Arial" w:hAnsi="Arial"/>
                <w:sz w:val="18"/>
                <w:szCs w:val="18"/>
                <w:color w:val="auto"/>
                <w:w w:val="89"/>
              </w:rPr>
              <w:t>2023</w:t>
            </w:r>
          </w:p>
        </w:tc>
        <w:tc>
          <w:tcPr>
            <w:tcW w:w="5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69</w:t>
            </w:r>
          </w:p>
        </w:tc>
      </w:tr>
      <w:tr>
        <w:trPr>
          <w:trHeight w:val="27"/>
        </w:trPr>
        <w:tc>
          <w:tcPr>
            <w:tcW w:w="51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5180" w:type="dxa"/>
            <w:vAlign w:val="bottom"/>
            <w:shd w:val="clear" w:color="auto" w:fill="CCEEFF"/>
          </w:tcPr>
          <w:p>
            <w:pPr>
              <w:jc w:val="right"/>
              <w:ind w:right="4710"/>
              <w:spacing w:after="0"/>
              <w:rPr>
                <w:sz w:val="20"/>
                <w:szCs w:val="20"/>
                <w:color w:val="auto"/>
              </w:rPr>
            </w:pPr>
            <w:r>
              <w:rPr>
                <w:rFonts w:ascii="Arial" w:cs="Arial" w:eastAsia="Arial" w:hAnsi="Arial"/>
                <w:sz w:val="18"/>
                <w:szCs w:val="18"/>
                <w:color w:val="auto"/>
                <w:w w:val="89"/>
              </w:rPr>
              <w:t>2024</w:t>
            </w:r>
          </w:p>
        </w:tc>
        <w:tc>
          <w:tcPr>
            <w:tcW w:w="5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r>
      <w:tr>
        <w:trPr>
          <w:trHeight w:val="27"/>
        </w:trPr>
        <w:tc>
          <w:tcPr>
            <w:tcW w:w="5180" w:type="dxa"/>
            <w:vAlign w:val="bottom"/>
            <w:shd w:val="clear" w:color="auto" w:fill="CCEEFF"/>
          </w:tcPr>
          <w:p>
            <w:pPr>
              <w:spacing w:after="0"/>
              <w:rPr>
                <w:sz w:val="2"/>
                <w:szCs w:val="2"/>
                <w:color w:val="auto"/>
              </w:rPr>
            </w:pPr>
          </w:p>
        </w:tc>
        <w:tc>
          <w:tcPr>
            <w:tcW w:w="5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58" w:name="page159"/>
    <w:bookmarkEnd w:id="1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8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240" w:type="dxa"/>
            <w:vAlign w:val="bottom"/>
          </w:tcPr>
          <w:p>
            <w:pPr>
              <w:spacing w:after="0"/>
              <w:rPr>
                <w:sz w:val="20"/>
                <w:szCs w:val="20"/>
                <w:color w:val="auto"/>
              </w:rPr>
            </w:pPr>
            <w:r>
              <w:rPr>
                <w:rFonts w:ascii="Arial" w:cs="Arial" w:eastAsia="Arial" w:hAnsi="Arial"/>
                <w:sz w:val="18"/>
                <w:szCs w:val="18"/>
                <w:color w:val="auto"/>
              </w:rPr>
              <w:t xml:space="preserve">Commercial paper notes, bearing a weighted-average interest rate of 2.2% </w:t>
            </w:r>
            <w:r>
              <w:rPr>
                <w:rFonts w:ascii="Arial" w:cs="Arial" w:eastAsia="Arial" w:hAnsi="Arial"/>
                <w:sz w:val="23"/>
                <w:szCs w:val="23"/>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Senior secured hedged inventory facility, bearing a weighted-average interest rate of 2.7%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short-term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7"/>
        </w:trPr>
        <w:tc>
          <w:tcPr>
            <w:tcW w:w="8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spacing w:after="0"/>
              <w:rPr>
                <w:sz w:val="20"/>
                <w:szCs w:val="20"/>
                <w:color w:val="auto"/>
              </w:rPr>
            </w:pPr>
            <w:r>
              <w:rPr>
                <w:rFonts w:ascii="Arial" w:cs="Arial" w:eastAsia="Arial" w:hAnsi="Arial"/>
                <w:sz w:val="18"/>
                <w:szCs w:val="18"/>
                <w:color w:val="auto"/>
              </w:rPr>
              <w:t>Senior notes: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2.60% senior notes due December 2019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0"/>
        </w:trPr>
        <w:tc>
          <w:tcPr>
            <w:tcW w:w="8240" w:type="dxa"/>
            <w:vAlign w:val="bottom"/>
          </w:tcPr>
          <w:p>
            <w:pPr>
              <w:ind w:left="120"/>
              <w:spacing w:after="0"/>
              <w:rPr>
                <w:sz w:val="20"/>
                <w:szCs w:val="20"/>
                <w:color w:val="auto"/>
              </w:rPr>
            </w:pPr>
            <w:r>
              <w:rPr>
                <w:rFonts w:ascii="Arial" w:cs="Arial" w:eastAsia="Arial" w:hAnsi="Arial"/>
                <w:sz w:val="18"/>
                <w:szCs w:val="18"/>
                <w:color w:val="auto"/>
              </w:rPr>
              <w:t>5.75% senior notes due January 2020</w:t>
            </w:r>
          </w:p>
        </w:tc>
        <w:tc>
          <w:tcPr>
            <w:tcW w:w="200" w:type="dxa"/>
            <w:vAlign w:val="bottom"/>
          </w:tcPr>
          <w:p>
            <w:pPr>
              <w:spacing w:after="0"/>
              <w:rPr>
                <w:sz w:val="23"/>
                <w:szCs w:val="2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5.00% senior notes due February 2021</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0"/>
        </w:trPr>
        <w:tc>
          <w:tcPr>
            <w:tcW w:w="8240" w:type="dxa"/>
            <w:vAlign w:val="bottom"/>
          </w:tcPr>
          <w:p>
            <w:pPr>
              <w:ind w:left="120"/>
              <w:spacing w:after="0"/>
              <w:rPr>
                <w:sz w:val="20"/>
                <w:szCs w:val="20"/>
                <w:color w:val="auto"/>
              </w:rPr>
            </w:pPr>
            <w:r>
              <w:rPr>
                <w:rFonts w:ascii="Arial" w:cs="Arial" w:eastAsia="Arial" w:hAnsi="Arial"/>
                <w:sz w:val="18"/>
                <w:szCs w:val="18"/>
                <w:color w:val="auto"/>
              </w:rPr>
              <w:t>3.65% senior notes due June 2022</w:t>
            </w: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2.85% senior notes due January 2023</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0"/>
        </w:trPr>
        <w:tc>
          <w:tcPr>
            <w:tcW w:w="8240" w:type="dxa"/>
            <w:vAlign w:val="bottom"/>
          </w:tcPr>
          <w:p>
            <w:pPr>
              <w:ind w:left="120"/>
              <w:spacing w:after="0"/>
              <w:rPr>
                <w:sz w:val="20"/>
                <w:szCs w:val="20"/>
                <w:color w:val="auto"/>
              </w:rPr>
            </w:pPr>
            <w:r>
              <w:rPr>
                <w:rFonts w:ascii="Arial" w:cs="Arial" w:eastAsia="Arial" w:hAnsi="Arial"/>
                <w:sz w:val="18"/>
                <w:szCs w:val="18"/>
                <w:color w:val="auto"/>
              </w:rPr>
              <w:t>3.85% senior notes due October 2023</w:t>
            </w: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3.60% senior notes due November 2024</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0"/>
        </w:trPr>
        <w:tc>
          <w:tcPr>
            <w:tcW w:w="8240" w:type="dxa"/>
            <w:vAlign w:val="bottom"/>
          </w:tcPr>
          <w:p>
            <w:pPr>
              <w:ind w:left="120"/>
              <w:spacing w:after="0"/>
              <w:rPr>
                <w:sz w:val="20"/>
                <w:szCs w:val="20"/>
                <w:color w:val="auto"/>
              </w:rPr>
            </w:pPr>
            <w:r>
              <w:rPr>
                <w:rFonts w:ascii="Arial" w:cs="Arial" w:eastAsia="Arial" w:hAnsi="Arial"/>
                <w:sz w:val="18"/>
                <w:szCs w:val="18"/>
                <w:color w:val="auto"/>
              </w:rPr>
              <w:t>4.65% senior notes due October 2025</w:t>
            </w: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4.50% senior notes due December 2026</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0"/>
        </w:trPr>
        <w:tc>
          <w:tcPr>
            <w:tcW w:w="8240" w:type="dxa"/>
            <w:vAlign w:val="bottom"/>
          </w:tcPr>
          <w:p>
            <w:pPr>
              <w:ind w:left="120"/>
              <w:spacing w:after="0"/>
              <w:rPr>
                <w:sz w:val="20"/>
                <w:szCs w:val="20"/>
                <w:color w:val="auto"/>
              </w:rPr>
            </w:pPr>
            <w:r>
              <w:rPr>
                <w:rFonts w:ascii="Arial" w:cs="Arial" w:eastAsia="Arial" w:hAnsi="Arial"/>
                <w:sz w:val="18"/>
                <w:szCs w:val="18"/>
                <w:color w:val="auto"/>
              </w:rPr>
              <w:t>3.55% senior notes due December 2029</w:t>
            </w: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6.70% senior notes due May 2036</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0"/>
        </w:trPr>
        <w:tc>
          <w:tcPr>
            <w:tcW w:w="8240" w:type="dxa"/>
            <w:vAlign w:val="bottom"/>
          </w:tcPr>
          <w:p>
            <w:pPr>
              <w:ind w:left="120"/>
              <w:spacing w:after="0"/>
              <w:rPr>
                <w:sz w:val="20"/>
                <w:szCs w:val="20"/>
                <w:color w:val="auto"/>
              </w:rPr>
            </w:pPr>
            <w:r>
              <w:rPr>
                <w:rFonts w:ascii="Arial" w:cs="Arial" w:eastAsia="Arial" w:hAnsi="Arial"/>
                <w:sz w:val="18"/>
                <w:szCs w:val="18"/>
                <w:color w:val="auto"/>
              </w:rPr>
              <w:t>6.65% senior notes due January 2037</w:t>
            </w: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5.15% senior notes due June 2042</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0"/>
        </w:trPr>
        <w:tc>
          <w:tcPr>
            <w:tcW w:w="8240" w:type="dxa"/>
            <w:vAlign w:val="bottom"/>
          </w:tcPr>
          <w:p>
            <w:pPr>
              <w:ind w:left="120"/>
              <w:spacing w:after="0"/>
              <w:rPr>
                <w:sz w:val="20"/>
                <w:szCs w:val="20"/>
                <w:color w:val="auto"/>
              </w:rPr>
            </w:pPr>
            <w:r>
              <w:rPr>
                <w:rFonts w:ascii="Arial" w:cs="Arial" w:eastAsia="Arial" w:hAnsi="Arial"/>
                <w:sz w:val="18"/>
                <w:szCs w:val="18"/>
                <w:color w:val="auto"/>
              </w:rPr>
              <w:t>4.30% senior notes due January 2043</w:t>
            </w: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4.70% senior notes due June 2044</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0"/>
        </w:trPr>
        <w:tc>
          <w:tcPr>
            <w:tcW w:w="8240" w:type="dxa"/>
            <w:vAlign w:val="bottom"/>
          </w:tcPr>
          <w:p>
            <w:pPr>
              <w:ind w:left="120"/>
              <w:spacing w:after="0"/>
              <w:rPr>
                <w:sz w:val="20"/>
                <w:szCs w:val="20"/>
                <w:color w:val="auto"/>
              </w:rPr>
            </w:pPr>
            <w:r>
              <w:rPr>
                <w:rFonts w:ascii="Arial" w:cs="Arial" w:eastAsia="Arial" w:hAnsi="Arial"/>
                <w:sz w:val="18"/>
                <w:szCs w:val="18"/>
                <w:color w:val="auto"/>
              </w:rPr>
              <w:t>4.90% senior notes due February 2045</w:t>
            </w: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Unamortized discounts and 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8240" w:type="dxa"/>
            <w:vAlign w:val="bottom"/>
          </w:tcPr>
          <w:p>
            <w:pPr>
              <w:ind w:left="32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8,939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8,941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240" w:type="dxa"/>
            <w:vAlign w:val="bottom"/>
          </w:tcPr>
          <w:p>
            <w:pPr>
              <w:ind w:left="120"/>
              <w:spacing w:after="0" w:line="176" w:lineRule="exact"/>
              <w:rPr>
                <w:sz w:val="20"/>
                <w:szCs w:val="20"/>
                <w:color w:val="auto"/>
              </w:rPr>
            </w:pPr>
            <w:r>
              <w:rPr>
                <w:rFonts w:ascii="Arial" w:cs="Arial" w:eastAsia="Arial" w:hAnsi="Arial"/>
                <w:sz w:val="18"/>
                <w:szCs w:val="18"/>
                <w:color w:val="auto"/>
                <w:w w:val="91"/>
              </w:rPr>
              <w:t>GO Zone term loans, net of debt issuance costs of $1 and $2, respectively, bearing a weighted-average interest</w:t>
            </w:r>
          </w:p>
        </w:tc>
        <w:tc>
          <w:tcPr>
            <w:tcW w:w="200" w:type="dxa"/>
            <w:vAlign w:val="bottom"/>
          </w:tcPr>
          <w:p>
            <w:pPr>
              <w:spacing w:after="0"/>
              <w:rPr>
                <w:sz w:val="15"/>
                <w:szCs w:val="15"/>
                <w:color w:val="auto"/>
              </w:rPr>
            </w:pPr>
          </w:p>
        </w:tc>
        <w:tc>
          <w:tcPr>
            <w:tcW w:w="1240" w:type="dxa"/>
            <w:vAlign w:val="bottom"/>
            <w:vMerge w:val="restart"/>
          </w:tcPr>
          <w:p>
            <w:pPr>
              <w:jc w:val="right"/>
              <w:ind w:right="7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ind w:right="7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rate of 2.6% and 3.1%, respectively</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8240" w:type="dxa"/>
            <w:vAlign w:val="bottom"/>
          </w:tcPr>
          <w:p>
            <w:pPr>
              <w:ind w:left="320"/>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9,187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9,143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9,691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9,209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9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120" w:hanging="11"/>
        <w:spacing w:after="0" w:line="264" w:lineRule="auto"/>
        <w:rPr>
          <w:sz w:val="20"/>
          <w:szCs w:val="20"/>
          <w:color w:val="auto"/>
        </w:rPr>
      </w:pPr>
      <w:r>
        <w:rPr>
          <w:rFonts w:ascii="Arial" w:cs="Arial" w:eastAsia="Arial" w:hAnsi="Arial"/>
          <w:sz w:val="18"/>
          <w:szCs w:val="18"/>
          <w:color w:val="auto"/>
        </w:rPr>
        <w:t>We classified these commercial paper notes and credit facility borrowings as short-term as of December 31, 2019, as these notes and borrowings were primarily designated as working capital borrowings, were required to be repaid within one year and were primarily for hedged NGL and crude oil inventory and NYMEX and ICE margin deposits.</w:t>
      </w:r>
    </w:p>
    <w:p>
      <w:pPr>
        <w:spacing w:after="0" w:line="73" w:lineRule="exact"/>
        <w:rPr>
          <w:sz w:val="20"/>
          <w:szCs w:val="20"/>
          <w:color w:val="auto"/>
        </w:rPr>
      </w:pPr>
    </w:p>
    <w:p>
      <w:pPr>
        <w:ind w:right="320" w:hanging="11"/>
        <w:spacing w:after="0" w:line="277" w:lineRule="auto"/>
        <w:rPr>
          <w:sz w:val="20"/>
          <w:szCs w:val="20"/>
          <w:color w:val="auto"/>
        </w:rPr>
      </w:pPr>
      <w:r>
        <w:rPr>
          <w:rFonts w:ascii="Arial" w:cs="Arial" w:eastAsia="Arial" w:hAnsi="Arial"/>
          <w:sz w:val="18"/>
          <w:szCs w:val="18"/>
          <w:color w:val="auto"/>
        </w:rPr>
        <w:t>As of December 31, 2018, we classified our $500 million, 2.60% senior notes due December 2019 as long-term based on our ability and intent to refinance such amounts on a long-term basis.</w:t>
      </w:r>
    </w:p>
    <w:p>
      <w:pPr>
        <w:spacing w:after="0" w:line="62" w:lineRule="exact"/>
        <w:rPr>
          <w:sz w:val="20"/>
          <w:szCs w:val="20"/>
          <w:color w:val="auto"/>
        </w:rPr>
      </w:pPr>
    </w:p>
    <w:p>
      <w:pPr>
        <w:ind w:hanging="11"/>
        <w:spacing w:after="0" w:line="259" w:lineRule="auto"/>
        <w:rPr>
          <w:sz w:val="20"/>
          <w:szCs w:val="20"/>
          <w:color w:val="auto"/>
        </w:rPr>
      </w:pPr>
      <w:r>
        <w:rPr>
          <w:rFonts w:ascii="Arial" w:cs="Arial" w:eastAsia="Arial" w:hAnsi="Arial"/>
          <w:sz w:val="18"/>
          <w:szCs w:val="18"/>
          <w:color w:val="auto"/>
        </w:rPr>
        <w:t>Our fixed-rate senior notes had a face value of approximately $9.0 billion at both December 31, 2019 and 2018. We estimated the aggregate fair value of these notes as of December 31, 2019 and 2018 to be approximately $9.3 billion and $8.6 billion, respectively. Our fixed-rate senior notes are traded among institutions, and these trades are routinely published by a reporting service. Our determination of fair value is based on reported trading activity near the end of</w:t>
      </w:r>
    </w:p>
    <w:p>
      <w:pPr>
        <w:spacing w:after="0" w:line="200" w:lineRule="exact"/>
        <w:rPr>
          <w:sz w:val="20"/>
          <w:szCs w:val="20"/>
          <w:color w:val="auto"/>
        </w:rPr>
      </w:pPr>
    </w:p>
    <w:p>
      <w:pPr>
        <w:sectPr>
          <w:pgSz w:w="11900" w:h="16838" w:orient="portrait"/>
          <w:cols w:equalWidth="0" w:num="2">
            <w:col w:w="140" w:space="520"/>
            <w:col w:w="10760"/>
          </w:cols>
          <w:pgMar w:left="240" w:top="125" w:right="239" w:bottom="1440" w:gutter="0" w:footer="0" w:header="0"/>
          <w:type w:val="continuous"/>
        </w:sect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59" w:name="page160"/>
    <w:bookmarkEnd w:id="1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48"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the reporting period. We estimate that the carrying value of outstanding borrowings under our credit facilities and commercial paper program and GO Zone term loans approximates fair value as interest rates reflect current market rates. The fair value estimates for our senior notes, credit facilities, commercial paper program and GO Zone term loans are based upon observable market data and are classified in Level 2 of the fair value hierarchy.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 Program</w:t>
      </w:r>
    </w:p>
    <w:p>
      <w:pPr>
        <w:spacing w:after="0" w:line="252"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have a commercial paper program under which we may issue (and have outstanding at any time) up to $3.0 billion in the aggregate of privately placed, unsecured commercial paper notes. Such notes are backstopped by our senior unsecured revolving credit facility and our senior secured hedged inventory facility; as such, any borrowings under our commercial paper program reduce the available capacity under these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25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Senior secured hedged inventory facility</w:t>
      </w:r>
      <w:r>
        <w:rPr>
          <w:rFonts w:ascii="Arial" w:cs="Arial" w:eastAsia="Arial" w:hAnsi="Arial"/>
          <w:sz w:val="16"/>
          <w:szCs w:val="16"/>
          <w:color w:val="auto"/>
        </w:rPr>
        <w:t>. We have a credit agreement that provides for a senior secured hedged inventory facility with a committed</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 capacity of $1.4 billion, of which $400 million is available for the issuance of letters of credit. Subject to obtaining additional or increased lender commitments, the committed capacity of the facility may be increased to $1.9 billion.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either the Eurocurrency Rate or the Base Rate, in each case plus a margin based on our credit rating at the applicable time. The agreement also provides for one or more one-year extensions, subject to applicable approval. In August 2019, we amended this agreement to, among other things, extend the maturity date of the facility to August 2022 for each extending lender. The maturity date with respect to each non-extending lender (which represent aggregate commitments of approximately $45 million out of total commitments of $1.4 billion from all lenders) remains August 2021.</w:t>
      </w:r>
    </w:p>
    <w:p>
      <w:pPr>
        <w:spacing w:after="0" w:line="19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Senior unsecured revolving credit facility. </w:t>
      </w:r>
      <w:r>
        <w:rPr>
          <w:rFonts w:ascii="Arial" w:cs="Arial" w:eastAsia="Arial" w:hAnsi="Arial"/>
          <w:sz w:val="18"/>
          <w:szCs w:val="18"/>
          <w:color w:val="auto"/>
        </w:rPr>
        <w:t>We have a credit agreement that provides for a senior unsecured revolving credit facility with a committed</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capacity of $1.6 billion. Subject to obtaining additional or increased lender commitments, the committed capacity may be increased to $2.1 billion. The credit agreement also provides for the issuance of letters of credit. Borrowings accrue interest based, at our election, on the Eurocurrency Rate, the Base Rate or the Canadian Prime Rate, in each case plus a margin based on our credit rating at the applicable time. The agreement also provides for one or more one-year extensions, subject to applicable approval. In August 2019, we amended this agreement to, among other things, extend the maturity date of the facility to August 2024 for each extending lender.</w:t>
      </w:r>
    </w:p>
    <w:p>
      <w:pPr>
        <w:spacing w:after="0" w:line="22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GO Zone term loans</w:t>
      </w:r>
      <w:r>
        <w:rPr>
          <w:rFonts w:ascii="Arial" w:cs="Arial" w:eastAsia="Arial" w:hAnsi="Arial"/>
          <w:sz w:val="18"/>
          <w:szCs w:val="18"/>
          <w:color w:val="auto"/>
        </w:rPr>
        <w:t>. In August 2018, we entered into an agreement for two $100 million term loans (the “GO Zone term loans”)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remarketing of our $100 million Mississippi Business Finance Corporation Gulf Opportunity Zone Industrial Development Revenue Bonds (PAA Natural Gas Storage, L.P. Project), Series 2009 and our $100 million Mississippi Business Finance Corporation Gulf Opportunity Zone Industrial Development Revenue Bonds (PAA Natural Gas Storage, L.P. Project), Series 2010 (collectively, the “GO Bonds”). The GO Zone term loans accrue interest in accordance with the interest payable on the related GO Bonds as provided in the GO Bonds Indenture pursuant to which such GO Bonds are issued and governed. The purchasers of the two GO Zone term loans have the right to put, at par, the GO Zone term loans in July 2023. The GO Bonds mature by their terms in May 2032 and August 2035,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5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Our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We may, at our option, redeem any series of senior notes at any time in whole or from time to time in part, prior to maturity, at the redemption prices described in the indentures governing the senior notes. Our senior notes are not guaranteed by any of our subsidiaries.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0" w:name="page161"/>
    <w:bookmarkEnd w:id="1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Issuances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issuances of senior unsecured notes during the three years ended December 31, 2019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Face Value</w:t>
            </w:r>
          </w:p>
        </w:tc>
        <w:tc>
          <w:tcPr>
            <w:tcW w:w="100" w:type="dxa"/>
            <w:vAlign w:val="bottom"/>
          </w:tcPr>
          <w:p>
            <w:pPr>
              <w:spacing w:after="0"/>
              <w:rPr>
                <w:sz w:val="16"/>
                <w:szCs w:val="16"/>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Interest Payment Dates</w:t>
            </w:r>
          </w:p>
        </w:tc>
      </w:tr>
      <w:tr>
        <w:trPr>
          <w:trHeight w:val="270"/>
        </w:trPr>
        <w:tc>
          <w:tcPr>
            <w:tcW w:w="51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3.55% Senior Notes issued at 99.801% of face value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December 2029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8"/>
              </w:rPr>
              <w:t>June 15 and December 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-179705</wp:posOffset>
            </wp:positionV>
            <wp:extent cx="7212330" cy="1803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96">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We did not issue any senior unsecured notes during the years ended December 31, 2018 or 2017.</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Senior Notes Repayments. </w:t>
      </w:r>
      <w:r>
        <w:rPr>
          <w:rFonts w:ascii="Arial" w:cs="Arial" w:eastAsia="Arial" w:hAnsi="Arial"/>
          <w:sz w:val="17"/>
          <w:szCs w:val="17"/>
          <w:color w:val="auto"/>
        </w:rPr>
        <w:t>During the three years ended December 31, 2019, we repaid the following senior unsecured notes (in millions):</w:t>
      </w:r>
    </w:p>
    <w:p>
      <w:pPr>
        <w:spacing w:after="0" w:line="66" w:lineRule="exact"/>
        <w:rPr>
          <w:sz w:val="20"/>
          <w:szCs w:val="20"/>
          <w:color w:val="auto"/>
        </w:rPr>
      </w:pPr>
    </w:p>
    <w:p>
      <w:pPr>
        <w:sectPr>
          <w:pgSz w:w="11900" w:h="16838" w:orient="portrait"/>
          <w:cols w:equalWidth="0" w:num="2">
            <w:col w:w="380" w:space="280"/>
            <w:col w:w="10720"/>
          </w:cols>
          <w:pgMar w:left="240" w:top="125" w:right="279" w:bottom="1440" w:gutter="0" w:footer="0" w:header="0"/>
          <w:type w:val="continuous"/>
        </w:sectPr>
      </w:pPr>
    </w:p>
    <w:p>
      <w:pPr>
        <w:ind w:left="1020"/>
        <w:spacing w:after="0"/>
        <w:tabs>
          <w:tab w:leader="none" w:pos="4800" w:val="left"/>
          <w:tab w:leader="none" w:pos="8880" w:val="left"/>
        </w:tabs>
        <w:rPr>
          <w:sz w:val="20"/>
          <w:szCs w:val="20"/>
          <w:color w:val="auto"/>
        </w:rPr>
      </w:pPr>
      <w:r>
        <w:rPr>
          <w:rFonts w:ascii="Arial" w:cs="Arial" w:eastAsia="Arial" w:hAnsi="Arial"/>
          <w:sz w:val="14"/>
          <w:szCs w:val="14"/>
          <w:b w:val="1"/>
          <w:bCs w:val="1"/>
          <w:color w:val="auto"/>
        </w:rPr>
        <w:t>Year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3"/>
          <w:szCs w:val="13"/>
          <w:b w:val="1"/>
          <w:bCs w:val="1"/>
          <w:color w:val="auto"/>
        </w:rPr>
        <w:t>Repayment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0585" cy="1803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97">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p>
      <w:pPr>
        <w:spacing w:after="0" w:line="63" w:lineRule="exact"/>
        <w:rPr>
          <w:sz w:val="20"/>
          <w:szCs w:val="20"/>
          <w:color w:val="auto"/>
        </w:rPr>
      </w:pPr>
    </w:p>
    <w:tbl>
      <w:tblPr>
        <w:tblLayout w:type="fixed"/>
        <w:tblInd w:w="980" w:type="dxa"/>
        <w:tblCellMar>
          <w:top w:w="0" w:type="dxa"/>
          <w:left w:w="0" w:type="dxa"/>
          <w:bottom w:w="0" w:type="dxa"/>
          <w:right w:w="0" w:type="dxa"/>
        </w:tblCellMar>
      </w:tblPr>
      <w:tr>
        <w:trPr>
          <w:trHeight w:val="257"/>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84"/>
              </w:rPr>
              <w:t>2019</w:t>
            </w:r>
          </w:p>
        </w:tc>
        <w:tc>
          <w:tcPr>
            <w:tcW w:w="5700" w:type="dxa"/>
            <w:vAlign w:val="bottom"/>
          </w:tcPr>
          <w:p>
            <w:pPr>
              <w:jc w:val="center"/>
              <w:ind w:left="10"/>
              <w:spacing w:after="0"/>
              <w:rPr>
                <w:sz w:val="20"/>
                <w:szCs w:val="20"/>
                <w:color w:val="auto"/>
              </w:rPr>
            </w:pPr>
            <w:r>
              <w:rPr>
                <w:rFonts w:ascii="Arial" w:cs="Arial" w:eastAsia="Arial" w:hAnsi="Arial"/>
                <w:sz w:val="18"/>
                <w:szCs w:val="18"/>
                <w:color w:val="auto"/>
                <w:w w:val="91"/>
              </w:rPr>
              <w:t>$500 million 2.60% Senior Notes due December 2019</w:t>
            </w:r>
          </w:p>
        </w:tc>
        <w:tc>
          <w:tcPr>
            <w:tcW w:w="2020" w:type="dxa"/>
            <w:vAlign w:val="bottom"/>
          </w:tcPr>
          <w:p>
            <w:pPr>
              <w:jc w:val="center"/>
              <w:ind w:left="750"/>
              <w:spacing w:after="0"/>
              <w:rPr>
                <w:sz w:val="20"/>
                <w:szCs w:val="20"/>
                <w:color w:val="auto"/>
              </w:rPr>
            </w:pPr>
            <w:r>
              <w:rPr>
                <w:rFonts w:ascii="Arial" w:cs="Arial" w:eastAsia="Arial" w:hAnsi="Arial"/>
                <w:sz w:val="18"/>
                <w:szCs w:val="18"/>
                <w:color w:val="auto"/>
                <w:w w:val="92"/>
              </w:rPr>
              <w:t>November 2019</w:t>
            </w:r>
          </w:p>
        </w:tc>
      </w:tr>
      <w:tr>
        <w:trPr>
          <w:trHeight w:val="270"/>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84"/>
              </w:rPr>
              <w:t>2019</w:t>
            </w:r>
          </w:p>
        </w:tc>
        <w:tc>
          <w:tcPr>
            <w:tcW w:w="5700" w:type="dxa"/>
            <w:vAlign w:val="bottom"/>
          </w:tcPr>
          <w:p>
            <w:pPr>
              <w:jc w:val="center"/>
              <w:ind w:left="10"/>
              <w:spacing w:after="0"/>
              <w:rPr>
                <w:sz w:val="20"/>
                <w:szCs w:val="20"/>
                <w:color w:val="auto"/>
              </w:rPr>
            </w:pPr>
            <w:r>
              <w:rPr>
                <w:rFonts w:ascii="Arial" w:cs="Arial" w:eastAsia="Arial" w:hAnsi="Arial"/>
                <w:sz w:val="18"/>
                <w:szCs w:val="18"/>
                <w:color w:val="auto"/>
                <w:w w:val="90"/>
              </w:rPr>
              <w:t>$500 million 5.75% Senior Notes due January 2020</w:t>
            </w:r>
          </w:p>
        </w:tc>
        <w:tc>
          <w:tcPr>
            <w:tcW w:w="2020" w:type="dxa"/>
            <w:vAlign w:val="bottom"/>
          </w:tcPr>
          <w:p>
            <w:pPr>
              <w:jc w:val="center"/>
              <w:ind w:left="750"/>
              <w:spacing w:after="0"/>
              <w:rPr>
                <w:sz w:val="20"/>
                <w:szCs w:val="20"/>
                <w:color w:val="auto"/>
              </w:rPr>
            </w:pPr>
            <w:r>
              <w:rPr>
                <w:rFonts w:ascii="Arial" w:cs="Arial" w:eastAsia="Arial" w:hAnsi="Arial"/>
                <w:sz w:val="18"/>
                <w:szCs w:val="18"/>
                <w:color w:val="auto"/>
                <w:w w:val="88"/>
              </w:rPr>
              <w:t>December 2019</w:t>
            </w:r>
          </w:p>
        </w:tc>
      </w:tr>
      <w:tr>
        <w:trPr>
          <w:trHeight w:val="540"/>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84"/>
              </w:rPr>
              <w:t>2017</w:t>
            </w:r>
          </w:p>
        </w:tc>
        <w:tc>
          <w:tcPr>
            <w:tcW w:w="5700" w:type="dxa"/>
            <w:vAlign w:val="bottom"/>
          </w:tcPr>
          <w:p>
            <w:pPr>
              <w:jc w:val="center"/>
              <w:ind w:left="10"/>
              <w:spacing w:after="0"/>
              <w:rPr>
                <w:sz w:val="20"/>
                <w:szCs w:val="20"/>
                <w:color w:val="auto"/>
              </w:rPr>
            </w:pPr>
            <w:r>
              <w:rPr>
                <w:rFonts w:ascii="Arial" w:cs="Arial" w:eastAsia="Arial" w:hAnsi="Arial"/>
                <w:sz w:val="18"/>
                <w:szCs w:val="18"/>
                <w:color w:val="auto"/>
                <w:w w:val="90"/>
              </w:rPr>
              <w:t>$400 million 6.13% Senior Notes due January 2017</w:t>
            </w:r>
          </w:p>
        </w:tc>
        <w:tc>
          <w:tcPr>
            <w:tcW w:w="2020" w:type="dxa"/>
            <w:vAlign w:val="bottom"/>
          </w:tcPr>
          <w:p>
            <w:pPr>
              <w:jc w:val="center"/>
              <w:ind w:left="750"/>
              <w:spacing w:after="0"/>
              <w:rPr>
                <w:sz w:val="20"/>
                <w:szCs w:val="20"/>
                <w:color w:val="auto"/>
              </w:rPr>
            </w:pPr>
            <w:r>
              <w:rPr>
                <w:rFonts w:ascii="Arial" w:cs="Arial" w:eastAsia="Arial" w:hAnsi="Arial"/>
                <w:sz w:val="18"/>
                <w:szCs w:val="18"/>
                <w:color w:val="auto"/>
                <w:w w:val="89"/>
              </w:rPr>
              <w:t>January 2017</w:t>
            </w:r>
          </w:p>
        </w:tc>
      </w:tr>
      <w:tr>
        <w:trPr>
          <w:trHeight w:val="270"/>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84"/>
              </w:rPr>
              <w:t>2017</w:t>
            </w:r>
          </w:p>
        </w:tc>
        <w:tc>
          <w:tcPr>
            <w:tcW w:w="5700" w:type="dxa"/>
            <w:vAlign w:val="bottom"/>
          </w:tcPr>
          <w:p>
            <w:pPr>
              <w:jc w:val="center"/>
              <w:ind w:left="30"/>
              <w:spacing w:after="0"/>
              <w:rPr>
                <w:sz w:val="20"/>
                <w:szCs w:val="20"/>
                <w:color w:val="auto"/>
              </w:rPr>
            </w:pPr>
            <w:r>
              <w:rPr>
                <w:rFonts w:ascii="Arial" w:cs="Arial" w:eastAsia="Arial" w:hAnsi="Arial"/>
                <w:sz w:val="18"/>
                <w:szCs w:val="18"/>
                <w:color w:val="auto"/>
                <w:w w:val="92"/>
              </w:rPr>
              <w:t>$600 million 6.50% Senior Notes due May 2018</w:t>
            </w:r>
          </w:p>
        </w:tc>
        <w:tc>
          <w:tcPr>
            <w:tcW w:w="2020" w:type="dxa"/>
            <w:vAlign w:val="bottom"/>
          </w:tcPr>
          <w:p>
            <w:pPr>
              <w:jc w:val="center"/>
              <w:ind w:left="750"/>
              <w:spacing w:after="0"/>
              <w:rPr>
                <w:sz w:val="20"/>
                <w:szCs w:val="20"/>
                <w:color w:val="auto"/>
              </w:rPr>
            </w:pPr>
            <w:r>
              <w:rPr>
                <w:rFonts w:ascii="Arial" w:cs="Arial" w:eastAsia="Arial" w:hAnsi="Arial"/>
                <w:sz w:val="18"/>
                <w:szCs w:val="18"/>
                <w:color w:val="auto"/>
                <w:w w:val="88"/>
              </w:rPr>
              <w:t>December 2017</w:t>
            </w:r>
          </w:p>
        </w:tc>
      </w:tr>
      <w:tr>
        <w:trPr>
          <w:trHeight w:val="270"/>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84"/>
              </w:rPr>
              <w:t>2017</w:t>
            </w:r>
          </w:p>
        </w:tc>
        <w:tc>
          <w:tcPr>
            <w:tcW w:w="5700" w:type="dxa"/>
            <w:vAlign w:val="bottom"/>
          </w:tcPr>
          <w:p>
            <w:pPr>
              <w:jc w:val="center"/>
              <w:ind w:left="30"/>
              <w:spacing w:after="0"/>
              <w:rPr>
                <w:sz w:val="20"/>
                <w:szCs w:val="20"/>
                <w:color w:val="auto"/>
              </w:rPr>
            </w:pPr>
            <w:r>
              <w:rPr>
                <w:rFonts w:ascii="Arial" w:cs="Arial" w:eastAsia="Arial" w:hAnsi="Arial"/>
                <w:sz w:val="18"/>
                <w:szCs w:val="18"/>
                <w:color w:val="auto"/>
                <w:w w:val="92"/>
              </w:rPr>
              <w:t>$350 million 8.75% Senior Notes due May 2019</w:t>
            </w:r>
          </w:p>
        </w:tc>
        <w:tc>
          <w:tcPr>
            <w:tcW w:w="2020" w:type="dxa"/>
            <w:vAlign w:val="bottom"/>
          </w:tcPr>
          <w:p>
            <w:pPr>
              <w:jc w:val="center"/>
              <w:ind w:left="750"/>
              <w:spacing w:after="0"/>
              <w:rPr>
                <w:sz w:val="20"/>
                <w:szCs w:val="20"/>
                <w:color w:val="auto"/>
              </w:rPr>
            </w:pPr>
            <w:r>
              <w:rPr>
                <w:rFonts w:ascii="Arial" w:cs="Arial" w:eastAsia="Arial" w:hAnsi="Arial"/>
                <w:sz w:val="18"/>
                <w:szCs w:val="18"/>
                <w:color w:val="auto"/>
                <w:w w:val="88"/>
              </w:rPr>
              <w:t>December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220585" cy="1714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98">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220585" cy="1714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99">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40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132" w:lineRule="exact"/>
        <w:rPr>
          <w:sz w:val="20"/>
          <w:szCs w:val="20"/>
          <w:color w:val="auto"/>
        </w:rPr>
      </w:pPr>
    </w:p>
    <w:p>
      <w:pPr>
        <w:ind w:left="160" w:hanging="156"/>
        <w:spacing w:after="0"/>
        <w:tabs>
          <w:tab w:leader="none" w:pos="160" w:val="left"/>
        </w:tabs>
        <w:numPr>
          <w:ilvl w:val="0"/>
          <w:numId w:val="85"/>
        </w:numPr>
        <w:rPr>
          <w:rFonts w:ascii="Arial" w:cs="Arial" w:eastAsia="Arial" w:hAnsi="Arial"/>
          <w:sz w:val="11"/>
          <w:szCs w:val="11"/>
          <w:color w:val="auto"/>
        </w:rPr>
      </w:pPr>
      <w:r>
        <w:rPr>
          <w:rFonts w:ascii="Arial" w:cs="Arial" w:eastAsia="Arial" w:hAnsi="Arial"/>
          <w:sz w:val="11"/>
          <w:szCs w:val="11"/>
          <w:color w:val="auto"/>
        </w:rPr>
        <w:t>(3)</w:t>
      </w:r>
    </w:p>
    <w:p>
      <w:pPr>
        <w:spacing w:after="0" w:line="143" w:lineRule="exact"/>
        <w:rPr>
          <w:rFonts w:ascii="Arial" w:cs="Arial" w:eastAsia="Arial" w:hAnsi="Arial"/>
          <w:sz w:val="11"/>
          <w:szCs w:val="11"/>
          <w:color w:val="auto"/>
        </w:rPr>
      </w:pPr>
    </w:p>
    <w:p>
      <w:pPr>
        <w:ind w:left="160" w:hanging="156"/>
        <w:spacing w:after="0"/>
        <w:tabs>
          <w:tab w:leader="none" w:pos="160" w:val="left"/>
        </w:tabs>
        <w:numPr>
          <w:ilvl w:val="0"/>
          <w:numId w:val="86"/>
        </w:numPr>
        <w:rPr>
          <w:rFonts w:ascii="Arial" w:cs="Arial" w:eastAsia="Arial" w:hAnsi="Arial"/>
          <w:sz w:val="11"/>
          <w:szCs w:val="11"/>
          <w:color w:val="auto"/>
        </w:rPr>
      </w:pPr>
      <w:r>
        <w:rPr>
          <w:rFonts w:ascii="Arial" w:cs="Arial" w:eastAsia="Arial" w:hAnsi="Arial"/>
          <w:sz w:val="11"/>
          <w:szCs w:val="11"/>
          <w:color w:val="auto"/>
        </w:rPr>
        <w:t>(3)</w:t>
      </w:r>
    </w:p>
    <w:p>
      <w:pPr>
        <w:spacing w:after="0" w:line="228" w:lineRule="exact"/>
        <w:rPr>
          <w:sz w:val="20"/>
          <w:szCs w:val="20"/>
          <w:color w:val="auto"/>
        </w:rPr>
      </w:pPr>
    </w:p>
    <w:p>
      <w:pPr>
        <w:sectPr>
          <w:pgSz w:w="11900" w:h="16838" w:orient="portrait"/>
          <w:cols w:equalWidth="0" w:num="2">
            <w:col w:w="10160" w:space="720"/>
            <w:col w:w="500"/>
          </w:cols>
          <w:pgMar w:left="240" w:top="125" w:right="279" w:bottom="1440" w:gutter="0" w:footer="0" w:header="0"/>
          <w:type w:val="continuous"/>
        </w:sect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repaid these senior notes with proceeds from our 3.55% senior notes issued in September 2019 and cash on hand.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repaid these senior notes with cash on hand and proceeds from borrowings under our credit facilities and commercial paper program.</w:t>
      </w:r>
    </w:p>
    <w:p>
      <w:pPr>
        <w:spacing w:after="0" w:line="140" w:lineRule="exact"/>
        <w:rPr>
          <w:sz w:val="20"/>
          <w:szCs w:val="20"/>
          <w:color w:val="auto"/>
        </w:rPr>
      </w:pPr>
    </w:p>
    <w:p>
      <w:pPr>
        <w:ind w:left="20" w:right="1020" w:hanging="11"/>
        <w:spacing w:after="0" w:line="277" w:lineRule="auto"/>
        <w:rPr>
          <w:sz w:val="20"/>
          <w:szCs w:val="20"/>
          <w:color w:val="auto"/>
        </w:rPr>
      </w:pPr>
      <w:r>
        <w:rPr>
          <w:rFonts w:ascii="Arial" w:cs="Arial" w:eastAsia="Arial" w:hAnsi="Arial"/>
          <w:sz w:val="18"/>
          <w:szCs w:val="18"/>
          <w:color w:val="auto"/>
        </w:rPr>
        <w:t>In conjunction with the early redemptions of these senior notes, we recognized a loss of approximately $40 million, recorded to “Other income/(expense), net” in our Consolidated Statement of Operations.</w:t>
      </w:r>
    </w:p>
    <w:p>
      <w:pPr>
        <w:spacing w:after="0" w:line="197" w:lineRule="exact"/>
        <w:rPr>
          <w:sz w:val="20"/>
          <w:szCs w:val="20"/>
          <w:color w:val="auto"/>
        </w:rPr>
      </w:pPr>
    </w:p>
    <w:p>
      <w:pPr>
        <w:sectPr>
          <w:pgSz w:w="11900" w:h="16838" w:orient="portrait"/>
          <w:cols w:equalWidth="0" w:num="2">
            <w:col w:w="140" w:space="500"/>
            <w:col w:w="10740"/>
          </w:cols>
          <w:pgMar w:left="240" w:top="125" w:right="27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5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weighted average maturity of our senior notes and GO Zone term loans outstanding at December 31, 2019 was approximately 11 years. The following table presents the aggregate contractually scheduled maturities of such senior notes and GO Zone term loans for the next five years and thereafter. The amounts presented exclude unamortized discounts and debt issuance costs.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Calendar Year</w:t>
            </w:r>
          </w:p>
        </w:tc>
        <w:tc>
          <w:tcPr>
            <w:tcW w:w="200" w:type="dxa"/>
            <w:vAlign w:val="bottom"/>
          </w:tcPr>
          <w:p>
            <w:pPr>
              <w:spacing w:after="0"/>
              <w:rPr>
                <w:sz w:val="14"/>
                <w:szCs w:val="14"/>
                <w:color w:val="auto"/>
              </w:rPr>
            </w:pPr>
          </w:p>
        </w:tc>
        <w:tc>
          <w:tcPr>
            <w:tcW w:w="1120" w:type="dxa"/>
            <w:vAlign w:val="bottom"/>
          </w:tcPr>
          <w:p>
            <w:pPr>
              <w:jc w:val="right"/>
              <w:ind w:right="314"/>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88"/>
        </w:trPr>
        <w:tc>
          <w:tcPr>
            <w:tcW w:w="10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1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45"/>
        </w:trPr>
        <w:tc>
          <w:tcPr>
            <w:tcW w:w="99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94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994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4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161" w:name="page162"/>
    <w:bookmarkEnd w:id="1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5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credit agreements for our revolving credit facilities (which impact our ability to access our commercial paper program because they provide the financial backstop that supports our short-term credit ratings) and our term loans and the indentures governing our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spacing w:after="0" w:line="198" w:lineRule="exact"/>
        <w:rPr>
          <w:sz w:val="20"/>
          <w:szCs w:val="20"/>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grant liens on certain property;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incur indebtedness, including finance leases;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sell substantially all of our assets or enter into a merger or consolidation;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52"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credit agreements for our senior unsecured revolving credit facility, senior secured hedged inventory facility and GO Zone term loans treat a change of control as an event of default and also require us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22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 default under our credit agreements or indentures would permit the lenders to accelerate the maturity of the outstanding debt. As long as we are in compliance with the provisions contained in our credit agreements, our ability to make distributions of available cash is not restricted. As of December 31, 2019, we were in compliance with the covenants contained in our credit agreements and indentures.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borrowings under our credit facilities and commercial paper program for the years ended December 31, 2019, 2018 and 2017 were approximately $13.3 billion, $45.4 billion and $60.8 billion, respectively. Total repayments under our credit facilities and commercial paper program were approximately $12.9 billion, $46.3 billion and $61.5 billion for the years ended December 31, 2019, 2018 and 2017, respectively. The variance in total gross borrowings and repayments is impacted by various business and financial factors including, but not limited to, the timing, average term and method of general partnership borrowing activities.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These letters of credit are issued under our senior unsecured revolving credit facility and our senior secured hedged inventory facility, and our liabilities with respect to these purchase obligations are recorded in accounts payable on our balance sheet in the month the crude oil, NGL or natural gas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2019 and 2018, we had outstanding letters of credit of $157 million and $184 million,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5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4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2" w:name="page163"/>
    <w:bookmarkEnd w:id="1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12—Partners’ Capital and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5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At December 31, 2019, partners’ capital consisted of outstanding common units and Series A and Series B preferred units, which represent limited partner interests in us, which give the holders thereof the right to participate in distributions and to exercise the other rights or privileges as outlined in our partnership agreement. Our general partner has a non-economic interest in us.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Series A Preferred Units</w:t>
      </w:r>
    </w:p>
    <w:p>
      <w:pPr>
        <w:spacing w:after="0" w:line="25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Series A preferred units were issued in a private placement in 2016 at a price of $26.25 per unit (the “Issue Price”). The Series A preferred units represent limited partner interests in us, rank pari passu with our Series B preferred units, and senior to our common units and to each other class or series of our equity securities with respect to distribution rights and rights upon liquidation. The holders of the Series A preferred units receive cumulative quarterly distributions, subject to customary antidilution adjustments, equal to $0.525 per unit ($2.10 per unit annualized).</w:t>
      </w:r>
    </w:p>
    <w:p>
      <w:pPr>
        <w:spacing w:after="0" w:line="19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holders may convert their Series A preferred units into common units, generally on a one-for-one basis and subject to customary anti-dilution adjustments, at any time, in whole or in part, subject to certain minimum conversion amounts (and not more often than once per quarter). We may convert the Series A preferred units into common units at any time (but not more often than once per quarter), in whole or in part, subject to certain minimum conversion amounts, if the closing price of our common units is greater than 150% of the Issue Price for the preceding 20 trading days. The Series A preferred units vote on an as-converted basis with our common units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 Series A preferred units into common units at the then applicable conversion rate.</w:t>
      </w:r>
    </w:p>
    <w:p>
      <w:pPr>
        <w:spacing w:after="0" w:line="21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a period of 30 days following (a) the fifth anniversary of the January 28, 2016 issuance date (the “Issuance Date”) of the Series A preferred units and (b) each subsequent anniversary of the Issuance Date, the holders of the Series A preferred units, acting by majority vote, may make a one-time election to reset the Series A preferred unit distribution rate to equal the then applicable rate of ten-year U.S. Treasury Securities plus 5.85% (the “Preferred Distribution Rate Reset Option”). The Preferred Distribution Rate Reset Option is accounted for as an embedded derivative. See Note 13 for additional information. If the holders of the Series A preferred units have exercised the Preferred Distribution Rate Reset Option, then, at any time following 30 days after the sixth anniversary of the Issuance Date, we may redeem all or any portion of the outstanding Series A preferred units in exchange for cash, common units (valued at 95% of the volume-weighted average price of our common units for a trading day period specified in our partnership agreement) or a combination of cash and common units at a redemption price equal to 110% of the Issue Price, plus any accrued and unpaid distributions.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Series B Preferred Units</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Series B Fixed-to-Floating Rate Cumulative Redeemable Perpetual Preferred Units representing limited partner interests in us (the “Series B preferred units”) were issued in 2017 at a price to the public of $1,000 per unit, as discussed further below under —</w:t>
      </w:r>
      <w:r>
        <w:rPr>
          <w:rFonts w:ascii="Arial" w:cs="Arial" w:eastAsia="Arial" w:hAnsi="Arial"/>
          <w:sz w:val="16"/>
          <w:szCs w:val="16"/>
          <w:i w:val="1"/>
          <w:iCs w:val="1"/>
          <w:color w:val="auto"/>
        </w:rPr>
        <w:t>Issuances of Units</w:t>
      </w:r>
      <w:r>
        <w:rPr>
          <w:rFonts w:ascii="Arial" w:cs="Arial" w:eastAsia="Arial" w:hAnsi="Arial"/>
          <w:sz w:val="16"/>
          <w:szCs w:val="16"/>
          <w:color w:val="auto"/>
        </w:rPr>
        <w:t>. Our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w:t>
      </w:r>
    </w:p>
    <w:p>
      <w:pPr>
        <w:spacing w:after="0" w:line="2" w:lineRule="exact"/>
        <w:rPr>
          <w:sz w:val="20"/>
          <w:szCs w:val="20"/>
          <w:color w:val="auto"/>
        </w:rPr>
      </w:pPr>
    </w:p>
    <w:p>
      <w:pPr>
        <w:ind w:right="240" w:firstLine="8"/>
        <w:spacing w:after="0" w:line="253" w:lineRule="auto"/>
        <w:tabs>
          <w:tab w:leader="none" w:pos="215" w:val="left"/>
        </w:tabs>
        <w:numPr>
          <w:ilvl w:val="0"/>
          <w:numId w:val="88"/>
        </w:numPr>
        <w:rPr>
          <w:rFonts w:ascii="Arial" w:cs="Arial" w:eastAsia="Arial" w:hAnsi="Arial"/>
          <w:sz w:val="18"/>
          <w:szCs w:val="18"/>
          <w:color w:val="auto"/>
        </w:rPr>
      </w:pPr>
      <w:r>
        <w:rPr>
          <w:rFonts w:ascii="Arial" w:cs="Arial" w:eastAsia="Arial" w:hAnsi="Arial"/>
          <w:sz w:val="18"/>
          <w:szCs w:val="18"/>
          <w:color w:val="auto"/>
        </w:rPr>
        <w:t>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 The Series B preferred units rank, as to the payment of distributions and amounts payable on a liquidation event, pari passu with our outstanding Series A preferred units and senior to our common units.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4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63" w:name="page164"/>
    <w:bookmarkEnd w:id="1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The Series B preferred units have a liquidation preference of $1,000 per unit. Holders of our Series B preferred units are entitled to receive, when, as and if declared by our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Series B Three-Month LIBOR (as defined in and calculated pursuant to our Seventh Amended and Restated Agreement of Limited Partnership) plus a spread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4.11%.</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occurrence of certain rating agency events, we may redeem the Series B preferred units, in whole but not in part, at a price</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$1,020 (102% of the liquidation preference) per Series B preferred unit plus an amount equal to all accumulated and unpaid distributions thereon to, but not including, the date of redemption, whether or not declared. In addition, at any time on or after November 15, 2022,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activity for our preferred and common units: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Limited Partners</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620" w:type="dxa"/>
            <w:vAlign w:val="bottom"/>
            <w:gridSpan w:val="2"/>
          </w:tcPr>
          <w:p>
            <w:pPr>
              <w:ind w:left="500"/>
              <w:spacing w:after="0"/>
              <w:rPr>
                <w:sz w:val="20"/>
                <w:szCs w:val="20"/>
                <w:color w:val="auto"/>
              </w:rPr>
            </w:pPr>
            <w:r>
              <w:rPr>
                <w:rFonts w:ascii="Arial" w:cs="Arial" w:eastAsia="Arial" w:hAnsi="Arial"/>
                <w:sz w:val="14"/>
                <w:szCs w:val="14"/>
                <w:b w:val="1"/>
                <w:bCs w:val="1"/>
                <w:color w:val="auto"/>
              </w:rPr>
              <w:t>Series A</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Series B</w:t>
            </w:r>
          </w:p>
        </w:tc>
        <w:tc>
          <w:tcPr>
            <w:tcW w:w="15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188"/>
        </w:trPr>
        <w:tc>
          <w:tcPr>
            <w:tcW w:w="664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Preferred Units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Preferred Units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15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64,388,853</w:t>
            </w:r>
          </w:p>
        </w:tc>
        <w:tc>
          <w:tcPr>
            <w:tcW w:w="10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669,194,419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Issuances of Series A preferred units in connection with in-kind distributions</w:t>
            </w:r>
          </w:p>
        </w:tc>
        <w:tc>
          <w:tcPr>
            <w:tcW w:w="15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5,307,689</w:t>
            </w:r>
          </w:p>
        </w:tc>
        <w:tc>
          <w:tcPr>
            <w:tcW w:w="10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Sale of Series B preferred units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4"/>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Sales of common units</w:t>
            </w: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54,119,893</w:t>
            </w:r>
          </w:p>
        </w:tc>
        <w:tc>
          <w:tcPr>
            <w:tcW w:w="0" w:type="dxa"/>
            <w:vAlign w:val="bottom"/>
          </w:tcPr>
          <w:p>
            <w:pPr>
              <w:spacing w:after="0"/>
              <w:rPr>
                <w:sz w:val="1"/>
                <w:szCs w:val="1"/>
                <w:color w:val="auto"/>
              </w:rPr>
            </w:pPr>
          </w:p>
        </w:tc>
      </w:tr>
      <w:tr>
        <w:trPr>
          <w:trHeight w:val="176"/>
        </w:trPr>
        <w:tc>
          <w:tcPr>
            <w:tcW w:w="6640" w:type="dxa"/>
            <w:vAlign w:val="bottom"/>
          </w:tcPr>
          <w:p>
            <w:pPr>
              <w:ind w:left="140"/>
              <w:spacing w:after="0" w:line="176" w:lineRule="exact"/>
              <w:rPr>
                <w:sz w:val="20"/>
                <w:szCs w:val="20"/>
                <w:color w:val="auto"/>
              </w:rPr>
            </w:pPr>
            <w:r>
              <w:rPr>
                <w:rFonts w:ascii="Arial" w:cs="Arial" w:eastAsia="Arial" w:hAnsi="Arial"/>
                <w:sz w:val="18"/>
                <w:szCs w:val="18"/>
                <w:color w:val="auto"/>
                <w:w w:val="94"/>
              </w:rPr>
              <w:t>Issuance of common units in connection with acquisition of interest in Advantage Joint</w:t>
            </w:r>
          </w:p>
        </w:tc>
        <w:tc>
          <w:tcPr>
            <w:tcW w:w="16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vMerge w:val="restart"/>
          </w:tcPr>
          <w:p>
            <w:pPr>
              <w:jc w:val="right"/>
              <w:ind w:right="71"/>
              <w:spacing w:after="0"/>
              <w:rPr>
                <w:sz w:val="20"/>
                <w:szCs w:val="20"/>
                <w:color w:val="auto"/>
              </w:rPr>
            </w:pPr>
            <w:r>
              <w:rPr>
                <w:rFonts w:ascii="Arial" w:cs="Arial" w:eastAsia="Arial" w:hAnsi="Arial"/>
                <w:sz w:val="18"/>
                <w:szCs w:val="18"/>
                <w:color w:val="auto"/>
              </w:rPr>
              <w:t>1,252,269</w:t>
            </w:r>
          </w:p>
        </w:tc>
        <w:tc>
          <w:tcPr>
            <w:tcW w:w="0" w:type="dxa"/>
            <w:vAlign w:val="bottom"/>
          </w:tcPr>
          <w:p>
            <w:pPr>
              <w:spacing w:after="0"/>
              <w:rPr>
                <w:sz w:val="1"/>
                <w:szCs w:val="1"/>
                <w:color w:val="auto"/>
              </w:rPr>
            </w:pPr>
          </w:p>
        </w:tc>
      </w:tr>
      <w:tr>
        <w:trPr>
          <w:trHeight w:val="230"/>
        </w:trPr>
        <w:tc>
          <w:tcPr>
            <w:tcW w:w="6640" w:type="dxa"/>
            <w:vAlign w:val="bottom"/>
          </w:tcPr>
          <w:p>
            <w:pPr>
              <w:ind w:left="300"/>
              <w:spacing w:after="0"/>
              <w:rPr>
                <w:sz w:val="20"/>
                <w:szCs w:val="20"/>
                <w:color w:val="auto"/>
              </w:rPr>
            </w:pPr>
            <w:r>
              <w:rPr>
                <w:rFonts w:ascii="Arial" w:cs="Arial" w:eastAsia="Arial" w:hAnsi="Arial"/>
                <w:sz w:val="18"/>
                <w:szCs w:val="18"/>
                <w:color w:val="auto"/>
              </w:rPr>
              <w:t>Venture (Note 7)</w:t>
            </w:r>
          </w:p>
        </w:tc>
        <w:tc>
          <w:tcPr>
            <w:tcW w:w="1620" w:type="dxa"/>
            <w:vAlign w:val="bottom"/>
            <w:gridSpan w:val="2"/>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Issuances of common units under equity-indexed compensation plans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622,557</w:t>
            </w:r>
          </w:p>
        </w:tc>
        <w:tc>
          <w:tcPr>
            <w:tcW w:w="0" w:type="dxa"/>
            <w:vAlign w:val="bottom"/>
          </w:tcPr>
          <w:p>
            <w:pPr>
              <w:spacing w:after="0"/>
              <w:rPr>
                <w:sz w:val="1"/>
                <w:szCs w:val="1"/>
                <w:color w:val="auto"/>
              </w:rPr>
            </w:pPr>
          </w:p>
        </w:tc>
      </w:tr>
      <w:tr>
        <w:trPr>
          <w:trHeight w:val="264"/>
        </w:trPr>
        <w:tc>
          <w:tcPr>
            <w:tcW w:w="6640" w:type="dxa"/>
            <w:vAlign w:val="bottom"/>
          </w:tcPr>
          <w:p>
            <w:pPr>
              <w:ind w:left="20"/>
              <w:spacing w:after="0"/>
              <w:rPr>
                <w:sz w:val="20"/>
                <w:szCs w:val="20"/>
                <w:color w:val="auto"/>
              </w:rPr>
            </w:pPr>
            <w:r>
              <w:rPr>
                <w:rFonts w:ascii="Arial" w:cs="Arial" w:eastAsia="Arial" w:hAnsi="Arial"/>
                <w:sz w:val="18"/>
                <w:szCs w:val="18"/>
                <w:color w:val="auto"/>
              </w:rPr>
              <w:t>Outstanding at December 31, 2017</w:t>
            </w:r>
          </w:p>
        </w:tc>
        <w:tc>
          <w:tcPr>
            <w:tcW w:w="15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69,696,542</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725,189,138</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8"/>
                <w:szCs w:val="18"/>
                <w:color w:val="auto"/>
              </w:rPr>
              <w:t>Issuance of Series A preferred units in connection with in-kind distribution</w:t>
            </w: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1,393,926</w:t>
            </w:r>
          </w:p>
        </w:tc>
        <w:tc>
          <w:tcPr>
            <w:tcW w:w="100" w:type="dxa"/>
            <w:vAlign w:val="bottom"/>
          </w:tcPr>
          <w:p>
            <w:pPr>
              <w:spacing w:after="0"/>
              <w:rPr>
                <w:sz w:val="23"/>
                <w:szCs w:val="23"/>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Issuances of common units under equity-indexed compensation plans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1,172,786</w:t>
            </w:r>
          </w:p>
        </w:tc>
        <w:tc>
          <w:tcPr>
            <w:tcW w:w="0" w:type="dxa"/>
            <w:vAlign w:val="bottom"/>
          </w:tcPr>
          <w:p>
            <w:pPr>
              <w:spacing w:after="0"/>
              <w:rPr>
                <w:sz w:val="1"/>
                <w:szCs w:val="1"/>
                <w:color w:val="auto"/>
              </w:rPr>
            </w:pPr>
          </w:p>
        </w:tc>
      </w:tr>
      <w:tr>
        <w:trPr>
          <w:trHeight w:val="264"/>
        </w:trPr>
        <w:tc>
          <w:tcPr>
            <w:tcW w:w="6640" w:type="dxa"/>
            <w:vAlign w:val="bottom"/>
          </w:tcPr>
          <w:p>
            <w:pPr>
              <w:ind w:left="20"/>
              <w:spacing w:after="0"/>
              <w:rPr>
                <w:sz w:val="20"/>
                <w:szCs w:val="20"/>
                <w:color w:val="auto"/>
              </w:rPr>
            </w:pPr>
            <w:r>
              <w:rPr>
                <w:rFonts w:ascii="Arial" w:cs="Arial" w:eastAsia="Arial" w:hAnsi="Arial"/>
                <w:sz w:val="18"/>
                <w:szCs w:val="18"/>
                <w:color w:val="auto"/>
              </w:rPr>
              <w:t>Outstanding at December 31, 2018</w:t>
            </w:r>
          </w:p>
        </w:tc>
        <w:tc>
          <w:tcPr>
            <w:tcW w:w="15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71,090,468</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726,361,924</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8"/>
                <w:szCs w:val="18"/>
                <w:color w:val="auto"/>
              </w:rPr>
              <w:t>Issuances of common units under equity-indexed compensation plans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1,666,652</w:t>
            </w:r>
          </w:p>
        </w:tc>
        <w:tc>
          <w:tcPr>
            <w:tcW w:w="0" w:type="dxa"/>
            <w:vAlign w:val="bottom"/>
          </w:tcPr>
          <w:p>
            <w:pPr>
              <w:spacing w:after="0"/>
              <w:rPr>
                <w:sz w:val="1"/>
                <w:szCs w:val="1"/>
                <w:color w:val="auto"/>
              </w:rPr>
            </w:pPr>
          </w:p>
        </w:tc>
      </w:tr>
      <w:tr>
        <w:trPr>
          <w:trHeight w:val="289"/>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5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71,090,468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5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800,000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5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728,028,576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Units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Series B Preferred Unit Issuance</w:t>
      </w:r>
    </w:p>
    <w:p>
      <w:pPr>
        <w:spacing w:after="0" w:line="256"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On October 10, 2017, we issued 800,000 Series B preferred units at a price to the public of $1,000 per unit. We used the net proceeds of $788 million, after deducting the underwriters’ discounts and offering expenses, from the issuance of the Series B preferred units to repay amounts outstanding under our credit facilities and commercial paper program and for general partnership purposes.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4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4" w:name="page165"/>
    <w:bookmarkEnd w:id="1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Unit Issuances</w:t>
      </w:r>
    </w:p>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 xml:space="preserve">Sales of Common Units. </w:t>
      </w:r>
      <w:r>
        <w:rPr>
          <w:rFonts w:ascii="Arial" w:cs="Arial" w:eastAsia="Arial" w:hAnsi="Arial"/>
          <w:sz w:val="18"/>
          <w:szCs w:val="18"/>
          <w:color w:val="auto"/>
        </w:rPr>
        <w:t>We did not conduct any sales of common units during the years ended December 31, 2019 or 2018. The following table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summarizes our sales of common units during year ended December 31, 2017 (net proceeds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Borders>
              <w:bottom w:val="single" w:sz="8" w:color="CCEEFF"/>
            </w:tcBorders>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Type of Offering</w:t>
            </w:r>
          </w:p>
        </w:tc>
        <w:tc>
          <w:tcPr>
            <w:tcW w:w="12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Common Units Issued</w:t>
            </w:r>
          </w:p>
        </w:tc>
        <w:tc>
          <w:tcPr>
            <w:tcW w:w="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9"/>
                <w:szCs w:val="9"/>
                <w:b w:val="1"/>
                <w:bCs w:val="1"/>
                <w:color w:val="auto"/>
              </w:rPr>
              <w:t>(1)</w:t>
            </w:r>
          </w:p>
        </w:tc>
        <w:tc>
          <w:tcPr>
            <w:tcW w:w="340" w:type="dxa"/>
            <w:vAlign w:val="bottom"/>
            <w:tcBorders>
              <w:bottom w:val="single" w:sz="8" w:color="CCEEFF"/>
            </w:tcBorders>
          </w:tcPr>
          <w:p>
            <w:pPr>
              <w:spacing w:after="0"/>
              <w:rPr>
                <w:sz w:val="16"/>
                <w:szCs w:val="16"/>
                <w:color w:val="auto"/>
              </w:rPr>
            </w:pPr>
          </w:p>
        </w:tc>
      </w:tr>
      <w:tr>
        <w:trPr>
          <w:trHeight w:val="270"/>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shd w:val="clear" w:color="auto" w:fill="CCEEFF"/>
          </w:tcPr>
          <w:p>
            <w:pPr>
              <w:spacing w:after="0"/>
              <w:rPr>
                <w:sz w:val="23"/>
                <w:szCs w:val="23"/>
                <w:color w:val="auto"/>
              </w:rPr>
            </w:pPr>
          </w:p>
        </w:tc>
        <w:tc>
          <w:tcPr>
            <w:tcW w:w="3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Continuous Offering Program</w:t>
            </w:r>
          </w:p>
        </w:tc>
        <w:tc>
          <w:tcPr>
            <w:tcW w:w="24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4,033,567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1"/>
              </w:rPr>
              <w:t>(2)</w:t>
            </w:r>
          </w:p>
        </w:tc>
      </w:tr>
      <w:tr>
        <w:trPr>
          <w:trHeight w:val="270"/>
        </w:trPr>
        <w:tc>
          <w:tcPr>
            <w:tcW w:w="25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tcPr>
          <w:p>
            <w:pPr>
              <w:spacing w:after="0"/>
              <w:rPr>
                <w:sz w:val="23"/>
                <w:szCs w:val="23"/>
                <w:color w:val="auto"/>
              </w:rPr>
            </w:pPr>
          </w:p>
        </w:tc>
        <w:tc>
          <w:tcPr>
            <w:tcW w:w="39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8"/>
              </w:rPr>
              <w:t xml:space="preserve">Omnibus Agreement </w:t>
            </w:r>
            <w:r>
              <w:rPr>
                <w:rFonts w:ascii="Arial" w:cs="Arial" w:eastAsia="Arial" w:hAnsi="Arial"/>
                <w:sz w:val="23"/>
                <w:szCs w:val="23"/>
                <w:color w:val="auto"/>
                <w:w w:val="88"/>
                <w:vertAlign w:val="superscript"/>
              </w:rPr>
              <w:t>(3)</w:t>
            </w:r>
          </w:p>
        </w:tc>
        <w:tc>
          <w:tcPr>
            <w:tcW w:w="2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50,086,326</w:t>
            </w:r>
          </w:p>
        </w:tc>
        <w:tc>
          <w:tcPr>
            <w:tcW w:w="340" w:type="dxa"/>
            <w:vAlign w:val="bottom"/>
            <w:tcBorders>
              <w:bottom w:val="single" w:sz="8" w:color="CCEEFF"/>
            </w:tcBorders>
          </w:tcPr>
          <w:p>
            <w:pPr>
              <w:jc w:val="right"/>
              <w:ind w:right="100"/>
              <w:spacing w:after="0"/>
              <w:rPr>
                <w:sz w:val="20"/>
                <w:szCs w:val="20"/>
                <w:color w:val="auto"/>
              </w:rPr>
            </w:pPr>
            <w:r>
              <w:rPr>
                <w:rFonts w:ascii="Arial" w:cs="Arial" w:eastAsia="Arial" w:hAnsi="Arial"/>
                <w:sz w:val="12"/>
                <w:szCs w:val="12"/>
                <w:color w:val="auto"/>
                <w:w w:val="95"/>
              </w:rPr>
              <w:t>(4)</w:t>
            </w:r>
          </w:p>
        </w:tc>
        <w:tc>
          <w:tcPr>
            <w:tcW w:w="2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1,535</w:t>
            </w:r>
          </w:p>
        </w:tc>
        <w:tc>
          <w:tcPr>
            <w:tcW w:w="340" w:type="dxa"/>
            <w:vAlign w:val="bottom"/>
            <w:tcBorders>
              <w:bottom w:val="single" w:sz="8" w:color="CCEEFF"/>
            </w:tcBorders>
          </w:tcPr>
          <w:p>
            <w:pPr>
              <w:spacing w:after="0"/>
              <w:rPr>
                <w:sz w:val="23"/>
                <w:szCs w:val="23"/>
                <w:color w:val="auto"/>
              </w:rPr>
            </w:pPr>
          </w:p>
        </w:tc>
      </w:tr>
      <w:tr>
        <w:trPr>
          <w:trHeight w:val="284"/>
        </w:trPr>
        <w:tc>
          <w:tcPr>
            <w:tcW w:w="2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0"/>
              </w:rPr>
              <w:t>2017 Total</w:t>
            </w:r>
          </w:p>
        </w:tc>
        <w:tc>
          <w:tcPr>
            <w:tcW w:w="3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54,119,893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1,664</w:t>
            </w:r>
          </w:p>
        </w:tc>
        <w:tc>
          <w:tcPr>
            <w:tcW w:w="340" w:type="dxa"/>
            <w:vAlign w:val="bottom"/>
            <w:shd w:val="clear" w:color="auto" w:fill="CCEEFF"/>
          </w:tcPr>
          <w:p>
            <w:pPr>
              <w:spacing w:after="0"/>
              <w:rPr>
                <w:sz w:val="24"/>
                <w:szCs w:val="24"/>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40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Amounts are net of costs associated with the offerings.</w:t>
      </w:r>
    </w:p>
    <w:p>
      <w:pPr>
        <w:spacing w:after="0" w:line="117" w:lineRule="exact"/>
        <w:rPr>
          <w:sz w:val="20"/>
          <w:szCs w:val="20"/>
          <w:color w:val="auto"/>
        </w:rPr>
      </w:pPr>
    </w:p>
    <w:p>
      <w:pPr>
        <w:ind w:left="20" w:right="660" w:hanging="11"/>
        <w:spacing w:after="0" w:line="277" w:lineRule="auto"/>
        <w:rPr>
          <w:sz w:val="20"/>
          <w:szCs w:val="20"/>
          <w:color w:val="auto"/>
        </w:rPr>
      </w:pPr>
      <w:r>
        <w:rPr>
          <w:rFonts w:ascii="Arial" w:cs="Arial" w:eastAsia="Arial" w:hAnsi="Arial"/>
          <w:sz w:val="18"/>
          <w:szCs w:val="18"/>
          <w:color w:val="auto"/>
        </w:rPr>
        <w:t>We paid $1 million to sales agents in connection with common unit issuances under our Continuous Offering Program during the year ended December 31, 2017.</w:t>
      </w:r>
    </w:p>
    <w:p>
      <w:pPr>
        <w:spacing w:after="0" w:line="62" w:lineRule="exact"/>
        <w:rPr>
          <w:sz w:val="20"/>
          <w:szCs w:val="20"/>
          <w:color w:val="auto"/>
        </w:rPr>
      </w:pPr>
    </w:p>
    <w:p>
      <w:pPr>
        <w:ind w:left="20" w:right="140" w:hanging="11"/>
        <w:spacing w:after="0" w:line="257" w:lineRule="auto"/>
        <w:rPr>
          <w:sz w:val="20"/>
          <w:szCs w:val="20"/>
          <w:color w:val="auto"/>
        </w:rPr>
      </w:pPr>
      <w:r>
        <w:rPr>
          <w:rFonts w:ascii="Arial" w:cs="Arial" w:eastAsia="Arial" w:hAnsi="Arial"/>
          <w:sz w:val="18"/>
          <w:szCs w:val="18"/>
          <w:color w:val="auto"/>
        </w:rPr>
        <w:t>Pursuant to the Omnibus Agreement entered into on November 15, 2016 by the Plains Entities, PAGP used the net proceeds from the sale of PAGP Class A shares, after deducting the sales agents’ commissions and offering expenses, to purchase from AAP a number of AAP units equal to the number of PAGP Class A shares sold in such offering at a price equal to the net proceeds from such offering. Also pursuant to the Omnibus Agreement, immediately following such purchase and sale, AAP used the net proceeds it received from such sale of AAP units to purchase from us an equivalent number of our common units.</w:t>
      </w:r>
    </w:p>
    <w:p>
      <w:pPr>
        <w:spacing w:after="0" w:line="80" w:lineRule="exact"/>
        <w:rPr>
          <w:sz w:val="20"/>
          <w:szCs w:val="20"/>
          <w:color w:val="auto"/>
        </w:rPr>
      </w:pPr>
    </w:p>
    <w:p>
      <w:pPr>
        <w:ind w:left="20" w:right="380" w:hanging="11"/>
        <w:spacing w:after="0" w:line="342" w:lineRule="auto"/>
        <w:rPr>
          <w:sz w:val="20"/>
          <w:szCs w:val="20"/>
          <w:color w:val="auto"/>
        </w:rPr>
      </w:pPr>
      <w:r>
        <w:rPr>
          <w:rFonts w:ascii="Arial" w:cs="Arial" w:eastAsia="Arial" w:hAnsi="Arial"/>
          <w:sz w:val="16"/>
          <w:szCs w:val="16"/>
          <w:color w:val="auto"/>
        </w:rPr>
        <w:t>Includes (i) approximately 1.8 million common units issued to AAP in connection with PAGP’s issuance of Class A shares under its Continuous Offering Program and (ii) 48.3 million common units issued to AAP in connection with PAGP’s March 2017 underwritten offering.</w:t>
      </w:r>
    </w:p>
    <w:p>
      <w:pPr>
        <w:spacing w:after="0" w:line="151" w:lineRule="exact"/>
        <w:rPr>
          <w:sz w:val="20"/>
          <w:szCs w:val="20"/>
          <w:color w:val="auto"/>
        </w:rPr>
      </w:pPr>
    </w:p>
    <w:p>
      <w:pPr>
        <w:sectPr>
          <w:pgSz w:w="11900" w:h="16838" w:orient="portrait"/>
          <w:cols w:equalWidth="0" w:num="2">
            <w:col w:w="140" w:space="500"/>
            <w:col w:w="10780"/>
          </w:cols>
          <w:pgMar w:left="240" w:top="125" w:right="239" w:bottom="1440" w:gutter="0" w:footer="0" w:header="0"/>
          <w:type w:val="continuous"/>
        </w:sect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Issuance of Common Units for Earned AAP Class B units. </w:t>
      </w:r>
      <w:r>
        <w:rPr>
          <w:rFonts w:ascii="Arial" w:cs="Arial" w:eastAsia="Arial" w:hAnsi="Arial"/>
          <w:sz w:val="18"/>
          <w:szCs w:val="18"/>
          <w:color w:val="auto"/>
        </w:rPr>
        <w:t>During the years ended December 31, 2019 and 2018, pursuant to the Omnibus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entered into on November 15, 2016 by the Plains Entities, we issued 232,425 and 559,649 common units, respectively, to AAP upon Class B units of AAP becoming earned.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accordance with our partnership agreement, after making distributions to holders of our outstanding 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4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65" w:name="page166"/>
    <w:bookmarkEnd w:id="1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Preferred Unit Distributions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distributions paid to our preferred unitholders during the year presented (in millions, except unit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Series A Preferred Unitholders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jc w:val="center"/>
              <w:ind w:right="179"/>
              <w:spacing w:after="0"/>
              <w:rPr>
                <w:sz w:val="20"/>
                <w:szCs w:val="20"/>
                <w:color w:val="auto"/>
              </w:rPr>
            </w:pPr>
            <w:r>
              <w:rPr>
                <w:rFonts w:ascii="Arial" w:cs="Arial" w:eastAsia="Arial" w:hAnsi="Arial"/>
                <w:sz w:val="14"/>
                <w:szCs w:val="14"/>
                <w:b w:val="1"/>
                <w:bCs w:val="1"/>
                <w:color w:val="auto"/>
                <w:w w:val="93"/>
              </w:rPr>
              <w:t>Series B Preferred Unitholders</w:t>
            </w:r>
          </w:p>
        </w:tc>
      </w:tr>
      <w:tr>
        <w:trPr>
          <w:trHeight w:val="187"/>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w w:val="94"/>
              </w:rPr>
              <w:t xml:space="preserve">Distribution </w:t>
            </w:r>
            <w:r>
              <w:rPr>
                <w:rFonts w:ascii="Arial" w:cs="Arial" w:eastAsia="Arial" w:hAnsi="Arial"/>
                <w:sz w:val="9"/>
                <w:szCs w:val="9"/>
                <w:b w:val="1"/>
                <w:bCs w:val="1"/>
                <w:color w:val="auto"/>
                <w:w w:val="94"/>
              </w:rPr>
              <w:t>(1)</w:t>
            </w:r>
          </w:p>
        </w:tc>
        <w:tc>
          <w:tcPr>
            <w:tcW w:w="86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400" w:type="dxa"/>
            <w:vAlign w:val="bottom"/>
            <w:tcBorders>
              <w:top w:val="single" w:sz="8" w:color="auto"/>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Cash</w:t>
            </w:r>
          </w:p>
        </w:tc>
      </w:tr>
      <w:tr>
        <w:trPr>
          <w:trHeight w:val="196"/>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Cash</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 xml:space="preserve">Distribution </w:t>
            </w:r>
            <w:r>
              <w:rPr>
                <w:rFonts w:ascii="Arial" w:cs="Arial" w:eastAsia="Arial" w:hAnsi="Arial"/>
                <w:sz w:val="9"/>
                <w:szCs w:val="9"/>
                <w:b w:val="1"/>
                <w:bCs w:val="1"/>
                <w:color w:val="auto"/>
                <w:w w:val="96"/>
              </w:rPr>
              <w:t>(2)</w:t>
            </w:r>
          </w:p>
        </w:tc>
      </w:tr>
      <w:tr>
        <w:trPr>
          <w:trHeight w:val="24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49</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9"/>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w w:val="87"/>
              </w:rPr>
              <w:t>1,393,926</w:t>
            </w:r>
          </w:p>
        </w:tc>
        <w:tc>
          <w:tcPr>
            <w:tcW w:w="140" w:type="dxa"/>
            <w:vAlign w:val="bottom"/>
            <w:tcBorders>
              <w:right w:val="single" w:sz="8" w:color="auto"/>
            </w:tcBorders>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59"/>
              <w:spacing w:after="0"/>
              <w:rPr>
                <w:sz w:val="20"/>
                <w:szCs w:val="20"/>
                <w:color w:val="auto"/>
              </w:rPr>
            </w:pPr>
            <w:r>
              <w:rPr>
                <w:rFonts w:ascii="Arial" w:cs="Arial" w:eastAsia="Arial" w:hAnsi="Arial"/>
                <w:sz w:val="18"/>
                <w:szCs w:val="18"/>
                <w:color w:val="auto"/>
              </w:rPr>
              <w:t>49</w:t>
            </w:r>
          </w:p>
        </w:tc>
      </w:tr>
      <w:tr>
        <w:trPr>
          <w:trHeight w:val="27"/>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7"/>
              </w:rPr>
              <w:t>5,307,689</w:t>
            </w:r>
          </w:p>
        </w:tc>
        <w:tc>
          <w:tcPr>
            <w:tcW w:w="140" w:type="dxa"/>
            <w:vAlign w:val="bottom"/>
            <w:tcBorders>
              <w:right w:val="single" w:sz="8" w:color="auto"/>
            </w:tcBorders>
            <w:shd w:val="clear" w:color="auto" w:fill="CCEEFF"/>
          </w:tcPr>
          <w:p>
            <w:pPr>
              <w:spacing w:after="0"/>
              <w:rPr>
                <w:sz w:val="21"/>
                <w:szCs w:val="21"/>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w:t>
            </w:r>
          </w:p>
        </w:tc>
      </w:tr>
      <w:tr>
        <w:trPr>
          <w:trHeight w:val="27"/>
        </w:trPr>
        <w:tc>
          <w:tcPr>
            <w:tcW w:w="5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40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40" w:hanging="652"/>
        <w:spacing w:after="0" w:line="277" w:lineRule="auto"/>
        <w:tabs>
          <w:tab w:leader="none" w:pos="177" w:val="left"/>
        </w:tabs>
        <w:numPr>
          <w:ilvl w:val="0"/>
          <w:numId w:val="89"/>
        </w:numPr>
        <w:rPr>
          <w:rFonts w:ascii="Arial" w:cs="Arial" w:eastAsia="Arial" w:hAnsi="Arial"/>
          <w:sz w:val="20"/>
          <w:szCs w:val="20"/>
          <w:color w:val="auto"/>
          <w:vertAlign w:val="superscript"/>
        </w:rPr>
      </w:pPr>
      <w:r>
        <w:rPr>
          <w:rFonts w:ascii="Arial" w:cs="Arial" w:eastAsia="Arial" w:hAnsi="Arial"/>
          <w:sz w:val="16"/>
          <w:szCs w:val="16"/>
          <w:color w:val="auto"/>
        </w:rPr>
        <w:t>We elected to pay distributions on our Series A preferred units in additional Series A preferred units for each quarterly distribution from their issuance through the February 2018 distribution. Distributions on our Series A preferred units have been paid in cash since the May 2018 distribution. During 2018 and 2017, we issued additional Series A preferred units in lieu of cash distributions of $37 million and $139 million, respectively.</w:t>
      </w:r>
    </w:p>
    <w:p>
      <w:pPr>
        <w:spacing w:after="0" w:line="66" w:lineRule="exact"/>
        <w:rPr>
          <w:rFonts w:ascii="Arial" w:cs="Arial" w:eastAsia="Arial" w:hAnsi="Arial"/>
          <w:sz w:val="20"/>
          <w:szCs w:val="20"/>
          <w:color w:val="auto"/>
          <w:vertAlign w:val="superscript"/>
        </w:rPr>
      </w:pPr>
    </w:p>
    <w:p>
      <w:pPr>
        <w:ind w:left="660" w:right="140" w:hanging="652"/>
        <w:spacing w:after="0" w:line="282" w:lineRule="auto"/>
        <w:tabs>
          <w:tab w:leader="none" w:pos="177" w:val="left"/>
        </w:tabs>
        <w:numPr>
          <w:ilvl w:val="0"/>
          <w:numId w:val="89"/>
        </w:numPr>
        <w:rPr>
          <w:rFonts w:ascii="Arial" w:cs="Arial" w:eastAsia="Arial" w:hAnsi="Arial"/>
          <w:sz w:val="20"/>
          <w:szCs w:val="20"/>
          <w:color w:val="auto"/>
          <w:vertAlign w:val="superscript"/>
        </w:rPr>
      </w:pPr>
      <w:r>
        <w:rPr>
          <w:rFonts w:ascii="Arial" w:cs="Arial" w:eastAsia="Arial" w:hAnsi="Arial"/>
          <w:sz w:val="16"/>
          <w:szCs w:val="16"/>
          <w:color w:val="auto"/>
        </w:rPr>
        <w:t>We paid a pro-rated initial distribution on the Series B preferred units on November 15, 2017 to holders of record at the close of business on November 1, 2017 in an amount equal to approximately $5.9549 per unit.</w:t>
      </w:r>
    </w:p>
    <w:p>
      <w:pPr>
        <w:spacing w:after="0" w:line="18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February 14, 2020, we paid a cash distribution of $37 million to our Series A preferred unitholders. At December 31, 2019, such amount was accrued as distributions payable in “Other current liabilities” on our Consolidated Balance Sheet. At December 31, 2019, approximately $6 million of accrued distributions payable to our Series B preferred unitholders was included in “Other current liabilities” on our Consolidated Balance Sheet.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Unit Distributions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distributions paid to common unitholders during the year presented (in millions, except per unit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Distributions Paid</w:t>
            </w: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jc w:val="right"/>
              <w:ind w:right="477"/>
              <w:spacing w:after="0"/>
              <w:rPr>
                <w:sz w:val="20"/>
                <w:szCs w:val="20"/>
                <w:color w:val="auto"/>
              </w:rPr>
            </w:pPr>
            <w:r>
              <w:rPr>
                <w:rFonts w:ascii="Arial" w:cs="Arial" w:eastAsia="Arial" w:hAnsi="Arial"/>
                <w:sz w:val="14"/>
                <w:szCs w:val="14"/>
                <w:b w:val="1"/>
                <w:bCs w:val="1"/>
                <w:color w:val="auto"/>
              </w:rPr>
              <w:t>Distributions per</w:t>
            </w:r>
          </w:p>
        </w:tc>
      </w:tr>
      <w:tr>
        <w:trPr>
          <w:trHeight w:val="201"/>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Public</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AAP</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common unit</w:t>
            </w:r>
          </w:p>
        </w:tc>
      </w:tr>
      <w:tr>
        <w:trPr>
          <w:trHeight w:val="245"/>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1,004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1.38</w:t>
            </w:r>
          </w:p>
        </w:tc>
      </w:tr>
      <w:tr>
        <w:trPr>
          <w:trHeight w:val="243"/>
        </w:trPr>
        <w:tc>
          <w:tcPr>
            <w:tcW w:w="214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74"/>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77"/>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74"/>
              <w:spacing w:after="0"/>
              <w:rPr>
                <w:sz w:val="20"/>
                <w:szCs w:val="20"/>
                <w:color w:val="auto"/>
              </w:rPr>
            </w:pPr>
            <w:r>
              <w:rPr>
                <w:rFonts w:ascii="Arial" w:cs="Arial" w:eastAsia="Arial" w:hAnsi="Arial"/>
                <w:sz w:val="18"/>
                <w:szCs w:val="18"/>
                <w:color w:val="auto"/>
              </w:rPr>
              <w:t>871</w:t>
            </w:r>
          </w:p>
        </w:tc>
        <w:tc>
          <w:tcPr>
            <w:tcW w:w="140" w:type="dxa"/>
            <w:vAlign w:val="bottom"/>
            <w:tcBorders>
              <w:right w:val="single" w:sz="8" w:color="auto"/>
            </w:tcBorders>
          </w:tcPr>
          <w:p>
            <w:pPr>
              <w:spacing w:after="0"/>
              <w:rPr>
                <w:sz w:val="21"/>
                <w:szCs w:val="21"/>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7"/>
              <w:spacing w:after="0"/>
              <w:rPr>
                <w:sz w:val="20"/>
                <w:szCs w:val="20"/>
                <w:color w:val="auto"/>
              </w:rPr>
            </w:pPr>
            <w:r>
              <w:rPr>
                <w:rFonts w:ascii="Arial" w:cs="Arial" w:eastAsia="Arial" w:hAnsi="Arial"/>
                <w:sz w:val="18"/>
                <w:szCs w:val="18"/>
                <w:color w:val="auto"/>
              </w:rPr>
              <w:t>1.20</w:t>
            </w: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1,386</w:t>
            </w:r>
          </w:p>
        </w:tc>
        <w:tc>
          <w:tcPr>
            <w:tcW w:w="140" w:type="dxa"/>
            <w:vAlign w:val="bottom"/>
            <w:tcBorders>
              <w:right w:val="single" w:sz="8" w:color="auto"/>
            </w:tcBorders>
            <w:shd w:val="clear" w:color="auto" w:fill="CCEEFF"/>
          </w:tcPr>
          <w:p>
            <w:pPr>
              <w:spacing w:after="0"/>
              <w:rPr>
                <w:sz w:val="21"/>
                <w:szCs w:val="21"/>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1.95</w:t>
            </w:r>
          </w:p>
        </w:tc>
      </w:tr>
      <w:tr>
        <w:trPr>
          <w:trHeight w:val="27"/>
        </w:trPr>
        <w:tc>
          <w:tcPr>
            <w:tcW w:w="2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On January 8, 2020, we declared a cash distribution of $0.36 per unit on our outstanding common units. The total distribution of $262 million was paid on February 14, 2020 to unitholders of record at the close of business on January 31, 2020, for the period from October 1, 2019 through December 31, 2019. Of this amount, approximately $90 million was paid to AAP.</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Allocation</w:t>
      </w:r>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allocate net income for partners’ capital presentation purposes by applying the allocation methodology in our partnership agreement. Net income is allocated 100% to our common unitholders, after giving effect to income allocations for cash distributions to our Series A preferred unitholders and guaranteed payments attributable to our Series B preferred unitholders. In accordance with our partnership agreement, our Series A preferred unitholders are not allocated income for paid-in-kind distributions for partners’ capital presentation purposes.</w:t>
      </w:r>
    </w:p>
    <w:p>
      <w:pPr>
        <w:spacing w:after="0" w:line="198"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For purposes of determining basic and diluted net income per common unit, income is allocated as prescribed in FASB guidance for calculating earnings per unit, including a deduction to income available to common unitholders for distributions attributable to the period (whether paid in cash or in-kind) on our Series A and Series B preferred units. 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4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6" w:name="page167"/>
    <w:bookmarkEnd w:id="1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5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May 2019, we formed a joint venture, Red River Pipeline Company LLC (“Red River LLC”), with Delek Logistics Partners, LP (“Delek”) on our Red River pipeline system. We received approximately $128 million for Delek’s 33% interest in Red River LLC. We consolidate Red River LLC based on control, with Delek’s 33% interest accounted for as a noncontrolling interest.</w:t>
      </w:r>
    </w:p>
    <w:p>
      <w:pPr>
        <w:spacing w:after="0" w:line="20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During the fourth quarter of 2017, we sold SLC Pipeline LLC, in which we previously owned a 75% interest and had consolidated under GAAP. As a result of this sale, the noncontrolling interest of 25% was derecognized. We did not have any noncontrolling interests in subsidiaries at December 31, 2018 or 2017. See Note 7 for additional information regarding the sale of SLC Pipeline LLC.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13—Derivatives and Risk Management Activities</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52"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8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December 31, 2019, net derivative positions related to these activities included:</w:t>
      </w:r>
    </w:p>
    <w:p>
      <w:pPr>
        <w:spacing w:after="0" w:line="38" w:lineRule="exact"/>
        <w:rPr>
          <w:sz w:val="20"/>
          <w:szCs w:val="20"/>
          <w:color w:val="auto"/>
        </w:rPr>
      </w:pPr>
    </w:p>
    <w:p>
      <w:pPr>
        <w:ind w:left="980" w:right="200" w:hanging="324"/>
        <w:spacing w:after="0" w:line="277" w:lineRule="auto"/>
        <w:tabs>
          <w:tab w:leader="none" w:pos="9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net long position of 10.2 million barrels associated with our crude oil purchases, which was unwound ratably during January 2020 to match monthly average pricing.</w:t>
      </w:r>
    </w:p>
    <w:p>
      <w:pPr>
        <w:spacing w:after="0" w:line="62"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net short time spread position of 9.0 million barrels, which hedges a portion of our anticipated crude oil lease gathering purchases through February 2021.</w:t>
      </w:r>
    </w:p>
    <w:p>
      <w:pPr>
        <w:spacing w:after="0" w:line="62"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net crude oil basis spread position of 5.9 million barrels at multiple locations through December 2021. These derivatives allow us to lock in grade basis differentials.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net short position of 17.9 million barrels through December 2021 related to anticipated net sales of crude oil and NGL inventory.</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Storage Capacity Utilization </w:t>
      </w:r>
      <w:r>
        <w:rPr>
          <w:rFonts w:ascii="Arial" w:cs="Arial" w:eastAsia="Arial" w:hAnsi="Arial"/>
          <w:sz w:val="18"/>
          <w:szCs w:val="18"/>
          <w:color w:val="auto"/>
        </w:rPr>
        <w:t>— For capacity allocated to our supply and logistics operations, we have utilization risk in a backwardated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As of December 31, 2019, we used derivatives to manage the risk that a portion of our storage capacity will not be utilized (an average of approximately 1.2 million barrels per month of storage capacity through January 2021). These positions involve no outright price exposure, but instead enable us to profitably use the capacity to store hedged crude oil.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4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7" w:name="page168"/>
    <w:bookmarkEnd w:id="1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Natural Gas Processing/NGL Fractionation </w:t>
      </w:r>
      <w:r>
        <w:rPr>
          <w:rFonts w:ascii="Arial" w:cs="Arial" w:eastAsia="Arial" w:hAnsi="Arial"/>
          <w:sz w:val="18"/>
          <w:szCs w:val="18"/>
          <w:color w:val="auto"/>
        </w:rPr>
        <w:t>— We purchase natural gas for processing and operational needs. Additionally, we purchase NGL mix</w:t>
      </w:r>
      <w:r>
        <w:rPr>
          <w:rFonts w:ascii="Arial" w:cs="Arial" w:eastAsia="Arial" w:hAnsi="Arial"/>
          <w:sz w:val="18"/>
          <w:szCs w:val="18"/>
          <w:i w:val="1"/>
          <w:iCs w:val="1"/>
          <w:color w:val="auto"/>
        </w:rPr>
        <w:t xml:space="preserve"> </w:t>
      </w:r>
      <w:r>
        <w:rPr>
          <w:rFonts w:ascii="Arial" w:cs="Arial" w:eastAsia="Arial" w:hAnsi="Arial"/>
          <w:sz w:val="18"/>
          <w:szCs w:val="18"/>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Notional Volume</w:t>
            </w: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Remaining Tenor</w:t>
            </w:r>
          </w:p>
        </w:tc>
        <w:tc>
          <w:tcPr>
            <w:tcW w:w="0" w:type="dxa"/>
            <w:vAlign w:val="bottom"/>
          </w:tcPr>
          <w:p>
            <w:pPr>
              <w:spacing w:after="0"/>
              <w:rPr>
                <w:sz w:val="1"/>
                <w:szCs w:val="1"/>
                <w:color w:val="auto"/>
              </w:rPr>
            </w:pPr>
          </w:p>
        </w:tc>
      </w:tr>
      <w:tr>
        <w:trPr>
          <w:trHeight w:val="192"/>
        </w:trPr>
        <w:tc>
          <w:tcPr>
            <w:tcW w:w="784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(Short)/Long</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46.4 Bcf</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c>
          <w:tcPr>
            <w:tcW w:w="0" w:type="dxa"/>
            <w:vAlign w:val="bottom"/>
          </w:tcPr>
          <w:p>
            <w:pPr>
              <w:spacing w:after="0"/>
              <w:rPr>
                <w:sz w:val="1"/>
                <w:szCs w:val="1"/>
                <w:color w:val="auto"/>
              </w:rPr>
            </w:pPr>
          </w:p>
        </w:tc>
      </w:tr>
      <w:tr>
        <w:trPr>
          <w:trHeight w:val="270"/>
        </w:trPr>
        <w:tc>
          <w:tcPr>
            <w:tcW w:w="784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(3.8) MMbls</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March 2021</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(1.9) MMbls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2021</w:t>
            </w:r>
          </w:p>
        </w:tc>
        <w:tc>
          <w:tcPr>
            <w:tcW w:w="0" w:type="dxa"/>
            <w:vAlign w:val="bottom"/>
          </w:tcPr>
          <w:p>
            <w:pPr>
              <w:spacing w:after="0"/>
              <w:rPr>
                <w:sz w:val="1"/>
                <w:szCs w:val="1"/>
                <w:color w:val="auto"/>
              </w:rPr>
            </w:pPr>
          </w:p>
        </w:tc>
      </w:tr>
      <w:tr>
        <w:trPr>
          <w:trHeight w:val="270"/>
        </w:trPr>
        <w:tc>
          <w:tcPr>
            <w:tcW w:w="7840" w:type="dxa"/>
            <w:vAlign w:val="bottom"/>
          </w:tcPr>
          <w:p>
            <w:pPr>
              <w:ind w:left="20"/>
              <w:spacing w:after="0"/>
              <w:rPr>
                <w:sz w:val="20"/>
                <w:szCs w:val="20"/>
                <w:color w:val="auto"/>
              </w:rPr>
            </w:pPr>
            <w:r>
              <w:rPr>
                <w:rFonts w:ascii="Arial" w:cs="Arial" w:eastAsia="Arial" w:hAnsi="Arial"/>
                <w:sz w:val="18"/>
                <w:szCs w:val="18"/>
                <w:color w:val="auto"/>
              </w:rPr>
              <w:t>Condensate sales (WTI position)</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(0.7) MMbls</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March 2021</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1.0 TWh</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41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91"/>
        </w:numPr>
        <w:rPr>
          <w:rFonts w:ascii="Arial" w:cs="Arial" w:eastAsia="Arial" w:hAnsi="Arial"/>
          <w:sz w:val="23"/>
          <w:szCs w:val="23"/>
          <w:color w:val="auto"/>
          <w:vertAlign w:val="superscript"/>
        </w:rPr>
      </w:pPr>
      <w:r>
        <w:rPr>
          <w:rFonts w:ascii="Arial" w:cs="Arial" w:eastAsia="Arial" w:hAnsi="Arial"/>
          <w:sz w:val="18"/>
          <w:szCs w:val="18"/>
          <w:color w:val="auto"/>
        </w:rPr>
        <w:t>Power position to hedge a portion of our power supply requirements at our Canadian natural gas processing and fractionation plants.</w:t>
      </w:r>
    </w:p>
    <w:p>
      <w:pPr>
        <w:spacing w:after="0" w:line="33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52"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December 31, 2019 (notional amounts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100" w:type="dxa"/>
            <w:vAlign w:val="bottom"/>
            <w:vMerge w:val="restart"/>
          </w:tcPr>
          <w:p>
            <w:pPr>
              <w:spacing w:after="0"/>
              <w:rPr>
                <w:sz w:val="14"/>
                <w:szCs w:val="14"/>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Expected</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Average Rate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88"/>
        </w:trPr>
        <w:tc>
          <w:tcPr>
            <w:tcW w:w="3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Locked</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84"/>
        </w:trPr>
        <w:tc>
          <w:tcPr>
            <w:tcW w:w="318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Anticipated interest payments</w:t>
            </w:r>
          </w:p>
        </w:tc>
        <w:tc>
          <w:tcPr>
            <w:tcW w:w="2360" w:type="dxa"/>
            <w:vAlign w:val="bottom"/>
            <w:shd w:val="clear" w:color="auto" w:fill="CCEEFF"/>
          </w:tcPr>
          <w:p>
            <w:pPr>
              <w:jc w:val="center"/>
              <w:spacing w:after="0" w:line="184" w:lineRule="exact"/>
              <w:rPr>
                <w:sz w:val="20"/>
                <w:szCs w:val="20"/>
                <w:color w:val="auto"/>
              </w:rPr>
            </w:pPr>
            <w:r>
              <w:rPr>
                <w:rFonts w:ascii="Arial" w:cs="Arial" w:eastAsia="Arial" w:hAnsi="Arial"/>
                <w:sz w:val="18"/>
                <w:szCs w:val="18"/>
                <w:color w:val="auto"/>
                <w:w w:val="91"/>
              </w:rPr>
              <w:t>8 forward starting swaps</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0"/>
              <w:spacing w:after="0" w:line="184"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82"/>
              <w:spacing w:after="0" w:line="184" w:lineRule="exact"/>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line="184" w:lineRule="exact"/>
              <w:rPr>
                <w:sz w:val="20"/>
                <w:szCs w:val="20"/>
                <w:color w:val="auto"/>
              </w:rPr>
            </w:pPr>
            <w:r>
              <w:rPr>
                <w:rFonts w:ascii="Arial" w:cs="Arial" w:eastAsia="Arial" w:hAnsi="Arial"/>
                <w:sz w:val="18"/>
                <w:szCs w:val="18"/>
                <w:color w:val="auto"/>
                <w:w w:val="89"/>
              </w:rPr>
              <w:t>6/15/2020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3.06 %</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line="184"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(30-year)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52"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9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4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8" w:name="page169"/>
    <w:bookmarkEnd w:id="1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December 31, 2019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2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88"/>
        </w:trPr>
        <w:tc>
          <w:tcPr>
            <w:tcW w:w="7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USD to CAD</w:t>
            </w:r>
          </w:p>
        </w:tc>
        <w:tc>
          <w:tcPr>
            <w:tcW w:w="0" w:type="dxa"/>
            <w:vAlign w:val="bottom"/>
          </w:tcPr>
          <w:p>
            <w:pPr>
              <w:spacing w:after="0"/>
              <w:rPr>
                <w:sz w:val="1"/>
                <w:szCs w:val="1"/>
                <w:color w:val="auto"/>
              </w:rPr>
            </w:pPr>
          </w:p>
        </w:tc>
      </w:tr>
      <w:tr>
        <w:trPr>
          <w:trHeight w:val="232"/>
        </w:trPr>
        <w:tc>
          <w:tcPr>
            <w:tcW w:w="7240" w:type="dxa"/>
            <w:vAlign w:val="bottom"/>
            <w:tcBorders>
              <w:top w:val="single" w:sz="8" w:color="CCEEFF"/>
              <w:bottom w:val="single" w:sz="8" w:color="CCEEFF"/>
            </w:tcBorders>
            <w:shd w:val="clear" w:color="auto" w:fill="CCEEFF"/>
          </w:tcPr>
          <w:p>
            <w:pPr>
              <w:jc w:val="right"/>
              <w:ind w:right="265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24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$1.00 - $1.31</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240" w:type="dxa"/>
            <w:vAlign w:val="bottom"/>
          </w:tcPr>
          <w:p>
            <w:pPr>
              <w:jc w:val="right"/>
              <w:ind w:right="265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$1.32</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Consolidated Balance Sheets. Corresponding changes in fair value are recognized in “Other income/(expense), net” in our Consolidated Statement of Operations. See Note 12 for additional information regarding our Series A preferred units and the Preferred Distribution Rate Reset Option.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5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as a hedging instrument and derivatives that do not qualify for hedge accounting are recognized in earnings each period. Cash settlements associated with our derivative activities are classified within the same category as the related hedged item in our Consolidated Statements of 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derivatives recognized in earnings is as follows (in millions):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Location of Gain/(Loss)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3"/>
          <w:szCs w:val="23"/>
          <w:color w:val="auto"/>
          <w:vertAlign w:val="superscript"/>
        </w:rPr>
        <w:t>(1)</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p>
      <w:pPr>
        <w:ind w:left="60"/>
        <w:spacing w:after="0" w:line="213" w:lineRule="auto"/>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3"/>
          <w:szCs w:val="23"/>
          <w:color w:val="auto"/>
          <w:vertAlign w:val="superscript"/>
        </w:rPr>
        <w:t>(1)</w:t>
      </w:r>
    </w:p>
    <w:p>
      <w:pPr>
        <w:ind w:left="380" w:hanging="161"/>
        <w:spacing w:after="0" w:line="226" w:lineRule="auto"/>
        <w:rPr>
          <w:sz w:val="20"/>
          <w:szCs w:val="20"/>
          <w:color w:val="auto"/>
        </w:rPr>
      </w:pPr>
      <w:r>
        <w:rPr>
          <w:rFonts w:ascii="Arial" w:cs="Arial" w:eastAsia="Arial" w:hAnsi="Arial"/>
          <w:sz w:val="18"/>
          <w:szCs w:val="18"/>
          <w:color w:val="auto"/>
        </w:rPr>
        <w:t>Total gain/(loss) on derivatives recognized in net income</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2680"/>
        <w:spacing w:after="0"/>
        <w:rPr>
          <w:sz w:val="20"/>
          <w:szCs w:val="20"/>
          <w:color w:val="auto"/>
        </w:rPr>
      </w:pPr>
      <w:r>
        <w:rPr>
          <w:rFonts w:ascii="Arial" w:cs="Arial" w:eastAsia="Arial" w:hAnsi="Arial"/>
          <w:sz w:val="14"/>
          <w:szCs w:val="14"/>
          <w:b w:val="1"/>
          <w:bCs w:val="1"/>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46482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412">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Preferred</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Commodity</w:t>
            </w:r>
          </w:p>
        </w:tc>
        <w:tc>
          <w:tcPr>
            <w:tcW w:w="120" w:type="dxa"/>
            <w:vAlign w:val="bottom"/>
          </w:tcPr>
          <w:p>
            <w:pPr>
              <w:spacing w:after="0"/>
              <w:rPr>
                <w:sz w:val="12"/>
                <w:szCs w:val="12"/>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200" w:type="dxa"/>
            <w:vAlign w:val="bottom"/>
          </w:tcPr>
          <w:p>
            <w:pPr>
              <w:spacing w:after="0"/>
              <w:rPr>
                <w:sz w:val="12"/>
                <w:szCs w:val="12"/>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Interest Rate</w:t>
            </w: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Rate Reset</w:t>
            </w: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Derivatives</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-2559050</wp:posOffset>
            </wp:positionH>
            <wp:positionV relativeFrom="paragraph">
              <wp:posOffset>-616585</wp:posOffset>
            </wp:positionV>
            <wp:extent cx="7203440"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1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-273685</wp:posOffset>
            </wp:positionV>
            <wp:extent cx="7203440" cy="2571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414">
                      <a:extLst>
                        <a:ext uri="{28A0092B-C50C-407E-A947-70E740481C1C}"/>
                      </a:extLst>
                    </a:blip>
                    <a:srcRect/>
                    <a:stretch>
                      <a:fillRect/>
                    </a:stretch>
                  </pic:blipFill>
                  <pic:spPr bwMode="auto">
                    <a:xfrm>
                      <a:off x="0" y="0"/>
                      <a:ext cx="7203440" cy="25717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-968375</wp:posOffset>
            </wp:positionV>
            <wp:extent cx="7203440" cy="1803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15">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340"/>
            <w:col w:w="732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69" w:name="page170"/>
    <w:bookmarkEnd w:id="1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2"/>
          </w:tcPr>
          <w:p>
            <w:pPr>
              <w:ind w:left="1340"/>
              <w:spacing w:after="0"/>
              <w:rPr>
                <w:sz w:val="20"/>
                <w:szCs w:val="20"/>
                <w:color w:val="auto"/>
              </w:rPr>
            </w:pPr>
            <w:r>
              <w:rPr>
                <w:rFonts w:ascii="Arial" w:cs="Arial" w:eastAsia="Arial" w:hAnsi="Arial"/>
                <w:sz w:val="14"/>
                <w:szCs w:val="14"/>
                <w:b w:val="1"/>
                <w:bCs w:val="1"/>
                <w:color w:val="auto"/>
                <w:w w:val="94"/>
              </w:rPr>
              <w:t>Year Ended December 31, 2018</w:t>
            </w:r>
          </w:p>
        </w:tc>
        <w:tc>
          <w:tcPr>
            <w:tcW w:w="1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80" w:type="dxa"/>
            <w:vAlign w:val="bottom"/>
          </w:tcPr>
          <w:p>
            <w:pPr>
              <w:jc w:val="center"/>
              <w:ind w:right="288"/>
              <w:spacing w:after="0" w:line="153" w:lineRule="exact"/>
              <w:rPr>
                <w:sz w:val="20"/>
                <w:szCs w:val="20"/>
                <w:color w:val="auto"/>
              </w:rPr>
            </w:pPr>
            <w:r>
              <w:rPr>
                <w:rFonts w:ascii="Arial" w:cs="Arial" w:eastAsia="Arial" w:hAnsi="Arial"/>
                <w:sz w:val="14"/>
                <w:szCs w:val="14"/>
                <w:b w:val="1"/>
                <w:bCs w:val="1"/>
                <w:color w:val="auto"/>
                <w:w w:val="96"/>
              </w:rPr>
              <w:t>Preferred</w:t>
            </w: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3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Commodity</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Foreign Currency</w:t>
            </w:r>
          </w:p>
        </w:tc>
        <w:tc>
          <w:tcPr>
            <w:tcW w:w="168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96"/>
              </w:rPr>
              <w:t>Distribution</w:t>
            </w:r>
          </w:p>
        </w:tc>
        <w:tc>
          <w:tcPr>
            <w:tcW w:w="1300" w:type="dxa"/>
            <w:vAlign w:val="bottom"/>
            <w:vMerge w:val="restart"/>
          </w:tcPr>
          <w:p>
            <w:pPr>
              <w:jc w:val="center"/>
              <w:ind w:right="308"/>
              <w:spacing w:after="0"/>
              <w:rPr>
                <w:sz w:val="20"/>
                <w:szCs w:val="20"/>
                <w:color w:val="auto"/>
              </w:rPr>
            </w:pPr>
            <w:r>
              <w:rPr>
                <w:rFonts w:ascii="Arial" w:cs="Arial" w:eastAsia="Arial" w:hAnsi="Arial"/>
                <w:sz w:val="14"/>
                <w:szCs w:val="14"/>
                <w:b w:val="1"/>
                <w:bCs w:val="1"/>
                <w:color w:val="auto"/>
                <w:w w:val="94"/>
              </w:rPr>
              <w:t>Interest Rate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30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68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1"/>
              </w:rPr>
              <w:t>Rate Reset</w:t>
            </w:r>
          </w:p>
        </w:tc>
        <w:tc>
          <w:tcPr>
            <w:tcW w:w="1300" w:type="dxa"/>
            <w:vAlign w:val="bottom"/>
            <w:vMerge w:val="continue"/>
          </w:tcPr>
          <w:p>
            <w:pPr>
              <w:spacing w:after="0"/>
              <w:rPr>
                <w:sz w:val="12"/>
                <w:szCs w:val="12"/>
                <w:color w:val="auto"/>
              </w:rPr>
            </w:pPr>
          </w:p>
        </w:tc>
        <w:tc>
          <w:tcPr>
            <w:tcW w:w="13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020" w:type="dxa"/>
            <w:vAlign w:val="bottom"/>
            <w:vMerge w:val="continue"/>
          </w:tcPr>
          <w:p>
            <w:pPr>
              <w:spacing w:after="0"/>
              <w:rPr>
                <w:sz w:val="16"/>
                <w:szCs w:val="16"/>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Derivatives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Derivatives</w:t>
            </w:r>
          </w:p>
        </w:tc>
        <w:tc>
          <w:tcPr>
            <w:tcW w:w="1680" w:type="dxa"/>
            <w:vAlign w:val="bottom"/>
          </w:tcPr>
          <w:p>
            <w:pPr>
              <w:jc w:val="center"/>
              <w:ind w:right="288"/>
              <w:spacing w:after="0"/>
              <w:rPr>
                <w:sz w:val="20"/>
                <w:szCs w:val="20"/>
                <w:color w:val="auto"/>
              </w:rPr>
            </w:pPr>
            <w:r>
              <w:rPr>
                <w:rFonts w:ascii="Arial" w:cs="Arial" w:eastAsia="Arial" w:hAnsi="Arial"/>
                <w:sz w:val="14"/>
                <w:szCs w:val="14"/>
                <w:b w:val="1"/>
                <w:bCs w:val="1"/>
                <w:color w:val="auto"/>
                <w:w w:val="97"/>
              </w:rPr>
              <w:t>Option</w:t>
            </w:r>
          </w:p>
        </w:tc>
        <w:tc>
          <w:tcPr>
            <w:tcW w:w="1300" w:type="dxa"/>
            <w:vAlign w:val="bottom"/>
          </w:tcPr>
          <w:p>
            <w:pPr>
              <w:jc w:val="center"/>
              <w:ind w:right="328"/>
              <w:spacing w:after="0"/>
              <w:rPr>
                <w:sz w:val="20"/>
                <w:szCs w:val="20"/>
                <w:color w:val="auto"/>
              </w:rPr>
            </w:pPr>
            <w:r>
              <w:rPr>
                <w:rFonts w:ascii="Arial" w:cs="Arial" w:eastAsia="Arial" w:hAnsi="Arial"/>
                <w:sz w:val="14"/>
                <w:szCs w:val="14"/>
                <w:b w:val="1"/>
                <w:bCs w:val="1"/>
                <w:color w:val="auto"/>
                <w:w w:val="93"/>
              </w:rPr>
              <w:t>Derivatives</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43750" cy="1803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17">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3"/>
          <w:szCs w:val="23"/>
          <w:color w:val="auto"/>
          <w:vertAlign w:val="superscript"/>
        </w:rPr>
        <w:t>(1)</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p>
      <w:pPr>
        <w:ind w:left="20"/>
        <w:spacing w:after="0" w:line="213" w:lineRule="auto"/>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3"/>
          <w:szCs w:val="23"/>
          <w:color w:val="auto"/>
          <w:vertAlign w:val="superscript"/>
        </w:rPr>
        <w:t>(1)</w:t>
      </w:r>
    </w:p>
    <w:p>
      <w:pPr>
        <w:ind w:left="360" w:hanging="161"/>
        <w:spacing w:after="0" w:line="226" w:lineRule="auto"/>
        <w:rPr>
          <w:sz w:val="20"/>
          <w:szCs w:val="20"/>
          <w:color w:val="auto"/>
        </w:rPr>
      </w:pPr>
      <w:r>
        <w:rPr>
          <w:rFonts w:ascii="Arial" w:cs="Arial" w:eastAsia="Arial" w:hAnsi="Arial"/>
          <w:sz w:val="18"/>
          <w:szCs w:val="18"/>
          <w:color w:val="auto"/>
        </w:rPr>
        <w:t>Total gain/(loss) on derivatives recognized in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Location of Gain/(Loss)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center"/>
              <w:ind w:left="210"/>
              <w:spacing w:after="0"/>
              <w:rPr>
                <w:sz w:val="20"/>
                <w:szCs w:val="20"/>
                <w:color w:val="auto"/>
              </w:rPr>
            </w:pPr>
            <w:r>
              <w:rPr>
                <w:rFonts w:ascii="Arial" w:cs="Arial" w:eastAsia="Arial" w:hAnsi="Arial"/>
                <w:sz w:val="18"/>
                <w:szCs w:val="18"/>
                <w:color w:val="auto"/>
                <w:w w:val="93"/>
              </w:rPr>
              <w:t>(23)</w:t>
            </w:r>
          </w:p>
        </w:tc>
        <w:tc>
          <w:tcPr>
            <w:tcW w:w="8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127</w:t>
            </w:r>
          </w:p>
        </w:tc>
      </w:tr>
      <w:tr>
        <w:trPr>
          <w:trHeight w:val="270"/>
        </w:trPr>
        <w:tc>
          <w:tcPr>
            <w:tcW w:w="5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3"/>
                <w:szCs w:val="23"/>
                <w:color w:val="auto"/>
              </w:rPr>
            </w:pPr>
          </w:p>
        </w:tc>
        <w:tc>
          <w:tcPr>
            <w:tcW w:w="9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3"/>
                <w:szCs w:val="23"/>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5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3"/>
                <w:szCs w:val="23"/>
                <w:color w:val="auto"/>
              </w:rPr>
            </w:pPr>
          </w:p>
        </w:tc>
        <w:tc>
          <w:tcPr>
            <w:tcW w:w="9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3"/>
                <w:szCs w:val="23"/>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5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3"/>
                <w:szCs w:val="23"/>
                <w:color w:val="auto"/>
              </w:rPr>
            </w:pPr>
          </w:p>
        </w:tc>
        <w:tc>
          <w:tcPr>
            <w:tcW w:w="840" w:type="dxa"/>
            <w:vAlign w:val="bottom"/>
          </w:tcPr>
          <w:p>
            <w:pPr>
              <w:jc w:val="center"/>
              <w:ind w:left="250"/>
              <w:spacing w:after="0"/>
              <w:rPr>
                <w:sz w:val="20"/>
                <w:szCs w:val="20"/>
                <w:color w:val="auto"/>
              </w:rPr>
            </w:pPr>
            <w:r>
              <w:rPr>
                <w:rFonts w:ascii="Arial" w:cs="Arial" w:eastAsia="Arial" w:hAnsi="Arial"/>
                <w:sz w:val="18"/>
                <w:szCs w:val="18"/>
                <w:color w:val="auto"/>
                <w:w w:val="93"/>
              </w:rPr>
              <w:t>(14)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31"/>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center"/>
              <w:ind w:left="210"/>
              <w:spacing w:after="0"/>
              <w:rPr>
                <w:sz w:val="20"/>
                <w:szCs w:val="20"/>
                <w:color w:val="auto"/>
              </w:rPr>
            </w:pPr>
            <w:r>
              <w:rPr>
                <w:rFonts w:ascii="Arial" w:cs="Arial" w:eastAsia="Arial" w:hAnsi="Arial"/>
                <w:sz w:val="18"/>
                <w:szCs w:val="18"/>
                <w:color w:val="auto"/>
                <w:w w:val="93"/>
              </w:rPr>
              <w:t>(23)</w:t>
            </w:r>
          </w:p>
        </w:tc>
        <w:tc>
          <w:tcPr>
            <w:tcW w:w="8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ind w:left="250"/>
              <w:spacing w:after="0"/>
              <w:rPr>
                <w:sz w:val="20"/>
                <w:szCs w:val="20"/>
                <w:color w:val="auto"/>
              </w:rPr>
            </w:pPr>
            <w:r>
              <w:rPr>
                <w:rFonts w:ascii="Arial" w:cs="Arial" w:eastAsia="Arial" w:hAnsi="Arial"/>
                <w:sz w:val="18"/>
                <w:szCs w:val="18"/>
                <w:color w:val="auto"/>
                <w:w w:val="93"/>
              </w:rPr>
              <w:t>(14)</w:t>
            </w:r>
          </w:p>
        </w:tc>
        <w:tc>
          <w:tcPr>
            <w:tcW w:w="10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4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106</w:t>
            </w:r>
          </w:p>
        </w:tc>
      </w:tr>
      <w:tr>
        <w:trPr>
          <w:trHeight w:val="27"/>
        </w:trPr>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-616585</wp:posOffset>
            </wp:positionV>
            <wp:extent cx="7143750" cy="1714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1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-273685</wp:posOffset>
            </wp:positionV>
            <wp:extent cx="7143750" cy="2571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19">
                      <a:extLst>
                        <a:ext uri="{28A0092B-C50C-407E-A947-70E740481C1C}"/>
                      </a:extLst>
                    </a:blip>
                    <a:srcRect/>
                    <a:stretch>
                      <a:fillRect/>
                    </a:stretch>
                  </pic:blipFill>
                  <pic:spPr bwMode="auto">
                    <a:xfrm>
                      <a:off x="0" y="0"/>
                      <a:ext cx="7143750" cy="257175"/>
                    </a:xfrm>
                    <a:prstGeom prst="rect">
                      <a:avLst/>
                    </a:prstGeom>
                    <a:noFill/>
                  </pic:spPr>
                </pic:pic>
              </a:graphicData>
            </a:graphic>
          </wp:anchor>
        </w:drawing>
      </w:r>
    </w:p>
    <w:p>
      <w:pPr>
        <w:spacing w:after="0" w:line="362" w:lineRule="exact"/>
        <w:rPr>
          <w:sz w:val="20"/>
          <w:szCs w:val="20"/>
          <w:color w:val="auto"/>
        </w:rPr>
      </w:pPr>
    </w:p>
    <w:p>
      <w:pPr>
        <w:ind w:left="2720"/>
        <w:spacing w:after="0"/>
        <w:rPr>
          <w:sz w:val="20"/>
          <w:szCs w:val="20"/>
          <w:color w:val="auto"/>
        </w:rPr>
      </w:pPr>
      <w:r>
        <w:rPr>
          <w:rFonts w:ascii="Arial" w:cs="Arial" w:eastAsia="Arial" w:hAnsi="Arial"/>
          <w:sz w:val="14"/>
          <w:szCs w:val="14"/>
          <w:b w:val="1"/>
          <w:bCs w:val="1"/>
          <w:color w:val="auto"/>
        </w:rPr>
        <w:t>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46482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20">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0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0"/>
              </w:rPr>
              <w:t>Commodity</w:t>
            </w:r>
          </w:p>
        </w:tc>
        <w:tc>
          <w:tcPr>
            <w:tcW w:w="16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5"/>
              </w:rPr>
              <w:t>Foreign Currency</w:t>
            </w:r>
          </w:p>
        </w:tc>
        <w:tc>
          <w:tcPr>
            <w:tcW w:w="154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Preferred</w:t>
            </w:r>
          </w:p>
        </w:tc>
        <w:tc>
          <w:tcPr>
            <w:tcW w:w="15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4"/>
              </w:rPr>
              <w:t>Interest Rate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Distribution Rate</w:t>
            </w:r>
          </w:p>
        </w:tc>
        <w:tc>
          <w:tcPr>
            <w:tcW w:w="1540" w:type="dxa"/>
            <w:vAlign w:val="bottom"/>
            <w:vMerge w:val="continue"/>
          </w:tcPr>
          <w:p>
            <w:pPr>
              <w:spacing w:after="0"/>
              <w:rPr>
                <w:sz w:val="12"/>
                <w:szCs w:val="12"/>
                <w:color w:val="auto"/>
              </w:rPr>
            </w:pPr>
          </w:p>
        </w:tc>
        <w:tc>
          <w:tcPr>
            <w:tcW w:w="780" w:type="dxa"/>
            <w:vAlign w:val="bottom"/>
            <w:vMerge w:val="restart"/>
          </w:tcPr>
          <w:p>
            <w:pPr>
              <w:ind w:left="4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1020" w:type="dxa"/>
            <w:vAlign w:val="bottom"/>
          </w:tcPr>
          <w:p>
            <w:pPr>
              <w:jc w:val="right"/>
              <w:ind w:right="228"/>
              <w:spacing w:after="0"/>
              <w:rPr>
                <w:sz w:val="20"/>
                <w:szCs w:val="20"/>
                <w:color w:val="auto"/>
              </w:rPr>
            </w:pPr>
            <w:r>
              <w:rPr>
                <w:rFonts w:ascii="Arial" w:cs="Arial" w:eastAsia="Arial" w:hAnsi="Arial"/>
                <w:sz w:val="14"/>
                <w:szCs w:val="14"/>
                <w:b w:val="1"/>
                <w:bCs w:val="1"/>
                <w:color w:val="auto"/>
                <w:w w:val="93"/>
              </w:rPr>
              <w:t>Derivatives</w:t>
            </w:r>
          </w:p>
        </w:tc>
        <w:tc>
          <w:tcPr>
            <w:tcW w:w="160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Derivatives</w:t>
            </w:r>
          </w:p>
        </w:tc>
        <w:tc>
          <w:tcPr>
            <w:tcW w:w="154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Reset Option</w:t>
            </w:r>
          </w:p>
        </w:tc>
        <w:tc>
          <w:tcPr>
            <w:tcW w:w="154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Derivatives</w:t>
            </w: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700" w:space="340"/>
            <w:col w:w="7360"/>
          </w:cols>
          <w:pgMar w:left="240" w:top="125" w:right="259" w:bottom="1440" w:gutter="0" w:footer="0" w:header="0"/>
          <w:type w:val="continuous"/>
        </w:sectPr>
      </w:pPr>
    </w:p>
    <w:tbl>
      <w:tblPr>
        <w:tblLayout w:type="fixed"/>
        <w:tblInd w:w="40" w:type="dxa"/>
        <w:tblCellMar>
          <w:top w:w="0" w:type="dxa"/>
          <w:left w:w="0" w:type="dxa"/>
          <w:bottom w:w="0" w:type="dxa"/>
          <w:right w:w="0" w:type="dxa"/>
        </w:tblCellMar>
      </w:tblPr>
      <w:tr>
        <w:trPr>
          <w:trHeight w:val="276"/>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w:t>
            </w:r>
          </w:p>
        </w:tc>
        <w:tc>
          <w:tcPr>
            <w:tcW w:w="4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9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(2)</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480" w:type="dxa"/>
            <w:vAlign w:val="bottom"/>
          </w:tcPr>
          <w:p>
            <w:pPr>
              <w:spacing w:after="0"/>
              <w:rPr>
                <w:sz w:val="23"/>
                <w:szCs w:val="23"/>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840" w:type="dxa"/>
            <w:vAlign w:val="bottom"/>
          </w:tcPr>
          <w:p>
            <w:pPr>
              <w:jc w:val="center"/>
              <w:ind w:left="250"/>
              <w:spacing w:after="0"/>
              <w:rPr>
                <w:sz w:val="20"/>
                <w:szCs w:val="20"/>
                <w:color w:val="auto"/>
              </w:rPr>
            </w:pPr>
            <w:r>
              <w:rPr>
                <w:rFonts w:ascii="Arial" w:cs="Arial" w:eastAsia="Arial" w:hAnsi="Arial"/>
                <w:sz w:val="18"/>
                <w:szCs w:val="18"/>
                <w:color w:val="auto"/>
                <w:w w:val="93"/>
              </w:rPr>
              <w:t>(18)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3"/>
                <w:szCs w:val="23"/>
                <w:color w:val="auto"/>
                <w:vertAlign w:val="superscript"/>
              </w:rPr>
              <w:t>(1)</w:t>
            </w:r>
          </w:p>
        </w:tc>
        <w:tc>
          <w:tcPr>
            <w:tcW w:w="4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3"/>
                <w:szCs w:val="23"/>
                <w:color w:val="auto"/>
              </w:rPr>
            </w:pPr>
          </w:p>
        </w:tc>
        <w:tc>
          <w:tcPr>
            <w:tcW w:w="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56"/>
        </w:trPr>
        <w:tc>
          <w:tcPr>
            <w:tcW w:w="4040" w:type="dxa"/>
            <w:vAlign w:val="bottom"/>
            <w:gridSpan w:val="2"/>
          </w:tcPr>
          <w:p>
            <w:pPr>
              <w:ind w:left="180"/>
              <w:spacing w:after="0" w:line="156" w:lineRule="exact"/>
              <w:rPr>
                <w:sz w:val="20"/>
                <w:szCs w:val="20"/>
                <w:color w:val="auto"/>
              </w:rPr>
            </w:pPr>
            <w:r>
              <w:rPr>
                <w:rFonts w:ascii="Arial" w:cs="Arial" w:eastAsia="Arial" w:hAnsi="Arial"/>
                <w:sz w:val="18"/>
                <w:szCs w:val="18"/>
                <w:color w:val="auto"/>
                <w:w w:val="99"/>
              </w:rPr>
              <w:t>Total gain/(loss) on derivatives recognized in net</w:t>
            </w:r>
          </w:p>
        </w:tc>
        <w:tc>
          <w:tcPr>
            <w:tcW w:w="4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3"/>
                <w:szCs w:val="13"/>
                <w:color w:val="auto"/>
              </w:rPr>
            </w:pPr>
          </w:p>
        </w:tc>
        <w:tc>
          <w:tcPr>
            <w:tcW w:w="56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580" w:type="dxa"/>
            <w:vAlign w:val="bottom"/>
            <w:tcBorders>
              <w:top w:val="single" w:sz="8" w:color="auto"/>
            </w:tcBorders>
            <w:vMerge w:val="restart"/>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tcPr>
          <w:p>
            <w:pPr>
              <w:ind w:left="4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3"/>
                <w:szCs w:val="13"/>
                <w:color w:val="auto"/>
              </w:rPr>
            </w:pPr>
          </w:p>
        </w:tc>
        <w:tc>
          <w:tcPr>
            <w:tcW w:w="54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center"/>
              <w:ind w:left="250"/>
              <w:spacing w:after="0"/>
              <w:rPr>
                <w:sz w:val="20"/>
                <w:szCs w:val="20"/>
                <w:color w:val="auto"/>
              </w:rPr>
            </w:pPr>
            <w:r>
              <w:rPr>
                <w:rFonts w:ascii="Arial" w:cs="Arial" w:eastAsia="Arial" w:hAnsi="Arial"/>
                <w:sz w:val="18"/>
                <w:szCs w:val="18"/>
                <w:color w:val="auto"/>
                <w:w w:val="93"/>
              </w:rPr>
              <w:t>(18)</w:t>
            </w:r>
          </w:p>
        </w:tc>
        <w:tc>
          <w:tcPr>
            <w:tcW w:w="120" w:type="dxa"/>
            <w:vAlign w:val="bottom"/>
          </w:tcPr>
          <w:p>
            <w:pPr>
              <w:spacing w:after="0"/>
              <w:rPr>
                <w:sz w:val="13"/>
                <w:szCs w:val="13"/>
                <w:color w:val="auto"/>
              </w:rPr>
            </w:pPr>
          </w:p>
        </w:tc>
        <w:tc>
          <w:tcPr>
            <w:tcW w:w="4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8"/>
        </w:trPr>
        <w:tc>
          <w:tcPr>
            <w:tcW w:w="40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income</w:t>
            </w:r>
          </w:p>
        </w:tc>
        <w:tc>
          <w:tcPr>
            <w:tcW w:w="4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2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Derivatives not designated as a hedge.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Derivatives in hedging relationships.</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6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2019 (in millions):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Preferred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Commodity</w:t>
            </w:r>
          </w:p>
        </w:tc>
        <w:tc>
          <w:tcPr>
            <w:tcW w:w="138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Distribution Rate</w:t>
            </w:r>
          </w:p>
        </w:tc>
        <w:tc>
          <w:tcPr>
            <w:tcW w:w="320" w:type="dxa"/>
            <w:vAlign w:val="bottom"/>
          </w:tcPr>
          <w:p>
            <w:pPr>
              <w:spacing w:after="0"/>
              <w:rPr>
                <w:sz w:val="13"/>
                <w:szCs w:val="13"/>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Interest Rate</w:t>
            </w:r>
          </w:p>
        </w:tc>
        <w:tc>
          <w:tcPr>
            <w:tcW w:w="120" w:type="dxa"/>
            <w:vAlign w:val="bottom"/>
          </w:tcPr>
          <w:p>
            <w:pPr>
              <w:spacing w:after="0"/>
              <w:rPr>
                <w:sz w:val="13"/>
                <w:szCs w:val="13"/>
                <w:color w:val="auto"/>
              </w:rPr>
            </w:pPr>
          </w:p>
        </w:tc>
        <w:tc>
          <w:tcPr>
            <w:tcW w:w="12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2"/>
              </w:rPr>
              <w:t>Total Derivatives</w:t>
            </w:r>
          </w:p>
        </w:tc>
        <w:tc>
          <w:tcPr>
            <w:tcW w:w="0" w:type="dxa"/>
            <w:vAlign w:val="bottom"/>
          </w:tcPr>
          <w:p>
            <w:pPr>
              <w:spacing w:after="0"/>
              <w:rPr>
                <w:sz w:val="1"/>
                <w:szCs w:val="1"/>
                <w:color w:val="auto"/>
              </w:rPr>
            </w:pPr>
          </w:p>
        </w:tc>
      </w:tr>
      <w:tr>
        <w:trPr>
          <w:trHeight w:val="188"/>
        </w:trPr>
        <w:tc>
          <w:tcPr>
            <w:tcW w:w="28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Derivatives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1"/>
              </w:rPr>
              <w:t>Reset Option</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xml:space="preserve">Derivatives </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00" w:type="dxa"/>
            <w:vAlign w:val="bottom"/>
            <w:gridSpan w:val="2"/>
          </w:tcPr>
          <w:p>
            <w:pPr>
              <w:jc w:val="center"/>
              <w:ind w:right="1280"/>
              <w:spacing w:after="0"/>
              <w:rPr>
                <w:sz w:val="20"/>
                <w:szCs w:val="20"/>
                <w:color w:val="auto"/>
              </w:rPr>
            </w:pPr>
            <w:r>
              <w:rPr>
                <w:rFonts w:ascii="Arial" w:cs="Arial" w:eastAsia="Arial" w:hAnsi="Arial"/>
                <w:sz w:val="18"/>
                <w:szCs w:val="18"/>
                <w:color w:val="auto"/>
                <w:w w:val="88"/>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3"/>
                <w:szCs w:val="23"/>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center"/>
              <w:ind w:left="473"/>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long-term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center"/>
              <w:ind w:left="473"/>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3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left="61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left="57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84"/>
        </w:trPr>
        <w:tc>
          <w:tcPr>
            <w:tcW w:w="30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Total Derivative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center"/>
              <w:ind w:left="473"/>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jc w:val="center"/>
              <w:ind w:right="1260"/>
              <w:spacing w:after="0"/>
              <w:rPr>
                <w:sz w:val="20"/>
                <w:szCs w:val="20"/>
                <w:color w:val="auto"/>
              </w:rPr>
            </w:pPr>
            <w:r>
              <w:rPr>
                <w:rFonts w:ascii="Arial" w:cs="Arial" w:eastAsia="Arial" w:hAnsi="Arial"/>
                <w:sz w:val="18"/>
                <w:szCs w:val="18"/>
                <w:b w:val="1"/>
                <w:bCs w:val="1"/>
                <w:color w:val="auto"/>
                <w:w w:val="93"/>
              </w:rPr>
              <w:t>Derivative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center"/>
              <w:ind w:left="473"/>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long-term assets, net</w:t>
            </w: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center"/>
              <w:ind w:left="473"/>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center"/>
              <w:ind w:left="533"/>
              <w:spacing w:after="0"/>
              <w:rPr>
                <w:sz w:val="20"/>
                <w:szCs w:val="20"/>
                <w:color w:val="auto"/>
              </w:rPr>
            </w:pPr>
            <w:r>
              <w:rPr>
                <w:rFonts w:ascii="Arial" w:cs="Arial" w:eastAsia="Arial" w:hAnsi="Arial"/>
                <w:sz w:val="18"/>
                <w:szCs w:val="18"/>
                <w:color w:val="auto"/>
                <w:w w:val="93"/>
              </w:rPr>
              <w:t>(44)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76"/>
        </w:trPr>
        <w:tc>
          <w:tcPr>
            <w:tcW w:w="30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long-term liabilities and</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center"/>
              <w:ind w:left="574"/>
              <w:spacing w:after="0"/>
              <w:rPr>
                <w:sz w:val="20"/>
                <w:szCs w:val="20"/>
                <w:color w:val="auto"/>
              </w:rPr>
            </w:pPr>
            <w:r>
              <w:rPr>
                <w:rFonts w:ascii="Arial" w:cs="Arial" w:eastAsia="Arial" w:hAnsi="Arial"/>
                <w:sz w:val="18"/>
                <w:szCs w:val="18"/>
                <w:color w:val="auto"/>
                <w:w w:val="93"/>
              </w:rPr>
              <w:t>(34)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center"/>
              <w:ind w:left="473"/>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jc w:val="center"/>
              <w:ind w:right="1280"/>
              <w:spacing w:after="0"/>
              <w:rPr>
                <w:sz w:val="20"/>
                <w:szCs w:val="20"/>
                <w:color w:val="auto"/>
              </w:rPr>
            </w:pPr>
            <w:r>
              <w:rPr>
                <w:rFonts w:ascii="Arial" w:cs="Arial" w:eastAsia="Arial" w:hAnsi="Arial"/>
                <w:sz w:val="18"/>
                <w:szCs w:val="18"/>
                <w:color w:val="auto"/>
                <w:w w:val="89"/>
              </w:rPr>
              <w:t>deferred credits</w:t>
            </w: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Derivative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574"/>
              <w:spacing w:after="0"/>
              <w:rPr>
                <w:sz w:val="20"/>
                <w:szCs w:val="20"/>
                <w:color w:val="auto"/>
              </w:rPr>
            </w:pPr>
            <w:r>
              <w:rPr>
                <w:rFonts w:ascii="Arial" w:cs="Arial" w:eastAsia="Arial" w:hAnsi="Arial"/>
                <w:sz w:val="18"/>
                <w:szCs w:val="18"/>
                <w:color w:val="auto"/>
                <w:w w:val="93"/>
              </w:rPr>
              <w:t>(34)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center"/>
              <w:ind w:left="533"/>
              <w:spacing w:after="0"/>
              <w:rPr>
                <w:sz w:val="20"/>
                <w:szCs w:val="20"/>
                <w:color w:val="auto"/>
              </w:rPr>
            </w:pPr>
            <w:r>
              <w:rPr>
                <w:rFonts w:ascii="Arial" w:cs="Arial" w:eastAsia="Arial" w:hAnsi="Arial"/>
                <w:sz w:val="18"/>
                <w:szCs w:val="18"/>
                <w:color w:val="auto"/>
                <w:w w:val="93"/>
              </w:rPr>
              <w:t>(44)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2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92"/>
        </w:numPr>
        <w:rPr>
          <w:rFonts w:ascii="Arial" w:cs="Arial" w:eastAsia="Arial" w:hAnsi="Arial"/>
          <w:sz w:val="23"/>
          <w:szCs w:val="23"/>
          <w:color w:val="auto"/>
          <w:vertAlign w:val="superscript"/>
        </w:rPr>
      </w:pPr>
      <w:r>
        <w:rPr>
          <w:rFonts w:ascii="Arial" w:cs="Arial" w:eastAsia="Arial" w:hAnsi="Arial"/>
          <w:sz w:val="18"/>
          <w:szCs w:val="18"/>
          <w:color w:val="auto"/>
        </w:rPr>
        <w:t>Derivatives in hedging relationships.</w:t>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70" w:name="page171"/>
    <w:bookmarkEnd w:id="1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2018 (in millions):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Preferred</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Commodity</w:t>
            </w:r>
          </w:p>
        </w:tc>
        <w:tc>
          <w:tcPr>
            <w:tcW w:w="1420" w:type="dxa"/>
            <w:vAlign w:val="bottom"/>
            <w:gridSpan w:val="3"/>
          </w:tcPr>
          <w:p>
            <w:pPr>
              <w:ind w:left="100"/>
              <w:spacing w:after="0" w:line="158" w:lineRule="exact"/>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Distribution Rate</w:t>
            </w:r>
          </w:p>
        </w:tc>
        <w:tc>
          <w:tcPr>
            <w:tcW w:w="320" w:type="dxa"/>
            <w:vAlign w:val="bottom"/>
          </w:tcPr>
          <w:p>
            <w:pPr>
              <w:spacing w:after="0"/>
              <w:rPr>
                <w:sz w:val="13"/>
                <w:szCs w:val="13"/>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Interest Rate</w:t>
            </w:r>
          </w:p>
        </w:tc>
        <w:tc>
          <w:tcPr>
            <w:tcW w:w="120" w:type="dxa"/>
            <w:vAlign w:val="bottom"/>
          </w:tcPr>
          <w:p>
            <w:pPr>
              <w:spacing w:after="0"/>
              <w:rPr>
                <w:sz w:val="13"/>
                <w:szCs w:val="13"/>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2"/>
              </w:rPr>
              <w:t>Total Derivatives</w:t>
            </w:r>
          </w:p>
        </w:tc>
        <w:tc>
          <w:tcPr>
            <w:tcW w:w="0" w:type="dxa"/>
            <w:vAlign w:val="bottom"/>
          </w:tcPr>
          <w:p>
            <w:pPr>
              <w:spacing w:after="0"/>
              <w:rPr>
                <w:sz w:val="1"/>
                <w:szCs w:val="1"/>
                <w:color w:val="auto"/>
              </w:rPr>
            </w:pPr>
          </w:p>
        </w:tc>
      </w:tr>
      <w:tr>
        <w:trPr>
          <w:trHeight w:val="188"/>
        </w:trPr>
        <w:tc>
          <w:tcPr>
            <w:tcW w:w="28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1"/>
              </w:rPr>
              <w:t>Reset Option</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8"/>
              </w:rPr>
              <w:t xml:space="preserve">Derivatives </w:t>
            </w:r>
            <w:r>
              <w:rPr>
                <w:rFonts w:ascii="Arial" w:cs="Arial" w:eastAsia="Arial" w:hAnsi="Arial"/>
                <w:sz w:val="9"/>
                <w:szCs w:val="9"/>
                <w:b w:val="1"/>
                <w:bCs w:val="1"/>
                <w:color w:val="auto"/>
                <w:w w:val="98"/>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3"/>
                <w:szCs w:val="23"/>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long-term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76"/>
        </w:trPr>
        <w:tc>
          <w:tcPr>
            <w:tcW w:w="300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Other long-term liabilities and</w:t>
            </w:r>
          </w:p>
        </w:tc>
        <w:tc>
          <w:tcPr>
            <w:tcW w:w="180" w:type="dxa"/>
            <w:vAlign w:val="bottom"/>
          </w:tcPr>
          <w:p>
            <w:pPr>
              <w:spacing w:after="0"/>
              <w:rPr>
                <w:sz w:val="15"/>
                <w:szCs w:val="15"/>
                <w:color w:val="auto"/>
              </w:rPr>
            </w:pPr>
          </w:p>
        </w:tc>
        <w:tc>
          <w:tcPr>
            <w:tcW w:w="1120" w:type="dxa"/>
            <w:vAlign w:val="bottom"/>
            <w:vMerge w:val="restart"/>
          </w:tcPr>
          <w:p>
            <w:pPr>
              <w:jc w:val="right"/>
              <w:ind w:right="7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ind w:left="76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center"/>
              <w:ind w:left="614"/>
              <w:spacing w:after="0"/>
              <w:rPr>
                <w:sz w:val="20"/>
                <w:szCs w:val="20"/>
                <w:color w:val="auto"/>
              </w:rPr>
            </w:pPr>
            <w:r>
              <w:rPr>
                <w:rFonts w:ascii="Arial" w:cs="Arial" w:eastAsia="Arial" w:hAnsi="Arial"/>
                <w:sz w:val="18"/>
                <w:szCs w:val="18"/>
                <w:color w:val="auto"/>
                <w:w w:val="99"/>
              </w:rPr>
              <w:t>—</w:t>
            </w:r>
          </w:p>
        </w:tc>
        <w:tc>
          <w:tcPr>
            <w:tcW w:w="10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ind w:right="7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ind w:right="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deferred credits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0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Derivative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3"/>
                <w:szCs w:val="23"/>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long-term assets, net</w:t>
            </w: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ind w:left="7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30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long-term liabilities and</w:t>
            </w: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center"/>
              <w:ind w:left="574"/>
              <w:spacing w:after="0"/>
              <w:rPr>
                <w:sz w:val="20"/>
                <w:szCs w:val="20"/>
                <w:color w:val="auto"/>
              </w:rPr>
            </w:pPr>
            <w:r>
              <w:rPr>
                <w:rFonts w:ascii="Arial" w:cs="Arial" w:eastAsia="Arial" w:hAnsi="Arial"/>
                <w:sz w:val="18"/>
                <w:szCs w:val="18"/>
                <w:color w:val="auto"/>
                <w:w w:val="93"/>
              </w:rPr>
              <w:t>(36)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deferred credits</w:t>
            </w: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 Derivative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574"/>
              <w:spacing w:after="0"/>
              <w:rPr>
                <w:sz w:val="20"/>
                <w:szCs w:val="20"/>
                <w:color w:val="auto"/>
              </w:rPr>
            </w:pPr>
            <w:r>
              <w:rPr>
                <w:rFonts w:ascii="Arial" w:cs="Arial" w:eastAsia="Arial" w:hAnsi="Arial"/>
                <w:sz w:val="18"/>
                <w:szCs w:val="18"/>
                <w:color w:val="auto"/>
                <w:w w:val="93"/>
              </w:rPr>
              <w:t>(36)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2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93"/>
        </w:numPr>
        <w:rPr>
          <w:rFonts w:ascii="Arial" w:cs="Arial" w:eastAsia="Arial" w:hAnsi="Arial"/>
          <w:sz w:val="23"/>
          <w:szCs w:val="23"/>
          <w:color w:val="auto"/>
          <w:vertAlign w:val="superscript"/>
        </w:rPr>
      </w:pPr>
      <w:r>
        <w:rPr>
          <w:rFonts w:ascii="Arial" w:cs="Arial" w:eastAsia="Arial" w:hAnsi="Arial"/>
          <w:sz w:val="18"/>
          <w:szCs w:val="18"/>
          <w:color w:val="auto"/>
        </w:rPr>
        <w:t>Derivatives in hedging relationships.</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Our accounting policy is to offset derivative assets and liabilities executed with the same counterparty when a master netting arrangement</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16"/>
                <w:szCs w:val="16"/>
                <w:color w:val="auto"/>
              </w:rPr>
            </w:pPr>
          </w:p>
        </w:tc>
        <w:tc>
          <w:tcPr>
            <w:tcW w:w="1400" w:type="dxa"/>
            <w:vAlign w:val="bottom"/>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center"/>
              <w:ind w:left="854"/>
              <w:spacing w:after="0"/>
              <w:rPr>
                <w:sz w:val="20"/>
                <w:szCs w:val="20"/>
                <w:color w:val="auto"/>
              </w:rPr>
            </w:pPr>
            <w:r>
              <w:rPr>
                <w:rFonts w:ascii="Arial" w:cs="Arial" w:eastAsia="Arial" w:hAnsi="Arial"/>
                <w:sz w:val="18"/>
                <w:szCs w:val="18"/>
                <w:color w:val="auto"/>
                <w:w w:val="89"/>
              </w:rPr>
              <w:t>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center"/>
              <w:ind w:left="854"/>
              <w:spacing w:after="0"/>
              <w:rPr>
                <w:sz w:val="20"/>
                <w:szCs w:val="20"/>
                <w:color w:val="auto"/>
              </w:rPr>
            </w:pPr>
            <w:r>
              <w:rPr>
                <w:rFonts w:ascii="Arial" w:cs="Arial" w:eastAsia="Arial" w:hAnsi="Arial"/>
                <w:sz w:val="18"/>
                <w:szCs w:val="18"/>
                <w:color w:val="auto"/>
                <w:w w:val="89"/>
              </w:rPr>
              <w:t>95</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140" w:type="dxa"/>
            <w:vAlign w:val="bottom"/>
          </w:tcPr>
          <w:p>
            <w:pPr>
              <w:spacing w:after="0"/>
              <w:rPr>
                <w:sz w:val="21"/>
                <w:szCs w:val="21"/>
                <w:color w:val="auto"/>
              </w:rPr>
            </w:pPr>
          </w:p>
        </w:tc>
        <w:tc>
          <w:tcPr>
            <w:tcW w:w="1400" w:type="dxa"/>
            <w:vAlign w:val="bottom"/>
          </w:tcPr>
          <w:p>
            <w:pPr>
              <w:jc w:val="center"/>
              <w:ind w:left="814"/>
              <w:spacing w:after="0"/>
              <w:rPr>
                <w:sz w:val="20"/>
                <w:szCs w:val="20"/>
                <w:color w:val="auto"/>
              </w:rPr>
            </w:pPr>
            <w:r>
              <w:rPr>
                <w:rFonts w:ascii="Arial" w:cs="Arial" w:eastAsia="Arial" w:hAnsi="Arial"/>
                <w:sz w:val="18"/>
                <w:szCs w:val="18"/>
                <w:color w:val="auto"/>
                <w:w w:val="93"/>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center"/>
              <w:ind w:left="814"/>
              <w:spacing w:after="0"/>
              <w:rPr>
                <w:sz w:val="20"/>
                <w:szCs w:val="20"/>
                <w:color w:val="auto"/>
              </w:rPr>
            </w:pPr>
            <w:r>
              <w:rPr>
                <w:rFonts w:ascii="Arial" w:cs="Arial" w:eastAsia="Arial" w:hAnsi="Arial"/>
                <w:sz w:val="18"/>
                <w:szCs w:val="18"/>
                <w:color w:val="auto"/>
                <w:w w:val="93"/>
              </w:rPr>
              <w:t>(91)</w:t>
            </w:r>
          </w:p>
        </w:tc>
      </w:tr>
      <w:tr>
        <w:trPr>
          <w:trHeight w:val="27"/>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center"/>
              <w:ind w:left="814"/>
              <w:spacing w:after="0"/>
              <w:rPr>
                <w:sz w:val="20"/>
                <w:szCs w:val="20"/>
                <w:color w:val="auto"/>
              </w:rPr>
            </w:pPr>
            <w:r>
              <w:rPr>
                <w:rFonts w:ascii="Arial" w:cs="Arial" w:eastAsia="Arial" w:hAnsi="Arial"/>
                <w:sz w:val="18"/>
                <w:szCs w:val="18"/>
                <w:color w:val="auto"/>
                <w:w w:val="93"/>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center"/>
              <w:ind w:left="814"/>
              <w:spacing w:after="0"/>
              <w:rPr>
                <w:sz w:val="20"/>
                <w:szCs w:val="20"/>
                <w:color w:val="auto"/>
              </w:rPr>
            </w:pPr>
            <w:r>
              <w:rPr>
                <w:rFonts w:ascii="Arial" w:cs="Arial" w:eastAsia="Arial" w:hAnsi="Arial"/>
                <w:sz w:val="18"/>
                <w:szCs w:val="18"/>
                <w:color w:val="auto"/>
                <w:w w:val="93"/>
              </w:rPr>
              <w:t>(84)</w:t>
            </w:r>
          </w:p>
        </w:tc>
      </w:tr>
      <w:tr>
        <w:trPr>
          <w:trHeight w:val="264"/>
        </w:trPr>
        <w:tc>
          <w:tcPr>
            <w:tcW w:w="8160" w:type="dxa"/>
            <w:vAlign w:val="bottom"/>
          </w:tcPr>
          <w:p>
            <w:pPr>
              <w:ind w:left="20"/>
              <w:spacing w:after="0"/>
              <w:rPr>
                <w:sz w:val="20"/>
                <w:szCs w:val="20"/>
                <w:color w:val="auto"/>
              </w:rPr>
            </w:pPr>
            <w:r>
              <w:rPr>
                <w:rFonts w:ascii="Arial" w:cs="Arial" w:eastAsia="Arial" w:hAnsi="Arial"/>
                <w:sz w:val="18"/>
                <w:szCs w:val="18"/>
                <w:color w:val="auto"/>
              </w:rPr>
              <w:t>Net broker payable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center"/>
              <w:ind w:left="814"/>
              <w:spacing w:after="0"/>
              <w:rPr>
                <w:sz w:val="20"/>
                <w:szCs w:val="20"/>
                <w:color w:val="auto"/>
              </w:rPr>
            </w:pPr>
            <w:r>
              <w:rPr>
                <w:rFonts w:ascii="Arial" w:cs="Arial" w:eastAsia="Arial" w:hAnsi="Arial"/>
                <w:sz w:val="18"/>
                <w:szCs w:val="18"/>
                <w:color w:val="auto"/>
                <w:w w:val="93"/>
              </w:rPr>
              <w:t>(45)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center"/>
              <w:ind w:left="814"/>
              <w:spacing w:after="0"/>
              <w:rPr>
                <w:sz w:val="20"/>
                <w:szCs w:val="20"/>
                <w:color w:val="auto"/>
              </w:rPr>
            </w:pPr>
            <w:r>
              <w:rPr>
                <w:rFonts w:ascii="Arial" w:cs="Arial" w:eastAsia="Arial" w:hAnsi="Arial"/>
                <w:sz w:val="18"/>
                <w:szCs w:val="18"/>
                <w:color w:val="auto"/>
                <w:w w:val="93"/>
              </w:rPr>
              <w:t>(80)</w:t>
            </w:r>
          </w:p>
        </w:tc>
      </w:tr>
      <w:tr>
        <w:trPr>
          <w:trHeight w:val="21"/>
        </w:trPr>
        <w:tc>
          <w:tcPr>
            <w:tcW w:w="8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1" w:name="page172"/>
    <w:bookmarkEnd w:id="1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5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58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3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3"/>
                <w:szCs w:val="13"/>
                <w:color w:val="auto"/>
              </w:rPr>
            </w:pPr>
          </w:p>
        </w:tc>
        <w:tc>
          <w:tcPr>
            <w:tcW w:w="138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5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Liability Positions</w:t>
            </w:r>
          </w:p>
        </w:tc>
        <w:tc>
          <w:tcPr>
            <w:tcW w:w="18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40" w:type="dxa"/>
            <w:vAlign w:val="bottom"/>
          </w:tcPr>
          <w:p>
            <w:pPr>
              <w:spacing w:after="0"/>
              <w:rPr>
                <w:sz w:val="16"/>
                <w:szCs w:val="16"/>
                <w:color w:val="auto"/>
              </w:rPr>
            </w:pPr>
          </w:p>
        </w:tc>
        <w:tc>
          <w:tcPr>
            <w:tcW w:w="138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Liability Positions</w:t>
            </w:r>
          </w:p>
        </w:tc>
      </w:tr>
      <w:tr>
        <w:trPr>
          <w:trHeight w:val="236"/>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Netting Adjustments: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Gross position - asset/(liability)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(186)</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(262)</w:t>
            </w:r>
          </w:p>
        </w:tc>
      </w:tr>
      <w:tr>
        <w:trPr>
          <w:trHeight w:val="27"/>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Netting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192</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Cash collateral paid/(received)</w:t>
            </w:r>
          </w:p>
        </w:tc>
        <w:tc>
          <w:tcPr>
            <w:tcW w:w="20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position - asset/(liability)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7"/>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37"/>
        </w:trPr>
        <w:tc>
          <w:tcPr>
            <w:tcW w:w="50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w:t>
            </w:r>
          </w:p>
        </w:tc>
      </w:tr>
      <w:tr>
        <w:trPr>
          <w:trHeight w:val="67"/>
        </w:trPr>
        <w:tc>
          <w:tcPr>
            <w:tcW w:w="50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bl>
    <w:p>
      <w:pPr>
        <w:spacing w:after="0" w:line="33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December 31, 2019, there was a net loss of $259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Of the total net loss deferred in AOCI at December 31, 2019, we expect to reclassify a net loss of $10 million to earnings in the next twelve months. We estimate that substantially all of the remaining deferred loss will be reclassified to earnings through 2050 as the underlying hedged transactions impact earnings. A portion of these amounts is based on market prices as of December 31, 2019; thus, actual amounts to be reclassified will differ and could vary materially as a result of changes in market conditions.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4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 net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w:t>
            </w:r>
          </w:p>
        </w:tc>
      </w:tr>
      <w:tr>
        <w:trPr>
          <w:trHeight w:val="27"/>
        </w:trPr>
        <w:tc>
          <w:tcPr>
            <w:tcW w:w="68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right="40" w:firstLine="608"/>
        <w:spacing w:after="0" w:line="264" w:lineRule="auto"/>
        <w:rPr>
          <w:sz w:val="20"/>
          <w:szCs w:val="20"/>
          <w:color w:val="auto"/>
        </w:rPr>
      </w:pPr>
      <w:r>
        <w:rPr>
          <w:rFonts w:ascii="Arial" w:cs="Arial" w:eastAsia="Arial" w:hAnsi="Arial"/>
          <w:sz w:val="18"/>
          <w:szCs w:val="18"/>
          <w:color w:val="auto"/>
        </w:rPr>
        <w:t>At December 31, 2019 and 2018,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2" w:name="page173"/>
    <w:bookmarkEnd w:id="1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5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w w:val="93"/>
              </w:rPr>
              <w:t>Fair Value as of December 31, 2019</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w w:val="94"/>
              </w:rPr>
              <w:t>Fair Value as of December 31, 2018</w:t>
            </w:r>
          </w:p>
        </w:tc>
        <w:tc>
          <w:tcPr>
            <w:tcW w:w="680" w:type="dxa"/>
            <w:vAlign w:val="bottom"/>
            <w:tcBorders>
              <w:bottom w:val="single" w:sz="8" w:color="auto"/>
            </w:tcBorders>
          </w:tcPr>
          <w:p>
            <w:pPr>
              <w:spacing w:after="0"/>
              <w:rPr>
                <w:sz w:val="16"/>
                <w:szCs w:val="16"/>
                <w:color w:val="auto"/>
              </w:rPr>
            </w:pPr>
          </w:p>
        </w:tc>
      </w:tr>
      <w:tr>
        <w:trPr>
          <w:trHeight w:val="197"/>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center"/>
              <w:ind w:left="113"/>
              <w:spacing w:after="0"/>
              <w:rPr>
                <w:sz w:val="20"/>
                <w:szCs w:val="20"/>
                <w:color w:val="auto"/>
              </w:rPr>
            </w:pPr>
            <w:r>
              <w:rPr>
                <w:rFonts w:ascii="Arial" w:cs="Arial" w:eastAsia="Arial" w:hAnsi="Arial"/>
                <w:sz w:val="18"/>
                <w:szCs w:val="18"/>
                <w:color w:val="auto"/>
                <w:w w:val="93"/>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89"/>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270</w:t>
            </w:r>
          </w:p>
        </w:tc>
      </w:tr>
      <w:tr>
        <w:trPr>
          <w:trHeight w:val="243"/>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center"/>
              <w:ind w:left="3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r>
      <w:tr>
        <w:trPr>
          <w:trHeight w:val="270"/>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Preferred Distribution Rate Reset Option</w:t>
            </w:r>
          </w:p>
        </w:tc>
        <w:tc>
          <w:tcPr>
            <w:tcW w:w="1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center"/>
              <w:ind w:left="113"/>
              <w:spacing w:after="0"/>
              <w:rPr>
                <w:sz w:val="20"/>
                <w:szCs w:val="20"/>
                <w:color w:val="auto"/>
              </w:rPr>
            </w:pPr>
            <w:r>
              <w:rPr>
                <w:rFonts w:ascii="Arial" w:cs="Arial" w:eastAsia="Arial" w:hAnsi="Arial"/>
                <w:sz w:val="18"/>
                <w:szCs w:val="18"/>
                <w:color w:val="auto"/>
                <w:w w:val="93"/>
              </w:rPr>
              <w:t>(34)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right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center"/>
              <w:ind w:left="93"/>
              <w:spacing w:after="0"/>
              <w:rPr>
                <w:sz w:val="20"/>
                <w:szCs w:val="20"/>
                <w:color w:val="auto"/>
              </w:rPr>
            </w:pPr>
            <w:r>
              <w:rPr>
                <w:rFonts w:ascii="Arial" w:cs="Arial" w:eastAsia="Arial" w:hAnsi="Arial"/>
                <w:sz w:val="18"/>
                <w:szCs w:val="18"/>
                <w:color w:val="auto"/>
                <w:w w:val="93"/>
              </w:rPr>
              <w:t>(36)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w:t>
            </w:r>
          </w:p>
        </w:tc>
      </w:tr>
      <w:tr>
        <w:trPr>
          <w:trHeight w:val="284"/>
        </w:trPr>
        <w:tc>
          <w:tcPr>
            <w:tcW w:w="3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93"/>
              </w:rPr>
              <w:t>(51)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53</w:t>
            </w:r>
          </w:p>
        </w:tc>
        <w:tc>
          <w:tcPr>
            <w:tcW w:w="12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3"/>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218</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2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94"/>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52" w:lineRule="exact"/>
        <w:rPr>
          <w:rFonts w:ascii="Arial" w:cs="Arial" w:eastAsia="Arial" w:hAnsi="Arial"/>
          <w:sz w:val="23"/>
          <w:szCs w:val="23"/>
          <w:color w:val="auto"/>
          <w:vertAlign w:val="superscript"/>
        </w:rPr>
      </w:pPr>
    </w:p>
    <w:p>
      <w:pPr>
        <w:ind w:left="660" w:right="60"/>
        <w:spacing w:after="0" w:line="264"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20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52" w:lineRule="exact"/>
        <w:rPr>
          <w:rFonts w:ascii="Arial" w:cs="Arial" w:eastAsia="Arial" w:hAnsi="Arial"/>
          <w:sz w:val="23"/>
          <w:szCs w:val="23"/>
          <w:color w:val="auto"/>
          <w:vertAlign w:val="superscript"/>
        </w:rPr>
      </w:pPr>
    </w:p>
    <w:p>
      <w:pPr>
        <w:ind w:left="660" w:right="220"/>
        <w:spacing w:after="0" w:line="312"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7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52" w:lineRule="exact"/>
        <w:rPr>
          <w:rFonts w:ascii="Arial" w:cs="Arial" w:eastAsia="Arial" w:hAnsi="Arial"/>
          <w:sz w:val="23"/>
          <w:szCs w:val="23"/>
          <w:color w:val="auto"/>
          <w:vertAlign w:val="superscript"/>
        </w:rPr>
      </w:pPr>
    </w:p>
    <w:p>
      <w:pPr>
        <w:ind w:left="660" w:right="80"/>
        <w:spacing w:after="0" w:line="277" w:lineRule="auto"/>
        <w:rPr>
          <w:rFonts w:ascii="Arial" w:cs="Arial" w:eastAsia="Arial" w:hAnsi="Arial"/>
          <w:sz w:val="23"/>
          <w:szCs w:val="23"/>
          <w:color w:val="auto"/>
          <w:vertAlign w:val="superscript"/>
        </w:rPr>
      </w:pPr>
      <w:r>
        <w:rPr>
          <w:rFonts w:ascii="Arial" w:cs="Arial" w:eastAsia="Arial" w:hAnsi="Arial"/>
          <w:sz w:val="18"/>
          <w:szCs w:val="18"/>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197" w:lineRule="exact"/>
        <w:rPr>
          <w:rFonts w:ascii="Arial" w:cs="Arial" w:eastAsia="Arial" w:hAnsi="Arial"/>
          <w:sz w:val="23"/>
          <w:szCs w:val="23"/>
          <w:color w:val="auto"/>
          <w:vertAlign w:val="superscript"/>
        </w:rPr>
      </w:pPr>
    </w:p>
    <w:p>
      <w:pPr>
        <w:ind w:left="660"/>
        <w:spacing w:after="0" w:line="257" w:lineRule="auto"/>
        <w:rPr>
          <w:rFonts w:ascii="Arial" w:cs="Arial" w:eastAsia="Arial" w:hAnsi="Arial"/>
          <w:sz w:val="23"/>
          <w:szCs w:val="23"/>
          <w:color w:val="auto"/>
          <w:vertAlign w:val="superscript"/>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Consolidated Statements of Operations as Supply and Logistics segment revenues.</w:t>
      </w:r>
    </w:p>
    <w:p>
      <w:pPr>
        <w:spacing w:after="0" w:line="215" w:lineRule="exact"/>
        <w:rPr>
          <w:rFonts w:ascii="Arial" w:cs="Arial" w:eastAsia="Arial" w:hAnsi="Arial"/>
          <w:sz w:val="23"/>
          <w:szCs w:val="23"/>
          <w:color w:val="auto"/>
          <w:vertAlign w:val="superscript"/>
        </w:rPr>
      </w:pPr>
    </w:p>
    <w:p>
      <w:pPr>
        <w:ind w:left="660" w:right="80"/>
        <w:spacing w:after="0" w:line="297" w:lineRule="auto"/>
        <w:rPr>
          <w:rFonts w:ascii="Arial" w:cs="Arial" w:eastAsia="Arial" w:hAnsi="Arial"/>
          <w:sz w:val="23"/>
          <w:szCs w:val="23"/>
          <w:color w:val="auto"/>
          <w:vertAlign w:val="superscript"/>
        </w:rPr>
      </w:pPr>
      <w:r>
        <w:rPr>
          <w:rFonts w:ascii="Arial" w:cs="Arial" w:eastAsia="Arial" w:hAnsi="Arial"/>
          <w:sz w:val="16"/>
          <w:szCs w:val="16"/>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some of which involve management judgment. A significant change in these inputs could result in a material change in fair value to this embedded derivative feature. We report unrealized gains and losses associated with this embedded derivative in our Consolidated Statements of Operations in “Other income/(expense), net.”</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ectPr>
          <w:pgSz w:w="11900" w:h="16838" w:orient="portrait"/>
          <w:cols w:equalWidth="0" w:num="1">
            <w:col w:w="11360"/>
          </w:cols>
          <w:pgMar w:left="240" w:top="12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type w:val="continuous"/>
        </w:sectPr>
      </w:pPr>
    </w:p>
    <w:bookmarkStart w:id="173" w:name="page174"/>
    <w:bookmarkEnd w:id="1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Net gains/(losses) for the period included in earnings</w:t>
            </w:r>
          </w:p>
        </w:tc>
        <w:tc>
          <w:tcPr>
            <w:tcW w:w="94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Derivatives entered into during the period</w:t>
            </w:r>
          </w:p>
        </w:tc>
        <w:tc>
          <w:tcPr>
            <w:tcW w:w="94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3"/>
              </w:rPr>
              <w:t>(26)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(51)</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Change in unrealized gains/(losses) included in earnings relating to Level 3 derivatives still held at the end of the</w:t>
            </w:r>
          </w:p>
        </w:tc>
        <w:tc>
          <w:tcPr>
            <w:tcW w:w="940" w:type="dxa"/>
            <w:vAlign w:val="bottom"/>
            <w:vMerge w:val="restart"/>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(16)</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94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36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On January 1, 2019, we adopted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using the optional transitional method, thereby applying the new guidance at the effective date, without adjusting the comparative periods. Therefore, results for reporting periods beginning after January 1, 2019 are presented under Topic 842, while prior period amounts are not adjusted and continue to be reported in accordance with our historic accounting under ASC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840”). We evaluate all agreements entered into or modified after the date of adoption of Topic 842 that convey to us the use of property or equipment for a term to determine whether the agreement is or contains a lease. We lease certain property and equipment under noncancelable and cancelable operating and finance leases. Our operating leases primarily relate to railcars, office space, land, vehicles, and storage tanks, and our finance leases primarily relate to tractor trailers, land, storage tanks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Our lease agreements have remaining lease terms ranging from one year to approximately 60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40 years that are not recognized as part of our right-of-use assets or lease liabilities as we have determined we are not reasonably certain to exercise the option to renew.</w:t>
      </w:r>
    </w:p>
    <w:p>
      <w:pPr>
        <w:spacing w:after="0" w:line="21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17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4" w:name="page175"/>
    <w:bookmarkEnd w:id="1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presents components of lease cost for the year ended December 31, 2019, including both amounts recognized in income and amounts capitalized (in millions):</w:t>
      </w:r>
    </w:p>
    <w:p>
      <w:pPr>
        <w:sectPr>
          <w:pgSz w:w="11900" w:h="16838" w:orient="portrait"/>
          <w:cols w:equalWidth="0" w:num="1">
            <w:col w:w="11300"/>
          </w:cols>
          <w:pgMar w:left="240" w:top="125" w:right="359" w:bottom="1440" w:gutter="0" w:footer="0" w:header="0"/>
        </w:sect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Lease Cost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cost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5"/>
          <w:szCs w:val="15"/>
          <w:color w:val="auto"/>
        </w:rPr>
        <w:t>Short-term lease cost</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249555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3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34"/>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34"/>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-6073775</wp:posOffset>
            </wp:positionH>
            <wp:positionV relativeFrom="paragraph">
              <wp:posOffset>13335</wp:posOffset>
            </wp:positionV>
            <wp:extent cx="7169150" cy="1803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31">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27" w:lineRule="exact"/>
        <w:rPr>
          <w:sz w:val="20"/>
          <w:szCs w:val="20"/>
          <w:color w:val="auto"/>
        </w:rPr>
      </w:pPr>
    </w:p>
    <w:p>
      <w:pPr>
        <w:ind w:left="1306" w:hanging="1306"/>
        <w:spacing w:after="0"/>
        <w:tabs>
          <w:tab w:leader="none" w:pos="1306" w:val="left"/>
        </w:tabs>
        <w:numPr>
          <w:ilvl w:val="0"/>
          <w:numId w:val="95"/>
        </w:numPr>
        <w:rPr>
          <w:rFonts w:ascii="Arial" w:cs="Arial" w:eastAsia="Arial" w:hAnsi="Arial"/>
          <w:sz w:val="15"/>
          <w:szCs w:val="15"/>
          <w:color w:val="auto"/>
        </w:rPr>
      </w:pPr>
      <w:r>
        <w:rPr>
          <w:rFonts w:ascii="Arial" w:cs="Arial" w:eastAsia="Arial" w:hAnsi="Arial"/>
          <w:sz w:val="15"/>
          <w:szCs w:val="15"/>
          <w:color w:val="auto"/>
        </w:rPr>
        <w:t>125</w:t>
      </w:r>
    </w:p>
    <w:p>
      <w:pPr>
        <w:spacing w:after="0" w:line="97" w:lineRule="exact"/>
        <w:rPr>
          <w:rFonts w:ascii="Arial" w:cs="Arial" w:eastAsia="Arial" w:hAnsi="Arial"/>
          <w:sz w:val="15"/>
          <w:szCs w:val="15"/>
          <w:color w:val="auto"/>
        </w:rPr>
      </w:pPr>
    </w:p>
    <w:p>
      <w:pPr>
        <w:ind w:left="1386"/>
        <w:spacing w:after="0"/>
        <w:rPr>
          <w:rFonts w:ascii="Arial" w:cs="Arial" w:eastAsia="Arial" w:hAnsi="Arial"/>
          <w:sz w:val="15"/>
          <w:szCs w:val="15"/>
          <w:color w:val="auto"/>
        </w:rPr>
      </w:pPr>
      <w:r>
        <w:rPr>
          <w:rFonts w:ascii="Arial" w:cs="Arial" w:eastAsia="Arial" w:hAnsi="Arial"/>
          <w:sz w:val="16"/>
          <w:szCs w:val="16"/>
          <w:color w:val="auto"/>
        </w:rPr>
        <w:t>35</w:t>
      </w:r>
    </w:p>
    <w:p>
      <w:pPr>
        <w:spacing w:after="0" w:line="86" w:lineRule="exact"/>
        <w:rPr>
          <w:rFonts w:ascii="Arial" w:cs="Arial" w:eastAsia="Arial" w:hAnsi="Arial"/>
          <w:sz w:val="15"/>
          <w:szCs w:val="15"/>
          <w:color w:val="auto"/>
        </w:rPr>
      </w:pPr>
    </w:p>
    <w:p>
      <w:pPr>
        <w:ind w:left="1386"/>
        <w:spacing w:after="0"/>
        <w:rPr>
          <w:rFonts w:ascii="Arial" w:cs="Arial" w:eastAsia="Arial" w:hAnsi="Arial"/>
          <w:sz w:val="15"/>
          <w:szCs w:val="15"/>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-6073775</wp:posOffset>
            </wp:positionH>
            <wp:positionV relativeFrom="paragraph">
              <wp:posOffset>-139065</wp:posOffset>
            </wp:positionV>
            <wp:extent cx="7169150" cy="1803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32">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57" w:lineRule="exact"/>
        <w:rPr>
          <w:sz w:val="20"/>
          <w:szCs w:val="20"/>
          <w:color w:val="auto"/>
        </w:rPr>
      </w:pPr>
    </w:p>
    <w:p>
      <w:pPr>
        <w:ind w:left="1306" w:hanging="1306"/>
        <w:spacing w:after="0"/>
        <w:tabs>
          <w:tab w:leader="none" w:pos="1306" w:val="left"/>
        </w:tabs>
        <w:numPr>
          <w:ilvl w:val="0"/>
          <w:numId w:val="96"/>
        </w:numPr>
        <w:rPr>
          <w:rFonts w:ascii="Arial" w:cs="Arial" w:eastAsia="Arial" w:hAnsi="Arial"/>
          <w:sz w:val="15"/>
          <w:szCs w:val="15"/>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11061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33">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79375</wp:posOffset>
            </wp:positionV>
            <wp:extent cx="11061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3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8854" w:space="720"/>
            <w:col w:w="1726"/>
          </w:cols>
          <w:pgMar w:left="240" w:top="125" w:right="359" w:bottom="1440" w:gutter="0" w:footer="0" w:header="0"/>
          <w:type w:val="continuous"/>
        </w:sectPr>
      </w:pPr>
    </w:p>
    <w:p>
      <w:pPr>
        <w:spacing w:after="0" w:line="367" w:lineRule="exact"/>
        <w:rPr>
          <w:sz w:val="20"/>
          <w:szCs w:val="20"/>
          <w:color w:val="auto"/>
        </w:rPr>
      </w:pPr>
    </w:p>
    <w:p>
      <w:pPr>
        <w:ind w:left="640" w:hanging="632"/>
        <w:spacing w:after="0"/>
        <w:tabs>
          <w:tab w:leader="none" w:pos="640" w:val="left"/>
        </w:tabs>
        <w:numPr>
          <w:ilvl w:val="0"/>
          <w:numId w:val="97"/>
        </w:numPr>
        <w:rPr>
          <w:rFonts w:ascii="Arial" w:cs="Arial" w:eastAsia="Arial" w:hAnsi="Arial"/>
          <w:sz w:val="23"/>
          <w:szCs w:val="23"/>
          <w:color w:val="auto"/>
          <w:vertAlign w:val="superscript"/>
        </w:rPr>
      </w:pPr>
      <w:r>
        <w:rPr>
          <w:rFonts w:ascii="Arial" w:cs="Arial" w:eastAsia="Arial" w:hAnsi="Arial"/>
          <w:sz w:val="18"/>
          <w:szCs w:val="18"/>
          <w:color w:val="auto"/>
        </w:rPr>
        <w:t>Includes less than $1 million of net immaterial finance lease costs, variable lease costs and sublease income.</w:t>
      </w:r>
    </w:p>
    <w:p>
      <w:pPr>
        <w:spacing w:after="0" w:line="33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Lease cost for the years ended December 31, 2018 and 2017, accounted for in accordance with Topic 840, was $199 million and $207 million, respectively.</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related to cash flows arising from lease transactions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right"/>
              <w:ind w:right="436"/>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9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6"/>
              </w:rPr>
              <w:t>December 31, 2019</w:t>
            </w:r>
          </w:p>
        </w:tc>
      </w:tr>
      <w:tr>
        <w:trPr>
          <w:trHeight w:val="236"/>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9560" w:type="dxa"/>
            <w:vAlign w:val="bottom"/>
          </w:tcPr>
          <w:p>
            <w:pPr>
              <w:ind w:left="120"/>
              <w:spacing w:after="0"/>
              <w:rPr>
                <w:sz w:val="20"/>
                <w:szCs w:val="20"/>
                <w:color w:val="auto"/>
              </w:rPr>
            </w:pPr>
            <w:r>
              <w:rPr>
                <w:rFonts w:ascii="Arial" w:cs="Arial" w:eastAsia="Arial" w:hAnsi="Arial"/>
                <w:sz w:val="18"/>
                <w:szCs w:val="18"/>
                <w:color w:val="auto"/>
              </w:rPr>
              <w:t>Operating cash flows for operating leases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6"/>
              <w:spacing w:after="0"/>
              <w:rPr>
                <w:sz w:val="20"/>
                <w:szCs w:val="20"/>
                <w:color w:val="auto"/>
              </w:rPr>
            </w:pPr>
            <w:r>
              <w:rPr>
                <w:rFonts w:ascii="Arial" w:cs="Arial" w:eastAsia="Arial" w:hAnsi="Arial"/>
                <w:sz w:val="18"/>
                <w:szCs w:val="18"/>
                <w:color w:val="auto"/>
              </w:rPr>
              <w:t>116</w:t>
            </w:r>
          </w:p>
        </w:tc>
      </w:tr>
      <w:tr>
        <w:trPr>
          <w:trHeight w:val="27"/>
        </w:trPr>
        <w:tc>
          <w:tcPr>
            <w:tcW w:w="9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Financing cash flows for finance leases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w:t>
            </w:r>
          </w:p>
        </w:tc>
      </w:tr>
      <w:tr>
        <w:trPr>
          <w:trHeight w:val="270"/>
        </w:trPr>
        <w:tc>
          <w:tcPr>
            <w:tcW w:w="9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change in lease liabilities arising from obtaining new right-of-use assets or modifications: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5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6"/>
              <w:spacing w:after="0"/>
              <w:rPr>
                <w:sz w:val="20"/>
                <w:szCs w:val="20"/>
                <w:color w:val="auto"/>
              </w:rPr>
            </w:pPr>
            <w:r>
              <w:rPr>
                <w:rFonts w:ascii="Arial" w:cs="Arial" w:eastAsia="Arial" w:hAnsi="Arial"/>
                <w:sz w:val="18"/>
                <w:szCs w:val="18"/>
                <w:color w:val="auto"/>
              </w:rPr>
              <w:t>77</w:t>
            </w:r>
          </w:p>
        </w:tc>
      </w:tr>
      <w:tr>
        <w:trPr>
          <w:trHeight w:val="27"/>
        </w:trPr>
        <w:tc>
          <w:tcPr>
            <w:tcW w:w="9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3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320" w:hanging="652"/>
        <w:spacing w:after="0" w:line="545" w:lineRule="auto"/>
        <w:tabs>
          <w:tab w:leader="none" w:pos="648" w:val="left"/>
        </w:tabs>
        <w:numPr>
          <w:ilvl w:val="0"/>
          <w:numId w:val="98"/>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$12 million associated with leased storage tanks owned by an equity method investee, in which we own a 50% interest. Information related to the weighted-average remaining lease term and discount rate is presented in the table below:</w:t>
      </w:r>
    </w:p>
    <w:tbl>
      <w:tblPr>
        <w:tblLayout w:type="fixed"/>
        <w:tblInd w:w="0" w:type="dxa"/>
        <w:tblCellMar>
          <w:top w:w="0" w:type="dxa"/>
          <w:left w:w="0" w:type="dxa"/>
          <w:bottom w:w="0" w:type="dxa"/>
          <w:right w:w="0" w:type="dxa"/>
        </w:tblCellMar>
      </w:tblPr>
      <w:tr>
        <w:trPr>
          <w:trHeight w:val="150"/>
        </w:trPr>
        <w:tc>
          <w:tcPr>
            <w:tcW w:w="9480" w:type="dxa"/>
            <w:vAlign w:val="bottom"/>
          </w:tcPr>
          <w:p>
            <w:pPr>
              <w:spacing w:after="0"/>
              <w:rPr>
                <w:sz w:val="13"/>
                <w:szCs w:val="13"/>
                <w:color w:val="auto"/>
              </w:rPr>
            </w:pPr>
          </w:p>
        </w:tc>
        <w:tc>
          <w:tcPr>
            <w:tcW w:w="1600" w:type="dxa"/>
            <w:vAlign w:val="bottom"/>
          </w:tcPr>
          <w:p>
            <w:pPr>
              <w:jc w:val="right"/>
              <w:ind w:right="239"/>
              <w:spacing w:after="0" w:line="150" w:lineRule="exact"/>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3"/>
                <w:szCs w:val="13"/>
                <w:color w:val="auto"/>
              </w:rPr>
            </w:pPr>
          </w:p>
        </w:tc>
      </w:tr>
      <w:tr>
        <w:trPr>
          <w:trHeight w:val="192"/>
        </w:trPr>
        <w:tc>
          <w:tcPr>
            <w:tcW w:w="94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6"/>
                <w:szCs w:val="16"/>
                <w:color w:val="auto"/>
              </w:rPr>
            </w:pPr>
          </w:p>
        </w:tc>
      </w:tr>
      <w:tr>
        <w:trPr>
          <w:trHeight w:val="236"/>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r>
      <w:tr>
        <w:trPr>
          <w:trHeight w:val="243"/>
        </w:trPr>
        <w:tc>
          <w:tcPr>
            <w:tcW w:w="948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6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11</w:t>
            </w:r>
          </w:p>
        </w:tc>
      </w:tr>
      <w:tr>
        <w:trPr>
          <w:trHeight w:val="27"/>
        </w:trPr>
        <w:tc>
          <w:tcPr>
            <w:tcW w:w="9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94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60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3"/>
        </w:trPr>
        <w:tc>
          <w:tcPr>
            <w:tcW w:w="9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type w:val="continuous"/>
        </w:sectPr>
      </w:pPr>
    </w:p>
    <w:bookmarkStart w:id="175" w:name="page176"/>
    <w:bookmarkEnd w:id="1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presents the amount and location of our operating and finance lease right-of-use assets and liabilities on our Consolidated Balance Sheet (in millions):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Leases</w:t>
            </w:r>
          </w:p>
        </w:tc>
        <w:tc>
          <w:tcPr>
            <w:tcW w:w="5420" w:type="dxa"/>
            <w:vAlign w:val="bottom"/>
            <w:vMerge w:val="restart"/>
          </w:tcPr>
          <w:p>
            <w:pPr>
              <w:ind w:left="2980"/>
              <w:spacing w:after="0"/>
              <w:rPr>
                <w:sz w:val="20"/>
                <w:szCs w:val="20"/>
                <w:color w:val="auto"/>
              </w:rPr>
            </w:pPr>
            <w:r>
              <w:rPr>
                <w:rFonts w:ascii="Arial" w:cs="Arial" w:eastAsia="Arial" w:hAnsi="Arial"/>
                <w:sz w:val="14"/>
                <w:szCs w:val="14"/>
                <w:b w:val="1"/>
                <w:bCs w:val="1"/>
                <w:color w:val="auto"/>
              </w:rPr>
              <w:t>Balance Sheet Location</w:t>
            </w:r>
          </w:p>
        </w:tc>
        <w:tc>
          <w:tcPr>
            <w:tcW w:w="2160" w:type="dxa"/>
            <w:vAlign w:val="bottom"/>
          </w:tcPr>
          <w:p>
            <w:pPr>
              <w:jc w:val="center"/>
              <w:ind w:left="928"/>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6"/>
        </w:trPr>
        <w:tc>
          <w:tcPr>
            <w:tcW w:w="3400" w:type="dxa"/>
            <w:vAlign w:val="bottom"/>
            <w:vMerge w:val="continue"/>
          </w:tcPr>
          <w:p>
            <w:pPr>
              <w:spacing w:after="0"/>
              <w:rPr>
                <w:sz w:val="16"/>
                <w:szCs w:val="16"/>
                <w:color w:val="auto"/>
              </w:rPr>
            </w:pPr>
          </w:p>
        </w:tc>
        <w:tc>
          <w:tcPr>
            <w:tcW w:w="5420" w:type="dxa"/>
            <w:vAlign w:val="bottom"/>
            <w:vMerge w:val="continue"/>
          </w:tcPr>
          <w:p>
            <w:pPr>
              <w:spacing w:after="0"/>
              <w:rPr>
                <w:sz w:val="16"/>
                <w:szCs w:val="16"/>
                <w:color w:val="auto"/>
              </w:rPr>
            </w:pPr>
          </w:p>
        </w:tc>
        <w:tc>
          <w:tcPr>
            <w:tcW w:w="2160" w:type="dxa"/>
            <w:vAlign w:val="bottom"/>
          </w:tcPr>
          <w:p>
            <w:pPr>
              <w:jc w:val="center"/>
              <w:ind w:left="928"/>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69150" cy="1803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37">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lease right-of-use assets</w:t>
      </w:r>
    </w:p>
    <w:p>
      <w:pPr>
        <w:spacing w:after="0" w:line="38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Finance lease right-of-use assets </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jc w:val="center"/>
              <w:ind w:right="570"/>
              <w:spacing w:after="0"/>
              <w:rPr>
                <w:sz w:val="20"/>
                <w:szCs w:val="20"/>
                <w:color w:val="auto"/>
              </w:rPr>
            </w:pPr>
            <w:r>
              <w:rPr>
                <w:rFonts w:ascii="Arial" w:cs="Arial" w:eastAsia="Arial" w:hAnsi="Arial"/>
                <w:sz w:val="18"/>
                <w:szCs w:val="18"/>
                <w:color w:val="auto"/>
                <w:w w:val="89"/>
              </w:rPr>
              <w:t>Long-term operating lease right-of-use assets, net</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620"/>
              <w:spacing w:after="0"/>
              <w:rPr>
                <w:sz w:val="20"/>
                <w:szCs w:val="20"/>
                <w:color w:val="auto"/>
              </w:rPr>
            </w:pPr>
            <w:r>
              <w:rPr>
                <w:rFonts w:ascii="Arial" w:cs="Arial" w:eastAsia="Arial" w:hAnsi="Arial"/>
                <w:sz w:val="18"/>
                <w:szCs w:val="18"/>
                <w:color w:val="auto"/>
              </w:rPr>
              <w:t>466</w:t>
            </w:r>
          </w:p>
        </w:tc>
      </w:tr>
      <w:tr>
        <w:trPr>
          <w:trHeight w:val="540"/>
        </w:trPr>
        <w:tc>
          <w:tcPr>
            <w:tcW w:w="4240" w:type="dxa"/>
            <w:vAlign w:val="bottom"/>
          </w:tcPr>
          <w:p>
            <w:pPr>
              <w:jc w:val="center"/>
              <w:ind w:right="570"/>
              <w:spacing w:after="0"/>
              <w:rPr>
                <w:sz w:val="20"/>
                <w:szCs w:val="20"/>
                <w:color w:val="auto"/>
              </w:rPr>
            </w:pPr>
            <w:r>
              <w:rPr>
                <w:rFonts w:ascii="Arial" w:cs="Arial" w:eastAsia="Arial" w:hAnsi="Arial"/>
                <w:sz w:val="18"/>
                <w:szCs w:val="18"/>
                <w:color w:val="auto"/>
                <w:w w:val="90"/>
              </w:rPr>
              <w:t>Property and equipment</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620"/>
              <w:spacing w:after="0"/>
              <w:rPr>
                <w:sz w:val="20"/>
                <w:szCs w:val="20"/>
                <w:color w:val="auto"/>
              </w:rPr>
            </w:pPr>
            <w:r>
              <w:rPr>
                <w:rFonts w:ascii="Arial" w:cs="Arial" w:eastAsia="Arial" w:hAnsi="Arial"/>
                <w:sz w:val="18"/>
                <w:szCs w:val="18"/>
                <w:color w:val="auto"/>
              </w:rPr>
              <w:t>124</w:t>
            </w:r>
          </w:p>
        </w:tc>
      </w:tr>
      <w:tr>
        <w:trPr>
          <w:trHeight w:val="270"/>
        </w:trPr>
        <w:tc>
          <w:tcPr>
            <w:tcW w:w="4240" w:type="dxa"/>
            <w:vAlign w:val="bottom"/>
          </w:tcPr>
          <w:p>
            <w:pPr>
              <w:jc w:val="center"/>
              <w:ind w:right="570"/>
              <w:spacing w:after="0"/>
              <w:rPr>
                <w:sz w:val="20"/>
                <w:szCs w:val="20"/>
                <w:color w:val="auto"/>
              </w:rPr>
            </w:pPr>
            <w:r>
              <w:rPr>
                <w:rFonts w:ascii="Arial" w:cs="Arial" w:eastAsia="Arial" w:hAnsi="Arial"/>
                <w:sz w:val="18"/>
                <w:szCs w:val="18"/>
                <w:color w:val="auto"/>
                <w:w w:val="91"/>
              </w:rPr>
              <w:t>Accumulated depreciation</w:t>
            </w:r>
          </w:p>
        </w:tc>
        <w:tc>
          <w:tcPr>
            <w:tcW w:w="700" w:type="dxa"/>
            <w:vAlign w:val="bottom"/>
          </w:tcPr>
          <w:p>
            <w:pPr>
              <w:spacing w:after="0"/>
              <w:rPr>
                <w:sz w:val="23"/>
                <w:szCs w:val="23"/>
                <w:color w:val="auto"/>
              </w:rPr>
            </w:pPr>
          </w:p>
        </w:tc>
        <w:tc>
          <w:tcPr>
            <w:tcW w:w="1040" w:type="dxa"/>
            <w:vAlign w:val="bottom"/>
          </w:tcPr>
          <w:p>
            <w:pPr>
              <w:ind w:left="640"/>
              <w:spacing w:after="0"/>
              <w:rPr>
                <w:sz w:val="20"/>
                <w:szCs w:val="20"/>
                <w:color w:val="auto"/>
              </w:rPr>
            </w:pPr>
            <w:r>
              <w:rPr>
                <w:rFonts w:ascii="Arial" w:cs="Arial" w:eastAsia="Arial" w:hAnsi="Arial"/>
                <w:sz w:val="18"/>
                <w:szCs w:val="18"/>
                <w:color w:val="auto"/>
              </w:rPr>
              <w:t>(16)</w:t>
            </w:r>
          </w:p>
        </w:tc>
      </w:tr>
      <w:tr>
        <w:trPr>
          <w:trHeight w:val="27"/>
        </w:trPr>
        <w:tc>
          <w:tcPr>
            <w:tcW w:w="4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ind w:right="550"/>
              <w:spacing w:after="0"/>
              <w:rPr>
                <w:sz w:val="20"/>
                <w:szCs w:val="20"/>
                <w:color w:val="auto"/>
              </w:rPr>
            </w:pPr>
            <w:r>
              <w:rPr>
                <w:rFonts w:ascii="Arial" w:cs="Arial" w:eastAsia="Arial" w:hAnsi="Arial"/>
                <w:sz w:val="18"/>
                <w:szCs w:val="18"/>
                <w:color w:val="auto"/>
                <w:w w:val="89"/>
              </w:rPr>
              <w:t>Property and equipment, net</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620"/>
              <w:spacing w:after="0"/>
              <w:rPr>
                <w:sz w:val="20"/>
                <w:szCs w:val="20"/>
                <w:color w:val="auto"/>
              </w:rPr>
            </w:pPr>
            <w:r>
              <w:rPr>
                <w:rFonts w:ascii="Arial" w:cs="Arial" w:eastAsia="Arial" w:hAnsi="Arial"/>
                <w:sz w:val="18"/>
                <w:szCs w:val="18"/>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-676910</wp:posOffset>
            </wp:positionV>
            <wp:extent cx="7169150" cy="1714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3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-334010</wp:posOffset>
            </wp:positionV>
            <wp:extent cx="7169150" cy="171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3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17145</wp:posOffset>
            </wp:positionV>
            <wp:extent cx="7169150" cy="1803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40">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6100"/>
          </w:cols>
          <w:pgMar w:left="240" w:top="125" w:right="239" w:bottom="1440" w:gutter="0" w:footer="0" w:header="0"/>
          <w:type w:val="continuous"/>
        </w:sectPr>
      </w:pP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Total lease right-of-use assets</w:t>
            </w:r>
          </w:p>
        </w:tc>
        <w:tc>
          <w:tcPr>
            <w:tcW w:w="5500" w:type="dxa"/>
            <w:vAlign w:val="bottom"/>
          </w:tcPr>
          <w:p>
            <w:pPr>
              <w:spacing w:after="0"/>
              <w:rPr>
                <w:sz w:val="22"/>
                <w:szCs w:val="22"/>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574</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406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5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5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220"/>
              <w:spacing w:after="0"/>
              <w:rPr>
                <w:sz w:val="20"/>
                <w:szCs w:val="20"/>
                <w:color w:val="auto"/>
              </w:rPr>
            </w:pPr>
            <w:r>
              <w:rPr>
                <w:rFonts w:ascii="Arial" w:cs="Arial" w:eastAsia="Arial" w:hAnsi="Arial"/>
                <w:sz w:val="18"/>
                <w:szCs w:val="18"/>
                <w:color w:val="auto"/>
              </w:rPr>
              <w:t>Current</w:t>
            </w:r>
          </w:p>
        </w:tc>
        <w:tc>
          <w:tcPr>
            <w:tcW w:w="5500" w:type="dxa"/>
            <w:vAlign w:val="bottom"/>
          </w:tcPr>
          <w:p>
            <w:pPr>
              <w:jc w:val="center"/>
              <w:ind w:left="530"/>
              <w:spacing w:after="0"/>
              <w:rPr>
                <w:sz w:val="20"/>
                <w:szCs w:val="20"/>
                <w:color w:val="auto"/>
              </w:rPr>
            </w:pPr>
            <w:r>
              <w:rPr>
                <w:rFonts w:ascii="Arial" w:cs="Arial" w:eastAsia="Arial" w:hAnsi="Arial"/>
                <w:sz w:val="18"/>
                <w:szCs w:val="18"/>
                <w:color w:val="auto"/>
                <w:w w:val="93"/>
              </w:rPr>
              <w:t>Other current liabilities</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94</w:t>
            </w:r>
          </w:p>
        </w:tc>
      </w:tr>
      <w:tr>
        <w:trPr>
          <w:trHeight w:val="27"/>
        </w:trPr>
        <w:tc>
          <w:tcPr>
            <w:tcW w:w="40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55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2"/>
              </w:rPr>
              <w:t>Long-term operating lease liabilities</w:t>
            </w:r>
          </w:p>
        </w:tc>
        <w:tc>
          <w:tcPr>
            <w:tcW w:w="7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387</w:t>
            </w:r>
          </w:p>
        </w:tc>
      </w:tr>
      <w:tr>
        <w:trPr>
          <w:trHeight w:val="237"/>
        </w:trPr>
        <w:tc>
          <w:tcPr>
            <w:tcW w:w="4060" w:type="dxa"/>
            <w:vAlign w:val="bottom"/>
          </w:tcPr>
          <w:p>
            <w:pPr>
              <w:ind w:left="120"/>
              <w:spacing w:after="0"/>
              <w:rPr>
                <w:sz w:val="20"/>
                <w:szCs w:val="20"/>
                <w:color w:val="auto"/>
              </w:rPr>
            </w:pPr>
            <w:r>
              <w:rPr>
                <w:rFonts w:ascii="Arial" w:cs="Arial" w:eastAsia="Arial" w:hAnsi="Arial"/>
                <w:sz w:val="18"/>
                <w:szCs w:val="18"/>
                <w:color w:val="auto"/>
              </w:rPr>
              <w:t>Total operating lease liabilities</w:t>
            </w:r>
          </w:p>
        </w:tc>
        <w:tc>
          <w:tcPr>
            <w:tcW w:w="550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481</w:t>
            </w:r>
          </w:p>
        </w:tc>
      </w:tr>
      <w:tr>
        <w:trPr>
          <w:trHeight w:val="27"/>
        </w:trPr>
        <w:tc>
          <w:tcPr>
            <w:tcW w:w="40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60" w:type="dxa"/>
            <w:vAlign w:val="bottom"/>
            <w:shd w:val="clear" w:color="auto" w:fill="CCEEFF"/>
          </w:tcPr>
          <w:p>
            <w:pPr>
              <w:spacing w:after="0"/>
              <w:rPr>
                <w:sz w:val="23"/>
                <w:szCs w:val="23"/>
                <w:color w:val="auto"/>
              </w:rPr>
            </w:pPr>
          </w:p>
        </w:tc>
        <w:tc>
          <w:tcPr>
            <w:tcW w:w="55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40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Finance lease liabilities </w:t>
            </w:r>
            <w:r>
              <w:rPr>
                <w:rFonts w:ascii="Arial" w:cs="Arial" w:eastAsia="Arial" w:hAnsi="Arial"/>
                <w:sz w:val="23"/>
                <w:szCs w:val="23"/>
                <w:color w:val="auto"/>
                <w:vertAlign w:val="superscript"/>
              </w:rPr>
              <w:t>(1)</w:t>
            </w:r>
          </w:p>
        </w:tc>
        <w:tc>
          <w:tcPr>
            <w:tcW w:w="5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4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55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1"/>
              </w:rPr>
              <w:t>Short-term debt</w:t>
            </w: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r>
      <w:tr>
        <w:trPr>
          <w:trHeight w:val="243"/>
        </w:trPr>
        <w:tc>
          <w:tcPr>
            <w:tcW w:w="406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5500" w:type="dxa"/>
            <w:vAlign w:val="bottom"/>
          </w:tcPr>
          <w:p>
            <w:pPr>
              <w:jc w:val="center"/>
              <w:ind w:left="510"/>
              <w:spacing w:after="0"/>
              <w:rPr>
                <w:sz w:val="20"/>
                <w:szCs w:val="20"/>
                <w:color w:val="auto"/>
              </w:rPr>
            </w:pPr>
            <w:r>
              <w:rPr>
                <w:rFonts w:ascii="Arial" w:cs="Arial" w:eastAsia="Arial" w:hAnsi="Arial"/>
                <w:sz w:val="18"/>
                <w:szCs w:val="18"/>
                <w:color w:val="auto"/>
                <w:w w:val="90"/>
              </w:rPr>
              <w:t>Other long-term debt, net</w:t>
            </w:r>
          </w:p>
        </w:tc>
        <w:tc>
          <w:tcPr>
            <w:tcW w:w="7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49</w:t>
            </w:r>
          </w:p>
        </w:tc>
      </w:tr>
      <w:tr>
        <w:trPr>
          <w:trHeight w:val="27"/>
        </w:trPr>
        <w:tc>
          <w:tcPr>
            <w:tcW w:w="406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finance lease liabilities</w:t>
            </w:r>
          </w:p>
        </w:tc>
        <w:tc>
          <w:tcPr>
            <w:tcW w:w="5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r>
      <w:tr>
        <w:trPr>
          <w:trHeight w:val="270"/>
        </w:trPr>
        <w:tc>
          <w:tcPr>
            <w:tcW w:w="4060" w:type="dxa"/>
            <w:vAlign w:val="bottom"/>
            <w:tcBorders>
              <w:bottom w:val="single" w:sz="8" w:color="CCEEFF"/>
            </w:tcBorders>
          </w:tcPr>
          <w:p>
            <w:pPr>
              <w:spacing w:after="0"/>
              <w:rPr>
                <w:sz w:val="23"/>
                <w:szCs w:val="23"/>
                <w:color w:val="auto"/>
              </w:rPr>
            </w:pPr>
          </w:p>
        </w:tc>
        <w:tc>
          <w:tcPr>
            <w:tcW w:w="550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289"/>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55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548</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4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60" w:hanging="652"/>
        <w:spacing w:after="0" w:line="227" w:lineRule="auto"/>
        <w:tabs>
          <w:tab w:leader="none" w:pos="648" w:val="left"/>
        </w:tabs>
        <w:numPr>
          <w:ilvl w:val="0"/>
          <w:numId w:val="99"/>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$12 million right-of-use asset and lease liability associated with leased storage tanks owned by an equity method investee, in which we own a 50% interest.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maturity of undiscounted cash flows for future minimum lease payments under noncancelable leases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reconciled to our lease liabilities on our Consolidated Balance Sheet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 xml:space="preserve">Finance </w:t>
            </w:r>
            <w:r>
              <w:rPr>
                <w:rFonts w:ascii="Arial" w:cs="Arial" w:eastAsia="Arial" w:hAnsi="Arial"/>
                <w:sz w:val="9"/>
                <w:szCs w:val="9"/>
                <w:b w:val="1"/>
                <w:bCs w:val="1"/>
                <w:color w:val="auto"/>
              </w:rPr>
              <w:t>(2)</w:t>
            </w:r>
          </w:p>
        </w:tc>
      </w:tr>
      <w:tr>
        <w:trPr>
          <w:trHeight w:val="216"/>
        </w:trPr>
        <w:tc>
          <w:tcPr>
            <w:tcW w:w="7820" w:type="dxa"/>
            <w:vAlign w:val="bottom"/>
            <w:shd w:val="clear" w:color="auto" w:fill="CCEEFF"/>
          </w:tcPr>
          <w:p>
            <w:pPr>
              <w:ind w:left="20"/>
              <w:spacing w:after="0" w:line="215" w:lineRule="exact"/>
              <w:rPr>
                <w:sz w:val="20"/>
                <w:szCs w:val="20"/>
                <w:color w:val="auto"/>
              </w:rPr>
            </w:pPr>
            <w:r>
              <w:rPr>
                <w:rFonts w:ascii="Arial" w:cs="Arial" w:eastAsia="Arial" w:hAnsi="Arial"/>
                <w:sz w:val="18"/>
                <w:szCs w:val="18"/>
                <w:color w:val="auto"/>
              </w:rPr>
              <w:t xml:space="preserve">Future minimum lease payments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3"/>
        </w:trPr>
        <w:tc>
          <w:tcPr>
            <w:tcW w:w="7820" w:type="dxa"/>
            <w:vAlign w:val="bottom"/>
          </w:tcPr>
          <w:p>
            <w:pPr>
              <w:ind w:left="120"/>
              <w:spacing w:after="0"/>
              <w:rPr>
                <w:sz w:val="20"/>
                <w:szCs w:val="20"/>
                <w:color w:val="auto"/>
              </w:rPr>
            </w:pPr>
            <w:r>
              <w:rPr>
                <w:rFonts w:ascii="Arial" w:cs="Arial" w:eastAsia="Arial" w:hAnsi="Arial"/>
                <w:sz w:val="18"/>
                <w:szCs w:val="18"/>
                <w:color w:val="auto"/>
              </w:rPr>
              <w:t>2020</w:t>
            </w:r>
          </w:p>
        </w:tc>
        <w:tc>
          <w:tcPr>
            <w:tcW w:w="1200" w:type="dxa"/>
            <w:vAlign w:val="bottom"/>
          </w:tcPr>
          <w:p>
            <w:pPr>
              <w:jc w:val="right"/>
              <w:ind w:right="10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21</w:t>
            </w:r>
          </w:p>
        </w:tc>
      </w:tr>
      <w:tr>
        <w:trPr>
          <w:trHeight w:val="27"/>
        </w:trPr>
        <w:tc>
          <w:tcPr>
            <w:tcW w:w="7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r>
      <w:tr>
        <w:trPr>
          <w:trHeight w:val="243"/>
        </w:trPr>
        <w:tc>
          <w:tcPr>
            <w:tcW w:w="7820" w:type="dxa"/>
            <w:vAlign w:val="bottom"/>
          </w:tcPr>
          <w:p>
            <w:pPr>
              <w:ind w:left="120"/>
              <w:spacing w:after="0"/>
              <w:rPr>
                <w:sz w:val="20"/>
                <w:szCs w:val="20"/>
                <w:color w:val="auto"/>
              </w:rPr>
            </w:pPr>
            <w:r>
              <w:rPr>
                <w:rFonts w:ascii="Arial" w:cs="Arial" w:eastAsia="Arial" w:hAnsi="Arial"/>
                <w:sz w:val="18"/>
                <w:szCs w:val="18"/>
                <w:color w:val="auto"/>
              </w:rPr>
              <w:t>2022</w:t>
            </w:r>
          </w:p>
        </w:tc>
        <w:tc>
          <w:tcPr>
            <w:tcW w:w="12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12</w:t>
            </w:r>
          </w:p>
        </w:tc>
      </w:tr>
      <w:tr>
        <w:trPr>
          <w:trHeight w:val="27"/>
        </w:trPr>
        <w:tc>
          <w:tcPr>
            <w:tcW w:w="7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r>
      <w:tr>
        <w:trPr>
          <w:trHeight w:val="243"/>
        </w:trPr>
        <w:tc>
          <w:tcPr>
            <w:tcW w:w="7820" w:type="dxa"/>
            <w:vAlign w:val="bottom"/>
          </w:tcPr>
          <w:p>
            <w:pPr>
              <w:ind w:left="120"/>
              <w:spacing w:after="0"/>
              <w:rPr>
                <w:sz w:val="20"/>
                <w:szCs w:val="20"/>
                <w:color w:val="auto"/>
              </w:rPr>
            </w:pPr>
            <w:r>
              <w:rPr>
                <w:rFonts w:ascii="Arial" w:cs="Arial" w:eastAsia="Arial" w:hAnsi="Arial"/>
                <w:sz w:val="18"/>
                <w:szCs w:val="18"/>
                <w:color w:val="auto"/>
              </w:rPr>
              <w:t>2024</w:t>
            </w:r>
          </w:p>
        </w:tc>
        <w:tc>
          <w:tcPr>
            <w:tcW w:w="12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9</w:t>
            </w:r>
          </w:p>
        </w:tc>
      </w:tr>
      <w:tr>
        <w:trPr>
          <w:trHeight w:val="27"/>
        </w:trPr>
        <w:tc>
          <w:tcPr>
            <w:tcW w:w="7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Thereafter</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w:t>
            </w:r>
          </w:p>
        </w:tc>
      </w:tr>
      <w:tr>
        <w:trPr>
          <w:trHeight w:val="237"/>
        </w:trPr>
        <w:tc>
          <w:tcPr>
            <w:tcW w:w="7820" w:type="dxa"/>
            <w:vAlign w:val="bottom"/>
          </w:tcPr>
          <w:p>
            <w:pPr>
              <w:ind w:left="22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92</w:t>
            </w:r>
          </w:p>
        </w:tc>
      </w:tr>
      <w:tr>
        <w:trPr>
          <w:trHeight w:val="27"/>
        </w:trPr>
        <w:tc>
          <w:tcPr>
            <w:tcW w:w="7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Present value discount</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r>
      <w:tr>
        <w:trPr>
          <w:trHeight w:val="264"/>
        </w:trPr>
        <w:tc>
          <w:tcPr>
            <w:tcW w:w="782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200" w:type="dxa"/>
            <w:vAlign w:val="bottom"/>
            <w:tcBorders>
              <w:top w:val="single" w:sz="8" w:color="auto"/>
              <w:bottom w:val="single" w:sz="8" w:color="auto"/>
            </w:tcBorders>
          </w:tcPr>
          <w:p>
            <w:pPr>
              <w:jc w:val="right"/>
              <w:ind w:right="101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67</w:t>
            </w:r>
          </w:p>
        </w:tc>
      </w:tr>
      <w:tr>
        <w:trPr>
          <w:trHeight w:val="21"/>
        </w:trPr>
        <w:tc>
          <w:tcPr>
            <w:tcW w:w="7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76" w:name="page177"/>
    <w:bookmarkEnd w:id="1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right"/>
        <w:ind w:righ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249555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4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Excludes future minimum payments for short-term and other immaterial leases not included on our Consolidated Balance Sheet.</w:t>
      </w:r>
    </w:p>
    <w:p>
      <w:pPr>
        <w:spacing w:after="0" w:line="117" w:lineRule="exact"/>
        <w:rPr>
          <w:sz w:val="20"/>
          <w:szCs w:val="20"/>
          <w:color w:val="auto"/>
        </w:rPr>
      </w:pPr>
    </w:p>
    <w:p>
      <w:pPr>
        <w:ind w:left="20" w:right="100" w:hanging="11"/>
        <w:spacing w:after="0" w:line="277" w:lineRule="auto"/>
        <w:rPr>
          <w:sz w:val="20"/>
          <w:szCs w:val="20"/>
          <w:color w:val="auto"/>
        </w:rPr>
      </w:pPr>
      <w:r>
        <w:rPr>
          <w:rFonts w:ascii="Arial" w:cs="Arial" w:eastAsia="Arial" w:hAnsi="Arial"/>
          <w:sz w:val="18"/>
          <w:szCs w:val="18"/>
          <w:color w:val="auto"/>
        </w:rPr>
        <w:t>Includes payments of approximately $2 million for each of the years ending 2020 through 2024 and approximately $23 million thereafter associated with leased storage tanks owned by an equity method investee, in which we own a 50% interest.</w:t>
      </w:r>
    </w:p>
    <w:p>
      <w:pPr>
        <w:spacing w:after="0" w:line="200" w:lineRule="exact"/>
        <w:rPr>
          <w:sz w:val="20"/>
          <w:szCs w:val="20"/>
          <w:color w:val="auto"/>
        </w:rPr>
      </w:pPr>
    </w:p>
    <w:p>
      <w:pPr>
        <w:sectPr>
          <w:pgSz w:w="11900" w:h="16838" w:orient="portrait"/>
          <w:cols w:equalWidth="0" w:num="2">
            <w:col w:w="140" w:space="500"/>
            <w:col w:w="10780"/>
          </w:cols>
          <w:pgMar w:left="240" w:top="125" w:right="239" w:bottom="1440" w:gutter="0" w:footer="0" w:header="0"/>
          <w:type w:val="continuous"/>
        </w:sectPr>
      </w:pPr>
    </w:p>
    <w:p>
      <w:pPr>
        <w:spacing w:after="0" w:line="106"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We have entered into a lease that had not yet commenced as of December 31, 2019 with future minimum lease payments totaling approximately $66 million. This lease will be classified as a finance lease, is for crude oil storage tanks owned by an equity method investee in which we own a 50% interest, has a lease term of 16 years and will commence in April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evaluate all agreements entered into or modified after the date of adoption of Topic 842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w:t>
      </w:r>
    </w:p>
    <w:p>
      <w:pPr>
        <w:spacing w:after="0" w:line="21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Facilities and Transportation segments enter into agreements to conduct fee-based activities associated with (i) providing storage services primarily for crude oil, NGL and natural gas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 under Topic 842. For the year ended December 31, 2019, our lease revenue was not material.</w:t>
      </w:r>
    </w:p>
    <w:p>
      <w:pPr>
        <w:spacing w:after="0" w:line="22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table below presents the maturity of lease payments for operating lease agreements in effect as of December 31, 2019. This presentation includes minimum fixed lease payments and does not include an estimate of variable lease consideration. These agreements have remaining lease terms ranging from two years to 22 years. The following table presents the undiscounted cash flows expected to be received related to these agreements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Thereafter</w:t>
            </w:r>
          </w:p>
        </w:tc>
      </w:tr>
      <w:tr>
        <w:trPr>
          <w:trHeight w:val="24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revenue</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208</w:t>
            </w:r>
          </w:p>
        </w:tc>
      </w:tr>
      <w:tr>
        <w:trPr>
          <w:trHeight w:val="27"/>
        </w:trPr>
        <w:tc>
          <w:tcPr>
            <w:tcW w:w="38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22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2019 and 2018, we had not recognized any material amounts in connection with uncertainty in income taxes.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77" w:name="page178"/>
    <w:bookmarkEnd w:id="1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52"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As an MLP, we are not subject to U.S. federal income taxes; rather the tax effect of our operations is passed through to our unitholders. Although we are subject to state income taxes in some states, the impact to the years ended December 31, 2019, 2018, and 2017 was immaterial.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Components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tax expense are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840" w:type="dxa"/>
            <w:vAlign w:val="bottom"/>
          </w:tcPr>
          <w:p>
            <w:pPr>
              <w:ind w:left="120"/>
              <w:spacing w:after="0"/>
              <w:rPr>
                <w:sz w:val="20"/>
                <w:szCs w:val="20"/>
                <w:color w:val="auto"/>
              </w:rPr>
            </w:pPr>
            <w:r>
              <w:rPr>
                <w:rFonts w:ascii="Arial" w:cs="Arial" w:eastAsia="Arial" w:hAnsi="Arial"/>
                <w:sz w:val="18"/>
                <w:szCs w:val="18"/>
                <w:color w:val="auto"/>
              </w:rPr>
              <w:t>State income tax</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w:t>
            </w:r>
          </w:p>
        </w:tc>
      </w:tr>
      <w:tr>
        <w:trPr>
          <w:trHeight w:val="27"/>
        </w:trPr>
        <w:tc>
          <w:tcPr>
            <w:tcW w:w="6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Canadian federal and provincial income tax</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color w:val="auto"/>
              </w:rPr>
              <w:t>Total current income tax expense</w:t>
            </w:r>
          </w:p>
        </w:tc>
        <w:tc>
          <w:tcPr>
            <w:tcW w:w="94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28</w:t>
            </w:r>
          </w:p>
        </w:tc>
      </w:tr>
      <w:tr>
        <w:trPr>
          <w:trHeight w:val="27"/>
        </w:trPr>
        <w:tc>
          <w:tcPr>
            <w:tcW w:w="68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8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Deferred income tax expense/(benefit):</w:t>
            </w: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Canadian federal and provincial income tax</w:t>
            </w:r>
          </w:p>
        </w:tc>
        <w:tc>
          <w:tcPr>
            <w:tcW w:w="94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color w:val="auto"/>
              </w:rPr>
              <w:t>Total deferred income tax expense/(benefit)</w:t>
            </w:r>
          </w:p>
        </w:tc>
        <w:tc>
          <w:tcPr>
            <w:tcW w:w="94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16</w:t>
            </w:r>
          </w:p>
        </w:tc>
      </w:tr>
      <w:tr>
        <w:trPr>
          <w:trHeight w:val="27"/>
        </w:trPr>
        <w:tc>
          <w:tcPr>
            <w:tcW w:w="68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4"/>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44</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difference between income tax expense based on the statutory federal income tax rate and our effective income tax expense is summarized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350"/>
              <w:spacing w:after="0"/>
              <w:rPr>
                <w:sz w:val="20"/>
                <w:szCs w:val="20"/>
                <w:color w:val="auto"/>
              </w:rPr>
            </w:pPr>
            <w:r>
              <w:rPr>
                <w:rFonts w:ascii="Arial" w:cs="Arial" w:eastAsia="Arial" w:hAnsi="Arial"/>
                <w:sz w:val="14"/>
                <w:szCs w:val="14"/>
                <w:b w:val="1"/>
                <w:bCs w:val="1"/>
                <w:color w:val="auto"/>
                <w:w w:val="95"/>
              </w:rPr>
              <w:t>Year Ended December 31,</w:t>
            </w: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66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7"/>
                <w:szCs w:val="17"/>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6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Partnership earnings not subject to current Canadian tax</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w:t>
            </w:r>
          </w:p>
        </w:tc>
        <w:tc>
          <w:tcPr>
            <w:tcW w:w="180" w:type="dxa"/>
            <w:vAlign w:val="bottom"/>
          </w:tcPr>
          <w:p>
            <w:pPr>
              <w:spacing w:after="0"/>
              <w:rPr>
                <w:sz w:val="21"/>
                <w:szCs w:val="2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6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Canadian federal and provincial corporate tax rate</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at statutory rate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57"/>
        </w:trPr>
        <w:tc>
          <w:tcPr>
            <w:tcW w:w="6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Canadian withholding tax</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Canadian permanent differences and rate changes</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income tax</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4"/>
        </w:trPr>
        <w:tc>
          <w:tcPr>
            <w:tcW w:w="6660" w:type="dxa"/>
            <w:vAlign w:val="bottom"/>
          </w:tcPr>
          <w:p>
            <w:pPr>
              <w:ind w:left="120"/>
              <w:spacing w:after="0"/>
              <w:rPr>
                <w:sz w:val="20"/>
                <w:szCs w:val="20"/>
                <w:color w:val="auto"/>
              </w:rPr>
            </w:pPr>
            <w:r>
              <w:rPr>
                <w:rFonts w:ascii="Arial" w:cs="Arial" w:eastAsia="Arial" w:hAnsi="Arial"/>
                <w:sz w:val="18"/>
                <w:szCs w:val="18"/>
                <w:color w:val="auto"/>
              </w:rPr>
              <w:t>Total income tax expense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top w:val="single" w:sz="8" w:color="auto"/>
              <w:bottom w:val="single" w:sz="8" w:color="auto"/>
            </w:tcBorders>
          </w:tcPr>
          <w:p>
            <w:pPr>
              <w:spacing w:after="0"/>
              <w:rPr>
                <w:sz w:val="22"/>
                <w:szCs w:val="22"/>
                <w:color w:val="auto"/>
              </w:rPr>
            </w:pPr>
          </w:p>
        </w:tc>
      </w:tr>
      <w:tr>
        <w:trPr>
          <w:trHeight w:val="21"/>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8" w:name="page179"/>
    <w:bookmarkEnd w:id="1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Deferred tax assets and liabilities are aggregated by the applicable tax paying entity and jurisdiction and result from the following (in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96"/>
        </w:trPr>
        <w:tc>
          <w:tcPr>
            <w:tcW w:w="84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3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Lease liabilities</w:t>
            </w:r>
          </w:p>
        </w:tc>
        <w:tc>
          <w:tcPr>
            <w:tcW w:w="900" w:type="dxa"/>
            <w:vAlign w:val="bottom"/>
          </w:tcPr>
          <w:p>
            <w:pPr>
              <w:jc w:val="right"/>
              <w:ind w:right="71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7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operating losses</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54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21</w:t>
            </w:r>
          </w:p>
        </w:tc>
      </w:tr>
      <w:tr>
        <w:trPr>
          <w:trHeight w:val="27"/>
        </w:trPr>
        <w:tc>
          <w:tcPr>
            <w:tcW w:w="84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9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r>
      <w:tr>
        <w:trPr>
          <w:trHeight w:val="237"/>
        </w:trPr>
        <w:tc>
          <w:tcPr>
            <w:tcW w:w="84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Property and equipment in excess of tax values</w:t>
            </w:r>
          </w:p>
        </w:tc>
        <w:tc>
          <w:tcPr>
            <w:tcW w:w="90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w w:val="99"/>
              </w:rPr>
              <w:t>(472)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(449)</w:t>
            </w:r>
          </w:p>
        </w:tc>
      </w:tr>
      <w:tr>
        <w:trPr>
          <w:trHeight w:val="27"/>
        </w:trPr>
        <w:tc>
          <w:tcPr>
            <w:tcW w:w="8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Derivative instruments</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Lease assets</w:t>
            </w:r>
          </w:p>
        </w:tc>
        <w:tc>
          <w:tcPr>
            <w:tcW w:w="90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9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(552)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(522)</w:t>
            </w:r>
          </w:p>
        </w:tc>
      </w:tr>
      <w:tr>
        <w:trPr>
          <w:trHeight w:val="27"/>
        </w:trPr>
        <w:tc>
          <w:tcPr>
            <w:tcW w:w="84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(479)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sheet classification of deferred tax assets/(liabilities):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Other long-term assets, net</w:t>
            </w:r>
          </w:p>
        </w:tc>
        <w:tc>
          <w:tcPr>
            <w:tcW w:w="900" w:type="dxa"/>
            <w:vAlign w:val="bottom"/>
          </w:tcPr>
          <w:p>
            <w:pPr>
              <w:jc w:val="right"/>
              <w:ind w:right="71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w:t>
            </w:r>
          </w:p>
        </w:tc>
      </w:tr>
      <w:tr>
        <w:trPr>
          <w:trHeight w:val="27"/>
        </w:trPr>
        <w:tc>
          <w:tcPr>
            <w:tcW w:w="8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long-term liabilities and deferred credits</w:t>
            </w: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(481)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w:t>
            </w:r>
          </w:p>
        </w:tc>
      </w:tr>
      <w:tr>
        <w:trPr>
          <w:trHeight w:val="237"/>
        </w:trPr>
        <w:tc>
          <w:tcPr>
            <w:tcW w:w="8400" w:type="dxa"/>
            <w:vAlign w:val="bottom"/>
          </w:tcPr>
          <w:p>
            <w:pPr>
              <w:spacing w:after="0"/>
              <w:rPr>
                <w:sz w:val="20"/>
                <w:szCs w:val="20"/>
                <w:color w:val="auto"/>
              </w:rPr>
            </w:pPr>
          </w:p>
        </w:tc>
        <w:tc>
          <w:tcPr>
            <w:tcW w:w="90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(479)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(499)</w:t>
            </w:r>
          </w:p>
        </w:tc>
      </w:tr>
      <w:tr>
        <w:trPr>
          <w:trHeight w:val="27"/>
        </w:trPr>
        <w:tc>
          <w:tcPr>
            <w:tcW w:w="8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
        </w:trPr>
        <w:tc>
          <w:tcPr>
            <w:tcW w:w="8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we had foreign net operating loss carryforwards of $9 million, which will expire beginning in 2034.</w:t>
      </w:r>
    </w:p>
    <w:p>
      <w:pPr>
        <w:spacing w:after="0" w:line="25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Generally, tax returns for our Canadian entities are open to audit from 2015 through 2019. Our U.S. and state tax years are generally open to examination from 2016 to 2019.</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reference to tax years 2008 to 2014, we have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transfer pricing matters totaling approximately $78 million (based on the exchange rate as of December 31, 2019). Payment of a portion of the assessment is required in order to file a notice of objection to dispute the reassessment. Accordingly, we have remitted approximately $48 million (based on the exchange rate as of December 31, 2019)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2019, we believe that our tax position associated with these matters is “more likely than not” to be sustained and have not recognized any amounts for uncertainty in income taxes related to these notices.</w:t>
      </w:r>
    </w:p>
    <w:p>
      <w:pPr>
        <w:spacing w:after="0" w:line="20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During the second quarter of 2019, the Alberta government enacted legislation that reduces the Alberta provincial corporate income tax rate from 12% to 8% over the period from July 1, 2019 through January 1, 2022. As a result, during the second quarter of 2019, we recognized a reduction of our deferred income tax liability of approximately $60 million and a corresponding deferred tax benefit.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9" w:name="page180"/>
    <w:bookmarkEnd w:id="1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16—Major Customers and Concentration of Credit Risk</w:t>
      </w:r>
    </w:p>
    <w:p>
      <w:pPr>
        <w:spacing w:after="0" w:line="256"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Marathon Petroleum Corporation and its subsidiaries accounted for 12%, 14% and 19% of our revenues for the years ended December 31, 2019, 2018 and 2017, respectively. ExxonMobil Corporation and its subsidiaries accounted for 12%, 14% and 11% of our revenues for the years ended December 31, 2019, 2018 and 2017, respectively. Phillips 66 Company and its subsidiaries accounted for 11% of our revenues for each of the years ended December 31, 2019 and 2017. No other customers accounted for 10% or more of our revenues during any of the three years ended December 31, 2019.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w:t>
      </w:r>
    </w:p>
    <w:p>
      <w:pPr>
        <w:spacing w:after="0" w:line="20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PAGP Class C Shares</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December 31, 2019 and 2018, we owned 549,538,139 and 516,938,280, respectively, Class C shares of PAGP. The Class C shares represent a non-economic limited partner interest in PAGP that provides us, as the sole holder, a “pass-through” voting right through which our common unitholders and Series A preferred unitholders have the effective right to vote, pro rata with the holders of Class A and Class B shares of PAGP, for the election of eligible PAGP GP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of Our General Partner and its Affiliates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general partner provides services necessary to manage and operate our business, properties and assets, including employing or retaining personnel. We do not pay our general partner a management fee, but we do reimburse our general partner for all direct and indirect costs it incurs or payments it makes on our behalf, including the costs of employee, officer and director compensation and benefits allocable to us as well as all other expenses necessary or appropriate to the conduct of our business.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 Total costs reimbursed by us to our general partner for the years ended December 31, 2019, 2018 and 2017 were $580 million, $494 million and $489 million,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Plains Entities entered into an Omnibus Agreement on November 15, 2016, which provides for the following:</w:t>
      </w:r>
    </w:p>
    <w:p>
      <w:pPr>
        <w:spacing w:after="0" w:line="252" w:lineRule="exact"/>
        <w:rPr>
          <w:sz w:val="20"/>
          <w:szCs w:val="20"/>
          <w:color w:val="auto"/>
        </w:rPr>
      </w:pPr>
    </w:p>
    <w:p>
      <w:pPr>
        <w:ind w:left="660" w:hanging="328"/>
        <w:spacing w:after="0" w:line="259"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that we will pay all direct or indirect expenses of any of the PAGP Entities, other than income taxes (including, but not limited to, (i) compensation for the directors of PAGP GP, (ii) director and officer liability insurance, (iii) listing exchange fees, (iv) investor relations expenses and (v) fees related to legal, tax, financial advisory and accounting services). We paid $4 million of such expenses in each of the years ended December 31, 2019, 2018 and 2017;</w:t>
      </w:r>
    </w:p>
    <w:p>
      <w:pPr>
        <w:spacing w:after="0" w:line="213"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ability of PAGP to issue additional Class A shares and use the net proceeds therefrom to purchase a like number of AAP units from AAP, and the corresponding ability of AAP to use the net proceeds therefrom to purchase a like number of our common units from us. During the year ended December 31, 2017, we issued approximately 1.8 million common units to AAP in connection with PAGP’s issuance of Class A shares under its Continuous Offering Program and 48.3 million common units to AAP in connection with PAGP’s March 2017 underwritten offering (See Note 12 for additional information); and</w:t>
      </w:r>
    </w:p>
    <w:p>
      <w:pPr>
        <w:spacing w:after="0" w:line="215"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ability of PAGP to lend proceeds of any future indebtedness incurred by it to AAP, and AAP’s corresponding ability to lend such proceeds to us, in each case on substantially the same terms as incurred by PAGP.</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80" w:name="page181"/>
    <w:bookmarkEnd w:id="1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other related parties include (i) principal owners and their affiliated entities and (ii) entities in which we hold investments and account for under the equity method of accounting (see Note 9 for information regarding such entities). We recognize as our principal owners entities that have a designated representative on the board of directors of PAGP GP and/or own greater than 10% of the limited partner interests in AAP. Such limited partner interests in AAP translates into a significantly smaller indirect ownership interest in PAA. We also consider subsidiaries or funds identified as affiliated with principal owners to be related parties.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2019, Kayne Anderson Capital Advisors, L.P. was a principal owner. Through various transactions by an affiliate of The Energy</w:t>
      </w:r>
    </w:p>
    <w:p>
      <w:pPr>
        <w:spacing w:after="0" w:line="29" w:lineRule="exact"/>
        <w:rPr>
          <w:sz w:val="20"/>
          <w:szCs w:val="20"/>
          <w:color w:val="auto"/>
        </w:rPr>
      </w:pPr>
    </w:p>
    <w:p>
      <w:pPr>
        <w:ind w:right="20" w:firstLine="8"/>
        <w:spacing w:after="0" w:line="241" w:lineRule="auto"/>
        <w:tabs>
          <w:tab w:leader="none" w:pos="18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Minerals Group (“EMG”) in May 2019, EMG</w:t>
      </w:r>
      <w:r>
        <w:rPr>
          <w:rFonts w:ascii="Arial" w:cs="Arial" w:eastAsia="Arial" w:hAnsi="Arial"/>
          <w:sz w:val="21"/>
          <w:szCs w:val="21"/>
          <w:color w:val="auto"/>
        </w:rPr>
        <w:t>’</w:t>
      </w:r>
      <w:r>
        <w:rPr>
          <w:rFonts w:ascii="Arial" w:cs="Arial" w:eastAsia="Arial" w:hAnsi="Arial"/>
          <w:sz w:val="18"/>
          <w:szCs w:val="18"/>
          <w:color w:val="auto"/>
        </w:rPr>
        <w:t>s limited partner interest in AAP was significantly reduced, which caused EMG to lose its right to designate a representative on the board of directors of PAGP GP. As a result, EMG</w:t>
      </w:r>
      <w:r>
        <w:rPr>
          <w:rFonts w:ascii="Arial" w:cs="Arial" w:eastAsia="Arial" w:hAnsi="Arial"/>
          <w:sz w:val="21"/>
          <w:szCs w:val="21"/>
          <w:color w:val="auto"/>
        </w:rPr>
        <w:t>’</w:t>
      </w:r>
      <w:r>
        <w:rPr>
          <w:rFonts w:ascii="Arial" w:cs="Arial" w:eastAsia="Arial" w:hAnsi="Arial"/>
          <w:sz w:val="18"/>
          <w:szCs w:val="18"/>
          <w:color w:val="auto"/>
        </w:rPr>
        <w:t>s board designee, John T. Raymond, was automatically removed from the PAGP GP board. Subsequent to such removal, Mr. Raymond was elected to continue to serve as a director of the PAGP GP board. Additionally, as a result of various transactions by Oxy in September 2019, Oxy no longer holds a limited partner interest in AAP and lost its right to designate a representative on the board of directors of PAGP GP. As a result, Oxy</w:t>
      </w:r>
      <w:r>
        <w:rPr>
          <w:rFonts w:ascii="Arial" w:cs="Arial" w:eastAsia="Arial" w:hAnsi="Arial"/>
          <w:sz w:val="21"/>
          <w:szCs w:val="21"/>
          <w:color w:val="auto"/>
        </w:rPr>
        <w:t>’</w:t>
      </w:r>
      <w:r>
        <w:rPr>
          <w:rFonts w:ascii="Arial" w:cs="Arial" w:eastAsia="Arial" w:hAnsi="Arial"/>
          <w:sz w:val="18"/>
          <w:szCs w:val="18"/>
          <w:color w:val="auto"/>
        </w:rPr>
        <w:t>s board designee, Oscar Brown, was automatically removed from the PAGP GP board. Following these transactions, we no longer recognize EMG or Oxy as a principal owner.</w:t>
      </w:r>
    </w:p>
    <w:p>
      <w:pPr>
        <w:spacing w:after="0" w:line="218"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During the three years ended December 31, 2019, we recognized sales and transportation revenues, purchased petroleum products and utilized transportation services from our principal owners and their affiliated entities and our equity method investees. These transactions were conducted at posted tariff rates or prices that we believe approximate market. Included in these transactions was a crude oil buy/sell agreement that includes a multi-year minimum volume commitment. The impact to our Consolidated Statements of Operations from these transactions is included below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r>
      <w:tr>
        <w:trPr>
          <w:trHeight w:val="27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3"/>
                <w:szCs w:val="23"/>
                <w:color w:val="auto"/>
                <w:vertAlign w:val="superscript"/>
              </w:rPr>
              <w:t>(1) (2)</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927</w:t>
            </w:r>
          </w:p>
        </w:tc>
      </w:tr>
      <w:tr>
        <w:trPr>
          <w:trHeight w:val="270"/>
        </w:trPr>
        <w:tc>
          <w:tcPr>
            <w:tcW w:w="68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3"/>
                <w:szCs w:val="23"/>
                <w:color w:val="auto"/>
                <w:vertAlign w:val="superscript"/>
              </w:rPr>
              <w:t>(2)</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4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A majority of these revenues are included in “Supply and Logistics segment revenues” on our Consolidated Statements of Operations.</w:t>
      </w:r>
    </w:p>
    <w:p>
      <w:pPr>
        <w:spacing w:after="0" w:line="129" w:lineRule="exact"/>
        <w:rPr>
          <w:sz w:val="20"/>
          <w:szCs w:val="20"/>
          <w:color w:val="auto"/>
        </w:rPr>
      </w:pPr>
    </w:p>
    <w:p>
      <w:pPr>
        <w:ind w:left="20" w:right="220" w:hanging="11"/>
        <w:spacing w:after="0" w:line="277" w:lineRule="auto"/>
        <w:rPr>
          <w:sz w:val="20"/>
          <w:szCs w:val="20"/>
          <w:color w:val="auto"/>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Consolidated Statements of Operations.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Our receivable and payable amounts with these related parties as reflected on our Consolidated Balance Sheets were as follows (in millions):</w:t>
      </w:r>
    </w:p>
    <w:p>
      <w:pPr>
        <w:spacing w:after="0" w:line="78"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96"/>
        </w:trPr>
        <w:tc>
          <w:tcPr>
            <w:tcW w:w="84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7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 (2)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144</w:t>
            </w:r>
          </w:p>
        </w:tc>
      </w:tr>
      <w:tr>
        <w:trPr>
          <w:trHeight w:val="257"/>
        </w:trPr>
        <w:tc>
          <w:tcPr>
            <w:tcW w:w="8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 (3)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4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have a netting arrangement with certain related parties. Receivables and payables are presented net of such amounts.</w:t>
      </w:r>
    </w:p>
    <w:p>
      <w:pPr>
        <w:spacing w:after="0" w:line="117" w:lineRule="exact"/>
        <w:rPr>
          <w:sz w:val="20"/>
          <w:szCs w:val="20"/>
          <w:color w:val="auto"/>
        </w:rPr>
      </w:pPr>
    </w:p>
    <w:p>
      <w:pPr>
        <w:ind w:left="20" w:right="340" w:hanging="11"/>
        <w:spacing w:after="0" w:line="277" w:lineRule="auto"/>
        <w:rPr>
          <w:sz w:val="20"/>
          <w:szCs w:val="20"/>
          <w:color w:val="auto"/>
        </w:rPr>
      </w:pPr>
      <w:r>
        <w:rPr>
          <w:rFonts w:ascii="Arial" w:cs="Arial" w:eastAsia="Arial" w:hAnsi="Arial"/>
          <w:sz w:val="18"/>
          <w:szCs w:val="18"/>
          <w:color w:val="auto"/>
        </w:rPr>
        <w:t>Includes amounts related to crude oil purchases and sales, transportation services and amounts owed to us or advanced to us related to expansion projects of equity method investees where we serve as construction manager.</w:t>
      </w:r>
    </w:p>
    <w:p>
      <w:pPr>
        <w:spacing w:after="0" w:line="62"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ind w:left="660" w:right="140" w:hanging="652"/>
        <w:spacing w:after="0" w:line="267" w:lineRule="auto"/>
        <w:tabs>
          <w:tab w:leader="none" w:pos="648" w:val="left"/>
        </w:tabs>
        <w:numPr>
          <w:ilvl w:val="0"/>
          <w:numId w:val="102"/>
        </w:numPr>
        <w:rPr>
          <w:rFonts w:ascii="Arial" w:cs="Arial" w:eastAsia="Arial" w:hAnsi="Arial"/>
          <w:sz w:val="21"/>
          <w:szCs w:val="21"/>
          <w:color w:val="auto"/>
          <w:vertAlign w:val="superscript"/>
        </w:rPr>
      </w:pPr>
      <w:r>
        <w:rPr>
          <w:rFonts w:ascii="Arial" w:cs="Arial" w:eastAsia="Arial" w:hAnsi="Arial"/>
          <w:sz w:val="16"/>
          <w:szCs w:val="16"/>
          <w:color w:val="auto"/>
        </w:rPr>
        <w:t>We have an agreement to transport crude oil at posted tariff rates on a pipeline that is owned by an equity method investee, in which we own a 50% interest. A portion of our commitment to transport is supported by crude oil buy/sell agreements with third parties with commensurate quantities.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81" w:name="page182"/>
    <w:bookmarkEnd w:id="1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18—Equity-Indexed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Long-Term Incentive Plan Awards</w:t>
      </w:r>
    </w:p>
    <w:p>
      <w:pPr>
        <w:spacing w:after="0" w:line="185"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of equity-classified LTIP awards is calculated based on the closing market price of the underlying PAA unit on the respective grant dates and adjusted for the present value of any distributions that are estimated to occur on the underlying units over the vesting period that will not be received by the award recipient. This fair value is recognized as compensation expense over the service period. We have elected to recognize forfeitures of awards when they occur.</w:t>
      </w:r>
    </w:p>
    <w:p>
      <w:pPr>
        <w:spacing w:after="0" w:line="21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LTIP awards contain (i) time based vesting criteria, (ii) performance conditions based on the attainment of certain levels of four quarter trailing distributable cash flow (“DCF”) per common unit (or in some instances, per common unit and common equivalent unit) or (iii) a combination of time based vesting criteria and performance conditions based on four quarter trailing DCF per common unit (or per common unit and common equivalent unit).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be if we had been accruing for these awards since the grant date.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awards authorized under our LTIPs as of December 31, 2019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LTIP</w:t>
            </w:r>
          </w:p>
        </w:tc>
        <w:tc>
          <w:tcPr>
            <w:tcW w:w="100" w:type="dxa"/>
            <w:vAlign w:val="bottom"/>
            <w:vMerge w:val="restart"/>
          </w:tcPr>
          <w:p>
            <w:pPr>
              <w:spacing w:after="0"/>
              <w:rPr>
                <w:sz w:val="14"/>
                <w:szCs w:val="14"/>
                <w:color w:val="auto"/>
              </w:rPr>
            </w:pPr>
          </w:p>
        </w:tc>
        <w:tc>
          <w:tcPr>
            <w:tcW w:w="2220" w:type="dxa"/>
            <w:vAlign w:val="bottom"/>
          </w:tcPr>
          <w:p>
            <w:pPr>
              <w:jc w:val="right"/>
              <w:ind w:right="696"/>
              <w:spacing w:after="0"/>
              <w:rPr>
                <w:sz w:val="20"/>
                <w:szCs w:val="20"/>
                <w:color w:val="auto"/>
              </w:rPr>
            </w:pPr>
            <w:r>
              <w:rPr>
                <w:rFonts w:ascii="Arial" w:cs="Arial" w:eastAsia="Arial" w:hAnsi="Arial"/>
                <w:sz w:val="14"/>
                <w:szCs w:val="14"/>
                <w:b w:val="1"/>
                <w:bCs w:val="1"/>
                <w:color w:val="auto"/>
              </w:rPr>
              <w:t>PAA LTIP</w:t>
            </w:r>
          </w:p>
        </w:tc>
        <w:tc>
          <w:tcPr>
            <w:tcW w:w="0" w:type="dxa"/>
            <w:vAlign w:val="bottom"/>
          </w:tcPr>
          <w:p>
            <w:pPr>
              <w:spacing w:after="0"/>
              <w:rPr>
                <w:sz w:val="1"/>
                <w:szCs w:val="1"/>
                <w:color w:val="auto"/>
              </w:rPr>
            </w:pPr>
          </w:p>
        </w:tc>
      </w:tr>
      <w:tr>
        <w:trPr>
          <w:trHeight w:val="188"/>
        </w:trPr>
        <w:tc>
          <w:tcPr>
            <w:tcW w:w="9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Awards Authorized</w:t>
            </w:r>
          </w:p>
        </w:tc>
        <w:tc>
          <w:tcPr>
            <w:tcW w:w="0" w:type="dxa"/>
            <w:vAlign w:val="bottom"/>
          </w:tcPr>
          <w:p>
            <w:pPr>
              <w:spacing w:after="0"/>
              <w:rPr>
                <w:sz w:val="1"/>
                <w:szCs w:val="1"/>
                <w:color w:val="auto"/>
              </w:rPr>
            </w:pPr>
          </w:p>
        </w:tc>
      </w:tr>
      <w:tr>
        <w:trPr>
          <w:trHeight w:val="245"/>
        </w:trPr>
        <w:tc>
          <w:tcPr>
            <w:tcW w:w="9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Plains All American 2013 Long-Term Incentive Plan</w:t>
            </w:r>
          </w:p>
        </w:tc>
        <w:tc>
          <w:tcPr>
            <w:tcW w:w="2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Plains All American PNG Successor Long-Term Incentive Plan</w:t>
            </w:r>
          </w:p>
        </w:tc>
        <w:tc>
          <w:tcPr>
            <w:tcW w:w="2220" w:type="dxa"/>
            <w:vAlign w:val="bottom"/>
          </w:tcPr>
          <w:p>
            <w:pPr>
              <w:jc w:val="right"/>
              <w:ind w:right="7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Plains All American GP LLC 2006 Long-Term Incentive Tracking Unit Plan</w:t>
            </w:r>
          </w:p>
        </w:tc>
        <w:tc>
          <w:tcPr>
            <w:tcW w:w="2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64"/>
        </w:trPr>
        <w:tc>
          <w:tcPr>
            <w:tcW w:w="9160" w:type="dxa"/>
            <w:vAlign w:val="bottom"/>
            <w:gridSpan w:val="2"/>
          </w:tcPr>
          <w:p>
            <w:pPr>
              <w:ind w:left="14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2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
        </w:trPr>
        <w:tc>
          <w:tcPr>
            <w:tcW w:w="9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5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380" w:hanging="652"/>
        <w:spacing w:after="0" w:line="227" w:lineRule="auto"/>
        <w:tabs>
          <w:tab w:leader="none" w:pos="648" w:val="left"/>
        </w:tabs>
        <w:numPr>
          <w:ilvl w:val="0"/>
          <w:numId w:val="103"/>
        </w:numPr>
        <w:rPr>
          <w:rFonts w:ascii="Arial" w:cs="Arial" w:eastAsia="Arial" w:hAnsi="Arial"/>
          <w:sz w:val="23"/>
          <w:szCs w:val="23"/>
          <w:color w:val="auto"/>
          <w:vertAlign w:val="superscript"/>
        </w:rPr>
      </w:pPr>
      <w:r>
        <w:rPr>
          <w:rFonts w:ascii="Arial" w:cs="Arial" w:eastAsia="Arial" w:hAnsi="Arial"/>
          <w:sz w:val="18"/>
          <w:szCs w:val="18"/>
          <w:color w:val="auto"/>
        </w:rPr>
        <w:t>Of the 25.2 million total awards authorized, 5.9 million awards are currently available. The remaining balance has already vested or is currently outstanding.</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Although other types of awards are contemplated under certain of the LTIPs, currently outstanding awards are limited to “phantom units,” which mature into the right to receive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PAA common unit. The DERs terminate with the vesting or forfeiture of the underlying LTIP award.</w:t>
      </w:r>
    </w:p>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2019, 7.1 million LTIP awards were outstanding. Of this amount, 5.4 million include DERs. The outstanding and probable LTIP awards are expected to vest at various dates between January 2020 and August 2026.</w:t>
      </w:r>
    </w:p>
    <w:p>
      <w:pPr>
        <w:spacing w:after="0" w:line="197"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Our accrued liability at December 31, 2019 related to all outstanding liability-classified LTIP awards and DERs was $13 million, of which $10 million was classified as short-term and $3 million was classified as long-term. At December 31, 2018, the accrued liability was $27 million, of which $19 million was classified as short-term and $8 million was classified as long-term. These short- and long-term accrued LTIP liabilities are reflected in “Other current liabilities” and “Other long-term liabilities and deferred credits,” respectively,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82" w:name="page183"/>
    <w:bookmarkEnd w:id="1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Activity for LTIP awards under our equity-indexed compensation plans denominated in PAA units is summarized in the following table (units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173"/>
              <w:spacing w:after="0"/>
              <w:rPr>
                <w:sz w:val="20"/>
                <w:szCs w:val="20"/>
                <w:color w:val="auto"/>
              </w:rPr>
            </w:pPr>
            <w:r>
              <w:rPr>
                <w:rFonts w:ascii="Arial" w:cs="Arial" w:eastAsia="Arial" w:hAnsi="Arial"/>
                <w:sz w:val="14"/>
                <w:szCs w:val="14"/>
                <w:b w:val="1"/>
                <w:bCs w:val="1"/>
                <w:color w:val="auto"/>
              </w:rPr>
              <w:t xml:space="preserve">PAA Units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52"/>
        </w:trPr>
        <w:tc>
          <w:tcPr>
            <w:tcW w:w="8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8080" w:type="dxa"/>
            <w:vAlign w:val="bottom"/>
          </w:tcPr>
          <w:p>
            <w:pPr>
              <w:spacing w:after="0"/>
              <w:rPr>
                <w:sz w:val="12"/>
                <w:szCs w:val="12"/>
                <w:color w:val="auto"/>
              </w:rPr>
            </w:pPr>
          </w:p>
        </w:tc>
        <w:tc>
          <w:tcPr>
            <w:tcW w:w="10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Units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0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Fair Value per Unit</w:t>
            </w:r>
          </w:p>
        </w:tc>
        <w:tc>
          <w:tcPr>
            <w:tcW w:w="0" w:type="dxa"/>
            <w:vAlign w:val="bottom"/>
          </w:tcPr>
          <w:p>
            <w:pPr>
              <w:spacing w:after="0"/>
              <w:rPr>
                <w:sz w:val="1"/>
                <w:szCs w:val="1"/>
                <w:color w:val="auto"/>
              </w:rPr>
            </w:pPr>
          </w:p>
        </w:tc>
      </w:tr>
      <w:tr>
        <w:trPr>
          <w:trHeight w:val="29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10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12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7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43"/>
        </w:trPr>
        <w:tc>
          <w:tcPr>
            <w:tcW w:w="9120" w:type="dxa"/>
            <w:vAlign w:val="bottom"/>
            <w:gridSpan w:val="2"/>
          </w:tcPr>
          <w:p>
            <w:pPr>
              <w:ind w:left="120"/>
              <w:spacing w:after="0"/>
              <w:rPr>
                <w:sz w:val="20"/>
                <w:szCs w:val="20"/>
                <w:color w:val="auto"/>
              </w:rPr>
            </w:pPr>
            <w:r>
              <w:rPr>
                <w:rFonts w:ascii="Arial" w:cs="Arial" w:eastAsia="Arial" w:hAnsi="Arial"/>
                <w:sz w:val="18"/>
                <w:szCs w:val="18"/>
                <w:color w:val="auto"/>
              </w:rPr>
              <w:t>Modified</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Cancelled or forfeited</w:t>
            </w: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64"/>
        </w:trPr>
        <w:tc>
          <w:tcPr>
            <w:tcW w:w="8080" w:type="dxa"/>
            <w:vAlign w:val="bottom"/>
          </w:tcPr>
          <w:p>
            <w:pPr>
              <w:ind w:left="20"/>
              <w:spacing w:after="0"/>
              <w:rPr>
                <w:sz w:val="20"/>
                <w:szCs w:val="20"/>
                <w:color w:val="auto"/>
              </w:rPr>
            </w:pPr>
            <w:r>
              <w:rPr>
                <w:rFonts w:ascii="Arial" w:cs="Arial" w:eastAsia="Arial" w:hAnsi="Arial"/>
                <w:sz w:val="18"/>
                <w:szCs w:val="18"/>
                <w:color w:val="auto"/>
              </w:rPr>
              <w:t>Outstanding at December 31, 2017</w:t>
            </w:r>
          </w:p>
        </w:tc>
        <w:tc>
          <w:tcPr>
            <w:tcW w:w="10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9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Granted</w:t>
            </w:r>
          </w:p>
        </w:tc>
        <w:tc>
          <w:tcPr>
            <w:tcW w:w="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43"/>
        </w:trPr>
        <w:tc>
          <w:tcPr>
            <w:tcW w:w="9120" w:type="dxa"/>
            <w:vAlign w:val="bottom"/>
            <w:gridSpan w:val="2"/>
          </w:tcPr>
          <w:p>
            <w:pPr>
              <w:ind w:left="120"/>
              <w:spacing w:after="0"/>
              <w:rPr>
                <w:sz w:val="20"/>
                <w:szCs w:val="20"/>
                <w:color w:val="auto"/>
              </w:rPr>
            </w:pPr>
            <w:r>
              <w:rPr>
                <w:rFonts w:ascii="Arial" w:cs="Arial" w:eastAsia="Arial" w:hAnsi="Arial"/>
                <w:sz w:val="18"/>
                <w:szCs w:val="18"/>
                <w:color w:val="auto"/>
              </w:rPr>
              <w:t>Vested</w:t>
            </w: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Modified</w:t>
            </w: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9120" w:type="dxa"/>
            <w:vAlign w:val="bottom"/>
            <w:gridSpan w:val="2"/>
          </w:tcPr>
          <w:p>
            <w:pPr>
              <w:ind w:left="120"/>
              <w:spacing w:after="0"/>
              <w:rPr>
                <w:sz w:val="20"/>
                <w:szCs w:val="20"/>
                <w:color w:val="auto"/>
              </w:rPr>
            </w:pPr>
            <w:r>
              <w:rPr>
                <w:rFonts w:ascii="Arial" w:cs="Arial" w:eastAsia="Arial" w:hAnsi="Arial"/>
                <w:sz w:val="18"/>
                <w:szCs w:val="18"/>
                <w:color w:val="auto"/>
              </w:rPr>
              <w:t>Cancelled or forfeited</w:t>
            </w: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0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12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7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43"/>
        </w:trPr>
        <w:tc>
          <w:tcPr>
            <w:tcW w:w="9120" w:type="dxa"/>
            <w:vAlign w:val="bottom"/>
            <w:gridSpan w:val="2"/>
          </w:tcPr>
          <w:p>
            <w:pPr>
              <w:ind w:left="120"/>
              <w:spacing w:after="0"/>
              <w:rPr>
                <w:sz w:val="20"/>
                <w:szCs w:val="20"/>
                <w:color w:val="auto"/>
              </w:rPr>
            </w:pPr>
            <w:r>
              <w:rPr>
                <w:rFonts w:ascii="Arial" w:cs="Arial" w:eastAsia="Arial" w:hAnsi="Arial"/>
                <w:sz w:val="18"/>
                <w:szCs w:val="18"/>
                <w:color w:val="auto"/>
              </w:rPr>
              <w:t>Cancelled or forfeited</w:t>
            </w: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5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660" w:right="340" w:hanging="652"/>
        <w:spacing w:after="0" w:line="269" w:lineRule="auto"/>
        <w:tabs>
          <w:tab w:leader="none" w:pos="648" w:val="left"/>
        </w:tabs>
        <w:numPr>
          <w:ilvl w:val="0"/>
          <w:numId w:val="104"/>
        </w:numPr>
        <w:rPr>
          <w:rFonts w:ascii="Arial" w:cs="Arial" w:eastAsia="Arial" w:hAnsi="Arial"/>
          <w:sz w:val="21"/>
          <w:szCs w:val="21"/>
          <w:color w:val="auto"/>
          <w:vertAlign w:val="superscript"/>
        </w:rPr>
      </w:pPr>
      <w:r>
        <w:rPr>
          <w:rFonts w:ascii="Arial" w:cs="Arial" w:eastAsia="Arial" w:hAnsi="Arial"/>
          <w:sz w:val="16"/>
          <w:szCs w:val="16"/>
          <w:color w:val="auto"/>
        </w:rPr>
        <w:t>Approximately 1.4 million, 0.6 million and 0.6 million PAA common units were issued, net of tax withholding of approximately 0.6 million, 0.2 million and 0.2 million units during 2019, 2018 and 2017, respectively, in connection with the settlement of vested awards. The remaining PAA awards (approximately 1.3 million, 0.9 million and 0.9 million units) that vested during 2019, 2018 and 2017, respectively, were settled in cash.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Equity-Indexed Compensation Plan Information</w:t>
      </w:r>
    </w:p>
    <w:p>
      <w:pPr>
        <w:spacing w:after="0" w:line="25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refer to all of the LTIPs as our “equity-indexed compensation plans.” The table below summarizes the expense recognized and the value of vested LTIP awards (settled both in common units and cash) under our equity-indexed compensation plans and includes both liability-classified and equity-classified awards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295910</wp:posOffset>
            </wp:positionV>
            <wp:extent cx="288988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5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Equity-indexed compensation expense</w:t>
            </w:r>
          </w:p>
        </w:tc>
        <w:tc>
          <w:tcPr>
            <w:tcW w:w="100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LTIP unit-settled vestings</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16</w:t>
            </w:r>
          </w:p>
        </w:tc>
      </w:tr>
      <w:tr>
        <w:trPr>
          <w:trHeight w:val="27"/>
        </w:trPr>
        <w:tc>
          <w:tcPr>
            <w:tcW w:w="6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LTIP cash-settled vestings</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w:t>
            </w:r>
          </w:p>
        </w:tc>
      </w:tr>
      <w:tr>
        <w:trPr>
          <w:trHeight w:val="27"/>
        </w:trPr>
        <w:tc>
          <w:tcPr>
            <w:tcW w:w="68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3" w:name="page184"/>
    <w:bookmarkEnd w:id="1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Based on the December 31, 2019 fair value measurement and probability assessment regarding future performance conditions based on distributable cash flow measures determined by management, we expect to recognize $52 million of additional expense over the life of our outstanding awards related to the remaining unrecognized fair value. Actual amounts may differ materially as a result of a change in the market price of our units and/or probability assessments regarding future distributable cash flow measures. We estimate that the remaining fair value will be recognized in expense as shown below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Equity-Indexed</w:t>
            </w:r>
          </w:p>
        </w:tc>
        <w:tc>
          <w:tcPr>
            <w:tcW w:w="0" w:type="dxa"/>
            <w:vAlign w:val="bottom"/>
          </w:tcPr>
          <w:p>
            <w:pPr>
              <w:spacing w:after="0"/>
              <w:rPr>
                <w:sz w:val="1"/>
                <w:szCs w:val="1"/>
                <w:color w:val="auto"/>
              </w:rPr>
            </w:pPr>
          </w:p>
        </w:tc>
      </w:tr>
      <w:tr>
        <w:trPr>
          <w:trHeight w:val="135"/>
        </w:trPr>
        <w:tc>
          <w:tcPr>
            <w:tcW w:w="8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1"/>
                <w:szCs w:val="11"/>
                <w:color w:val="auto"/>
              </w:rPr>
            </w:pPr>
          </w:p>
        </w:tc>
        <w:tc>
          <w:tcPr>
            <w:tcW w:w="232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w w:val="93"/>
              </w:rPr>
              <w:t>Compensation Plan Fair Value</w:t>
            </w:r>
          </w:p>
        </w:tc>
        <w:tc>
          <w:tcPr>
            <w:tcW w:w="0" w:type="dxa"/>
            <w:vAlign w:val="bottom"/>
          </w:tcPr>
          <w:p>
            <w:pPr>
              <w:spacing w:after="0"/>
              <w:rPr>
                <w:sz w:val="1"/>
                <w:szCs w:val="1"/>
                <w:color w:val="auto"/>
              </w:rPr>
            </w:pPr>
          </w:p>
        </w:tc>
      </w:tr>
      <w:tr>
        <w:trPr>
          <w:trHeight w:val="188"/>
        </w:trPr>
        <w:tc>
          <w:tcPr>
            <w:tcW w:w="8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 xml:space="preserve">Amortization </w:t>
            </w:r>
            <w:r>
              <w:rPr>
                <w:rFonts w:ascii="Arial" w:cs="Arial" w:eastAsia="Arial" w:hAnsi="Arial"/>
                <w:sz w:val="9"/>
                <w:szCs w:val="9"/>
                <w:b w:val="1"/>
                <w:bCs w:val="1"/>
                <w:color w:val="auto"/>
                <w:w w:val="95"/>
              </w:rPr>
              <w:t>(1)</w:t>
            </w:r>
          </w:p>
        </w:tc>
        <w:tc>
          <w:tcPr>
            <w:tcW w:w="0" w:type="dxa"/>
            <w:vAlign w:val="bottom"/>
          </w:tcPr>
          <w:p>
            <w:pPr>
              <w:spacing w:after="0"/>
              <w:rPr>
                <w:sz w:val="1"/>
                <w:szCs w:val="1"/>
                <w:color w:val="auto"/>
              </w:rPr>
            </w:pPr>
          </w:p>
        </w:tc>
      </w:tr>
      <w:tr>
        <w:trPr>
          <w:trHeight w:val="245"/>
        </w:trPr>
        <w:tc>
          <w:tcPr>
            <w:tcW w:w="87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tcPr>
          <w:p>
            <w:pPr>
              <w:jc w:val="right"/>
              <w:ind w:right="7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tcPr>
          <w:p>
            <w:pPr>
              <w:jc w:val="right"/>
              <w:ind w:right="7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86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2320" w:type="dxa"/>
            <w:vAlign w:val="bottom"/>
          </w:tcPr>
          <w:p>
            <w:pPr>
              <w:jc w:val="right"/>
              <w:ind w:right="7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5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180" w:hanging="652"/>
        <w:spacing w:after="0" w:line="227" w:lineRule="auto"/>
        <w:tabs>
          <w:tab w:leader="none" w:pos="648"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Amounts do not include fair value associated with awards containing performance conditions that are not considered to be probable of occurring at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2019 are summarized below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270"/>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130</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308</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754</w:t>
            </w:r>
          </w:p>
        </w:tc>
      </w:tr>
      <w:tr>
        <w:trPr>
          <w:trHeight w:val="27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3"/>
                <w:szCs w:val="23"/>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2,375</w:t>
            </w:r>
          </w:p>
        </w:tc>
      </w:tr>
      <w:tr>
        <w:trPr>
          <w:trHeight w:val="289"/>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3,129</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5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640" w:hanging="11"/>
        <w:spacing w:after="0" w:line="277" w:lineRule="auto"/>
        <w:rPr>
          <w:sz w:val="20"/>
          <w:szCs w:val="20"/>
          <w:color w:val="auto"/>
        </w:rPr>
      </w:pPr>
      <w:r>
        <w:rPr>
          <w:rFonts w:ascii="Arial" w:cs="Arial" w:eastAsia="Arial" w:hAnsi="Arial"/>
          <w:sz w:val="18"/>
          <w:szCs w:val="18"/>
          <w:color w:val="auto"/>
        </w:rPr>
        <w:t>Includes both operating and finance leases as defined by FASB guidance. Leases are primarily for (i) railcars, (ii) office space, (iii) land, (iv) vehicles, (v) storage tanks and (vi) tractor trailers. See Note 14 for additional information.</w:t>
      </w:r>
    </w:p>
    <w:p>
      <w:pPr>
        <w:spacing w:after="0" w:line="197" w:lineRule="exact"/>
        <w:rPr>
          <w:sz w:val="20"/>
          <w:szCs w:val="20"/>
          <w:color w:val="auto"/>
        </w:rPr>
      </w:pPr>
    </w:p>
    <w:p>
      <w:pPr>
        <w:ind w:right="20" w:hanging="11"/>
        <w:spacing w:after="0" w:line="257" w:lineRule="auto"/>
        <w:rPr>
          <w:sz w:val="20"/>
          <w:szCs w:val="20"/>
          <w:color w:val="auto"/>
        </w:rPr>
      </w:pPr>
      <w:r>
        <w:rPr>
          <w:rFonts w:ascii="Arial" w:cs="Arial" w:eastAsia="Arial" w:hAnsi="Arial"/>
          <w:sz w:val="18"/>
          <w:szCs w:val="18"/>
          <w:color w:val="auto"/>
        </w:rPr>
        <w:t>Primarily includes third-party storage and transportation agreements and pipeline throughput agreements, as well as approximately $1.8 billion associated with agreements to store, process and transport crude oil at posted tariff rates on pipelines or at facilities that are owned by equity method investees, in which we own a 50% interest. A portion of our commitment to transport is supported by crude oil buy/sell agreements with third parties with commensurate quantities. Expense associated with these storage, transportation and throughput agreements was approximately $236 million, $228 million and $197 million for 2019, 2018 and 2017, respectively.</w:t>
      </w:r>
    </w:p>
    <w:p>
      <w:pPr>
        <w:spacing w:after="0" w:line="200" w:lineRule="exact"/>
        <w:rPr>
          <w:sz w:val="20"/>
          <w:szCs w:val="20"/>
          <w:color w:val="auto"/>
        </w:rPr>
      </w:pPr>
    </w:p>
    <w:p>
      <w:pPr>
        <w:sectPr>
          <w:pgSz w:w="11900" w:h="16838" w:orient="portrait"/>
          <w:cols w:equalWidth="0" w:num="2">
            <w:col w:w="140" w:space="520"/>
            <w:col w:w="10740"/>
          </w:cols>
          <w:pgMar w:left="240" w:top="125" w:right="25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5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84" w:name="page185"/>
    <w:bookmarkEnd w:id="1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5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9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5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Although over the course of the last several years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7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20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At December 31, 2019, our estimated undiscounted reserve for environmental liabilities (including liabilities related to the Line 901 incident, as discussed further below) totaled $140 million, of which $60 million was classified as short-term and $80 million was classified as long-term. At December 31, 2018, our estimated undiscounted reserve for environmental liabilities (including liabilities related to the Line 901 incident) totaled $135 million, of which $43 million was classified as short-term and $92 million was classified as long-term. Such short- and long-term environmental liabilities are reflected in “Other current liabilities” and “Other long-term liabilities and deferred credits,” respectively, on our Consolidated Balance Sheets. At December 31, 2019, we had recorded receivables totaling $72 million for amounts probable of recovery under insurance and from third parties under indemnification agreements, of which $35 million was classified as short-term and $37 million was classified as long-term. At December 31, 2018, we had recorded $61 million of such receivables, of which $28 million was classified as short-term and $33 million was classified as long-term. Such short- and long-term receivables are reflected in “Trade accounts receivable and other receivables, net” and “Other long-term assets, net,” respectively,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5" w:name="page186"/>
    <w:bookmarkEnd w:id="1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i w:val="1"/>
          <w:iCs w:val="1"/>
          <w:color w:val="auto"/>
        </w:rPr>
        <w:t>Line 901 Incident</w:t>
      </w:r>
      <w:r>
        <w:rPr>
          <w:rFonts w:ascii="Arial" w:cs="Arial" w:eastAsia="Arial" w:hAnsi="Arial"/>
          <w:sz w:val="16"/>
          <w:szCs w:val="16"/>
          <w:color w:val="auto"/>
        </w:rPr>
        <w:t>. In May 2015, we experienced a crude oil release from our Las Flores to Gaviota Pipeline (Line 901) in Santa Barbara County,</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9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87"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12,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which was subsequently lifted,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No timeline has been established for the restart of Line 901 or Line 903.</w:t>
      </w:r>
    </w:p>
    <w:p>
      <w:pPr>
        <w:spacing w:after="0" w:line="20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brought any such civil or criminal charges with respect to the Line 901 release, their investigation is still open and we are likely to have fines or penalties imposed upon us, and civil charges brought against us, in the future.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6" w:name="page187"/>
    <w:bookmarkEnd w:id="1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In late May of 2015, the California Attorney General’s Office and the District Attorney’s office for the County of Santa Barbara (collectively, the “Prosecutors”)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against PAA. On July 28, 2016, at an arraignment hearing held in California Superior Court in Santa Barbara County, PAA pled not guilty to all counts. Between May of 2016 and May of 2018, 31 of the criminal charges against PAA (including one felony charge) and all of the criminal charges against our employee, were dismissed. The remaining 15 charges were the subject of a jury trial in California Superior Court in Santa Barbara County that began in May of 2018.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jury deadlocked on three counts (including two felony discharge counts and one strict liability animal takings count), and two misdemeanor discharge counts were dropped.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Superior Court also indicated that it would conduct further hearings on the issue of whether there were any “direct victims” of the spill that are entitled to restitution under applicable law. We do not anticipate that the victim restitution, if any, imposed as a result of these proceedings will have a material adverse impact on the financial position or operations of the Partnership. In April of 2019, the Prosecutors announced their intent to re-try the two felony discharge counts for which no jury verdict was returned. The strict liability animal taking count for which no jury verdict was returned has been dismissed. On October 7, 2019, upon motion from Plains, the court dismissed the two remaining felony counts and vacated a second trial on these counts.</w:t>
      </w:r>
    </w:p>
    <w:p>
      <w:pPr>
        <w:spacing w:after="0" w:line="210" w:lineRule="exact"/>
        <w:rPr>
          <w:sz w:val="20"/>
          <w:szCs w:val="20"/>
          <w:color w:val="auto"/>
        </w:rPr>
      </w:pPr>
    </w:p>
    <w:p>
      <w:pPr>
        <w:ind w:right="220" w:firstLine="648"/>
        <w:spacing w:after="0" w:line="285" w:lineRule="auto"/>
        <w:rPr>
          <w:sz w:val="20"/>
          <w:szCs w:val="20"/>
          <w:color w:val="auto"/>
        </w:rPr>
      </w:pPr>
      <w:r>
        <w:rPr>
          <w:rFonts w:ascii="Arial" w:cs="Arial" w:eastAsia="Arial" w:hAnsi="Arial"/>
          <w:sz w:val="16"/>
          <w:szCs w:val="16"/>
          <w:color w:val="auto"/>
        </w:rPr>
        <w:t>Also in late May of 2015,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have cooperated with the DOJ’s investigation by responding to their requests for documents and access to our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w:t>
      </w:r>
    </w:p>
    <w:p>
      <w:pPr>
        <w:spacing w:after="0" w:line="2" w:lineRule="exact"/>
        <w:rPr>
          <w:sz w:val="20"/>
          <w:szCs w:val="20"/>
          <w:color w:val="auto"/>
        </w:rPr>
      </w:pPr>
    </w:p>
    <w:p>
      <w:pPr>
        <w:ind w:right="80" w:firstLine="8"/>
        <w:spacing w:after="0" w:line="290" w:lineRule="auto"/>
        <w:tabs>
          <w:tab w:leader="none" w:pos="3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We have provided various responsive materials to date and we will continue to do so in the future in cooperation with the EPA. Except in connection with the May 2016 Indictment and the 2019 Sentence, to date no civil enforcement actions or criminal charges with respect to the Line 901 release have been brought against PAA or any of its affiliates, officers or employees by PHMSA, the DOJ, the EPA, the California Attorney General or the California Department of Fish and Wildlife, and no fines or penalties have been imposed by such governmental agencies; however, the investigations being conducted by such agencies are still open and we may have fines or penalties imposed upon us, our officers or our employees in the future, or civil actions or criminal charges brought against us, our officers or our employees in the future, whether by those or other governmental agencies.</w:t>
      </w:r>
    </w:p>
    <w:p>
      <w:pPr>
        <w:spacing w:after="0" w:line="19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have been processing those claims and making payments as appropriate.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three sub-classes of claimants and denied certification of the other proposed sub-class. On appeal, the Ninth Circuit Court of Appeals overturned the certification of the oil-industry sub-class, so the remaining sub-classes that have been certified include (i) commercial fishermen who landed fish in certain specified fishing blocks in the waters adjacent to Santa Barbara County or persons or businesses who resold commercial seafood landed in such areas; and (ii) beachfront property and easement owners whose properties were oiled.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96"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There were also two securities law class action lawsuits filed on behalf of certain purported investors in the Partnership and/or PAGP against the Partnership, PAGP and/or certain of their respective officers, directors and underwriters. Both of these lawsuits were consolidated into a single proceeding in the United States District Court for the Southern District of Texas. In general, these lawsuits alleged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claimed unspecified damages as a result of the reduction in value of</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7" w:name="page188"/>
    <w:bookmarkEnd w:id="1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their investments in the Partnership and PAGP, which they attributed to the alleged wrongful acts of the defendants. The Partnership and PAGP, and the other defendants, denied the allegations in, and moved to dismiss these lawsuits. On March 29, 2017, the Court ruled in our favor dismissing all claims against all defendants. Plaintiffs refiled their complaint. On April 2, 2018, the Court dismissed all of the refiled claims against all defendants with prejudice. Plaintiffs appealed the dismissal, and on July 16, 2019 the Fifth Circuit Court of Appeals affirmed the dismissal. The time period for a further appeal to the U.S. Supreme Court has lapsed so this ruling is now final. Consistent with and subject to the terms of our governing organizational documents (and to the extent applicable, insurance policies), we indemnified and funded the defense costs of our officers and directors in connection with this lawsuit; we also indemnified and funded the defense costs of our underwriters pursuant to the terms of the underwriting agreements we previously entered into with such underwriters.</w:t>
      </w:r>
    </w:p>
    <w:p>
      <w:pPr>
        <w:spacing w:after="0" w:line="19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addition, four unitholder derivative lawsuits have been filed by certain purported investors in the Partnership against PAGP and certain of the Partnership’s affiliates, officers and directors. One lawsuit was filed in State District Court in Harris County, Texas and 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w:t>
      </w:r>
    </w:p>
    <w:p>
      <w:pPr>
        <w:spacing w:after="0" w:line="19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Following the order dismissing the Texas Federal Court suits, a new derivative suit brought by different plaintiffs was filed in Delaware Chancery Court and subsequently dismissed without prejudice. Plaintiffs amended and refiled their complaint on June 3, 2019. All claims against the officers and directors of the Partnership and all affiliates of the Partnership, except PAGP, were dismissed with prejudice in January 2020. Consistent with and subject to the terms of our governing organizational documents (and to the extent applicable, insurance policies), we have indemnified and funded the defense costs of our officers and directors in connection with these lawsuits. We will vigorously defend the remaining derivative claim against PAGP.</w:t>
      </w:r>
    </w:p>
    <w:p>
      <w:pPr>
        <w:spacing w:after="0" w:line="18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w:t>
      </w:r>
    </w:p>
    <w:p>
      <w:pPr>
        <w:spacing w:after="0" w:line="208"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In addition to the foregoing, 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following federal and state agencies designated or authorized by law to act as trustees for the natural resources of the United States and the State of California (collectively, the “Trustees”): the United States Department of Interior, the National Oceanic and Atmospheric Administration, CDFW, the California Department of Parks and Recreation, the California State Lands Commission, and the Regents of the University of California. As part of the NRDA process, the Partnership and the Trustees jointly and independently planned and conducted a number of natural resource assessment activities related to the Line 901 incident. We are currently involved in discussions with the Trustees to determine the amount we will be required to pay as compensation for injuries to, destruction of, loss of, or loss of use of natural resources resulting from the Line 901 incident. We also have exposure to the payment of additional fines, penalties and costs under other applicable federal, state and local laws, statutes and regulations. We are actively involved in discussions with the relevant federal and state agencies to determine the amount of such fines, penalties and costs, and we have included an estimate of such costs in the loss accrual described below. To the extent any unpaid natural resource damages or other fines, penalties or costs are reasonably estimable, we have included an estimate of such costs in the loss accrual described below.</w:t>
      </w:r>
    </w:p>
    <w:p>
      <w:pPr>
        <w:spacing w:after="0" w:line="21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Taking the foregoing into account, as of December 31, 2019, we estimate that the aggregate total costs we have incurred or will incur with respect to the Line 901 incident will be approximately $390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or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8" w:name="page189"/>
    <w:bookmarkEnd w:id="1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6"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As of December 31, 2019, we had a remaining undiscounted gross liability of $83 million related to this event, of which approximately $50 million is presented in “Other current liabilities” on our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December 31, 2019, we had collected, subject to customary reservations, $203 million out of the approximate $265 million of release costs that we believe are probable of recovery from insurance carriers, net of deductibles. Therefore, as of December 31, 2019, we have recognized a receivable of approximately $62 million for the portion of the release costs that we believe is probable of recovery from insurance, net of deductibles and amounts already collected. Of this amount, approximately $28 million is recognized as a current asset in “Trade accounts receivable and other receivables, net” on our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20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 xml:space="preserve">San Joaquin Valley Air Pollution Control District. </w:t>
      </w:r>
      <w:r>
        <w:rPr>
          <w:rFonts w:ascii="Arial" w:cs="Arial" w:eastAsia="Arial" w:hAnsi="Arial"/>
          <w:sz w:val="16"/>
          <w:szCs w:val="16"/>
          <w:color w:val="auto"/>
        </w:rPr>
        <w:t>After conducting inspections of the Plains LPG Services, L.P. (“Plains LPG”) facility in Shafter,</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during March and June of 2018, the San Joaquin Valley Air Pollution Control District (the “District”) issued four Notices of Violation which totaled $597,000 in the aggregate. Plains LPG entered into a settlement with the District whereby Plains LPG agreed to enter the District’s INSPECT program</w:t>
      </w:r>
    </w:p>
    <w:p>
      <w:pPr>
        <w:spacing w:after="0"/>
        <w:rPr>
          <w:sz w:val="20"/>
          <w:szCs w:val="20"/>
          <w:color w:val="auto"/>
        </w:rPr>
      </w:pPr>
      <w:r>
        <w:rPr>
          <w:rFonts w:ascii="Arial" w:cs="Arial" w:eastAsia="Arial" w:hAnsi="Arial"/>
          <w:sz w:val="18"/>
          <w:szCs w:val="18"/>
          <w:color w:val="auto"/>
        </w:rPr>
        <w:t>(a self-reporting and inspection program) and pay a reduced fine of $275,000, which was paid in July 2019</w:t>
      </w:r>
      <w:r>
        <w:rPr>
          <w:rFonts w:ascii="Arial" w:cs="Arial" w:eastAsia="Arial" w:hAnsi="Arial"/>
          <w:sz w:val="21"/>
          <w:szCs w:val="21"/>
          <w:color w:val="000080"/>
        </w:rPr>
        <w:t>.</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18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22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214"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Assets we have acquired or will acquire in the future may have environmental remediation liabilities for which we are not indemnified. We have in the past experienced and in the future likely will experience releases of hydrocarbon products into the environment from our pipeline, rail, storage and other facility operations. We also may discover environmental impacts from past releases that were previously unidentified.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9" w:name="page190"/>
    <w:bookmarkEnd w:id="1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18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22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0" w:name="page191"/>
    <w:bookmarkEnd w:id="1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20—Quarterly Financial Data (Unaudited)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b w:val="1"/>
                <w:bCs w:val="1"/>
                <w:color w:val="auto"/>
              </w:rPr>
              <w:t>First</w:t>
            </w:r>
          </w:p>
        </w:tc>
        <w:tc>
          <w:tcPr>
            <w:tcW w:w="360" w:type="dxa"/>
            <w:vAlign w:val="bottom"/>
          </w:tcPr>
          <w:p>
            <w:pPr>
              <w:spacing w:after="0"/>
              <w:rPr>
                <w:sz w:val="14"/>
                <w:szCs w:val="14"/>
                <w:color w:val="auto"/>
              </w:rPr>
            </w:pPr>
          </w:p>
        </w:tc>
        <w:tc>
          <w:tcPr>
            <w:tcW w:w="960" w:type="dxa"/>
            <w:vAlign w:val="bottom"/>
          </w:tcPr>
          <w:p>
            <w:pPr>
              <w:jc w:val="right"/>
              <w:ind w:right="273"/>
              <w:spacing w:after="0"/>
              <w:rPr>
                <w:sz w:val="20"/>
                <w:szCs w:val="20"/>
                <w:color w:val="auto"/>
              </w:rPr>
            </w:pPr>
            <w:r>
              <w:rPr>
                <w:rFonts w:ascii="Arial" w:cs="Arial" w:eastAsia="Arial" w:hAnsi="Arial"/>
                <w:sz w:val="14"/>
                <w:szCs w:val="14"/>
                <w:b w:val="1"/>
                <w:bCs w:val="1"/>
                <w:color w:val="auto"/>
              </w:rPr>
              <w:t>Second</w:t>
            </w:r>
          </w:p>
        </w:tc>
        <w:tc>
          <w:tcPr>
            <w:tcW w:w="360" w:type="dxa"/>
            <w:vAlign w:val="bottom"/>
          </w:tcPr>
          <w:p>
            <w:pPr>
              <w:spacing w:after="0"/>
              <w:rPr>
                <w:sz w:val="14"/>
                <w:szCs w:val="14"/>
                <w:color w:val="auto"/>
              </w:rPr>
            </w:pPr>
          </w:p>
        </w:tc>
        <w:tc>
          <w:tcPr>
            <w:tcW w:w="980" w:type="dxa"/>
            <w:vAlign w:val="bottom"/>
          </w:tcPr>
          <w:p>
            <w:pPr>
              <w:jc w:val="center"/>
              <w:ind w:right="132"/>
              <w:spacing w:after="0"/>
              <w:rPr>
                <w:sz w:val="20"/>
                <w:szCs w:val="20"/>
                <w:color w:val="auto"/>
              </w:rPr>
            </w:pPr>
            <w:r>
              <w:rPr>
                <w:rFonts w:ascii="Arial" w:cs="Arial" w:eastAsia="Arial" w:hAnsi="Arial"/>
                <w:sz w:val="14"/>
                <w:szCs w:val="14"/>
                <w:b w:val="1"/>
                <w:bCs w:val="1"/>
                <w:color w:val="auto"/>
              </w:rPr>
              <w:t>Third</w:t>
            </w:r>
          </w:p>
        </w:tc>
        <w:tc>
          <w:tcPr>
            <w:tcW w:w="440" w:type="dxa"/>
            <w:vAlign w:val="bottom"/>
          </w:tcPr>
          <w:p>
            <w:pPr>
              <w:spacing w:after="0"/>
              <w:rPr>
                <w:sz w:val="14"/>
                <w:szCs w:val="14"/>
                <w:color w:val="auto"/>
              </w:rPr>
            </w:pPr>
          </w:p>
        </w:tc>
        <w:tc>
          <w:tcPr>
            <w:tcW w:w="880" w:type="dxa"/>
            <w:vAlign w:val="bottom"/>
          </w:tcPr>
          <w:p>
            <w:pPr>
              <w:jc w:val="right"/>
              <w:ind w:right="292"/>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14"/>
                <w:szCs w:val="14"/>
                <w:color w:val="auto"/>
              </w:rPr>
            </w:pPr>
          </w:p>
        </w:tc>
        <w:tc>
          <w:tcPr>
            <w:tcW w:w="9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8"/>
              </w:rPr>
              <w:t>Quarter</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4"/>
          </w:tcPr>
          <w:p>
            <w:pPr>
              <w:jc w:val="center"/>
              <w:ind w:left="573"/>
              <w:spacing w:after="0"/>
              <w:rPr>
                <w:sz w:val="20"/>
                <w:szCs w:val="20"/>
                <w:color w:val="auto"/>
              </w:rPr>
            </w:pPr>
            <w:r>
              <w:rPr>
                <w:rFonts w:ascii="Arial" w:cs="Arial" w:eastAsia="Arial" w:hAnsi="Arial"/>
                <w:sz w:val="14"/>
                <w:szCs w:val="14"/>
                <w:b w:val="1"/>
                <w:bCs w:val="1"/>
                <w:color w:val="auto"/>
                <w:w w:val="93"/>
              </w:rPr>
              <w:t>(in millions, except per unit data)</w:t>
            </w: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8,375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8,253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7,886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9,154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33,669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526</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566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714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451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492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331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970</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448</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454</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Net income attributable to PAA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970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446</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449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306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1.26</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0.54</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0.55</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0.35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Diluted net income per common unit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1.20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0.54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0.55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0.35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Cash distributions per common unit </w:t>
            </w:r>
            <w:r>
              <w:rPr>
                <w:rFonts w:ascii="Arial" w:cs="Arial" w:eastAsia="Arial" w:hAnsi="Arial"/>
                <w:sz w:val="23"/>
                <w:szCs w:val="23"/>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0.36</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2018</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8,398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8,080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8,792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8,786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34,055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567</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1,399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381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88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493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1,315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288</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710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1,117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Net income attributable to PAA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288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710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1,117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0.33</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0.07</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0.91</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Diluted net income per common unit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0.33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0.07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0.87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1.38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Cash distributions per common unit </w:t>
            </w:r>
            <w:r>
              <w:rPr>
                <w:rFonts w:ascii="Arial" w:cs="Arial" w:eastAsia="Arial" w:hAnsi="Arial"/>
                <w:sz w:val="23"/>
                <w:szCs w:val="23"/>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0.30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6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four quarters may not equal the total year due to rounding.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Gross margin is calculated as Total revenues less (i) Purchases and related costs, (ii) Field operating costs, (iii) Depreciation and amortization and</w:t>
      </w:r>
    </w:p>
    <w:p>
      <w:pPr>
        <w:spacing w:after="0" w:line="46" w:lineRule="exact"/>
        <w:rPr>
          <w:sz w:val="20"/>
          <w:szCs w:val="20"/>
          <w:color w:val="auto"/>
        </w:rPr>
      </w:pPr>
    </w:p>
    <w:p>
      <w:pPr>
        <w:ind w:right="5580" w:firstLine="16"/>
        <w:spacing w:after="0" w:line="464" w:lineRule="auto"/>
        <w:tabs>
          <w:tab w:leader="none" w:pos="31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(Gains)/losses on asset sales and asset impairments, net. Represents cash distributions declared and paid in the period presented.</w:t>
      </w:r>
    </w:p>
    <w:p>
      <w:pPr>
        <w:spacing w:after="0" w:line="54" w:lineRule="exact"/>
        <w:rPr>
          <w:sz w:val="20"/>
          <w:szCs w:val="20"/>
          <w:color w:val="auto"/>
        </w:rPr>
      </w:pPr>
    </w:p>
    <w:p>
      <w:pPr>
        <w:sectPr>
          <w:pgSz w:w="11900" w:h="16838" w:orient="portrait"/>
          <w:cols w:equalWidth="0" w:num="2">
            <w:col w:w="140" w:space="500"/>
            <w:col w:w="10740"/>
          </w:cols>
          <w:pgMar w:left="240" w:top="125" w:right="2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 21—Operating Segments</w:t>
      </w:r>
    </w:p>
    <w:p>
      <w:pPr>
        <w:spacing w:after="0" w:line="25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See Note 3 for a summary of the types of products and services from which each segment derives its revenues. Our Chief Operating Decision Maker (“CODM”) (our Chief Executive Officer) evaluates segment performance based on measures including Segment Adjusted EBITDA (as defined below) and maintenance capital investment.</w:t>
      </w:r>
    </w:p>
    <w:p>
      <w:pPr>
        <w:spacing w:after="0" w:line="17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our proportionate share of the depreciation and amortization expense of, and gains and losses on significant asset sales by,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w:t>
      </w:r>
    </w:p>
    <w:p>
      <w:pPr>
        <w:sectPr>
          <w:pgSz w:w="11900" w:h="16838" w:orient="portrait"/>
          <w:cols w:equalWidth="0" w:num="1">
            <w:col w:w="11380"/>
          </w:cols>
          <w:pgMar w:left="240" w:top="125"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191" w:name="page192"/>
    <w:bookmarkEnd w:id="1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crude oil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 which is deducted in determining “available cash”. Repair and maintenance expenditures incurred in order to maintain the day to day operation of our existing assets are charged to expense as incurred.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Supply and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Intersegment</w:t>
            </w:r>
          </w:p>
        </w:tc>
        <w:tc>
          <w:tcPr>
            <w:tcW w:w="32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32,272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33,669</w:t>
            </w:r>
          </w:p>
        </w:tc>
        <w:tc>
          <w:tcPr>
            <w:tcW w:w="0" w:type="dxa"/>
            <w:vAlign w:val="bottom"/>
          </w:tcPr>
          <w:p>
            <w:pPr>
              <w:spacing w:after="0"/>
              <w:rPr>
                <w:sz w:val="1"/>
                <w:szCs w:val="1"/>
                <w:color w:val="auto"/>
              </w:rPr>
            </w:pPr>
          </w:p>
        </w:tc>
      </w:tr>
      <w:tr>
        <w:trPr>
          <w:trHeight w:val="270"/>
        </w:trPr>
        <w:tc>
          <w:tcPr>
            <w:tcW w:w="4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84"/>
        </w:trPr>
        <w:tc>
          <w:tcPr>
            <w:tcW w:w="4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32,276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35,767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0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1,722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00" w:type="dxa"/>
            <w:vAlign w:val="bottom"/>
          </w:tcPr>
          <w:p>
            <w:pPr>
              <w:ind w:left="20"/>
              <w:spacing w:after="0" w:line="244"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14,902</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6,439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3,557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4"/>
                <w:szCs w:val="24"/>
                <w:color w:val="auto"/>
              </w:rPr>
            </w:pPr>
          </w:p>
        </w:tc>
        <w:tc>
          <w:tcPr>
            <w:tcW w:w="112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Supply and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Intersegment</w:t>
            </w:r>
          </w:p>
        </w:tc>
        <w:tc>
          <w:tcPr>
            <w:tcW w:w="320" w:type="dxa"/>
            <w:vAlign w:val="bottom"/>
          </w:tcPr>
          <w:p>
            <w:pPr>
              <w:spacing w:after="0"/>
              <w:rPr>
                <w:sz w:val="24"/>
                <w:szCs w:val="2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32,819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34,055</w:t>
            </w:r>
          </w:p>
        </w:tc>
        <w:tc>
          <w:tcPr>
            <w:tcW w:w="0" w:type="dxa"/>
            <w:vAlign w:val="bottom"/>
          </w:tcPr>
          <w:p>
            <w:pPr>
              <w:spacing w:after="0"/>
              <w:rPr>
                <w:sz w:val="1"/>
                <w:szCs w:val="1"/>
                <w:color w:val="auto"/>
              </w:rPr>
            </w:pPr>
          </w:p>
        </w:tc>
      </w:tr>
      <w:tr>
        <w:trPr>
          <w:trHeight w:val="270"/>
        </w:trPr>
        <w:tc>
          <w:tcPr>
            <w:tcW w:w="4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84"/>
        </w:trPr>
        <w:tc>
          <w:tcPr>
            <w:tcW w:w="4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32,822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35,973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0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00" w:type="dxa"/>
            <w:vAlign w:val="bottom"/>
          </w:tcPr>
          <w:p>
            <w:pPr>
              <w:ind w:left="20"/>
              <w:spacing w:after="0" w:line="244"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13,288</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7,200</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5,023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25,511</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2,594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192" w:name="page193"/>
    <w:bookmarkEnd w:id="1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right"/>
              <w:ind w:right="233"/>
              <w:spacing w:after="0"/>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Intersegment</w:t>
            </w:r>
          </w:p>
        </w:tc>
        <w:tc>
          <w:tcPr>
            <w:tcW w:w="32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93"/>
              <w:spacing w:after="0"/>
              <w:rPr>
                <w:sz w:val="20"/>
                <w:szCs w:val="20"/>
                <w:color w:val="auto"/>
              </w:rPr>
            </w:pPr>
            <w:r>
              <w:rPr>
                <w:rFonts w:ascii="Arial" w:cs="Arial" w:eastAsia="Arial" w:hAnsi="Arial"/>
                <w:sz w:val="14"/>
                <w:szCs w:val="14"/>
                <w:b w:val="1"/>
                <w:bCs w:val="1"/>
                <w:color w:val="auto"/>
              </w:rPr>
              <w:t>Logistics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26,223</w:t>
            </w:r>
          </w:p>
        </w:tc>
        <w:tc>
          <w:tcPr>
            <w:tcW w:w="0" w:type="dxa"/>
            <w:vAlign w:val="bottom"/>
          </w:tcPr>
          <w:p>
            <w:pPr>
              <w:spacing w:after="0"/>
              <w:rPr>
                <w:sz w:val="1"/>
                <w:szCs w:val="1"/>
                <w:color w:val="auto"/>
              </w:rPr>
            </w:pPr>
          </w:p>
        </w:tc>
      </w:tr>
      <w:tr>
        <w:trPr>
          <w:trHeight w:val="270"/>
        </w:trPr>
        <w:tc>
          <w:tcPr>
            <w:tcW w:w="4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84"/>
        </w:trPr>
        <w:tc>
          <w:tcPr>
            <w:tcW w:w="4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1,718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25,065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27,956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0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1,287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00" w:type="dxa"/>
            <w:vAlign w:val="bottom"/>
          </w:tcPr>
          <w:p>
            <w:pPr>
              <w:ind w:left="20"/>
              <w:spacing w:after="0" w:line="244"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2017</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w w:val="9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2C2C2C"/>
              </w:rPr>
              <w:t>12,661</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2C2C2C"/>
                <w:w w:val="7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2C2C2C"/>
              </w:rPr>
              <w:t>7,313</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w w:val="99"/>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2C2C2C"/>
              </w:rPr>
              <w:t>5,377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25,351</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2,681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6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hanging="11"/>
        <w:spacing w:after="0" w:line="276" w:lineRule="auto"/>
        <w:rPr>
          <w:sz w:val="20"/>
          <w:szCs w:val="20"/>
          <w:color w:val="auto"/>
        </w:rPr>
      </w:pPr>
      <w:r>
        <w:rPr>
          <w:rFonts w:ascii="Arial" w:cs="Arial" w:eastAsia="Arial" w:hAnsi="Arial"/>
          <w:sz w:val="17"/>
          <w:szCs w:val="17"/>
          <w:color w:val="auto"/>
        </w:rPr>
        <w:t>Transportation revenues from External customers include certain inventory exchanges with our customers where our Supply and Logistics segment has transacted the inventory exchange and serves as the shipper on our pipeline systems. See Note 3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Consolidated Statements of Operations. This presentation is consistent with the information provided to our CODM.</w:t>
      </w:r>
    </w:p>
    <w:p>
      <w:pPr>
        <w:spacing w:after="0" w:line="64" w:lineRule="exact"/>
        <w:rPr>
          <w:sz w:val="20"/>
          <w:szCs w:val="20"/>
          <w:color w:val="auto"/>
        </w:rPr>
      </w:pPr>
    </w:p>
    <w:p>
      <w:pPr>
        <w:ind w:left="20" w:right="120" w:hanging="11"/>
        <w:spacing w:after="0" w:line="286" w:lineRule="auto"/>
        <w:rPr>
          <w:sz w:val="20"/>
          <w:szCs w:val="20"/>
          <w:color w:val="auto"/>
        </w:rPr>
      </w:pPr>
      <w:r>
        <w:rPr>
          <w:rFonts w:ascii="Arial" w:cs="Arial" w:eastAsia="Arial" w:hAnsi="Arial"/>
          <w:sz w:val="17"/>
          <w:szCs w:val="17"/>
          <w:color w:val="auto"/>
        </w:rPr>
        <w:t>Segment revenues include intersegment amounts that are eliminated in Purchases and related costs and Field operating costs in our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acquisition capital and expansion capital, including investments in unconsolidated entities.</w:t>
      </w:r>
    </w:p>
    <w:p>
      <w:pPr>
        <w:spacing w:after="0" w:line="200" w:lineRule="exact"/>
        <w:rPr>
          <w:sz w:val="20"/>
          <w:szCs w:val="20"/>
          <w:color w:val="auto"/>
        </w:rPr>
      </w:pPr>
    </w:p>
    <w:p>
      <w:pPr>
        <w:sectPr>
          <w:pgSz w:w="11900" w:h="16838" w:orient="portrait"/>
          <w:cols w:equalWidth="0" w:num="2">
            <w:col w:w="140" w:space="500"/>
            <w:col w:w="1078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93" w:name="page194"/>
    <w:bookmarkEnd w:id="1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PAA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96"/>
        </w:trPr>
        <w:tc>
          <w:tcPr>
            <w:tcW w:w="63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3,230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2,081</w:t>
            </w:r>
          </w:p>
        </w:tc>
      </w:tr>
      <w:tr>
        <w:trPr>
          <w:trHeight w:val="230"/>
        </w:trPr>
        <w:tc>
          <w:tcPr>
            <w:tcW w:w="6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70"/>
        </w:trPr>
        <w:tc>
          <w:tcPr>
            <w:tcW w:w="6320" w:type="dxa"/>
            <w:vAlign w:val="bottom"/>
          </w:tcPr>
          <w:p>
            <w:pPr>
              <w:ind w:left="220"/>
              <w:spacing w:after="0"/>
              <w:rPr>
                <w:sz w:val="20"/>
                <w:szCs w:val="20"/>
                <w:color w:val="auto"/>
              </w:rPr>
            </w:pPr>
            <w:r>
              <w:rPr>
                <w:rFonts w:ascii="Arial" w:cs="Arial" w:eastAsia="Arial" w:hAnsi="Arial"/>
                <w:sz w:val="18"/>
                <w:szCs w:val="18"/>
                <w:color w:val="auto"/>
                <w:w w:val="94"/>
              </w:rPr>
              <w:t xml:space="preserve">Gains/(losses) from derivative activities net of inventory valuation adjustments </w:t>
            </w:r>
            <w:r>
              <w:rPr>
                <w:rFonts w:ascii="Arial" w:cs="Arial" w:eastAsia="Arial" w:hAnsi="Arial"/>
                <w:sz w:val="23"/>
                <w:szCs w:val="23"/>
                <w:color w:val="auto"/>
                <w:w w:val="94"/>
                <w:vertAlign w:val="superscript"/>
              </w:rPr>
              <w:t>(3)</w:t>
            </w:r>
          </w:p>
        </w:tc>
        <w:tc>
          <w:tcPr>
            <w:tcW w:w="100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46</w:t>
            </w:r>
          </w:p>
        </w:tc>
      </w:tr>
      <w:tr>
        <w:trPr>
          <w:trHeight w:val="27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w:t>
            </w:r>
          </w:p>
        </w:tc>
      </w:tr>
      <w:tr>
        <w:trPr>
          <w:trHeight w:val="270"/>
        </w:trPr>
        <w:tc>
          <w:tcPr>
            <w:tcW w:w="6320" w:type="dxa"/>
            <w:vAlign w:val="bottom"/>
          </w:tcPr>
          <w:p>
            <w:pPr>
              <w:ind w:left="220"/>
              <w:spacing w:after="0"/>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1000" w:type="dxa"/>
            <w:vAlign w:val="bottom"/>
          </w:tcPr>
          <w:p>
            <w:pPr>
              <w:spacing w:after="0"/>
              <w:rPr>
                <w:sz w:val="23"/>
                <w:szCs w:val="23"/>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70"/>
        </w:trPr>
        <w:tc>
          <w:tcPr>
            <w:tcW w:w="6320" w:type="dxa"/>
            <w:vAlign w:val="bottom"/>
          </w:tcPr>
          <w:p>
            <w:pPr>
              <w:ind w:left="220"/>
              <w:spacing w:after="0"/>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(7)</w:t>
            </w:r>
          </w:p>
        </w:tc>
        <w:tc>
          <w:tcPr>
            <w:tcW w:w="100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26</w:t>
            </w:r>
          </w:p>
        </w:tc>
      </w:tr>
      <w:tr>
        <w:trPr>
          <w:trHeight w:val="27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(8)</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70"/>
        </w:trPr>
        <w:tc>
          <w:tcPr>
            <w:tcW w:w="6320" w:type="dxa"/>
            <w:vAlign w:val="bottom"/>
          </w:tcPr>
          <w:p>
            <w:pPr>
              <w:ind w:left="220"/>
              <w:spacing w:after="0"/>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(9)</w:t>
            </w:r>
          </w:p>
        </w:tc>
        <w:tc>
          <w:tcPr>
            <w:tcW w:w="100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(109)</w:t>
            </w:r>
          </w:p>
        </w:tc>
      </w:tr>
      <w:tr>
        <w:trPr>
          <w:trHeight w:val="27"/>
        </w:trPr>
        <w:tc>
          <w:tcPr>
            <w:tcW w:w="6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investment in unconsolidated entities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(510)</w:t>
            </w:r>
          </w:p>
        </w:tc>
      </w:tr>
      <w:tr>
        <w:trPr>
          <w:trHeight w:val="27"/>
        </w:trPr>
        <w:tc>
          <w:tcPr>
            <w:tcW w:w="6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Income before tax</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7"/>
              </w:rPr>
              <w:t>2,246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902</w:t>
            </w:r>
          </w:p>
        </w:tc>
      </w:tr>
      <w:tr>
        <w:trPr>
          <w:trHeight w:val="27"/>
        </w:trPr>
        <w:tc>
          <w:tcPr>
            <w:tcW w:w="6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7"/>
              </w:rPr>
              <w:t>2,180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858</w:t>
            </w:r>
          </w:p>
        </w:tc>
      </w:tr>
      <w:tr>
        <w:trPr>
          <w:trHeight w:val="27"/>
        </w:trPr>
        <w:tc>
          <w:tcPr>
            <w:tcW w:w="6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64"/>
        </w:trPr>
        <w:tc>
          <w:tcPr>
            <w:tcW w:w="6320" w:type="dxa"/>
            <w:vAlign w:val="bottom"/>
          </w:tcPr>
          <w:p>
            <w:pPr>
              <w:ind w:left="20"/>
              <w:spacing w:after="0"/>
              <w:rPr>
                <w:sz w:val="20"/>
                <w:szCs w:val="20"/>
                <w:color w:val="auto"/>
              </w:rPr>
            </w:pPr>
            <w:r>
              <w:rPr>
                <w:rFonts w:ascii="Arial" w:cs="Arial" w:eastAsia="Arial" w:hAnsi="Arial"/>
                <w:sz w:val="18"/>
                <w:szCs w:val="18"/>
                <w:color w:val="auto"/>
              </w:rPr>
              <w:t>Net income attributable to PAA</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7"/>
              </w:rPr>
              <w:t>2,171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856</w:t>
            </w:r>
          </w:p>
        </w:tc>
      </w:tr>
      <w:tr>
        <w:trPr>
          <w:trHeight w:val="21"/>
        </w:trPr>
        <w:tc>
          <w:tcPr>
            <w:tcW w:w="6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7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Includes our proportionate share of the depreciation and amortization of, and gains and losses on significant asset sales by, unconsolidated entities.</w:t>
      </w:r>
    </w:p>
    <w:p>
      <w:pPr>
        <w:spacing w:after="0" w:line="140" w:lineRule="exact"/>
        <w:rPr>
          <w:sz w:val="20"/>
          <w:szCs w:val="20"/>
          <w:color w:val="auto"/>
        </w:rPr>
      </w:pPr>
    </w:p>
    <w:p>
      <w:pPr>
        <w:ind w:left="20" w:hanging="11"/>
        <w:spacing w:after="0" w:line="255"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81" w:lineRule="exact"/>
        <w:rPr>
          <w:sz w:val="20"/>
          <w:szCs w:val="20"/>
          <w:color w:val="auto"/>
        </w:rPr>
      </w:pPr>
    </w:p>
    <w:p>
      <w:pPr>
        <w:ind w:left="20" w:right="180" w:hanging="11"/>
        <w:spacing w:after="0" w:line="297"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94" w:name="page195"/>
    <w:bookmarkEnd w:id="1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right"/>
        <w:ind w:right="310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ind w:left="20" w:hanging="11"/>
        <w:spacing w:after="0" w:line="269" w:lineRule="auto"/>
        <w:rPr>
          <w:sz w:val="20"/>
          <w:szCs w:val="20"/>
          <w:color w:val="auto"/>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Includes equity-indexed compensation expense associated with awards that will or may be settled in units.</w:t>
      </w:r>
    </w:p>
    <w:p>
      <w:pPr>
        <w:spacing w:after="0" w:line="117" w:lineRule="exact"/>
        <w:rPr>
          <w:sz w:val="20"/>
          <w:szCs w:val="20"/>
          <w:color w:val="auto"/>
        </w:rPr>
      </w:pPr>
    </w:p>
    <w:p>
      <w:pPr>
        <w:ind w:left="20" w:right="440" w:hanging="11"/>
        <w:spacing w:after="0" w:line="277" w:lineRule="auto"/>
        <w:rPr>
          <w:sz w:val="20"/>
          <w:szCs w:val="20"/>
          <w:color w:val="auto"/>
        </w:rPr>
      </w:pPr>
      <w:r>
        <w:rPr>
          <w:rFonts w:ascii="Arial" w:cs="Arial" w:eastAsia="Arial" w:hAnsi="Arial"/>
          <w:sz w:val="18"/>
          <w:szCs w:val="18"/>
          <w:color w:val="auto"/>
        </w:rPr>
        <w:t>Includes gains and losses realized on the settlement of foreign currency transactions as well as the revaluation of monetary assets and liabilities denominated in a foreign currency.</w:t>
      </w:r>
    </w:p>
    <w:p>
      <w:pPr>
        <w:spacing w:after="0" w:line="62" w:lineRule="exact"/>
        <w:rPr>
          <w:sz w:val="20"/>
          <w:szCs w:val="20"/>
          <w:color w:val="auto"/>
        </w:rPr>
      </w:pPr>
    </w:p>
    <w:p>
      <w:pPr>
        <w:ind w:left="20" w:right="260" w:hanging="11"/>
        <w:spacing w:after="0" w:line="277"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19 for additional information regarding the Line 901 incident.</w:t>
      </w:r>
    </w:p>
    <w:p>
      <w:pPr>
        <w:spacing w:after="0" w:line="62" w:lineRule="exact"/>
        <w:rPr>
          <w:sz w:val="20"/>
          <w:szCs w:val="20"/>
          <w:color w:val="auto"/>
        </w:rPr>
      </w:pPr>
    </w:p>
    <w:p>
      <w:pPr>
        <w:ind w:left="20" w:right="80" w:hanging="11"/>
        <w:spacing w:after="0" w:line="264" w:lineRule="auto"/>
        <w:rPr>
          <w:sz w:val="20"/>
          <w:szCs w:val="20"/>
          <w:color w:val="auto"/>
        </w:rPr>
      </w:pPr>
      <w:r>
        <w:rPr>
          <w:rFonts w:ascii="Arial" w:cs="Arial" w:eastAsia="Arial" w:hAnsi="Arial"/>
          <w:sz w:val="18"/>
          <w:szCs w:val="18"/>
          <w:color w:val="auto"/>
        </w:rPr>
        <w:t>Includes acquisition-related expenses associated with the ACC Acquisition. See Note 7 for additional discussion. An adjustment for these non-recurring expenses is included in the calculation of Segment Adjusted EBITDA for the year ended December 31, 2017 as our CODM does not view such expenses as integral to understanding our core segment operating performance.</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Data</w:t>
      </w:r>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long-lived assets attributable to these geographic areas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7"/>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27,162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21,443</w:t>
            </w:r>
          </w:p>
        </w:tc>
      </w:tr>
      <w:tr>
        <w:trPr>
          <w:trHeight w:val="243"/>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6,507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5,693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4,780</w:t>
            </w: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33,669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34,055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26,223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7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08"/>
        </w:numPr>
        <w:rPr>
          <w:rFonts w:ascii="Arial" w:cs="Arial" w:eastAsia="Arial" w:hAnsi="Arial"/>
          <w:sz w:val="23"/>
          <w:szCs w:val="23"/>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97"/>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Long-Lived Assets </w:t>
            </w: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17,565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15,885</w:t>
            </w:r>
          </w:p>
        </w:tc>
      </w:tr>
      <w:tr>
        <w:trPr>
          <w:trHeight w:val="243"/>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3,542</w:t>
            </w:r>
          </w:p>
        </w:tc>
      </w:tr>
      <w:tr>
        <w:trPr>
          <w:trHeight w:val="27"/>
        </w:trPr>
        <w:tc>
          <w:tcPr>
            <w:tcW w:w="8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8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21,500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19,427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7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09"/>
        </w:numPr>
        <w:rPr>
          <w:rFonts w:ascii="Arial" w:cs="Arial" w:eastAsia="Arial" w:hAnsi="Arial"/>
          <w:sz w:val="23"/>
          <w:szCs w:val="23"/>
          <w:color w:val="auto"/>
          <w:vertAlign w:val="superscript"/>
        </w:rPr>
      </w:pPr>
      <w:r>
        <w:rPr>
          <w:rFonts w:ascii="Arial" w:cs="Arial" w:eastAsia="Arial" w:hAnsi="Arial"/>
          <w:sz w:val="18"/>
          <w:szCs w:val="18"/>
          <w:color w:val="auto"/>
        </w:rPr>
        <w:t>Excludes long-term derivative assets, long-term deferred tax assets and goodwill.</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82"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F-71</w:t>
      </w:r>
    </w:p>
    <w:p>
      <w:pPr>
        <w:sectPr>
          <w:pgSz w:w="11900" w:h="16838" w:orient="portrait"/>
          <w:cols w:equalWidth="0" w:num="1">
            <w:col w:w="11400"/>
          </w:cols>
          <w:pgMar w:left="240" w:top="125" w:right="259" w:bottom="1440" w:gutter="0" w:footer="0" w:header="0"/>
          <w:type w:val="continuous"/>
        </w:sectPr>
      </w:pPr>
    </w:p>
    <w:bookmarkStart w:id="195" w:name="page196"/>
    <w:bookmarkEnd w:id="195"/>
    <w:p>
      <w:pPr>
        <w:jc w:val="right"/>
        <w:spacing w:after="0"/>
        <w:rPr>
          <w:sz w:val="20"/>
          <w:szCs w:val="20"/>
          <w:color w:val="auto"/>
        </w:rPr>
      </w:pPr>
      <w:r>
        <w:rPr>
          <w:rFonts w:ascii="Arial" w:cs="Arial" w:eastAsia="Arial" w:hAnsi="Arial"/>
          <w:sz w:val="22"/>
          <w:szCs w:val="22"/>
          <w:b w:val="1"/>
          <w:bCs w:val="1"/>
          <w:color w:val="auto"/>
        </w:rPr>
        <w:t>Exhibit 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THIRD AMENDED AND RESTATED</w:t>
      </w:r>
    </w:p>
    <w:p>
      <w:pPr>
        <w:jc w:val="center"/>
        <w:spacing w:after="0" w:line="230" w:lineRule="auto"/>
        <w:rPr>
          <w:sz w:val="20"/>
          <w:szCs w:val="20"/>
          <w:color w:val="auto"/>
        </w:rPr>
      </w:pPr>
      <w:r>
        <w:rPr>
          <w:rFonts w:ascii="Arial" w:cs="Arial" w:eastAsia="Arial" w:hAnsi="Arial"/>
          <w:sz w:val="22"/>
          <w:szCs w:val="22"/>
          <w:b w:val="1"/>
          <w:bCs w:val="1"/>
          <w:color w:val="auto"/>
        </w:rPr>
        <w:t>AGREEMENT OF LIMITED PARTNERSHIP</w:t>
      </w:r>
    </w:p>
    <w:p>
      <w:pPr>
        <w:jc w:val="center"/>
        <w:spacing w:after="0" w:line="231" w:lineRule="auto"/>
        <w:rPr>
          <w:sz w:val="20"/>
          <w:szCs w:val="20"/>
          <w:color w:val="auto"/>
        </w:rPr>
      </w:pPr>
      <w:r>
        <w:rPr>
          <w:rFonts w:ascii="Arial" w:cs="Arial" w:eastAsia="Arial" w:hAnsi="Arial"/>
          <w:sz w:val="22"/>
          <w:szCs w:val="22"/>
          <w:b w:val="1"/>
          <w:bCs w:val="1"/>
          <w:color w:val="auto"/>
        </w:rPr>
        <w:t>OF</w:t>
      </w:r>
    </w:p>
    <w:p>
      <w:pPr>
        <w:jc w:val="center"/>
        <w:spacing w:after="0"/>
        <w:rPr>
          <w:sz w:val="20"/>
          <w:szCs w:val="20"/>
          <w:color w:val="auto"/>
        </w:rPr>
      </w:pPr>
      <w:r>
        <w:rPr>
          <w:rFonts w:ascii="Arial" w:cs="Arial" w:eastAsia="Arial" w:hAnsi="Arial"/>
          <w:sz w:val="22"/>
          <w:szCs w:val="22"/>
          <w:b w:val="1"/>
          <w:bCs w:val="1"/>
          <w:color w:val="auto"/>
        </w:rPr>
        <w:t>PLAINS MARKETING, L.P.</w:t>
      </w:r>
    </w:p>
    <w:p>
      <w:pPr>
        <w:spacing w:after="0" w:line="21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This Amendment No. 5 (this “Amendment”) to the Third Amended and Restated Agreement of Limited Partnership of Plains Marketing, L.P., a Texas limited partnership (the “Partnership”), is hereby adopted effective as of December 1, 2019, by Plains GP LLC, a Delaware limited liability company (the “General Partner”) and PAA Midstream LLC, a Delaware limited liability company (the “Limited Partner” and, together with the General Partner, collectively referred to as the “Partners”). Capitalized terms used but not defined herein shall have their respective meanings as set forth in the Partnership Agreement (defined below).</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General Partner and Plains All American Pipeline, L.P., a Delaware limited partnership (the “Predecessor</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Partner”) were parties to that certain Third Amended and Restated Agreement of Limited Partnership, dated April 1, 2004, as amended (as amended, the “Partnership Agreement”); and</w:t>
      </w:r>
    </w:p>
    <w:p>
      <w:pPr>
        <w:spacing w:after="0" w:line="20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the date hereof, the Predecessor Limited Partner contributed its limited partnership interest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Partnership to the Limited Partner; and</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Partners desire to amend the Partnership Agreement to reflect the admission of the Limited Partner as a</w:t>
      </w:r>
      <w:r>
        <w:rPr>
          <w:rFonts w:ascii="Arial" w:cs="Arial" w:eastAsia="Arial" w:hAnsi="Arial"/>
          <w:sz w:val="22"/>
          <w:szCs w:val="22"/>
          <w:b w:val="1"/>
          <w:bCs w:val="1"/>
          <w:color w:val="auto"/>
        </w:rPr>
        <w:t xml:space="preserve"> </w:t>
      </w:r>
      <w:r>
        <w:rPr>
          <w:rFonts w:ascii="Arial" w:cs="Arial" w:eastAsia="Arial" w:hAnsi="Arial"/>
          <w:sz w:val="22"/>
          <w:szCs w:val="22"/>
          <w:color w:val="auto"/>
        </w:rPr>
        <w:t>Substituted Limited Partner.</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Partners do hereby amend the Partnership Agreement as follows:</w:t>
      </w:r>
    </w:p>
    <w:p>
      <w:pPr>
        <w:spacing w:after="0" w:line="239" w:lineRule="exact"/>
        <w:rPr>
          <w:sz w:val="20"/>
          <w:szCs w:val="20"/>
          <w:color w:val="auto"/>
        </w:rPr>
      </w:pPr>
    </w:p>
    <w:p>
      <w:pPr>
        <w:ind w:firstLine="656"/>
        <w:spacing w:after="0" w:line="251" w:lineRule="auto"/>
        <w:tabs>
          <w:tab w:leader="none" w:pos="1297" w:val="left"/>
        </w:tabs>
        <w:numPr>
          <w:ilvl w:val="0"/>
          <w:numId w:val="110"/>
        </w:numPr>
        <w:rPr>
          <w:rFonts w:ascii="Arial" w:cs="Arial" w:eastAsia="Arial" w:hAnsi="Arial"/>
          <w:sz w:val="22"/>
          <w:szCs w:val="22"/>
          <w:color w:val="auto"/>
        </w:rPr>
      </w:pPr>
      <w:r>
        <w:rPr>
          <w:rFonts w:ascii="Arial" w:cs="Arial" w:eastAsia="Arial" w:hAnsi="Arial"/>
          <w:sz w:val="22"/>
          <w:szCs w:val="22"/>
          <w:i w:val="1"/>
          <w:iCs w:val="1"/>
          <w:color w:val="auto"/>
        </w:rPr>
        <w:t>Amendment</w:t>
      </w:r>
      <w:r>
        <w:rPr>
          <w:rFonts w:ascii="Arial" w:cs="Arial" w:eastAsia="Arial" w:hAnsi="Arial"/>
          <w:sz w:val="22"/>
          <w:szCs w:val="22"/>
          <w:color w:val="auto"/>
        </w:rPr>
        <w:t>. The Partnership Agreement is hereby amended to reflect the admission of PAA Midstream LLC as a</w:t>
      </w:r>
      <w:r>
        <w:rPr>
          <w:rFonts w:ascii="Arial" w:cs="Arial" w:eastAsia="Arial" w:hAnsi="Arial"/>
          <w:sz w:val="22"/>
          <w:szCs w:val="22"/>
          <w:i w:val="1"/>
          <w:iCs w:val="1"/>
          <w:color w:val="auto"/>
        </w:rPr>
        <w:t xml:space="preserve"> </w:t>
      </w:r>
      <w:r>
        <w:rPr>
          <w:rFonts w:ascii="Arial" w:cs="Arial" w:eastAsia="Arial" w:hAnsi="Arial"/>
          <w:sz w:val="22"/>
          <w:szCs w:val="22"/>
          <w:color w:val="auto"/>
        </w:rPr>
        <w:t>Substituted Limited Partner.</w:t>
      </w:r>
    </w:p>
    <w:p>
      <w:pPr>
        <w:spacing w:after="0" w:line="200" w:lineRule="exact"/>
        <w:rPr>
          <w:rFonts w:ascii="Arial" w:cs="Arial" w:eastAsia="Arial" w:hAnsi="Arial"/>
          <w:sz w:val="22"/>
          <w:szCs w:val="22"/>
          <w:color w:val="auto"/>
        </w:rPr>
      </w:pPr>
    </w:p>
    <w:p>
      <w:pPr>
        <w:jc w:val="both"/>
        <w:ind w:right="20" w:firstLine="656"/>
        <w:spacing w:after="0"/>
        <w:tabs>
          <w:tab w:leader="none" w:pos="1297" w:val="left"/>
        </w:tabs>
        <w:numPr>
          <w:ilvl w:val="0"/>
          <w:numId w:val="110"/>
        </w:numPr>
        <w:rPr>
          <w:rFonts w:ascii="Arial" w:cs="Arial" w:eastAsia="Arial" w:hAnsi="Arial"/>
          <w:sz w:val="22"/>
          <w:szCs w:val="22"/>
          <w:color w:val="auto"/>
        </w:rPr>
      </w:pPr>
      <w:r>
        <w:rPr>
          <w:rFonts w:ascii="Arial" w:cs="Arial" w:eastAsia="Arial" w:hAnsi="Arial"/>
          <w:sz w:val="22"/>
          <w:szCs w:val="22"/>
          <w:i w:val="1"/>
          <w:iCs w:val="1"/>
          <w:color w:val="auto"/>
        </w:rPr>
        <w:t>Ratification of Partnership Agreement</w:t>
      </w:r>
      <w:r>
        <w:rPr>
          <w:rFonts w:ascii="Arial" w:cs="Arial" w:eastAsia="Arial" w:hAnsi="Arial"/>
          <w:sz w:val="22"/>
          <w:szCs w:val="22"/>
          <w:color w:val="auto"/>
        </w:rPr>
        <w:t>. Except as expressly amended herein, the terms, covenants and conditions of</w:t>
      </w:r>
      <w:r>
        <w:rPr>
          <w:rFonts w:ascii="Arial" w:cs="Arial" w:eastAsia="Arial" w:hAnsi="Arial"/>
          <w:sz w:val="22"/>
          <w:szCs w:val="22"/>
          <w:i w:val="1"/>
          <w:iCs w:val="1"/>
          <w:color w:val="auto"/>
        </w:rPr>
        <w:t xml:space="preserve"> </w:t>
      </w:r>
      <w:r>
        <w:rPr>
          <w:rFonts w:ascii="Arial" w:cs="Arial" w:eastAsia="Arial" w:hAnsi="Arial"/>
          <w:sz w:val="22"/>
          <w:szCs w:val="22"/>
          <w:color w:val="auto"/>
        </w:rPr>
        <w:t>the Partnership Agreement, as amended by this Amendment, shall remain in full force and effect, and the undersigned hereby ratify the same in its entirety.</w:t>
      </w:r>
    </w:p>
    <w:p>
      <w:pPr>
        <w:spacing w:after="0" w:line="213" w:lineRule="exact"/>
        <w:rPr>
          <w:rFonts w:ascii="Arial" w:cs="Arial" w:eastAsia="Arial" w:hAnsi="Arial"/>
          <w:sz w:val="22"/>
          <w:szCs w:val="22"/>
          <w:color w:val="auto"/>
        </w:rPr>
      </w:pPr>
    </w:p>
    <w:p>
      <w:pPr>
        <w:ind w:left="1300" w:hanging="644"/>
        <w:spacing w:after="0"/>
        <w:tabs>
          <w:tab w:leader="none" w:pos="1300" w:val="left"/>
        </w:tabs>
        <w:numPr>
          <w:ilvl w:val="0"/>
          <w:numId w:val="110"/>
        </w:numPr>
        <w:rPr>
          <w:rFonts w:ascii="Arial" w:cs="Arial" w:eastAsia="Arial" w:hAnsi="Arial"/>
          <w:sz w:val="19"/>
          <w:szCs w:val="19"/>
          <w:color w:val="auto"/>
        </w:rPr>
      </w:pPr>
      <w:r>
        <w:rPr>
          <w:rFonts w:ascii="Arial" w:cs="Arial" w:eastAsia="Arial" w:hAnsi="Arial"/>
          <w:sz w:val="19"/>
          <w:szCs w:val="19"/>
          <w:i w:val="1"/>
          <w:iCs w:val="1"/>
          <w:color w:val="auto"/>
        </w:rPr>
        <w:t>Governing Law</w:t>
      </w:r>
      <w:r>
        <w:rPr>
          <w:rFonts w:ascii="Arial" w:cs="Arial" w:eastAsia="Arial" w:hAnsi="Arial"/>
          <w:sz w:val="19"/>
          <w:szCs w:val="19"/>
          <w:color w:val="auto"/>
        </w:rPr>
        <w:t>. This Amendment No. 5 will be governed by and construed in accordance with the laws of the State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Texas.</w:t>
      </w:r>
    </w:p>
    <w:p>
      <w:pPr>
        <w:sectPr>
          <w:pgSz w:w="11900" w:h="16838" w:orient="portrait"/>
          <w:cols w:equalWidth="0" w:num="1">
            <w:col w:w="11420"/>
          </w:cols>
          <w:pgMar w:left="240" w:top="126" w:right="239" w:bottom="1440" w:gutter="0" w:footer="0" w:header="0"/>
        </w:sectPr>
      </w:pPr>
    </w:p>
    <w:bookmarkStart w:id="196" w:name="page197"/>
    <w:bookmarkEnd w:id="196"/>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Partners have executed this Amendment as of the date first stated above.</w:t>
      </w:r>
    </w:p>
    <w:p>
      <w:pPr>
        <w:sectPr>
          <w:pgSz w:w="11900" w:h="16838" w:orient="portrait"/>
          <w:cols w:equalWidth="0" w:num="1">
            <w:col w:w="9559"/>
          </w:cols>
          <w:pgMar w:left="900" w:top="1409" w:right="1440" w:bottom="1440" w:gutter="0" w:footer="0" w:header="0"/>
        </w:sectPr>
      </w:pPr>
    </w:p>
    <w:p>
      <w:pPr>
        <w:spacing w:after="0" w:line="268"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GENERAL PARTNER</w:t>
      </w:r>
      <w:r>
        <w:rPr>
          <w:rFonts w:ascii="Arial" w:cs="Arial" w:eastAsia="Arial" w:hAnsi="Arial"/>
          <w:sz w:val="22"/>
          <w:szCs w:val="22"/>
          <w:color w:val="auto"/>
        </w:rPr>
        <w:t>:</w:t>
      </w:r>
    </w:p>
    <w:p>
      <w:pPr>
        <w:spacing w:after="0" w:line="239"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PLAINS GP LLC</w:t>
      </w:r>
    </w:p>
    <w:p>
      <w:pPr>
        <w:spacing w:after="0" w:line="233"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By:</w:t>
      </w:r>
    </w:p>
    <w:p>
      <w:pPr>
        <w:ind w:left="2580"/>
        <w:spacing w:after="0" w:line="238" w:lineRule="auto"/>
        <w:rPr>
          <w:sz w:val="20"/>
          <w:szCs w:val="20"/>
          <w:color w:val="auto"/>
        </w:rPr>
      </w:pPr>
      <w:r>
        <w:rPr>
          <w:rFonts w:ascii="Arial" w:cs="Arial" w:eastAsia="Arial" w:hAnsi="Arial"/>
          <w:sz w:val="22"/>
          <w:szCs w:val="22"/>
          <w:color w:val="auto"/>
        </w:rPr>
        <w:t>Name: Richard McGee</w:t>
      </w:r>
    </w:p>
    <w:p>
      <w:pPr>
        <w:ind w:left="2580"/>
        <w:spacing w:after="0"/>
        <w:rPr>
          <w:sz w:val="20"/>
          <w:szCs w:val="20"/>
          <w:color w:val="auto"/>
        </w:rPr>
      </w:pPr>
      <w:r>
        <w:rPr>
          <w:rFonts w:ascii="Arial" w:cs="Arial" w:eastAsia="Arial" w:hAnsi="Arial"/>
          <w:sz w:val="19"/>
          <w:szCs w:val="19"/>
          <w:color w:val="auto"/>
        </w:rPr>
        <w:t>Title: Executive Vice President</w:t>
      </w:r>
    </w:p>
    <w:p>
      <w:pPr>
        <w:spacing w:after="0" w:line="200" w:lineRule="exact"/>
        <w:rPr>
          <w:sz w:val="20"/>
          <w:szCs w:val="20"/>
          <w:color w:val="auto"/>
        </w:rPr>
      </w:pPr>
    </w:p>
    <w:p>
      <w:pPr>
        <w:spacing w:after="0" w:line="287"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LIMITED PARTNER</w:t>
      </w:r>
      <w:r>
        <w:rPr>
          <w:rFonts w:ascii="Arial" w:cs="Arial" w:eastAsia="Arial" w:hAnsi="Arial"/>
          <w:sz w:val="22"/>
          <w:szCs w:val="22"/>
          <w:color w:val="auto"/>
        </w:rPr>
        <w:t>:</w:t>
      </w:r>
    </w:p>
    <w:p>
      <w:pPr>
        <w:spacing w:after="0" w:line="239"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PAA Midstream LLC</w:t>
      </w:r>
    </w:p>
    <w:p>
      <w:pPr>
        <w:spacing w:after="0" w:line="200" w:lineRule="exact"/>
        <w:rPr>
          <w:sz w:val="20"/>
          <w:szCs w:val="20"/>
          <w:color w:val="auto"/>
        </w:rPr>
      </w:pPr>
    </w:p>
    <w:p>
      <w:pPr>
        <w:spacing w:after="0" w:line="276"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By:</w:t>
      </w:r>
    </w:p>
    <w:p>
      <w:pPr>
        <w:ind w:left="2580"/>
        <w:spacing w:after="0" w:line="238" w:lineRule="auto"/>
        <w:rPr>
          <w:sz w:val="20"/>
          <w:szCs w:val="20"/>
          <w:color w:val="auto"/>
        </w:rPr>
      </w:pPr>
      <w:r>
        <w:rPr>
          <w:rFonts w:ascii="Arial" w:cs="Arial" w:eastAsia="Arial" w:hAnsi="Arial"/>
          <w:sz w:val="22"/>
          <w:szCs w:val="22"/>
          <w:color w:val="auto"/>
        </w:rPr>
        <w:t>Name: Richard McGee</w:t>
      </w:r>
    </w:p>
    <w:p>
      <w:pPr>
        <w:ind w:left="2580"/>
        <w:spacing w:after="0"/>
        <w:rPr>
          <w:sz w:val="20"/>
          <w:szCs w:val="20"/>
          <w:color w:val="auto"/>
        </w:rPr>
      </w:pPr>
      <w:r>
        <w:rPr>
          <w:rFonts w:ascii="Arial" w:cs="Arial" w:eastAsia="Arial" w:hAnsi="Arial"/>
          <w:sz w:val="19"/>
          <w:szCs w:val="19"/>
          <w:color w:val="auto"/>
        </w:rPr>
        <w:t>Title: Executive Vice President</w:t>
      </w:r>
    </w:p>
    <w:p>
      <w:pPr>
        <w:sectPr>
          <w:pgSz w:w="11900" w:h="16838" w:orient="portrait"/>
          <w:cols w:equalWidth="0" w:num="1">
            <w:col w:w="9559"/>
          </w:cols>
          <w:pgMar w:left="900" w:top="1409" w:right="1440" w:bottom="1440" w:gutter="0" w:footer="0" w:header="0"/>
          <w:type w:val="continuous"/>
        </w:sectPr>
      </w:pPr>
    </w:p>
    <w:bookmarkStart w:id="197" w:name="page198"/>
    <w:bookmarkEnd w:id="197"/>
    <w:p>
      <w:pPr>
        <w:jc w:val="right"/>
        <w:spacing w:after="0"/>
        <w:rPr>
          <w:sz w:val="20"/>
          <w:szCs w:val="20"/>
          <w:color w:val="auto"/>
        </w:rPr>
      </w:pPr>
      <w:r>
        <w:rPr>
          <w:rFonts w:ascii="Arial" w:cs="Arial" w:eastAsia="Arial" w:hAnsi="Arial"/>
          <w:sz w:val="22"/>
          <w:szCs w:val="22"/>
          <w:b w:val="1"/>
          <w:bCs w:val="1"/>
          <w:color w:val="auto"/>
        </w:rPr>
        <w:t>Exhibit 4.19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DESCRIPTION OF THE REGISTRANT’S SECURITIES REGISTERED PURSUANT TO SECTION 12 OF THE SECURITIES EXCHANGE ACT OF 1934</w:t>
      </w:r>
    </w:p>
    <w:p>
      <w:pPr>
        <w:spacing w:after="0" w:line="203" w:lineRule="exact"/>
        <w:rPr>
          <w:sz w:val="20"/>
          <w:szCs w:val="20"/>
          <w:color w:val="auto"/>
        </w:rPr>
      </w:pPr>
    </w:p>
    <w:p>
      <w:pPr>
        <w:ind w:right="320" w:firstLine="324"/>
        <w:spacing w:after="0" w:line="248" w:lineRule="auto"/>
        <w:rPr>
          <w:sz w:val="20"/>
          <w:szCs w:val="20"/>
          <w:color w:val="auto"/>
        </w:rPr>
      </w:pPr>
      <w:r>
        <w:rPr>
          <w:rFonts w:ascii="Arial" w:cs="Arial" w:eastAsia="Arial" w:hAnsi="Arial"/>
          <w:sz w:val="18"/>
          <w:szCs w:val="18"/>
          <w:color w:val="auto"/>
        </w:rPr>
        <w:t>As of December 31, 2019, Plains All American Pipeline L.P. has one class of securities registered under Section 12 of the Securities Exchange Act of 1934, as amended (the “Exchange Act”): its common units representing limited partner interests, which are described in this Exhibit. The following definitions are used in this Exhibit:</w:t>
      </w:r>
    </w:p>
    <w:p>
      <w:pPr>
        <w:spacing w:after="0" w:line="209"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"Partnership," "Plains," "PAA," "we," "us," "our," "ours" and similar terms refer to Plains All American Pipeline, L.P. and its subsidiaries; and</w:t>
      </w:r>
    </w:p>
    <w:p>
      <w:pPr>
        <w:spacing w:after="0" w:line="250" w:lineRule="exact"/>
        <w:rPr>
          <w:rFonts w:ascii="Arial" w:cs="Arial" w:eastAsia="Arial" w:hAnsi="Arial"/>
          <w:sz w:val="17"/>
          <w:szCs w:val="17"/>
          <w:color w:val="auto"/>
        </w:rPr>
      </w:pPr>
    </w:p>
    <w:p>
      <w:pPr>
        <w:ind w:left="660" w:right="200" w:hanging="328"/>
        <w:spacing w:after="0" w:line="262"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"General partner," refers to, as the context requires, any or all of PAA GP Holdings LLC ("PAGP GP"), Plains GP Holdings, L.P. ("PAGP"), Plains AAP, L.P. ("AAP") and Plains All American GP LLC ("GP LLC").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COMMON UNITS</w:t>
      </w:r>
    </w:p>
    <w:p>
      <w:pPr>
        <w:spacing w:after="0" w:line="24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"Our Cash Distribution Policy."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Our outstanding common units are listed on the NYSE under the symbol "PAA." Any additional common units we issue will also be listed on the NYSE.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43" w:lineRule="exact"/>
        <w:rPr>
          <w:sz w:val="20"/>
          <w:szCs w:val="20"/>
          <w:color w:val="auto"/>
        </w:rPr>
      </w:pPr>
    </w:p>
    <w:p>
      <w:pPr>
        <w:ind w:right="480"/>
        <w:spacing w:after="0" w:line="243" w:lineRule="auto"/>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limited director voting rights described below.</w:t>
      </w:r>
    </w:p>
    <w:p>
      <w:pPr>
        <w:spacing w:after="0" w:line="21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our "board of directors" or "board."</w:t>
      </w:r>
    </w:p>
    <w:p>
      <w:pPr>
        <w:spacing w:after="0" w:line="209" w:lineRule="exact"/>
        <w:rPr>
          <w:sz w:val="20"/>
          <w:szCs w:val="20"/>
          <w:color w:val="auto"/>
        </w:rPr>
      </w:pPr>
    </w:p>
    <w:p>
      <w:pPr>
        <w:ind w:right="100" w:firstLine="324"/>
        <w:spacing w:after="0" w:line="241" w:lineRule="auto"/>
        <w:rPr>
          <w:sz w:val="20"/>
          <w:szCs w:val="20"/>
          <w:color w:val="auto"/>
        </w:rPr>
      </w:pPr>
      <w:r>
        <w:rPr>
          <w:rFonts w:ascii="Arial" w:cs="Arial" w:eastAsia="Arial" w:hAnsi="Arial"/>
          <w:sz w:val="18"/>
          <w:szCs w:val="18"/>
          <w:color w:val="auto"/>
        </w:rPr>
        <w:t>Subject to limited exceptions, PAGP GP’s Third Amended and Restated Limited Liability Company Agreement (as amended, the “PAGP GP LLC Agreement”) provides that the Board will consist of up to 13 members, including the CEO and, based on current ownership levels, up to two designated directors. In addition, if PAA fails to make three distributions on its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spacing w:after="0" w:line="217" w:lineRule="exact"/>
        <w:rPr>
          <w:sz w:val="20"/>
          <w:szCs w:val="20"/>
          <w:color w:val="auto"/>
        </w:rPr>
      </w:pPr>
    </w:p>
    <w:p>
      <w:pPr>
        <w:ind w:right="180" w:firstLine="324"/>
        <w:spacing w:after="0" w:line="263" w:lineRule="auto"/>
        <w:rPr>
          <w:sz w:val="20"/>
          <w:szCs w:val="20"/>
          <w:color w:val="auto"/>
        </w:rPr>
      </w:pPr>
      <w:r>
        <w:rPr>
          <w:rFonts w:ascii="Arial" w:cs="Arial" w:eastAsia="Arial" w:hAnsi="Arial"/>
          <w:sz w:val="17"/>
          <w:szCs w:val="17"/>
          <w:color w:val="auto"/>
        </w:rPr>
        <w:t>The Board is divided into three staggered classes (excluding those directors who are also officers or employees of GP LLC). At each annual meeting, only the eligible directors of a class whose term is expiring (i.e., directors of such class who are not "designated" directors)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197"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PAGP will hold annual meetings of its shareholders for the purpose of electing directors of the board with expiring terms other than any designated director, any director who is currently serving (or has served in the last three years) as an officer or employee of GP LLC, and any director subject to appointment by the holders of our Series A preferred units. PAA, which holds all of PAGP's issued and outstanding Class C shares, will hold annual meetings of its limited partners entitled to vote immediately in advance of PAGP's annual meetings. The purpose of</w:t>
      </w:r>
    </w:p>
    <w:p>
      <w:pPr>
        <w:sectPr>
          <w:pgSz w:w="11900" w:h="16838" w:orient="portrait"/>
          <w:cols w:equalWidth="0" w:num="1">
            <w:col w:w="11420"/>
          </w:cols>
          <w:pgMar w:left="240" w:top="126" w:right="239" w:bottom="1440" w:gutter="0" w:footer="0" w:header="0"/>
        </w:sectPr>
      </w:pPr>
    </w:p>
    <w:bookmarkStart w:id="198" w:name="page199"/>
    <w:bookmarkEnd w:id="198"/>
    <w:p>
      <w:pPr>
        <w:jc w:val="both"/>
        <w:ind w:right="80"/>
        <w:spacing w:after="0" w:line="243" w:lineRule="auto"/>
        <w:rPr>
          <w:sz w:val="20"/>
          <w:szCs w:val="20"/>
          <w:color w:val="auto"/>
        </w:rPr>
      </w:pPr>
      <w:r>
        <w:rPr>
          <w:rFonts w:ascii="Arial" w:cs="Arial" w:eastAsia="Arial" w:hAnsi="Arial"/>
          <w:sz w:val="18"/>
          <w:szCs w:val="18"/>
          <w:color w:val="auto"/>
        </w:rPr>
        <w:t>our annual meetings is to allow our limited partners, other than AAP and holders of our Series B preferred units, to cast a "pass-through" vote instructing us how to vote the Class C shares that we own in such election of eligible directors. We will vote (or refrain from voting) our Class C shares for the election of eligible directors in the same proportion as the votes received from or withheld by our limited partners. At our annual meetings, common units held by AAP will not be voted and will not be counted for purposes of determining whether a quorum exists.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4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Except as described under "Description of Our Partnership Agreement—Limited Liability," the common units will be fully paid, and common unitholders will not be required to make additional capital contributions to us.</w:t>
      </w:r>
    </w:p>
    <w:p>
      <w:pPr>
        <w:spacing w:after="0" w:line="196" w:lineRule="exact"/>
        <w:rPr>
          <w:sz w:val="20"/>
          <w:szCs w:val="20"/>
          <w:color w:val="auto"/>
        </w:rPr>
      </w:pPr>
    </w:p>
    <w:p>
      <w:pPr>
        <w:jc w:val="both"/>
        <w:ind w:right="220"/>
        <w:spacing w:after="0" w:line="294" w:lineRule="auto"/>
        <w:rPr>
          <w:sz w:val="20"/>
          <w:szCs w:val="20"/>
          <w:color w:val="auto"/>
        </w:rPr>
      </w:pPr>
      <w:r>
        <w:rPr>
          <w:rFonts w:ascii="Arial" w:cs="Arial" w:eastAsia="Arial" w:hAnsi="Arial"/>
          <w:sz w:val="16"/>
          <w:szCs w:val="16"/>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75"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w:t>
      </w:r>
    </w:p>
    <w:p>
      <w:pPr>
        <w:spacing w:after="0" w:line="24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Each holder of AAP's Class A units (other than PAGP and GP LLC)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any), in each case, to PAGP. The AAP Class A units transferred to AAP will be canceled, the PAGP Class B shares transferred to PAGP will be canceled and the general partner units transferred to PAGP will remain outstanding and increase PAGP's ownership percentage in PAGP GP.</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As long as PAGP's Class A shares are publicly traded, a holder of Class B units of AAP (the “AAP management units”) will be entitled to convert his or her vested AAP management units into AAP Class A units and a like number of PAGP Class B shares based on a conversion ratio of approximately 0.941 AAP Class A units and PAGP Class B shares for each AAP management unit. Following any such conversion, the holder will have the Redemption Right as a holder of AAP's Class A units. Holders of vested AAP management units who convert such units into AAP Class A units and PAGP Class B shares will not receive general partner units and thus will not need to include any general partner units in a transfer or the exercise of their Redemption Right.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OUR CASH DISTRIBUTION POLICY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will distribute to our unitholders, on a quarterly basis, all of our available cash in the manner described below.</w:t>
      </w:r>
    </w:p>
    <w:p>
      <w:pPr>
        <w:spacing w:after="0" w:line="23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 xml:space="preserve">Definition of Available Cash. </w:t>
      </w:r>
      <w:r>
        <w:rPr>
          <w:rFonts w:ascii="Arial" w:cs="Arial" w:eastAsia="Arial" w:hAnsi="Arial"/>
          <w:sz w:val="18"/>
          <w:szCs w:val="18"/>
          <w:color w:val="auto"/>
        </w:rPr>
        <w:t>Available cash generally means, for any quarter ending prior to liquidation, all cash and cash equivalents on hand at the end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quarter less reserves established in the reasonable discretion of the general partner for future requirements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40"/>
          </w:cols>
          <w:pgMar w:left="240" w:top="1422" w:right="319" w:bottom="1440" w:gutter="0" w:footer="0" w:header="0"/>
        </w:sectPr>
      </w:pPr>
    </w:p>
    <w:bookmarkStart w:id="199" w:name="page200"/>
    <w:bookmarkEnd w:id="199"/>
    <w:p>
      <w:pPr>
        <w:ind w:left="660" w:right="100" w:hanging="328"/>
        <w:spacing w:after="0" w:line="262"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provide for the proper conduct of our business and the business of our operating partnerships (including reserves for future capital expenditures and for our anticipated future credit needs);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comply with applicable law or any loan agreement, security agreement, mortgage, debt instrument or other agreement or obligation; or</w:t>
      </w:r>
    </w:p>
    <w:p>
      <w:pPr>
        <w:spacing w:after="0" w:line="103" w:lineRule="exact"/>
        <w:rPr>
          <w:rFonts w:ascii="Arial" w:cs="Arial" w:eastAsia="Arial" w:hAnsi="Arial"/>
          <w:sz w:val="18"/>
          <w:szCs w:val="18"/>
          <w:color w:val="auto"/>
        </w:rPr>
      </w:pPr>
    </w:p>
    <w:p>
      <w:pPr>
        <w:ind w:left="660" w:right="80" w:hanging="328"/>
        <w:spacing w:after="0" w:line="262"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provide funds for distributions to our Series A and Series B preferred unitholders or distributions to our common unitholders for of any one or more of the next four quarters.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4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Cash distributions to our common unitholders will be characterized as either operating surplus or capital surplus. We distribute available cash from</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surplus differently than available cash from capital surplus. See "—Quarterly Distributions of Available Cash."</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Definition of Operating Surplus. </w:t>
      </w:r>
      <w:r>
        <w:rPr>
          <w:rFonts w:ascii="Arial" w:cs="Arial" w:eastAsia="Arial" w:hAnsi="Arial"/>
          <w:sz w:val="18"/>
          <w:szCs w:val="18"/>
          <w:color w:val="auto"/>
        </w:rPr>
        <w:t>Operating surplus refers generally to:</w:t>
      </w:r>
    </w:p>
    <w:p>
      <w:pPr>
        <w:spacing w:after="0" w:line="239"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103" w:lineRule="exact"/>
        <w:rPr>
          <w:rFonts w:ascii="Arial" w:cs="Arial" w:eastAsia="Arial" w:hAnsi="Arial"/>
          <w:sz w:val="18"/>
          <w:szCs w:val="18"/>
          <w:color w:val="auto"/>
        </w:rPr>
      </w:pPr>
    </w:p>
    <w:p>
      <w:pPr>
        <w:ind w:left="660" w:right="640" w:hanging="328"/>
        <w:spacing w:after="0" w:line="324" w:lineRule="auto"/>
        <w:tabs>
          <w:tab w:leader="none" w:pos="65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Definition of Capital Surplus. </w:t>
      </w:r>
      <w:r>
        <w:rPr>
          <w:rFonts w:ascii="Arial" w:cs="Arial" w:eastAsia="Arial" w:hAnsi="Arial"/>
          <w:sz w:val="18"/>
          <w:szCs w:val="18"/>
          <w:color w:val="auto"/>
        </w:rPr>
        <w:t>Capital surplus will generally be generated only by:</w:t>
      </w:r>
    </w:p>
    <w:p>
      <w:pPr>
        <w:spacing w:after="0" w:line="239"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sales or other dispositions of assets for cash, other than inventory, accounts receivable and other assets in the ordinary course of business.</w:t>
      </w:r>
    </w:p>
    <w:p>
      <w:pPr>
        <w:spacing w:after="0" w:line="250"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20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4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can issue additional common units or other equity securities for consideration and under terms and conditions approved by our general partner in its sole discretion and without the approval of our unitholders, other than current holders of our Series A preferred units and Series B preferred units in certain circumstances. We may fund acquisitions through the issuance of additional common units or other equity securities.</w:t>
      </w:r>
    </w:p>
    <w:p>
      <w:pPr>
        <w:spacing w:after="0" w:line="19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1422" w:right="27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43"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4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43"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w:t>
      </w:r>
      <w:r>
        <w:rPr>
          <w:rFonts w:ascii="Arial" w:cs="Arial" w:eastAsia="Arial" w:hAnsi="Arial"/>
          <w:sz w:val="23"/>
          <w:szCs w:val="23"/>
          <w:color w:val="auto"/>
          <w:vertAlign w:val="superscript"/>
        </w:rPr>
        <w:t>2</w:t>
      </w:r>
      <w:r>
        <w:rPr>
          <w:rFonts w:ascii="Arial" w:cs="Arial" w:eastAsia="Arial" w:hAnsi="Arial"/>
          <w:sz w:val="18"/>
          <w:szCs w:val="18"/>
          <w:color w:val="auto"/>
        </w:rPr>
        <w:t>/3% of the outstanding Series B preferred units.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43"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w:t>
      </w:r>
    </w:p>
    <w:p>
      <w:pPr>
        <w:spacing w:after="0" w:line="21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certain material provisions of our partnership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43" w:lineRule="exact"/>
        <w:rPr>
          <w:sz w:val="20"/>
          <w:szCs w:val="20"/>
          <w:color w:val="auto"/>
        </w:rPr>
      </w:pPr>
    </w:p>
    <w:p>
      <w:pPr>
        <w:jc w:val="both"/>
        <w:ind w:right="160" w:firstLine="324"/>
        <w:spacing w:after="0" w:line="243"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partnership agreement is governed by Delaware law. Our partnership agreement requires that any claims, suits, actions or proceedings:</w:t>
      </w:r>
    </w:p>
    <w:p>
      <w:pPr>
        <w:spacing w:after="0" w:line="250" w:lineRule="exact"/>
        <w:rPr>
          <w:sz w:val="20"/>
          <w:szCs w:val="20"/>
          <w:color w:val="auto"/>
        </w:rPr>
      </w:pPr>
    </w:p>
    <w:p>
      <w:pPr>
        <w:ind w:left="660" w:right="120" w:hanging="328"/>
        <w:spacing w:after="0" w:line="241"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unitholders or of unitholders to us, or the rights or powers of, or restrictions on, the unitholders or us);</w:t>
      </w:r>
    </w:p>
    <w:p>
      <w:pPr>
        <w:ind w:left="660" w:hanging="328"/>
        <w:spacing w:after="0" w:line="234"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ind w:left="660" w:hanging="328"/>
        <w:spacing w:after="0" w:line="234"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unitholders;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Delaware Revised Uniform Limited Partnership Act (the “Delaware Act”); or</w:t>
      </w: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shall be exclusively brought in the Court of Chancery of the State of Delaware (or, if such court does not have subject matter jurisdiction thereof, any other court located in the State of Delaware with subject matter jurisdiction),</w:t>
      </w:r>
    </w:p>
    <w:p>
      <w:pPr>
        <w:sectPr>
          <w:pgSz w:w="11900" w:h="16838" w:orient="portrait"/>
          <w:cols w:equalWidth="0" w:num="1">
            <w:col w:w="11400"/>
          </w:cols>
          <w:pgMar w:left="240" w:top="14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418" w:right="259" w:bottom="1440" w:gutter="0" w:footer="0" w:header="0"/>
          <w:type w:val="continuous"/>
        </w:sectPr>
      </w:pPr>
    </w:p>
    <w:bookmarkStart w:id="201" w:name="page202"/>
    <w:bookmarkEnd w:id="201"/>
    <w:p>
      <w:pPr>
        <w:spacing w:after="0" w:line="254" w:lineRule="auto"/>
        <w:rPr>
          <w:sz w:val="20"/>
          <w:szCs w:val="20"/>
          <w:color w:val="auto"/>
        </w:rPr>
      </w:pPr>
      <w:r>
        <w:rPr>
          <w:rFonts w:ascii="Arial" w:cs="Arial" w:eastAsia="Arial" w:hAnsi="Arial"/>
          <w:sz w:val="17"/>
          <w:szCs w:val="17"/>
          <w:color w:val="auto"/>
        </w:rPr>
        <w:t>regardless of whether such claims, suits, actions or proceedings sound in contract, tort, fraud or otherwise, are based on common law, statutory, equitable, legal or other grounds, or are derivative or direct claims. By purchasing a common unit, a unitholder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43"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20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91"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9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4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43" w:lineRule="exact"/>
        <w:rPr>
          <w:sz w:val="20"/>
          <w:szCs w:val="20"/>
          <w:color w:val="auto"/>
        </w:rPr>
      </w:pPr>
    </w:p>
    <w:p>
      <w:pPr>
        <w:ind w:right="80" w:firstLine="324"/>
        <w:spacing w:after="0" w:line="248"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422" w:right="2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t>50% of our outstanding units are held or controlled by one person and its affiliates other than our general partner and its affiliates.</w:t>
      </w:r>
    </w:p>
    <w:p>
      <w:pPr>
        <w:spacing w:after="0" w:line="239" w:lineRule="exact"/>
        <w:rPr>
          <w:sz w:val="20"/>
          <w:szCs w:val="20"/>
          <w:color w:val="auto"/>
        </w:rPr>
      </w:pPr>
    </w:p>
    <w:p>
      <w:pPr>
        <w:ind w:right="40" w:firstLine="324"/>
        <w:spacing w:after="0"/>
        <w:rPr>
          <w:sz w:val="20"/>
          <w:szCs w:val="20"/>
          <w:color w:val="auto"/>
        </w:rPr>
      </w:pPr>
      <w:r>
        <w:rPr>
          <w:rFonts w:ascii="Arial" w:cs="Arial" w:eastAsia="Arial" w:hAnsi="Arial"/>
          <w:sz w:val="18"/>
          <w:szCs w:val="18"/>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217" w:lineRule="exact"/>
        <w:rPr>
          <w:sz w:val="20"/>
          <w:szCs w:val="20"/>
          <w:color w:val="auto"/>
        </w:rPr>
      </w:pPr>
    </w:p>
    <w:p>
      <w:pPr>
        <w:ind w:right="80" w:firstLine="324"/>
        <w:spacing w:after="0" w:line="243"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215"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96"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43"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A merger or consolidation of us requires the prior consent of our general partner. However, our partnership agreement generally prohibits our general partner, without the prior approval of a majority of our outstanding units,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201" w:lineRule="exact"/>
        <w:rPr>
          <w:sz w:val="20"/>
          <w:szCs w:val="20"/>
          <w:color w:val="auto"/>
        </w:rPr>
      </w:pPr>
    </w:p>
    <w:p>
      <w:pPr>
        <w:ind w:right="40" w:firstLine="324"/>
        <w:spacing w:after="0" w:line="241" w:lineRule="auto"/>
        <w:rPr>
          <w:sz w:val="20"/>
          <w:szCs w:val="20"/>
          <w:color w:val="auto"/>
        </w:rPr>
      </w:pPr>
      <w:r>
        <w:rPr>
          <w:rFonts w:ascii="Arial" w:cs="Arial" w:eastAsia="Arial" w:hAnsi="Arial"/>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unitholders are not entitled to dissenters’ rights or appraisal rights (and, therefore, will not be entitled to demand payment of a fair price for their units) under our partnership agreement or applicable Delaware law in the event of a merger or consolidation, a sale of substantially all of our assets or any other transaction or event.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43"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209"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w:t>
      </w:r>
    </w:p>
    <w:p>
      <w:pPr>
        <w:spacing w:after="0" w:line="103"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finally, to all partners in accordance with the positive balance in their respective capital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40" w:top="1422" w:right="279" w:bottom="1440" w:gutter="0" w:footer="0" w:header="0"/>
        </w:sectPr>
      </w:pPr>
    </w:p>
    <w:bookmarkStart w:id="203" w:name="page204"/>
    <w:bookmarkEnd w:id="203"/>
    <w:p>
      <w:pPr>
        <w:ind w:right="60"/>
        <w:spacing w:after="0" w:line="241" w:lineRule="auto"/>
        <w:rPr>
          <w:sz w:val="20"/>
          <w:szCs w:val="20"/>
          <w:color w:val="auto"/>
        </w:rPr>
      </w:pPr>
      <w:r>
        <w:rPr>
          <w:rFonts w:ascii="Arial" w:cs="Arial" w:eastAsia="Arial" w:hAnsi="Arial"/>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96" w:lineRule="exact"/>
        <w:rPr>
          <w:sz w:val="20"/>
          <w:szCs w:val="20"/>
          <w:color w:val="auto"/>
        </w:rPr>
      </w:pPr>
    </w:p>
    <w:p>
      <w:pPr>
        <w:ind w:left="660" w:right="20" w:hanging="328"/>
        <w:spacing w:after="0" w:line="262"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61" w:lineRule="exact"/>
        <w:rPr>
          <w:rFonts w:ascii="Arial" w:cs="Arial" w:eastAsia="Arial" w:hAnsi="Arial"/>
          <w:sz w:val="18"/>
          <w:szCs w:val="18"/>
          <w:color w:val="auto"/>
        </w:rPr>
      </w:pPr>
    </w:p>
    <w:p>
      <w:pPr>
        <w:ind w:left="660" w:right="140" w:hanging="328"/>
        <w:spacing w:after="0" w:line="262"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43" w:lineRule="exact"/>
        <w:rPr>
          <w:sz w:val="20"/>
          <w:szCs w:val="20"/>
          <w:color w:val="auto"/>
        </w:rPr>
      </w:pPr>
    </w:p>
    <w:p>
      <w:pPr>
        <w:ind w:firstLine="324"/>
        <w:spacing w:after="0" w:line="254" w:lineRule="auto"/>
        <w:rPr>
          <w:sz w:val="20"/>
          <w:szCs w:val="20"/>
          <w:color w:val="auto"/>
        </w:rPr>
      </w:pPr>
      <w:r>
        <w:rPr>
          <w:rFonts w:ascii="Arial" w:cs="Arial" w:eastAsia="Arial" w:hAnsi="Arial"/>
          <w:sz w:val="17"/>
          <w:szCs w:val="17"/>
          <w:color w:val="auto"/>
        </w:rPr>
        <w:t>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209"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43"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43" w:lineRule="exact"/>
        <w:rPr>
          <w:sz w:val="20"/>
          <w:szCs w:val="20"/>
          <w:color w:val="auto"/>
        </w:rPr>
      </w:pPr>
    </w:p>
    <w:p>
      <w:pPr>
        <w:jc w:val="both"/>
        <w:ind w:right="520"/>
        <w:spacing w:after="0" w:line="294" w:lineRule="auto"/>
        <w:rPr>
          <w:sz w:val="20"/>
          <w:szCs w:val="20"/>
          <w:color w:val="auto"/>
        </w:rPr>
      </w:pPr>
      <w:r>
        <w:rPr>
          <w:rFonts w:ascii="Arial" w:cs="Arial" w:eastAsia="Arial" w:hAnsi="Arial"/>
          <w:sz w:val="16"/>
          <w:szCs w:val="16"/>
          <w:color w:val="auto"/>
        </w:rPr>
        <w:t>Assuming that a limited partner does not participate in the control of our business within the meaning of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422" w:right="239" w:bottom="1440" w:gutter="0" w:footer="0" w:header="0"/>
        </w:sectPr>
      </w:pPr>
    </w:p>
    <w:bookmarkStart w:id="204" w:name="page205"/>
    <w:bookmarkEnd w:id="204"/>
    <w:p>
      <w:pPr>
        <w:ind w:right="180"/>
        <w:spacing w:after="0" w:line="262" w:lineRule="auto"/>
        <w:rPr>
          <w:sz w:val="20"/>
          <w:szCs w:val="20"/>
          <w:color w:val="auto"/>
        </w:rPr>
      </w:pPr>
      <w:r>
        <w:rPr>
          <w:rFonts w:ascii="Arial" w:cs="Arial" w:eastAsia="Arial" w:hAnsi="Arial"/>
          <w:sz w:val="18"/>
          <w:szCs w:val="18"/>
          <w:color w:val="auto"/>
        </w:rPr>
        <w:t>distribution was in violation of the Delaware Act is liable to the limited partnership for the amount of the distribution for three years from the date of the distribution.</w:t>
      </w:r>
    </w:p>
    <w:p>
      <w:pPr>
        <w:spacing w:after="0" w:line="196" w:lineRule="exact"/>
        <w:rPr>
          <w:sz w:val="20"/>
          <w:szCs w:val="20"/>
          <w:color w:val="auto"/>
        </w:rPr>
      </w:pPr>
    </w:p>
    <w:p>
      <w:pPr>
        <w:ind w:firstLine="324"/>
        <w:spacing w:after="0" w:line="263" w:lineRule="auto"/>
        <w:rPr>
          <w:sz w:val="20"/>
          <w:szCs w:val="20"/>
          <w:color w:val="auto"/>
        </w:rPr>
      </w:pPr>
      <w:r>
        <w:rPr>
          <w:rFonts w:ascii="Arial" w:cs="Arial" w:eastAsia="Arial" w:hAnsi="Arial"/>
          <w:sz w:val="17"/>
          <w:szCs w:val="17"/>
          <w:color w:val="auto"/>
        </w:rPr>
        <w:t>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80"/>
          </w:cols>
          <w:pgMar w:left="240" w:top="1422" w:right="479" w:bottom="1440" w:gutter="0" w:footer="0" w:header="0"/>
        </w:sectPr>
      </w:pPr>
    </w:p>
    <w:bookmarkStart w:id="205" w:name="page206"/>
    <w:bookmarkEnd w:id="205"/>
    <w:p>
      <w:pPr>
        <w:jc w:val="right"/>
        <w:spacing w:after="0"/>
        <w:rPr>
          <w:sz w:val="20"/>
          <w:szCs w:val="20"/>
          <w:color w:val="auto"/>
        </w:rPr>
      </w:pPr>
      <w:r>
        <w:rPr>
          <w:rFonts w:ascii="Arial" w:cs="Arial" w:eastAsia="Arial" w:hAnsi="Arial"/>
          <w:sz w:val="22"/>
          <w:szCs w:val="22"/>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1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This Third Amended and Restated Employment Agreement (“Agreement”), effective as of the date specified in Section 1 below, is by and between Plains All American GP LLC (the “Company”) and Greg L Armstrong (“Armstrong” or the “Employee”). The Company and the Employee are at times referred to collectively as “the Parties.” For purposes of this Agreement, the term “Company Group” means Plains GP Holdings, L.P., PAA GP Holdings LLC (“GP Holdings”), the Company and all of the entities over which the Company has or exercises direct or indirect control, including Plains All American Pipeline, L.P. and its subsidiaries.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3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WHEREAS, Armstrong and the Company were parties to that certain Amended and Restated Employment Agreement dated as of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June, 2001, as modified by Waiver Agreements dated August 12, 2005, December 23, 2010 and October 21, 2013 (the “Original Agreement”);</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Armstrong and the Company amended and restated the Original Agreement by entering into that certain Second Amended and Restated Employment Agreement between Armstrong and the Company dated as of October 1, 2018 (the “Prior Agreement”);</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WHEREAS, Armstrong is currently serving as non-executive Chairman of the Board pursuant to the terms of the Prior Agreement, which provides that such arrangement will end on December 31, 2019;</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on November 21, 2019, the Board of Directors of PAA GP Holdings LLC appointed Mr. Armstrong to continue to serve as a Director for an additional two-year term and also approved a two-year extension of his employment with the Company; and</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the Company and Armstrong desire to amend and restate the Prior Agreement by entering into this Agreement, which sets forth their mutual agreement and understanding related to the continued employment of Armstrong and certain related matters as set forth herein.</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NOW, THEREFORE, in consideration of the covenants and conditions herein contained, the Parties agree as follows:</w:t>
      </w:r>
    </w:p>
    <w:p>
      <w:pPr>
        <w:spacing w:after="0" w:line="245" w:lineRule="exact"/>
        <w:rPr>
          <w:sz w:val="20"/>
          <w:szCs w:val="20"/>
          <w:color w:val="auto"/>
        </w:rPr>
      </w:pPr>
    </w:p>
    <w:p>
      <w:pPr>
        <w:ind w:left="980" w:hanging="972"/>
        <w:spacing w:after="0"/>
        <w:tabs>
          <w:tab w:leader="none" w:pos="980"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Employment; Prior Agreement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460" w:hanging="480"/>
        <w:spacing w:after="0" w:line="238" w:lineRule="auto"/>
        <w:tabs>
          <w:tab w:leader="none" w:pos="1457" w:val="left"/>
        </w:tabs>
        <w:numPr>
          <w:ilvl w:val="1"/>
          <w:numId w:val="118"/>
        </w:numPr>
        <w:rPr>
          <w:rFonts w:ascii="Arial" w:cs="Arial" w:eastAsia="Arial" w:hAnsi="Arial"/>
          <w:sz w:val="22"/>
          <w:szCs w:val="22"/>
          <w:color w:val="auto"/>
        </w:rPr>
      </w:pPr>
      <w:r>
        <w:rPr>
          <w:rFonts w:ascii="Arial" w:cs="Arial" w:eastAsia="Arial" w:hAnsi="Arial"/>
          <w:sz w:val="22"/>
          <w:szCs w:val="22"/>
          <w:color w:val="auto"/>
        </w:rPr>
        <w:t>Effective January 1, 2020 (the “Effective Date”) and subject to the terms hereof, Armstrong hereby (i) resigns his position as non-executive Chairman of the Board, and (ii) continues his employment with the Company as a Senior Advisor to the Chief Executive Officer of the Company (“CEO”). During the Term (as defined below), Armstrong agrees to devote such time and energy as</w:t>
      </w:r>
    </w:p>
    <w:p>
      <w:pPr>
        <w:sectPr>
          <w:pgSz w:w="11900" w:h="16838" w:orient="portrait"/>
          <w:cols w:equalWidth="0" w:num="1">
            <w:col w:w="11420"/>
          </w:cols>
          <w:pgMar w:left="240" w:top="126" w:right="239" w:bottom="1440" w:gutter="0" w:footer="0" w:header="0"/>
        </w:sectPr>
      </w:pPr>
    </w:p>
    <w:bookmarkStart w:id="206" w:name="page207"/>
    <w:bookmarkEnd w:id="206"/>
    <w:p>
      <w:pPr>
        <w:ind w:left="1460"/>
        <w:spacing w:after="0"/>
        <w:rPr>
          <w:sz w:val="20"/>
          <w:szCs w:val="20"/>
          <w:color w:val="auto"/>
        </w:rPr>
      </w:pPr>
      <w:r>
        <w:rPr>
          <w:rFonts w:ascii="Arial" w:cs="Arial" w:eastAsia="Arial" w:hAnsi="Arial"/>
          <w:sz w:val="19"/>
          <w:szCs w:val="19"/>
          <w:color w:val="auto"/>
        </w:rPr>
        <w:t>may be reasonably necessary to perform the duties and responsibilities requested by the CEO of the Company.</w:t>
      </w:r>
    </w:p>
    <w:p>
      <w:pPr>
        <w:spacing w:after="0" w:line="268" w:lineRule="exact"/>
        <w:rPr>
          <w:sz w:val="20"/>
          <w:szCs w:val="20"/>
          <w:color w:val="auto"/>
        </w:rPr>
      </w:pPr>
    </w:p>
    <w:p>
      <w:pPr>
        <w:jc w:val="both"/>
        <w:ind w:left="1460" w:hanging="480"/>
        <w:spacing w:after="0" w:line="274" w:lineRule="auto"/>
        <w:tabs>
          <w:tab w:leader="none" w:pos="1455" w:val="left"/>
        </w:tabs>
        <w:numPr>
          <w:ilvl w:val="1"/>
          <w:numId w:val="119"/>
        </w:numPr>
        <w:rPr>
          <w:rFonts w:ascii="Arial" w:cs="Arial" w:eastAsia="Arial" w:hAnsi="Arial"/>
          <w:sz w:val="19"/>
          <w:szCs w:val="19"/>
          <w:color w:val="auto"/>
        </w:rPr>
      </w:pPr>
      <w:r>
        <w:rPr>
          <w:rFonts w:ascii="Arial" w:cs="Arial" w:eastAsia="Arial" w:hAnsi="Arial"/>
          <w:sz w:val="19"/>
          <w:szCs w:val="19"/>
          <w:color w:val="auto"/>
        </w:rPr>
        <w:t>The Parties acknowledge and agree that except as may be expressly provided for hereunder (i) this Agreement shall govern the duties, obligations and rights of the Parties with respect to Armstrong’s employment by the Company during the Term, (ii) the Prior Agreement shall govern the duties, obligations and rights of the Parties with respect to Armstrong’s employment by the Company during the period from October 1, 2018 through the Effective Date, and (iii) the Original Agreement shall govern the duties, obligations and rights of the Parties with respect to Armstrong’s employment by the Company prior to October 1, 2018. Accordingly, the Parties acknowledge and agree that by virtue of their execution and delivery of this Agreement neither Party shall be deemed to have waived any of its rights or claims under the Original Agreement or the Prior Agreement with respect to Armstrong’s employment by the Company prior to the Effective Date.</w:t>
      </w:r>
    </w:p>
    <w:p>
      <w:pPr>
        <w:spacing w:after="0" w:line="185" w:lineRule="exact"/>
        <w:rPr>
          <w:rFonts w:ascii="Arial" w:cs="Arial" w:eastAsia="Arial" w:hAnsi="Arial"/>
          <w:sz w:val="19"/>
          <w:szCs w:val="19"/>
          <w:color w:val="auto"/>
        </w:rPr>
      </w:pPr>
    </w:p>
    <w:p>
      <w:pPr>
        <w:jc w:val="both"/>
        <w:ind w:left="980" w:hanging="972"/>
        <w:spacing w:after="0" w:line="275" w:lineRule="auto"/>
        <w:tabs>
          <w:tab w:leader="none" w:pos="980"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Armstrong’s employment with the Company as provided hereunder (the “Term”) shall commence on the Effective Date and terminate on December 31, 2021; provided, however, that (a) Armstrong may terminate his employment with the Company as of any date prior to December 31, 2021 by giving written notice to the Company at least two weeks prior to the effective date of such termination, (b) at the direction of the Board, the Company may terminate Armstrong’s employment with the Company as of any date prior to December 31, 2021 by giving written notice to Armstrong at least two weeks prior to the effective date of such termination, and (c) Armstrong’s employment relationship with the Company shall automatically terminate in the event of his death. The date as of which the employment relationship terminates shall constitute the “Termination Date” for purposes hereof.</w:t>
      </w:r>
    </w:p>
    <w:p>
      <w:pPr>
        <w:spacing w:after="0" w:line="185" w:lineRule="exact"/>
        <w:rPr>
          <w:rFonts w:ascii="Arial" w:cs="Arial" w:eastAsia="Arial" w:hAnsi="Arial"/>
          <w:sz w:val="19"/>
          <w:szCs w:val="19"/>
          <w:color w:val="auto"/>
        </w:rPr>
      </w:pPr>
    </w:p>
    <w:p>
      <w:pPr>
        <w:ind w:left="980" w:hanging="972"/>
        <w:spacing w:after="0"/>
        <w:tabs>
          <w:tab w:leader="none" w:pos="98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540" w:hanging="560"/>
        <w:spacing w:after="0" w:line="252" w:lineRule="auto"/>
        <w:tabs>
          <w:tab w:leader="none" w:pos="1537" w:val="left"/>
        </w:tabs>
        <w:numPr>
          <w:ilvl w:val="1"/>
          <w:numId w:val="120"/>
        </w:numPr>
        <w:rPr>
          <w:rFonts w:ascii="Arial" w:cs="Arial" w:eastAsia="Arial" w:hAnsi="Arial"/>
          <w:sz w:val="21"/>
          <w:szCs w:val="21"/>
          <w:color w:val="auto"/>
        </w:rPr>
      </w:pPr>
      <w:r>
        <w:rPr>
          <w:rFonts w:ascii="Arial" w:cs="Arial" w:eastAsia="Arial" w:hAnsi="Arial"/>
          <w:sz w:val="21"/>
          <w:szCs w:val="21"/>
          <w:color w:val="auto"/>
        </w:rPr>
        <w:t>Armstrong shall be paid a monthly salary that equates with an annual payment of $250,000, payable semi-monthly in cash for so long as Armstrong is employed by the Company under the terms of this Agreement. During the Term, Armstrong shall remain eligible to participate in all employee benefit plans generally available to employees of the Company (including, without limitation, all health and medical benefit plans).</w:t>
      </w:r>
    </w:p>
    <w:p>
      <w:pPr>
        <w:spacing w:after="0" w:line="201" w:lineRule="exact"/>
        <w:rPr>
          <w:rFonts w:ascii="Arial" w:cs="Arial" w:eastAsia="Arial" w:hAnsi="Arial"/>
          <w:sz w:val="21"/>
          <w:szCs w:val="21"/>
          <w:color w:val="auto"/>
        </w:rPr>
      </w:pPr>
    </w:p>
    <w:p>
      <w:pPr>
        <w:jc w:val="both"/>
        <w:ind w:left="1540" w:hanging="560"/>
        <w:spacing w:after="0" w:line="282" w:lineRule="auto"/>
        <w:tabs>
          <w:tab w:leader="none" w:pos="1535" w:val="left"/>
        </w:tabs>
        <w:numPr>
          <w:ilvl w:val="1"/>
          <w:numId w:val="120"/>
        </w:numPr>
        <w:rPr>
          <w:rFonts w:ascii="Arial" w:cs="Arial" w:eastAsia="Arial" w:hAnsi="Arial"/>
          <w:sz w:val="19"/>
          <w:szCs w:val="19"/>
          <w:color w:val="auto"/>
        </w:rPr>
      </w:pPr>
      <w:r>
        <w:rPr>
          <w:rFonts w:ascii="Arial" w:cs="Arial" w:eastAsia="Arial" w:hAnsi="Arial"/>
          <w:sz w:val="19"/>
          <w:szCs w:val="19"/>
          <w:color w:val="auto"/>
        </w:rPr>
        <w:t>Armstrong will be entitled to receive prompt reimbursement for all reasonable expenses, including travel and entertainment expenses, incurred by him during the Term in connection with (i) his service as Senior Advisor to the CEO as contemplated hereunder, (ii) his prior service as non-executive Chairman of the Board pursuant to the Prior Agreement, and (iii) the provision by Armstrong of any assistance with litigation or investigations as contemplated by Section 6 hereof; it being specifically agreed that such reimbursement obligation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414" w:right="239" w:bottom="1440" w:gutter="0" w:footer="0" w:header="0"/>
        </w:sectPr>
      </w:pPr>
    </w:p>
    <w:bookmarkStart w:id="207" w:name="page208"/>
    <w:bookmarkEnd w:id="207"/>
    <w:p>
      <w:pPr>
        <w:ind w:left="1540"/>
        <w:spacing w:after="0" w:line="251" w:lineRule="auto"/>
        <w:rPr>
          <w:sz w:val="20"/>
          <w:szCs w:val="20"/>
          <w:color w:val="auto"/>
        </w:rPr>
      </w:pPr>
      <w:r>
        <w:rPr>
          <w:rFonts w:ascii="Arial" w:cs="Arial" w:eastAsia="Arial" w:hAnsi="Arial"/>
          <w:sz w:val="22"/>
          <w:szCs w:val="22"/>
          <w:color w:val="auto"/>
        </w:rPr>
        <w:t>cover and include any costs or expenses incurred by Armstrong for private aviation services associated with travel on Company related business.</w:t>
      </w:r>
    </w:p>
    <w:p>
      <w:pPr>
        <w:spacing w:after="0" w:line="200" w:lineRule="exact"/>
        <w:rPr>
          <w:sz w:val="20"/>
          <w:szCs w:val="20"/>
          <w:color w:val="auto"/>
        </w:rPr>
      </w:pPr>
    </w:p>
    <w:p>
      <w:pPr>
        <w:jc w:val="both"/>
        <w:ind w:left="1540" w:hanging="560"/>
        <w:spacing w:after="0" w:line="244" w:lineRule="auto"/>
        <w:tabs>
          <w:tab w:leader="none" w:pos="1537" w:val="left"/>
        </w:tabs>
        <w:numPr>
          <w:ilvl w:val="1"/>
          <w:numId w:val="121"/>
        </w:numPr>
        <w:rPr>
          <w:rFonts w:ascii="Arial" w:cs="Arial" w:eastAsia="Arial" w:hAnsi="Arial"/>
          <w:sz w:val="21"/>
          <w:szCs w:val="21"/>
          <w:color w:val="auto"/>
        </w:rPr>
      </w:pPr>
      <w:r>
        <w:rPr>
          <w:rFonts w:ascii="Arial" w:cs="Arial" w:eastAsia="Arial" w:hAnsi="Arial"/>
          <w:sz w:val="21"/>
          <w:szCs w:val="21"/>
          <w:color w:val="auto"/>
        </w:rPr>
        <w:t>The Company will provide Armstrong with a private office, parking space, electronic equipment, administrative support and such other facilities and services as reasonably necessary for Armstrong to adequately and efficiently perform services hereunder and that are comparable to similar services, support and facilities provided to Armstrong under the Prior Agreement; provided, however, it is understood and agreed that the Company’s obligation to provide dedicated administrative support to Armstrong ([name]) shall run through August 2020 and, thereafter, the Company will provide non-dedicated administrative support to Armstrong as needed in connection with the performance of his duties hereunder. Within 30 days following the expiration of the Term, Armstrong shall return all keys, access badges and Company credit cards to the Company; provided, however, that Armstrong shall be entitled to retain any computers, iPhones, iPads, printers, monitors and similar Company issued equipment used by him in connection with this employment (with Company data and software to be removed by the Company).</w:t>
      </w:r>
    </w:p>
    <w:p>
      <w:pPr>
        <w:spacing w:after="0" w:line="216" w:lineRule="exact"/>
        <w:rPr>
          <w:rFonts w:ascii="Arial" w:cs="Arial" w:eastAsia="Arial" w:hAnsi="Arial"/>
          <w:sz w:val="21"/>
          <w:szCs w:val="21"/>
          <w:color w:val="auto"/>
        </w:rPr>
      </w:pPr>
    </w:p>
    <w:p>
      <w:pPr>
        <w:jc w:val="both"/>
        <w:ind w:left="980" w:hanging="972"/>
        <w:spacing w:after="0" w:line="238" w:lineRule="auto"/>
        <w:tabs>
          <w:tab w:leader="none" w:pos="98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Indemnity</w:t>
      </w:r>
      <w:r>
        <w:rPr>
          <w:rFonts w:ascii="Arial" w:cs="Arial" w:eastAsia="Arial" w:hAnsi="Arial"/>
          <w:sz w:val="22"/>
          <w:szCs w:val="22"/>
          <w:color w:val="auto"/>
        </w:rPr>
        <w:t>. Notwithstanding anything herein to the contrary, Armstrong shall remain a full beneficiary with respect to any obligation of any member of the Company Group (as such obligation exists as of the Effective Date with respect to active officers and employees of such member) to indemnify, keep well and hold harmless or similarly protect Armstrong against third-party claims.</w:t>
      </w:r>
    </w:p>
    <w:p>
      <w:pPr>
        <w:spacing w:after="0" w:line="212" w:lineRule="exact"/>
        <w:rPr>
          <w:rFonts w:ascii="Arial" w:cs="Arial" w:eastAsia="Arial" w:hAnsi="Arial"/>
          <w:sz w:val="22"/>
          <w:szCs w:val="22"/>
          <w:color w:val="auto"/>
        </w:rPr>
      </w:pPr>
    </w:p>
    <w:p>
      <w:pPr>
        <w:ind w:left="980" w:hanging="972"/>
        <w:spacing w:after="0"/>
        <w:tabs>
          <w:tab w:leader="none" w:pos="98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Access to Certain Information; Confidentiality Obligations.</w:t>
      </w:r>
    </w:p>
    <w:p>
      <w:pPr>
        <w:spacing w:after="0" w:line="98" w:lineRule="exact"/>
        <w:rPr>
          <w:rFonts w:ascii="Arial" w:cs="Arial" w:eastAsia="Arial" w:hAnsi="Arial"/>
          <w:sz w:val="22"/>
          <w:szCs w:val="22"/>
          <w:color w:val="auto"/>
        </w:rPr>
      </w:pPr>
    </w:p>
    <w:p>
      <w:pPr>
        <w:jc w:val="both"/>
        <w:ind w:left="1540" w:hanging="560"/>
        <w:spacing w:after="0" w:line="273" w:lineRule="auto"/>
        <w:tabs>
          <w:tab w:leader="none" w:pos="1537" w:val="left"/>
        </w:tabs>
        <w:numPr>
          <w:ilvl w:val="1"/>
          <w:numId w:val="122"/>
        </w:numPr>
        <w:rPr>
          <w:rFonts w:ascii="Arial" w:cs="Arial" w:eastAsia="Arial" w:hAnsi="Arial"/>
          <w:sz w:val="19"/>
          <w:szCs w:val="19"/>
          <w:color w:val="auto"/>
        </w:rPr>
      </w:pPr>
      <w:r>
        <w:rPr>
          <w:rFonts w:ascii="Arial" w:cs="Arial" w:eastAsia="Arial" w:hAnsi="Arial"/>
          <w:sz w:val="19"/>
          <w:szCs w:val="19"/>
          <w:color w:val="auto"/>
        </w:rPr>
        <w:t>During the Term and for a period of two years following the Term, except to the extent not permitted by applicable law or the terms of any agreements entered into by any member of the Company Group with third party service or information providers, the Company agrees that Armstrong shall have the right to (i) receive copies of any materials and analyses prepared by the Company’s market fundamentals group (together with Company personnel performing similar functions, the “Fundamentals Group”) and (ii) request special research or analyses from the Fundamentals Group; it being understood and agreed that (A) the Fundamentals Group shall give priority to research and analysis requested or required by any member of the Company Group, (B) special research and analyses requests by Armstrong may not be unduly burdensome, and (C) any information or materials provided by the Fundamentals Group to Armstrong shall be and remain the property of the Company Group and shall be subject to the confidentiality obligations referenced in Section 5(b) immediately below.</w:t>
      </w:r>
    </w:p>
    <w:p>
      <w:pPr>
        <w:spacing w:after="0" w:line="53" w:lineRule="exact"/>
        <w:rPr>
          <w:rFonts w:ascii="Arial" w:cs="Arial" w:eastAsia="Arial" w:hAnsi="Arial"/>
          <w:sz w:val="19"/>
          <w:szCs w:val="19"/>
          <w:color w:val="auto"/>
        </w:rPr>
      </w:pPr>
    </w:p>
    <w:p>
      <w:pPr>
        <w:jc w:val="both"/>
        <w:ind w:left="1540" w:hanging="560"/>
        <w:spacing w:after="0" w:line="238" w:lineRule="auto"/>
        <w:tabs>
          <w:tab w:leader="none" w:pos="1535"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Armstrong acknowledges and agrees that (i) the confidentiality and non-disclosure obligations set forth in Section 6 of the Original Agreement are incorporated herein by reference and shall remain in full force and effect during the Term and for a period of five years following the Termination Date and (ii) any information or materials provided by the Fundamentals Group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415" w:right="239" w:bottom="1440" w:gutter="0" w:footer="0" w:header="0"/>
        </w:sectPr>
      </w:pPr>
    </w:p>
    <w:bookmarkStart w:id="208" w:name="page209"/>
    <w:bookmarkEnd w:id="208"/>
    <w:p>
      <w:pPr>
        <w:spacing w:after="0" w:line="83" w:lineRule="exact"/>
        <w:rPr>
          <w:sz w:val="20"/>
          <w:szCs w:val="20"/>
          <w:color w:val="auto"/>
        </w:rPr>
      </w:pPr>
    </w:p>
    <w:p>
      <w:pPr>
        <w:jc w:val="both"/>
        <w:ind w:left="1540"/>
        <w:spacing w:after="0" w:line="297" w:lineRule="auto"/>
        <w:rPr>
          <w:sz w:val="20"/>
          <w:szCs w:val="20"/>
          <w:color w:val="auto"/>
        </w:rPr>
      </w:pPr>
      <w:r>
        <w:rPr>
          <w:rFonts w:ascii="Arial" w:cs="Arial" w:eastAsia="Arial" w:hAnsi="Arial"/>
          <w:sz w:val="19"/>
          <w:szCs w:val="19"/>
          <w:color w:val="auto"/>
        </w:rPr>
        <w:t>Armstrong pursuant to Section 5(a) above shall constitute “confidential information” obtained by Armstrong that is subject to such confidentiality and non-disclosure obligation (including the exceptions therefrom set forth in the proviso clause of Section 6 of the Original Agreement) until the fifth anniversary of the Termination Date.</w:t>
      </w:r>
    </w:p>
    <w:p>
      <w:pPr>
        <w:spacing w:after="0" w:line="161" w:lineRule="exact"/>
        <w:rPr>
          <w:sz w:val="20"/>
          <w:szCs w:val="20"/>
          <w:color w:val="auto"/>
        </w:rPr>
      </w:pPr>
    </w:p>
    <w:p>
      <w:pPr>
        <w:jc w:val="both"/>
        <w:ind w:left="980" w:hanging="972"/>
        <w:spacing w:after="0" w:line="275" w:lineRule="auto"/>
        <w:tabs>
          <w:tab w:leader="none" w:pos="980"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Cooperation with Litigation.</w:t>
      </w:r>
      <w:r>
        <w:rPr>
          <w:rFonts w:ascii="Arial" w:cs="Arial" w:eastAsia="Arial" w:hAnsi="Arial"/>
          <w:sz w:val="19"/>
          <w:szCs w:val="19"/>
          <w:color w:val="auto"/>
        </w:rPr>
        <w:t xml:space="preserve"> Armstrong agrees to render reasonable assistance to the Company in connection with any litigation or investigation relating to the business of the Company Group. Such assistance shall include, but not be limited to, attending meetings, assisting with discovery responses, giving depositions and making court appearances. The Company shall use commercially reasonable efforts to schedule such assistance at times and places that do not present scheduling issues for Armstrong. The Parties agree that Armstrong shall render the first 100 hours of assistance pursuant to this Section 6 in exchange for the consideration described in Section 3 hereof; provided, however, that with respect to any assistance provided by Armstrong pursuant to this Section 6 in excess of 100 hours, the Company and Armstrong shall agree upon reasonable and appropriate consideration to be paid by the Company to Armstrong.</w:t>
      </w:r>
    </w:p>
    <w:p>
      <w:pPr>
        <w:spacing w:after="0" w:line="185" w:lineRule="exact"/>
        <w:rPr>
          <w:rFonts w:ascii="Arial" w:cs="Arial" w:eastAsia="Arial" w:hAnsi="Arial"/>
          <w:sz w:val="19"/>
          <w:szCs w:val="19"/>
          <w:color w:val="auto"/>
        </w:rPr>
      </w:pPr>
    </w:p>
    <w:p>
      <w:pPr>
        <w:jc w:val="both"/>
        <w:ind w:left="980" w:hanging="972"/>
        <w:spacing w:after="0" w:line="236" w:lineRule="auto"/>
        <w:tabs>
          <w:tab w:leader="none" w:pos="98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COBRA Payments</w:t>
      </w:r>
      <w:r>
        <w:rPr>
          <w:rFonts w:ascii="Arial" w:cs="Arial" w:eastAsia="Arial" w:hAnsi="Arial"/>
          <w:sz w:val="22"/>
          <w:szCs w:val="22"/>
          <w:color w:val="auto"/>
        </w:rPr>
        <w:t>. The Company will, after the Termination Date, reimburse Armstrong for all costs of maintaining health insurance benefits for Armstrong and his family under, and for the maximum time period allowed by, COBRA at such time; provided, however, that such reimbursement obligation shall not extend beyond the first to occur of (i) the date on which Armstrong first becomes eligible to receive benefits under Medicare, or (ii) the date that is 18 months following the Termination Date.</w:t>
      </w:r>
    </w:p>
    <w:p>
      <w:pPr>
        <w:spacing w:after="0" w:line="214" w:lineRule="exact"/>
        <w:rPr>
          <w:rFonts w:ascii="Arial" w:cs="Arial" w:eastAsia="Arial" w:hAnsi="Arial"/>
          <w:sz w:val="22"/>
          <w:szCs w:val="22"/>
          <w:color w:val="auto"/>
        </w:rPr>
      </w:pPr>
    </w:p>
    <w:p>
      <w:pPr>
        <w:jc w:val="both"/>
        <w:ind w:left="980" w:hanging="972"/>
        <w:spacing w:after="0" w:line="279" w:lineRule="auto"/>
        <w:tabs>
          <w:tab w:leader="none" w:pos="980"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Amendment; Governing Law; Jurisdiction</w:t>
      </w:r>
      <w:r>
        <w:rPr>
          <w:rFonts w:ascii="Arial" w:cs="Arial" w:eastAsia="Arial" w:hAnsi="Arial"/>
          <w:sz w:val="19"/>
          <w:szCs w:val="19"/>
          <w:color w:val="auto"/>
        </w:rPr>
        <w:t>. This Agreement supersedes any and all oral agreements and can only be modified by the Parties in a writing signed by both Parties expressly stating a specific intent to modify this Agreement. This Agreement shall be governed by and construed in accordance with the laws of the State of Texas without giving effect to any choice of law or conflict of law provision or rule (whether of the State of Texas or any other jurisdiction) that would cause the application of the laws of any jurisdiction other than the State of Texas. The Parties hereby submit to the exclusive jurisdiction of the state courts of Texas, located in Harris County.</w:t>
      </w:r>
    </w:p>
    <w:p>
      <w:pPr>
        <w:spacing w:after="0" w:line="177" w:lineRule="exact"/>
        <w:rPr>
          <w:rFonts w:ascii="Arial" w:cs="Arial" w:eastAsia="Arial" w:hAnsi="Arial"/>
          <w:sz w:val="19"/>
          <w:szCs w:val="19"/>
          <w:color w:val="auto"/>
        </w:rPr>
      </w:pPr>
    </w:p>
    <w:p>
      <w:pPr>
        <w:jc w:val="both"/>
        <w:ind w:left="980" w:hanging="972"/>
        <w:spacing w:after="0" w:line="234" w:lineRule="auto"/>
        <w:tabs>
          <w:tab w:leader="none" w:pos="98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Section 409A Compliance</w:t>
      </w:r>
      <w:r>
        <w:rPr>
          <w:rFonts w:ascii="Arial" w:cs="Arial" w:eastAsia="Arial" w:hAnsi="Arial"/>
          <w:sz w:val="22"/>
          <w:szCs w:val="22"/>
          <w:color w:val="auto"/>
        </w:rPr>
        <w:t>. This Agreement shall be interpreted and administered in a manner so that any amount or benefit payable hereunder shall be paid or provided in a manner that is either exempt from or compliant with the requirements of Section 409A of the Internal Revenue Code and applicable Internal Revenue Service guidance and Treasury Regulations issued thereunder (“Section 409A”). If the Parties determine that any payments or benefits to be made or provided hereunder do not comply with Section 409A, the Parties agree to interpret or amend this Agreement or take such other actions as reasonably necessary or appropriate to either (i) remove such payments or benefits from the ambit of Section 409A or (ii) render such payments or benefits compliant thereunder, in any case while preserving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440" w:right="239" w:bottom="1440" w:gutter="0" w:footer="0" w:header="0"/>
        </w:sectPr>
      </w:pPr>
    </w:p>
    <w:bookmarkStart w:id="209" w:name="page210"/>
    <w:bookmarkEnd w:id="209"/>
    <w:p>
      <w:pPr>
        <w:jc w:val="both"/>
        <w:ind w:left="980"/>
        <w:spacing w:after="0" w:line="247" w:lineRule="auto"/>
        <w:rPr>
          <w:sz w:val="20"/>
          <w:szCs w:val="20"/>
          <w:color w:val="auto"/>
        </w:rPr>
      </w:pPr>
      <w:r>
        <w:rPr>
          <w:rFonts w:ascii="Arial" w:cs="Arial" w:eastAsia="Arial" w:hAnsi="Arial"/>
          <w:sz w:val="21"/>
          <w:szCs w:val="21"/>
          <w:color w:val="auto"/>
        </w:rPr>
        <w:t>possible the economic agreement of the Parties. Notwithstanding any provision in this Agreement to the contrary, if any payment or benefit provided for herein would be subject to additional taxes and interest under Section 409A if the Employee’s receipt of such payment or benefit is not delayed until the Section 409A Payment Date, then such payment or benefit shall not be provided to the Employee (or the Employee’s estate, if applicable) until the Section 409A Payment Date. The term “Section 409A Payment Date” means the earlier of (a) the date of the Employee’s death or (b) the date that is six months after the date of the Employee’s separation from service with the Company (as determined in accordance with Section 409A).</w:t>
      </w:r>
    </w:p>
    <w:p>
      <w:pPr>
        <w:spacing w:after="0" w:line="205" w:lineRule="exact"/>
        <w:rPr>
          <w:sz w:val="20"/>
          <w:szCs w:val="20"/>
          <w:color w:val="auto"/>
        </w:rPr>
      </w:pPr>
    </w:p>
    <w:p>
      <w:pPr>
        <w:jc w:val="both"/>
        <w:ind w:left="980" w:hanging="972"/>
        <w:spacing w:after="0"/>
        <w:tabs>
          <w:tab w:leader="none" w:pos="980"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For purposes of this Agreement, notices and all other communications shall be in writing and shall have been duly given when personally delivered or when mailed by United States certified or registered mail, or transmitted electronically, addressed as follows:</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38"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Plains All American GP LLC</w:t>
      </w:r>
    </w:p>
    <w:p>
      <w:pPr>
        <w:ind w:left="1960"/>
        <w:spacing w:after="0" w:line="227" w:lineRule="auto"/>
        <w:rPr>
          <w:sz w:val="20"/>
          <w:szCs w:val="20"/>
          <w:color w:val="auto"/>
        </w:rPr>
      </w:pPr>
      <w:r>
        <w:rPr>
          <w:rFonts w:ascii="Arial" w:cs="Arial" w:eastAsia="Arial" w:hAnsi="Arial"/>
          <w:sz w:val="20"/>
          <w:szCs w:val="20"/>
          <w:color w:val="auto"/>
        </w:rPr>
        <w:t>333 Clay Street, Suite 1600</w:t>
      </w:r>
    </w:p>
    <w:p>
      <w:pPr>
        <w:ind w:left="1960"/>
        <w:spacing w:after="0"/>
        <w:rPr>
          <w:sz w:val="20"/>
          <w:szCs w:val="20"/>
          <w:color w:val="auto"/>
        </w:rPr>
      </w:pPr>
      <w:r>
        <w:rPr>
          <w:rFonts w:ascii="Arial" w:cs="Arial" w:eastAsia="Arial" w:hAnsi="Arial"/>
          <w:sz w:val="20"/>
          <w:szCs w:val="20"/>
          <w:color w:val="auto"/>
        </w:rPr>
        <w:t>Houston, Texas 77002</w:t>
      </w:r>
    </w:p>
    <w:p>
      <w:pPr>
        <w:ind w:left="1960"/>
        <w:spacing w:after="0"/>
        <w:rPr>
          <w:sz w:val="20"/>
          <w:szCs w:val="20"/>
          <w:color w:val="auto"/>
        </w:rPr>
      </w:pPr>
      <w:r>
        <w:rPr>
          <w:rFonts w:ascii="Arial" w:cs="Arial" w:eastAsia="Arial" w:hAnsi="Arial"/>
          <w:sz w:val="20"/>
          <w:szCs w:val="20"/>
          <w:color w:val="auto"/>
        </w:rPr>
        <w:t>Attention: Jim Tillis, VP - Human Resources</w:t>
      </w:r>
    </w:p>
    <w:p>
      <w:pPr>
        <w:ind w:left="1960"/>
        <w:spacing w:after="0" w:line="225" w:lineRule="auto"/>
        <w:rPr>
          <w:sz w:val="20"/>
          <w:szCs w:val="20"/>
          <w:color w:val="auto"/>
        </w:rPr>
      </w:pPr>
      <w:r>
        <w:rPr>
          <w:rFonts w:ascii="Arial" w:cs="Arial" w:eastAsia="Arial" w:hAnsi="Arial"/>
          <w:sz w:val="20"/>
          <w:szCs w:val="20"/>
          <w:color w:val="auto"/>
        </w:rPr>
        <w:t>Telephone:</w:t>
      </w:r>
    </w:p>
    <w:p>
      <w:pPr>
        <w:ind w:left="1960"/>
        <w:spacing w:after="0" w:line="226" w:lineRule="auto"/>
        <w:rPr>
          <w:sz w:val="20"/>
          <w:szCs w:val="20"/>
          <w:color w:val="auto"/>
        </w:rPr>
      </w:pPr>
      <w:r>
        <w:rPr>
          <w:rFonts w:ascii="Arial" w:cs="Arial" w:eastAsia="Arial" w:hAnsi="Arial"/>
          <w:sz w:val="20"/>
          <w:szCs w:val="20"/>
          <w:color w:val="auto"/>
        </w:rPr>
        <w:t>Facsimile:</w:t>
      </w:r>
    </w:p>
    <w:p>
      <w:pPr>
        <w:ind w:left="1960"/>
        <w:spacing w:after="0"/>
        <w:rPr>
          <w:sz w:val="20"/>
          <w:szCs w:val="20"/>
          <w:color w:val="auto"/>
        </w:rPr>
      </w:pPr>
      <w:r>
        <w:rPr>
          <w:rFonts w:ascii="Arial" w:cs="Arial" w:eastAsia="Arial" w:hAnsi="Arial"/>
          <w:sz w:val="20"/>
          <w:szCs w:val="20"/>
          <w:color w:val="auto"/>
        </w:rPr>
        <w:t>E-mail:</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Plains All American GP LLC</w:t>
      </w:r>
    </w:p>
    <w:p>
      <w:pPr>
        <w:ind w:left="1960"/>
        <w:spacing w:after="0" w:line="227" w:lineRule="auto"/>
        <w:rPr>
          <w:sz w:val="20"/>
          <w:szCs w:val="20"/>
          <w:color w:val="auto"/>
        </w:rPr>
      </w:pPr>
      <w:r>
        <w:rPr>
          <w:rFonts w:ascii="Arial" w:cs="Arial" w:eastAsia="Arial" w:hAnsi="Arial"/>
          <w:sz w:val="20"/>
          <w:szCs w:val="20"/>
          <w:color w:val="auto"/>
        </w:rPr>
        <w:t>333 Clay Street, Suite 1600</w:t>
      </w:r>
    </w:p>
    <w:p>
      <w:pPr>
        <w:ind w:left="1960"/>
        <w:spacing w:after="0"/>
        <w:rPr>
          <w:sz w:val="20"/>
          <w:szCs w:val="20"/>
          <w:color w:val="auto"/>
        </w:rPr>
      </w:pPr>
      <w:r>
        <w:rPr>
          <w:rFonts w:ascii="Arial" w:cs="Arial" w:eastAsia="Arial" w:hAnsi="Arial"/>
          <w:sz w:val="20"/>
          <w:szCs w:val="20"/>
          <w:color w:val="auto"/>
        </w:rPr>
        <w:t>Houston, Texas 77002</w:t>
      </w:r>
    </w:p>
    <w:p>
      <w:pPr>
        <w:ind w:left="1960"/>
        <w:spacing w:after="0"/>
        <w:rPr>
          <w:sz w:val="20"/>
          <w:szCs w:val="20"/>
          <w:color w:val="auto"/>
        </w:rPr>
      </w:pPr>
      <w:r>
        <w:rPr>
          <w:rFonts w:ascii="Arial" w:cs="Arial" w:eastAsia="Arial" w:hAnsi="Arial"/>
          <w:sz w:val="20"/>
          <w:szCs w:val="20"/>
          <w:color w:val="auto"/>
        </w:rPr>
        <w:t>Attention: Richard K. McGee, General Counsel</w:t>
      </w:r>
    </w:p>
    <w:p>
      <w:pPr>
        <w:ind w:left="1960"/>
        <w:spacing w:after="0" w:line="225" w:lineRule="auto"/>
        <w:rPr>
          <w:sz w:val="20"/>
          <w:szCs w:val="20"/>
          <w:color w:val="auto"/>
        </w:rPr>
      </w:pPr>
      <w:r>
        <w:rPr>
          <w:rFonts w:ascii="Arial" w:cs="Arial" w:eastAsia="Arial" w:hAnsi="Arial"/>
          <w:sz w:val="20"/>
          <w:szCs w:val="20"/>
          <w:color w:val="auto"/>
        </w:rPr>
        <w:t>Telephone:</w:t>
      </w:r>
    </w:p>
    <w:p>
      <w:pPr>
        <w:ind w:left="1960"/>
        <w:spacing w:after="0"/>
        <w:rPr>
          <w:sz w:val="20"/>
          <w:szCs w:val="20"/>
          <w:color w:val="auto"/>
        </w:rPr>
      </w:pPr>
      <w:r>
        <w:rPr>
          <w:rFonts w:ascii="Arial" w:cs="Arial" w:eastAsia="Arial" w:hAnsi="Arial"/>
          <w:sz w:val="20"/>
          <w:szCs w:val="20"/>
          <w:color w:val="auto"/>
        </w:rPr>
        <w:t>E-mail:</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Employee:</w:t>
      </w:r>
    </w:p>
    <w:p>
      <w:pPr>
        <w:spacing w:after="0" w:line="238"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Greg L. Armstrong</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Telephone:</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Email:</w:t>
      </w:r>
    </w:p>
    <w:p>
      <w:pPr>
        <w:spacing w:after="0" w:line="209" w:lineRule="exact"/>
        <w:rPr>
          <w:sz w:val="20"/>
          <w:szCs w:val="20"/>
          <w:color w:val="auto"/>
        </w:rPr>
      </w:pPr>
    </w:p>
    <w:p>
      <w:pPr>
        <w:ind w:left="980" w:hanging="972"/>
        <w:spacing w:after="0" w:line="251" w:lineRule="auto"/>
        <w:tabs>
          <w:tab w:leader="none" w:pos="972"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to be an original, but all of which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415" w:right="239" w:bottom="1440" w:gutter="0" w:footer="0" w:header="0"/>
        </w:sectPr>
      </w:pPr>
    </w:p>
    <w:bookmarkStart w:id="210" w:name="page211"/>
    <w:bookmarkEnd w:id="210"/>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this Agreement as of the Effective Date.</w:t>
      </w:r>
    </w:p>
    <w:p>
      <w:pPr>
        <w:sectPr>
          <w:pgSz w:w="11900" w:h="16838" w:orient="portrait"/>
          <w:cols w:equalWidth="0" w:num="1">
            <w:col w:w="9559"/>
          </w:cols>
          <w:pgMar w:left="9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__________________________________</w:t>
      </w:r>
    </w:p>
    <w:p>
      <w:pPr>
        <w:spacing w:after="0" w:line="4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Greg L. Armstrong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40"/>
        <w:spacing w:after="0"/>
        <w:rPr>
          <w:sz w:val="20"/>
          <w:szCs w:val="20"/>
          <w:color w:val="auto"/>
        </w:rPr>
      </w:pPr>
      <w:r>
        <w:rPr>
          <w:rFonts w:ascii="Arial" w:cs="Arial" w:eastAsia="Arial" w:hAnsi="Arial"/>
          <w:sz w:val="21"/>
          <w:szCs w:val="21"/>
          <w:color w:val="auto"/>
        </w:rPr>
        <w:t>PLAINS ALL AMERICAN GP LLC</w:t>
      </w:r>
    </w:p>
    <w:p>
      <w:pPr>
        <w:spacing w:after="0" w:line="200" w:lineRule="exact"/>
        <w:rPr>
          <w:sz w:val="20"/>
          <w:szCs w:val="20"/>
          <w:color w:val="auto"/>
        </w:rPr>
      </w:pP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By: ________________________________</w:t>
      </w:r>
    </w:p>
    <w:p>
      <w:pPr>
        <w:spacing w:after="0" w:line="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Richard McGee</w:t>
      </w:r>
    </w:p>
    <w:p>
      <w:pPr>
        <w:ind w:left="3640"/>
        <w:spacing w:after="0"/>
        <w:rPr>
          <w:sz w:val="20"/>
          <w:szCs w:val="20"/>
          <w:color w:val="auto"/>
        </w:rPr>
      </w:pPr>
      <w:r>
        <w:rPr>
          <w:rFonts w:ascii="Arial" w:cs="Arial" w:eastAsia="Arial" w:hAnsi="Arial"/>
          <w:sz w:val="22"/>
          <w:szCs w:val="22"/>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559"/>
          </w:cols>
          <w:pgMar w:left="900" w:top="1440" w:right="1440" w:bottom="1440" w:gutter="0" w:footer="0" w:header="0"/>
          <w:type w:val="continuous"/>
        </w:sectPr>
      </w:pPr>
    </w:p>
    <w:bookmarkStart w:id="211" w:name="page212"/>
    <w:bookmarkEnd w:id="211"/>
    <w:p>
      <w:pPr>
        <w:jc w:val="right"/>
        <w:spacing w:after="0"/>
        <w:rPr>
          <w:sz w:val="20"/>
          <w:szCs w:val="20"/>
          <w:color w:val="auto"/>
        </w:rPr>
      </w:pPr>
      <w:r>
        <w:rPr>
          <w:rFonts w:ascii="Arial" w:cs="Arial" w:eastAsia="Arial" w:hAnsi="Arial"/>
          <w:sz w:val="22"/>
          <w:szCs w:val="22"/>
          <w:b w:val="1"/>
          <w:bCs w:val="1"/>
          <w:color w:val="auto"/>
        </w:rPr>
        <w:t>Exhibit 10.72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11430</wp:posOffset>
            </wp:positionV>
            <wp:extent cx="2521585" cy="6089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74">
                      <a:extLst>
                        <a:ext uri="{28A0092B-C50C-407E-A947-70E740481C1C}"/>
                      </a:extLst>
                    </a:blip>
                    <a:srcRect/>
                    <a:stretch>
                      <a:fillRect/>
                    </a:stretch>
                  </pic:blipFill>
                  <pic:spPr bwMode="auto">
                    <a:xfrm>
                      <a:off x="0" y="0"/>
                      <a:ext cx="252158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INITIAL DIRECTOR GRANT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January 8, 2020</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Mr. Lawrence M. Ziemba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Houston, TX</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 Grant of Phantom Class A Shares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Larry:</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 am pleased to inform you that you have been granted 23,490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75" w:lineRule="exact"/>
        <w:rPr>
          <w:sz w:val="20"/>
          <w:szCs w:val="20"/>
          <w:color w:val="auto"/>
        </w:rPr>
      </w:pPr>
    </w:p>
    <w:p>
      <w:pPr>
        <w:jc w:val="both"/>
        <w:ind w:left="660" w:hanging="328"/>
        <w:spacing w:after="0" w:line="252" w:lineRule="auto"/>
        <w:tabs>
          <w:tab w:leader="none" w:pos="66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Subject to the further provisions of this Agreement, your Phantom Class A Shares shall vest (become payable in the form of one Class A Share of PAGP for each Phantom Class A Share that vests) as follows: (a) 4,050 will vest on the August 2020 Distribution Date, (b) 6,480 will vest on the August 2021 Distribution Date, (c) 6,480 will vest on the August 2022 Distribution Date, and (d) 6,480 will vest on the August 2023 Distribution Date.</w:t>
      </w:r>
    </w:p>
    <w:p>
      <w:pPr>
        <w:spacing w:after="0" w:line="201" w:lineRule="exact"/>
        <w:rPr>
          <w:rFonts w:ascii="Arial" w:cs="Arial" w:eastAsia="Arial" w:hAnsi="Arial"/>
          <w:sz w:val="21"/>
          <w:szCs w:val="21"/>
          <w:color w:val="auto"/>
        </w:rPr>
      </w:pPr>
    </w:p>
    <w:p>
      <w:pPr>
        <w:ind w:left="660" w:hanging="328"/>
        <w:spacing w:after="0" w:line="251" w:lineRule="auto"/>
        <w:tabs>
          <w:tab w:leader="none" w:pos="6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00" w:lineRule="exact"/>
        <w:rPr>
          <w:rFonts w:ascii="Arial" w:cs="Arial" w:eastAsia="Arial" w:hAnsi="Arial"/>
          <w:sz w:val="22"/>
          <w:szCs w:val="22"/>
          <w:color w:val="auto"/>
        </w:rPr>
      </w:pPr>
    </w:p>
    <w:p>
      <w:pPr>
        <w:ind w:left="660" w:hanging="328"/>
        <w:spacing w:after="0"/>
        <w:tabs>
          <w:tab w:leader="none" w:pos="6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Immediately after the vesting of any Phantom Class A Shares, an equal number of DERs shall expire.</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Upon any forfeiture of Phantom Class A Shares, an equal number of DERs shall expire.</w:t>
      </w:r>
    </w:p>
    <w:p>
      <w:pPr>
        <w:spacing w:after="0" w:line="233" w:lineRule="exact"/>
        <w:rPr>
          <w:rFonts w:ascii="Arial" w:cs="Arial" w:eastAsia="Arial" w:hAnsi="Arial"/>
          <w:sz w:val="22"/>
          <w:szCs w:val="22"/>
          <w:color w:val="auto"/>
        </w:rPr>
      </w:pPr>
    </w:p>
    <w:p>
      <w:pPr>
        <w:jc w:val="both"/>
        <w:ind w:left="660" w:hanging="328"/>
        <w:spacing w:after="0" w:line="238" w:lineRule="auto"/>
        <w:tabs>
          <w:tab w:leader="none" w:pos="6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ectPr>
          <w:pgSz w:w="11900" w:h="16838" w:orient="portrait"/>
          <w:cols w:equalWidth="0" w:num="1">
            <w:col w:w="11420"/>
          </w:cols>
          <w:pgMar w:left="240" w:top="125" w:right="239" w:bottom="1440" w:gutter="0" w:footer="0" w:header="0"/>
        </w:sectPr>
      </w:pPr>
    </w:p>
    <w:bookmarkStart w:id="212" w:name="page213"/>
    <w:bookmarkEnd w:id="212"/>
    <w:p>
      <w:pPr>
        <w:ind w:left="20"/>
        <w:spacing w:after="0"/>
        <w:tabs>
          <w:tab w:leader="none" w:pos="5880" w:val="left"/>
          <w:tab w:leader="none" w:pos="10000" w:val="left"/>
        </w:tabs>
        <w:rPr>
          <w:sz w:val="20"/>
          <w:szCs w:val="20"/>
          <w:color w:val="auto"/>
        </w:rPr>
      </w:pPr>
      <w:r>
        <w:rPr>
          <w:rFonts w:ascii="Arial" w:cs="Arial" w:eastAsia="Arial" w:hAnsi="Arial"/>
          <w:sz w:val="22"/>
          <w:szCs w:val="22"/>
          <w:color w:val="auto"/>
        </w:rPr>
        <w:t>Lawrence M. Ziemba</w:t>
      </w:r>
      <w:r>
        <w:rPr>
          <w:sz w:val="20"/>
          <w:szCs w:val="20"/>
          <w:color w:val="auto"/>
        </w:rPr>
        <w:tab/>
      </w:r>
      <w:r>
        <w:rPr>
          <w:rFonts w:ascii="Arial" w:cs="Arial" w:eastAsia="Arial" w:hAnsi="Arial"/>
          <w:sz w:val="22"/>
          <w:szCs w:val="22"/>
          <w:color w:val="auto"/>
        </w:rPr>
        <w:t>- 2 -</w:t>
      </w:r>
      <w:r>
        <w:rPr>
          <w:sz w:val="20"/>
          <w:szCs w:val="20"/>
          <w:color w:val="auto"/>
        </w:rPr>
        <w:tab/>
      </w:r>
      <w:r>
        <w:rPr>
          <w:rFonts w:ascii="Arial" w:cs="Arial" w:eastAsia="Arial" w:hAnsi="Arial"/>
          <w:sz w:val="19"/>
          <w:szCs w:val="19"/>
          <w:color w:val="auto"/>
        </w:rPr>
        <w:t>January 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660" w:hanging="328"/>
        <w:spacing w:after="0" w:line="249" w:lineRule="auto"/>
        <w:tabs>
          <w:tab w:leader="none" w:pos="66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(and any tandem DERs) shall immediately become nonforfeitable, and shall vest in full as of the next following Distribution Date. Upon such payment, the tandem DERs associated with the Phantom Class A Shares that are vesting shall expire.</w:t>
      </w:r>
    </w:p>
    <w:p>
      <w:pPr>
        <w:spacing w:after="0" w:line="205" w:lineRule="exact"/>
        <w:rPr>
          <w:rFonts w:ascii="Arial" w:cs="Arial" w:eastAsia="Arial" w:hAnsi="Arial"/>
          <w:sz w:val="21"/>
          <w:szCs w:val="21"/>
          <w:color w:val="auto"/>
        </w:rPr>
      </w:pPr>
    </w:p>
    <w:p>
      <w:pPr>
        <w:ind w:left="660" w:hanging="328"/>
        <w:spacing w:after="0" w:line="328" w:lineRule="auto"/>
        <w:tabs>
          <w:tab w:leader="none" w:pos="66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Third Amended and Restated Limited Liability Company Agreement of PAA GP Holdings LLC, as amended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420"/>
          </w:cols>
          <w:pgMar w:left="240" w:top="172" w:right="239" w:bottom="1440" w:gutter="0" w:footer="0" w:header="0"/>
        </w:sectPr>
      </w:pPr>
    </w:p>
    <w:bookmarkStart w:id="213" w:name="page214"/>
    <w:bookmarkEnd w:id="213"/>
    <w:p>
      <w:pPr>
        <w:ind w:left="20"/>
        <w:spacing w:after="0"/>
        <w:tabs>
          <w:tab w:leader="none" w:pos="5880" w:val="left"/>
          <w:tab w:leader="none" w:pos="10000" w:val="left"/>
        </w:tabs>
        <w:rPr>
          <w:sz w:val="20"/>
          <w:szCs w:val="20"/>
          <w:color w:val="auto"/>
        </w:rPr>
      </w:pPr>
      <w:r>
        <w:rPr>
          <w:rFonts w:ascii="Arial" w:cs="Arial" w:eastAsia="Arial" w:hAnsi="Arial"/>
          <w:sz w:val="22"/>
          <w:szCs w:val="22"/>
          <w:color w:val="auto"/>
        </w:rPr>
        <w:t>Lawrence M. Ziemba</w:t>
      </w:r>
      <w:r>
        <w:rPr>
          <w:sz w:val="20"/>
          <w:szCs w:val="20"/>
          <w:color w:val="auto"/>
        </w:rPr>
        <w:tab/>
      </w:r>
      <w:r>
        <w:rPr>
          <w:rFonts w:ascii="Arial" w:cs="Arial" w:eastAsia="Arial" w:hAnsi="Arial"/>
          <w:sz w:val="22"/>
          <w:szCs w:val="22"/>
          <w:color w:val="auto"/>
        </w:rPr>
        <w:t>- 3 -</w:t>
      </w:r>
      <w:r>
        <w:rPr>
          <w:sz w:val="20"/>
          <w:szCs w:val="20"/>
          <w:color w:val="auto"/>
        </w:rPr>
        <w:tab/>
      </w:r>
      <w:r>
        <w:rPr>
          <w:rFonts w:ascii="Arial" w:cs="Arial" w:eastAsia="Arial" w:hAnsi="Arial"/>
          <w:sz w:val="19"/>
          <w:szCs w:val="19"/>
          <w:color w:val="auto"/>
        </w:rPr>
        <w:t>January 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80" w:firstLine="648"/>
        <w:spacing w:after="0" w:line="328" w:lineRule="auto"/>
        <w:rPr>
          <w:sz w:val="20"/>
          <w:szCs w:val="20"/>
          <w:color w:val="auto"/>
        </w:rPr>
      </w:pPr>
      <w:r>
        <w:rPr>
          <w:rFonts w:ascii="Arial" w:cs="Arial" w:eastAsia="Arial" w:hAnsi="Arial"/>
          <w:sz w:val="19"/>
          <w:szCs w:val="19"/>
          <w:color w:val="auto"/>
        </w:rPr>
        <w:t>Please designate in the space provided below a beneficiary to receive benefits payable under this grant in the event of your death. In addition, please execute and return a copy of this grant letter to me and retain a copy for your records.</w:t>
      </w: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280" w:type="dxa"/>
            <w:vAlign w:val="bottom"/>
            <w:gridSpan w:val="3"/>
          </w:tcPr>
          <w:p>
            <w:pPr>
              <w:jc w:val="right"/>
              <w:ind w:right="1220"/>
              <w:spacing w:after="0"/>
              <w:rPr>
                <w:sz w:val="20"/>
                <w:szCs w:val="20"/>
                <w:color w:val="auto"/>
              </w:rPr>
            </w:pPr>
            <w:r>
              <w:rPr>
                <w:rFonts w:ascii="Arial" w:cs="Arial" w:eastAsia="Arial" w:hAnsi="Arial"/>
                <w:sz w:val="22"/>
                <w:szCs w:val="22"/>
                <w:color w:val="auto"/>
              </w:rPr>
              <w:t>PLAINS GP HOLDINGS, L.P.</w:t>
            </w:r>
          </w:p>
        </w:tc>
        <w:tc>
          <w:tcPr>
            <w:tcW w:w="3640" w:type="dxa"/>
            <w:vAlign w:val="bottom"/>
          </w:tcPr>
          <w:p>
            <w:pPr>
              <w:spacing w:after="0"/>
              <w:rPr>
                <w:sz w:val="23"/>
                <w:szCs w:val="23"/>
                <w:color w:val="auto"/>
              </w:rPr>
            </w:pPr>
          </w:p>
        </w:tc>
      </w:tr>
      <w:tr>
        <w:trPr>
          <w:trHeight w:val="486"/>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80" w:type="dxa"/>
            <w:vAlign w:val="bottom"/>
            <w:gridSpan w:val="3"/>
          </w:tcPr>
          <w:p>
            <w:pPr>
              <w:ind w:left="380"/>
              <w:spacing w:after="0"/>
              <w:rPr>
                <w:sz w:val="20"/>
                <w:szCs w:val="20"/>
                <w:color w:val="auto"/>
              </w:rPr>
            </w:pPr>
            <w:r>
              <w:rPr>
                <w:rFonts w:ascii="Arial" w:cs="Arial" w:eastAsia="Arial" w:hAnsi="Arial"/>
                <w:sz w:val="22"/>
                <w:szCs w:val="22"/>
                <w:color w:val="auto"/>
              </w:rPr>
              <w:t>By: PAA GP HOLDINGS LLC</w:t>
            </w:r>
          </w:p>
        </w:tc>
        <w:tc>
          <w:tcPr>
            <w:tcW w:w="3640" w:type="dxa"/>
            <w:vAlign w:val="bottom"/>
          </w:tcPr>
          <w:p>
            <w:pPr>
              <w:spacing w:after="0"/>
              <w:rPr>
                <w:sz w:val="24"/>
                <w:szCs w:val="24"/>
                <w:color w:val="auto"/>
              </w:rPr>
            </w:pPr>
          </w:p>
        </w:tc>
      </w:tr>
      <w:tr>
        <w:trPr>
          <w:trHeight w:val="698"/>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80" w:type="dxa"/>
            <w:vAlign w:val="bottom"/>
            <w:gridSpan w:val="3"/>
          </w:tcPr>
          <w:p>
            <w:pPr>
              <w:ind w:left="940"/>
              <w:spacing w:after="0"/>
              <w:rPr>
                <w:sz w:val="20"/>
                <w:szCs w:val="20"/>
                <w:color w:val="auto"/>
              </w:rPr>
            </w:pPr>
            <w:r>
              <w:rPr>
                <w:rFonts w:ascii="Arial" w:cs="Arial" w:eastAsia="Arial" w:hAnsi="Arial"/>
                <w:sz w:val="22"/>
                <w:szCs w:val="22"/>
                <w:color w:val="auto"/>
                <w:w w:val="89"/>
              </w:rPr>
              <w:t>By: ___________________________</w:t>
            </w:r>
          </w:p>
        </w:tc>
        <w:tc>
          <w:tcPr>
            <w:tcW w:w="364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280" w:type="dxa"/>
            <w:vAlign w:val="bottom"/>
            <w:gridSpan w:val="3"/>
          </w:tcPr>
          <w:p>
            <w:pPr>
              <w:ind w:left="1020"/>
              <w:spacing w:after="0" w:line="243" w:lineRule="exact"/>
              <w:rPr>
                <w:sz w:val="20"/>
                <w:szCs w:val="20"/>
                <w:color w:val="auto"/>
              </w:rPr>
            </w:pPr>
            <w:r>
              <w:rPr>
                <w:rFonts w:ascii="Arial" w:cs="Arial" w:eastAsia="Arial" w:hAnsi="Arial"/>
                <w:sz w:val="22"/>
                <w:szCs w:val="22"/>
                <w:color w:val="auto"/>
              </w:rPr>
              <w:t>Name: Richard McGee</w:t>
            </w:r>
          </w:p>
        </w:tc>
        <w:tc>
          <w:tcPr>
            <w:tcW w:w="3640" w:type="dxa"/>
            <w:vAlign w:val="bottom"/>
          </w:tcPr>
          <w:p>
            <w:pPr>
              <w:spacing w:after="0"/>
              <w:rPr>
                <w:sz w:val="21"/>
                <w:szCs w:val="21"/>
                <w:color w:val="auto"/>
              </w:rPr>
            </w:pPr>
          </w:p>
        </w:tc>
      </w:tr>
      <w:tr>
        <w:trPr>
          <w:trHeight w:val="275"/>
        </w:trPr>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280" w:type="dxa"/>
            <w:vAlign w:val="bottom"/>
            <w:gridSpan w:val="3"/>
          </w:tcPr>
          <w:p>
            <w:pPr>
              <w:ind w:left="1020"/>
              <w:spacing w:after="0"/>
              <w:rPr>
                <w:sz w:val="20"/>
                <w:szCs w:val="20"/>
                <w:color w:val="auto"/>
              </w:rPr>
            </w:pPr>
            <w:r>
              <w:rPr>
                <w:rFonts w:ascii="Arial" w:cs="Arial" w:eastAsia="Arial" w:hAnsi="Arial"/>
                <w:sz w:val="22"/>
                <w:szCs w:val="22"/>
                <w:color w:val="auto"/>
              </w:rPr>
              <w:t>Title: Executive Vice President</w:t>
            </w:r>
          </w:p>
        </w:tc>
        <w:tc>
          <w:tcPr>
            <w:tcW w:w="3640" w:type="dxa"/>
            <w:vAlign w:val="bottom"/>
          </w:tcPr>
          <w:p>
            <w:pPr>
              <w:spacing w:after="0"/>
              <w:rPr>
                <w:sz w:val="23"/>
                <w:szCs w:val="23"/>
                <w:color w:val="auto"/>
              </w:rPr>
            </w:pPr>
          </w:p>
        </w:tc>
      </w:tr>
      <w:tr>
        <w:trPr>
          <w:trHeight w:val="1016"/>
        </w:trPr>
        <w:tc>
          <w:tcPr>
            <w:tcW w:w="340" w:type="dxa"/>
            <w:vAlign w:val="bottom"/>
          </w:tcPr>
          <w:p>
            <w:pPr>
              <w:spacing w:after="0"/>
              <w:rPr>
                <w:sz w:val="24"/>
                <w:szCs w:val="24"/>
                <w:color w:val="auto"/>
              </w:rPr>
            </w:pPr>
          </w:p>
        </w:tc>
        <w:tc>
          <w:tcPr>
            <w:tcW w:w="3180" w:type="dxa"/>
            <w:vAlign w:val="bottom"/>
            <w:tcBorders>
              <w:bottom w:val="single" w:sz="8" w:color="auto"/>
            </w:tcBorders>
            <w:gridSpan w:val="2"/>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4"/>
        </w:trPr>
        <w:tc>
          <w:tcPr>
            <w:tcW w:w="340" w:type="dxa"/>
            <w:vAlign w:val="bottom"/>
          </w:tcPr>
          <w:p>
            <w:pPr>
              <w:spacing w:after="0"/>
              <w:rPr>
                <w:sz w:val="23"/>
                <w:szCs w:val="23"/>
                <w:color w:val="auto"/>
              </w:rPr>
            </w:pPr>
          </w:p>
        </w:tc>
        <w:tc>
          <w:tcPr>
            <w:tcW w:w="3180" w:type="dxa"/>
            <w:vAlign w:val="bottom"/>
            <w:gridSpan w:val="2"/>
          </w:tcPr>
          <w:p>
            <w:pPr>
              <w:ind w:left="20"/>
              <w:spacing w:after="0"/>
              <w:rPr>
                <w:sz w:val="20"/>
                <w:szCs w:val="20"/>
                <w:color w:val="auto"/>
              </w:rPr>
            </w:pPr>
            <w:r>
              <w:rPr>
                <w:rFonts w:ascii="Arial" w:cs="Arial" w:eastAsia="Arial" w:hAnsi="Arial"/>
                <w:sz w:val="22"/>
                <w:szCs w:val="22"/>
                <w:color w:val="auto"/>
              </w:rPr>
              <w:t>Lawrence M. Ziemba</w:t>
            </w:r>
          </w:p>
        </w:tc>
        <w:tc>
          <w:tcPr>
            <w:tcW w:w="19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567"/>
        </w:trPr>
        <w:tc>
          <w:tcPr>
            <w:tcW w:w="340" w:type="dxa"/>
            <w:vAlign w:val="bottom"/>
          </w:tcPr>
          <w:p>
            <w:pPr>
              <w:spacing w:after="0"/>
              <w:rPr>
                <w:sz w:val="24"/>
                <w:szCs w:val="24"/>
                <w:color w:val="auto"/>
              </w:rPr>
            </w:pPr>
          </w:p>
        </w:tc>
        <w:tc>
          <w:tcPr>
            <w:tcW w:w="3180" w:type="dxa"/>
            <w:vAlign w:val="bottom"/>
            <w:gridSpan w:val="2"/>
          </w:tcPr>
          <w:p>
            <w:pPr>
              <w:ind w:left="20"/>
              <w:spacing w:after="0"/>
              <w:rPr>
                <w:sz w:val="20"/>
                <w:szCs w:val="20"/>
                <w:color w:val="auto"/>
              </w:rPr>
            </w:pPr>
            <w:r>
              <w:rPr>
                <w:rFonts w:ascii="Arial" w:cs="Arial" w:eastAsia="Arial" w:hAnsi="Arial"/>
                <w:sz w:val="22"/>
                <w:szCs w:val="22"/>
                <w:color w:val="auto"/>
                <w:w w:val="99"/>
              </w:rPr>
              <w:t>No. of Phantom Class A Shares:</w:t>
            </w:r>
          </w:p>
        </w:tc>
        <w:tc>
          <w:tcPr>
            <w:tcW w:w="4080" w:type="dxa"/>
            <w:vAlign w:val="bottom"/>
            <w:gridSpan w:val="2"/>
          </w:tcPr>
          <w:p>
            <w:pPr>
              <w:jc w:val="right"/>
              <w:ind w:right="1072"/>
              <w:spacing w:after="0"/>
              <w:rPr>
                <w:sz w:val="20"/>
                <w:szCs w:val="20"/>
                <w:color w:val="auto"/>
              </w:rPr>
            </w:pPr>
            <w:r>
              <w:rPr>
                <w:rFonts w:ascii="Arial" w:cs="Arial" w:eastAsia="Arial" w:hAnsi="Arial"/>
                <w:sz w:val="22"/>
                <w:szCs w:val="22"/>
                <w:color w:val="auto"/>
              </w:rPr>
              <w:t>23,490</w:t>
            </w: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08"/>
        </w:trPr>
        <w:tc>
          <w:tcPr>
            <w:tcW w:w="34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22"/>
                <w:szCs w:val="22"/>
                <w:color w:val="auto"/>
              </w:rPr>
              <w:t>Dated:</w:t>
            </w:r>
          </w:p>
        </w:tc>
        <w:tc>
          <w:tcPr>
            <w:tcW w:w="18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739"/>
        </w:trPr>
        <w:tc>
          <w:tcPr>
            <w:tcW w:w="34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22"/>
                <w:szCs w:val="22"/>
                <w:color w:val="auto"/>
              </w:rPr>
              <w:t>Beneficiary Designation</w:t>
            </w:r>
          </w:p>
        </w:tc>
        <w:tc>
          <w:tcPr>
            <w:tcW w:w="1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60"/>
        </w:trPr>
        <w:tc>
          <w:tcPr>
            <w:tcW w:w="3520" w:type="dxa"/>
            <w:vAlign w:val="bottom"/>
            <w:tcBorders>
              <w:bottom w:val="single" w:sz="8" w:color="auto"/>
            </w:tcBorders>
            <w:gridSpan w:val="3"/>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2"/>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r>
      <w:tr>
        <w:trPr>
          <w:trHeight w:val="284"/>
        </w:trPr>
        <w:tc>
          <w:tcPr>
            <w:tcW w:w="3520" w:type="dxa"/>
            <w:vAlign w:val="bottom"/>
            <w:tcBorders>
              <w:left w:val="single" w:sz="8" w:color="auto"/>
              <w:bottom w:val="single" w:sz="8" w:color="auto"/>
            </w:tcBorders>
            <w:gridSpan w:val="3"/>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1960" w:type="dxa"/>
            <w:vAlign w:val="bottom"/>
            <w:tcBorders>
              <w:bottom w:val="single" w:sz="8" w:color="auto"/>
              <w:right w:val="single" w:sz="8" w:color="auto"/>
            </w:tcBorders>
            <w:shd w:val="clear" w:color="auto" w:fill="C0C0C0"/>
          </w:tcPr>
          <w:p>
            <w:pPr>
              <w:spacing w:after="0"/>
              <w:rPr>
                <w:sz w:val="24"/>
                <w:szCs w:val="24"/>
                <w:color w:val="auto"/>
              </w:rPr>
            </w:pPr>
          </w:p>
        </w:tc>
        <w:tc>
          <w:tcPr>
            <w:tcW w:w="2320" w:type="dxa"/>
            <w:vAlign w:val="bottom"/>
            <w:tcBorders>
              <w:bottom w:val="single" w:sz="8" w:color="auto"/>
              <w:right w:val="single" w:sz="8" w:color="auto"/>
            </w:tcBorders>
            <w:gridSpan w:val="2"/>
            <w:shd w:val="clear" w:color="auto" w:fill="C0C0C0"/>
          </w:tcPr>
          <w:p>
            <w:pPr>
              <w:jc w:val="right"/>
              <w:ind w:right="1220"/>
              <w:spacing w:after="0"/>
              <w:rPr>
                <w:sz w:val="20"/>
                <w:szCs w:val="20"/>
                <w:color w:val="auto"/>
              </w:rPr>
            </w:pPr>
            <w:r>
              <w:rPr>
                <w:rFonts w:ascii="Arial" w:cs="Arial" w:eastAsia="Arial" w:hAnsi="Arial"/>
                <w:sz w:val="22"/>
                <w:szCs w:val="22"/>
                <w:color w:val="auto"/>
                <w:w w:val="89"/>
              </w:rPr>
              <w:t>Relationship</w:t>
            </w:r>
          </w:p>
        </w:tc>
        <w:tc>
          <w:tcPr>
            <w:tcW w:w="3640" w:type="dxa"/>
            <w:vAlign w:val="bottom"/>
            <w:tcBorders>
              <w:bottom w:val="single" w:sz="8" w:color="auto"/>
              <w:right w:val="single" w:sz="8" w:color="auto"/>
            </w:tcBorders>
            <w:shd w:val="clear" w:color="auto" w:fill="C0C0C0"/>
          </w:tcPr>
          <w:p>
            <w:pPr>
              <w:spacing w:after="0"/>
              <w:rPr>
                <w:sz w:val="20"/>
                <w:szCs w:val="20"/>
                <w:color w:val="auto"/>
              </w:rPr>
            </w:pPr>
            <w:r>
              <w:rPr>
                <w:rFonts w:ascii="Arial" w:cs="Arial" w:eastAsia="Arial" w:hAnsi="Arial"/>
                <w:sz w:val="22"/>
                <w:szCs w:val="22"/>
                <w:color w:val="auto"/>
              </w:rPr>
              <w:t>Percent (Must total 100%)</w:t>
            </w:r>
          </w:p>
        </w:tc>
      </w:tr>
      <w:tr>
        <w:trPr>
          <w:trHeight w:val="203"/>
        </w:trPr>
        <w:tc>
          <w:tcPr>
            <w:tcW w:w="340" w:type="dxa"/>
            <w:vAlign w:val="bottom"/>
            <w:tcBorders>
              <w:left w:val="single" w:sz="8" w:color="auto"/>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spacing w:after="0"/>
              <w:rPr>
                <w:sz w:val="17"/>
                <w:szCs w:val="17"/>
                <w:color w:val="auto"/>
              </w:rPr>
            </w:pPr>
          </w:p>
        </w:tc>
      </w:tr>
      <w:tr>
        <w:trPr>
          <w:trHeight w:val="196"/>
        </w:trPr>
        <w:tc>
          <w:tcPr>
            <w:tcW w:w="340" w:type="dxa"/>
            <w:vAlign w:val="bottom"/>
            <w:tcBorders>
              <w:left w:val="single" w:sz="8" w:color="auto"/>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spacing w:after="0"/>
              <w:rPr>
                <w:sz w:val="17"/>
                <w:szCs w:val="17"/>
                <w:color w:val="auto"/>
              </w:rPr>
            </w:pPr>
          </w:p>
        </w:tc>
      </w:tr>
      <w:tr>
        <w:trPr>
          <w:trHeight w:val="196"/>
        </w:trPr>
        <w:tc>
          <w:tcPr>
            <w:tcW w:w="340" w:type="dxa"/>
            <w:vAlign w:val="bottom"/>
            <w:tcBorders>
              <w:left w:val="single" w:sz="8" w:color="auto"/>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spacing w:after="0"/>
              <w:rPr>
                <w:sz w:val="17"/>
                <w:szCs w:val="17"/>
                <w:color w:val="auto"/>
              </w:rPr>
            </w:pPr>
          </w:p>
        </w:tc>
      </w:tr>
      <w:tr>
        <w:trPr>
          <w:trHeight w:val="284"/>
        </w:trPr>
        <w:tc>
          <w:tcPr>
            <w:tcW w:w="3520" w:type="dxa"/>
            <w:vAlign w:val="bottom"/>
            <w:tcBorders>
              <w:left w:val="single" w:sz="8" w:color="auto"/>
              <w:bottom w:val="single" w:sz="8" w:color="auto"/>
            </w:tcBorders>
            <w:gridSpan w:val="3"/>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1960" w:type="dxa"/>
            <w:vAlign w:val="bottom"/>
            <w:tcBorders>
              <w:bottom w:val="single" w:sz="8" w:color="auto"/>
              <w:right w:val="single" w:sz="8" w:color="auto"/>
            </w:tcBorders>
            <w:shd w:val="clear" w:color="auto" w:fill="C0C0C0"/>
          </w:tcPr>
          <w:p>
            <w:pPr>
              <w:spacing w:after="0"/>
              <w:rPr>
                <w:sz w:val="24"/>
                <w:szCs w:val="24"/>
                <w:color w:val="auto"/>
              </w:rPr>
            </w:pPr>
          </w:p>
        </w:tc>
        <w:tc>
          <w:tcPr>
            <w:tcW w:w="2320" w:type="dxa"/>
            <w:vAlign w:val="bottom"/>
            <w:tcBorders>
              <w:bottom w:val="single" w:sz="8" w:color="auto"/>
              <w:right w:val="single" w:sz="8" w:color="auto"/>
            </w:tcBorders>
            <w:gridSpan w:val="2"/>
            <w:shd w:val="clear" w:color="auto" w:fill="C0C0C0"/>
          </w:tcPr>
          <w:p>
            <w:pPr>
              <w:jc w:val="right"/>
              <w:ind w:right="1220"/>
              <w:spacing w:after="0"/>
              <w:rPr>
                <w:sz w:val="20"/>
                <w:szCs w:val="20"/>
                <w:color w:val="auto"/>
              </w:rPr>
            </w:pPr>
            <w:r>
              <w:rPr>
                <w:rFonts w:ascii="Arial" w:cs="Arial" w:eastAsia="Arial" w:hAnsi="Arial"/>
                <w:sz w:val="22"/>
                <w:szCs w:val="22"/>
                <w:color w:val="auto"/>
                <w:w w:val="89"/>
              </w:rPr>
              <w:t>Relationship</w:t>
            </w:r>
          </w:p>
        </w:tc>
        <w:tc>
          <w:tcPr>
            <w:tcW w:w="3640" w:type="dxa"/>
            <w:vAlign w:val="bottom"/>
            <w:tcBorders>
              <w:bottom w:val="single" w:sz="8" w:color="auto"/>
              <w:right w:val="single" w:sz="8" w:color="auto"/>
            </w:tcBorders>
            <w:shd w:val="clear" w:color="auto" w:fill="C0C0C0"/>
          </w:tcPr>
          <w:p>
            <w:pPr>
              <w:spacing w:after="0"/>
              <w:rPr>
                <w:sz w:val="20"/>
                <w:szCs w:val="20"/>
                <w:color w:val="auto"/>
              </w:rPr>
            </w:pPr>
            <w:r>
              <w:rPr>
                <w:rFonts w:ascii="Arial" w:cs="Arial" w:eastAsia="Arial" w:hAnsi="Arial"/>
                <w:sz w:val="22"/>
                <w:szCs w:val="22"/>
                <w:color w:val="auto"/>
              </w:rPr>
              <w:t>Percent (Must total 100%)</w:t>
            </w:r>
          </w:p>
        </w:tc>
      </w:tr>
      <w:tr>
        <w:trPr>
          <w:trHeight w:val="203"/>
        </w:trPr>
        <w:tc>
          <w:tcPr>
            <w:tcW w:w="340" w:type="dxa"/>
            <w:vAlign w:val="bottom"/>
            <w:tcBorders>
              <w:left w:val="single" w:sz="8" w:color="auto"/>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spacing w:after="0"/>
              <w:rPr>
                <w:sz w:val="17"/>
                <w:szCs w:val="17"/>
                <w:color w:val="auto"/>
              </w:rPr>
            </w:pPr>
          </w:p>
        </w:tc>
      </w:tr>
      <w:tr>
        <w:trPr>
          <w:trHeight w:val="196"/>
        </w:trPr>
        <w:tc>
          <w:tcPr>
            <w:tcW w:w="340" w:type="dxa"/>
            <w:vAlign w:val="bottom"/>
            <w:tcBorders>
              <w:left w:val="single" w:sz="8" w:color="auto"/>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spacing w:after="0"/>
              <w:rPr>
                <w:sz w:val="17"/>
                <w:szCs w:val="17"/>
                <w:color w:val="auto"/>
              </w:rPr>
            </w:pPr>
          </w:p>
        </w:tc>
      </w:tr>
      <w:tr>
        <w:trPr>
          <w:trHeight w:val="196"/>
        </w:trPr>
        <w:tc>
          <w:tcPr>
            <w:tcW w:w="340" w:type="dxa"/>
            <w:vAlign w:val="bottom"/>
            <w:tcBorders>
              <w:left w:val="single" w:sz="8" w:color="auto"/>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spacing w:after="0"/>
              <w:rPr>
                <w:sz w:val="17"/>
                <w:szCs w:val="17"/>
                <w:color w:val="auto"/>
              </w:rPr>
            </w:pPr>
          </w:p>
        </w:tc>
      </w:tr>
    </w:tbl>
    <w:p>
      <w:pPr>
        <w:sectPr>
          <w:pgSz w:w="11900" w:h="16838" w:orient="portrait"/>
          <w:cols w:equalWidth="0" w:num="1">
            <w:col w:w="11440"/>
          </w:cols>
          <w:pgMar w:left="240" w:top="172" w:right="21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7560" w:type="dxa"/>
            <w:vAlign w:val="bottom"/>
            <w:gridSpan w:val="3"/>
          </w:tcPr>
          <w:p>
            <w:pPr>
              <w:jc w:val="center"/>
              <w:ind w:right="3670"/>
              <w:spacing w:after="0"/>
              <w:rPr>
                <w:sz w:val="20"/>
                <w:szCs w:val="20"/>
                <w:color w:val="auto"/>
              </w:rPr>
            </w:pPr>
            <w:r>
              <w:rPr>
                <w:rFonts w:ascii="Arial" w:cs="Arial" w:eastAsia="Arial" w:hAnsi="Arial"/>
                <w:sz w:val="18"/>
                <w:szCs w:val="18"/>
                <w:b w:val="1"/>
                <w:bCs w:val="1"/>
                <w:color w:val="auto"/>
                <w:w w:val="98"/>
              </w:rPr>
              <w:t>SUBSIDIARIES OF</w:t>
            </w:r>
          </w:p>
        </w:tc>
      </w:tr>
      <w:tr>
        <w:trPr>
          <w:trHeight w:val="220"/>
        </w:trPr>
        <w:tc>
          <w:tcPr>
            <w:tcW w:w="3820" w:type="dxa"/>
            <w:vAlign w:val="bottom"/>
          </w:tcPr>
          <w:p>
            <w:pPr>
              <w:spacing w:after="0"/>
              <w:rPr>
                <w:sz w:val="19"/>
                <w:szCs w:val="19"/>
                <w:color w:val="auto"/>
              </w:rPr>
            </w:pPr>
          </w:p>
        </w:tc>
        <w:tc>
          <w:tcPr>
            <w:tcW w:w="7560" w:type="dxa"/>
            <w:vAlign w:val="bottom"/>
            <w:gridSpan w:val="3"/>
          </w:tcPr>
          <w:p>
            <w:pPr>
              <w:jc w:val="center"/>
              <w:ind w:right="3690"/>
              <w:spacing w:after="0"/>
              <w:rPr>
                <w:sz w:val="20"/>
                <w:szCs w:val="20"/>
                <w:color w:val="auto"/>
              </w:rPr>
            </w:pPr>
            <w:r>
              <w:rPr>
                <w:rFonts w:ascii="Arial" w:cs="Arial" w:eastAsia="Arial" w:hAnsi="Arial"/>
                <w:sz w:val="18"/>
                <w:szCs w:val="18"/>
                <w:b w:val="1"/>
                <w:bCs w:val="1"/>
                <w:color w:val="auto"/>
              </w:rPr>
              <w:t>PLAINS ALL AMERICAN PIPELINE, L.P.</w:t>
            </w:r>
          </w:p>
        </w:tc>
      </w:tr>
      <w:tr>
        <w:trPr>
          <w:trHeight w:val="230"/>
        </w:trPr>
        <w:tc>
          <w:tcPr>
            <w:tcW w:w="3820" w:type="dxa"/>
            <w:vAlign w:val="bottom"/>
          </w:tcPr>
          <w:p>
            <w:pPr>
              <w:spacing w:after="0"/>
              <w:rPr>
                <w:sz w:val="20"/>
                <w:szCs w:val="20"/>
                <w:color w:val="auto"/>
              </w:rPr>
            </w:pPr>
          </w:p>
        </w:tc>
        <w:tc>
          <w:tcPr>
            <w:tcW w:w="7560" w:type="dxa"/>
            <w:vAlign w:val="bottom"/>
            <w:gridSpan w:val="3"/>
          </w:tcPr>
          <w:p>
            <w:pPr>
              <w:jc w:val="center"/>
              <w:ind w:right="3690"/>
              <w:spacing w:after="0"/>
              <w:rPr>
                <w:sz w:val="20"/>
                <w:szCs w:val="20"/>
                <w:color w:val="auto"/>
              </w:rPr>
            </w:pPr>
            <w:r>
              <w:rPr>
                <w:rFonts w:ascii="Arial" w:cs="Arial" w:eastAsia="Arial" w:hAnsi="Arial"/>
                <w:sz w:val="18"/>
                <w:szCs w:val="18"/>
                <w:i w:val="1"/>
                <w:iCs w:val="1"/>
                <w:color w:val="auto"/>
                <w:w w:val="92"/>
              </w:rPr>
              <w:t>(As of 1/1/2020)</w:t>
            </w:r>
          </w:p>
        </w:tc>
      </w:tr>
      <w:tr>
        <w:trPr>
          <w:trHeight w:val="22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Subsidiary</w:t>
            </w:r>
          </w:p>
        </w:tc>
        <w:tc>
          <w:tcPr>
            <w:tcW w:w="3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 of Organization</w:t>
            </w: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Aurora Pipeline Company Ltd.</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Bakersfield Crude Terminal LLC</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Cactus II Pipeline LLC</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Capline Pipeline Company LLC</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Eagle Ford Crude Terminal LLC</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FM Midstream Holdings LLC</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Niobrara Crude Terminal LLC</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PAA Finance Corp.</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PAA Luxembourg S.a.r.l.</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PAA Midstream LLC</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PAA Natural Gas Canada ULC</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Alberta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PAA Natural Gas Storage, LLC</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PAA Natural Gas Storage, L.P.</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PAA Service Corp.</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PAA/Vulcan Gas Storage, LLC</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Pacific Energy Group LLC</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Pacific L.A. Marine Terminal LLC</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Pacific Pipeline System LLC</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Pine Prairie Energy Center, LLC</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w w:val="97"/>
              </w:rPr>
              <w:t>Plains All American Emergency Relief Fund, Inc.</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Plains Capline LLC</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Plains Gas Solutions, LLC</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Plains GP LLC</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Plains LPG Services GP LLC</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Plains LPG Services, L.P.</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Plains Marketing Bondholder, LLC</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Plains Marketing Canada LLC</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Plains Marketing, L.P.</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Plains Midstream Canada ULC</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British Columbia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Plains Midstream Luxembourg S.a.r.l.</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Plains Midstream Superior LLC</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Plains Pipeline, L.P.</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Plains Pipeline Montana LLC</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Plains Products Terminals LLC</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Plains Rail Holdings LLC</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Plains South Texas Gathering LLC</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Plains Terminals North Dakota LLC</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Plains West Coast Terminals LLC</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PMC (Nova Scotia) Company</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Nova Scotia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PNG Marketing, LLC</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PNGS GP LLC</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PPEC Bondholder, LLC</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891" w:right="239" w:bottom="1440" w:gutter="0" w:footer="0" w:header="0"/>
        </w:sectPr>
      </w:pPr>
    </w:p>
    <w:bookmarkStart w:id="215" w:name="page216"/>
    <w:bookmarkEnd w:id="2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Subsidiary</w:t>
            </w:r>
          </w:p>
        </w:tc>
        <w:tc>
          <w:tcPr>
            <w:tcW w:w="5940" w:type="dxa"/>
            <w:vAlign w:val="bottom"/>
          </w:tcPr>
          <w:p>
            <w:pPr>
              <w:ind w:left="2480"/>
              <w:spacing w:after="0"/>
              <w:rPr>
                <w:sz w:val="20"/>
                <w:szCs w:val="20"/>
                <w:color w:val="auto"/>
              </w:rPr>
            </w:pPr>
            <w:r>
              <w:rPr>
                <w:rFonts w:ascii="Arial" w:cs="Arial" w:eastAsia="Arial" w:hAnsi="Arial"/>
                <w:sz w:val="14"/>
                <w:szCs w:val="14"/>
                <w:b w:val="1"/>
                <w:bCs w:val="1"/>
                <w:color w:val="auto"/>
              </w:rPr>
              <w:t>Jurisdiction of Organization</w:t>
            </w:r>
          </w:p>
        </w:tc>
      </w:tr>
      <w:tr>
        <w:trPr>
          <w:trHeight w:val="25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Rancho LPG Holdings LLC</w:t>
            </w:r>
          </w:p>
        </w:tc>
        <w:tc>
          <w:tcPr>
            <w:tcW w:w="594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rPr>
              <w:t>Delaware</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Red River Pipeline Company LLC</w:t>
            </w:r>
          </w:p>
        </w:tc>
        <w:tc>
          <w:tcPr>
            <w:tcW w:w="594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27"/>
        </w:trPr>
        <w:tc>
          <w:tcPr>
            <w:tcW w:w="5440" w:type="dxa"/>
            <w:vAlign w:val="bottom"/>
          </w:tcPr>
          <w:p>
            <w:pPr>
              <w:spacing w:after="0"/>
              <w:rPr>
                <w:sz w:val="2"/>
                <w:szCs w:val="2"/>
                <w:color w:val="auto"/>
              </w:rPr>
            </w:pPr>
          </w:p>
        </w:tc>
        <w:tc>
          <w:tcPr>
            <w:tcW w:w="59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Rocky Mountain Pipeline Montana LLC</w:t>
            </w:r>
          </w:p>
        </w:tc>
        <w:tc>
          <w:tcPr>
            <w:tcW w:w="594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rPr>
              <w:t>Delaware</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Rocky Mountain Pipeline System LLC</w:t>
            </w:r>
          </w:p>
        </w:tc>
        <w:tc>
          <w:tcPr>
            <w:tcW w:w="5940" w:type="dxa"/>
            <w:vAlign w:val="bottom"/>
          </w:tcPr>
          <w:p>
            <w:pPr>
              <w:ind w:left="2480"/>
              <w:spacing w:after="0"/>
              <w:rPr>
                <w:sz w:val="20"/>
                <w:szCs w:val="20"/>
                <w:color w:val="auto"/>
              </w:rPr>
            </w:pPr>
            <w:r>
              <w:rPr>
                <w:rFonts w:ascii="Arial" w:cs="Arial" w:eastAsia="Arial" w:hAnsi="Arial"/>
                <w:sz w:val="18"/>
                <w:szCs w:val="18"/>
                <w:color w:val="auto"/>
              </w:rPr>
              <w:t>Texas</w:t>
            </w:r>
          </w:p>
        </w:tc>
      </w:tr>
      <w:tr>
        <w:trPr>
          <w:trHeight w:val="27"/>
        </w:trPr>
        <w:tc>
          <w:tcPr>
            <w:tcW w:w="5440" w:type="dxa"/>
            <w:vAlign w:val="bottom"/>
          </w:tcPr>
          <w:p>
            <w:pPr>
              <w:spacing w:after="0"/>
              <w:rPr>
                <w:sz w:val="2"/>
                <w:szCs w:val="2"/>
                <w:color w:val="auto"/>
              </w:rPr>
            </w:pPr>
          </w:p>
        </w:tc>
        <w:tc>
          <w:tcPr>
            <w:tcW w:w="59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 Resources Mississippi, L.L.C.</w:t>
            </w:r>
          </w:p>
        </w:tc>
        <w:tc>
          <w:tcPr>
            <w:tcW w:w="594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rPr>
              <w:t>Delaware</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St. James Rail Terminal LLC</w:t>
            </w:r>
          </w:p>
        </w:tc>
        <w:tc>
          <w:tcPr>
            <w:tcW w:w="594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27"/>
        </w:trPr>
        <w:tc>
          <w:tcPr>
            <w:tcW w:w="5440" w:type="dxa"/>
            <w:vAlign w:val="bottom"/>
          </w:tcPr>
          <w:p>
            <w:pPr>
              <w:spacing w:after="0"/>
              <w:rPr>
                <w:sz w:val="2"/>
                <w:szCs w:val="2"/>
                <w:color w:val="auto"/>
              </w:rPr>
            </w:pPr>
          </w:p>
        </w:tc>
        <w:tc>
          <w:tcPr>
            <w:tcW w:w="59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Sunrise Pipeline LLC</w:t>
            </w:r>
          </w:p>
        </w:tc>
        <w:tc>
          <w:tcPr>
            <w:tcW w:w="594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rPr>
              <w:t>Delaware</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Van Hook Crude Terminal LLC</w:t>
            </w:r>
          </w:p>
        </w:tc>
        <w:tc>
          <w:tcPr>
            <w:tcW w:w="594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27"/>
        </w:trPr>
        <w:tc>
          <w:tcPr>
            <w:tcW w:w="5440" w:type="dxa"/>
            <w:vAlign w:val="bottom"/>
          </w:tcPr>
          <w:p>
            <w:pPr>
              <w:spacing w:after="0"/>
              <w:rPr>
                <w:sz w:val="2"/>
                <w:szCs w:val="2"/>
                <w:color w:val="auto"/>
              </w:rPr>
            </w:pPr>
          </w:p>
        </w:tc>
        <w:tc>
          <w:tcPr>
            <w:tcW w:w="5940" w:type="dxa"/>
            <w:vAlign w:val="bottom"/>
          </w:tcPr>
          <w:p>
            <w:pPr>
              <w:spacing w:after="0"/>
              <w:rPr>
                <w:sz w:val="2"/>
                <w:szCs w:val="2"/>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Corridor Pipeline LLC</w:t>
            </w:r>
          </w:p>
        </w:tc>
        <w:tc>
          <w:tcPr>
            <w:tcW w:w="59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Delaware</w:t>
            </w:r>
          </w:p>
        </w:tc>
      </w:tr>
      <w:tr>
        <w:trPr>
          <w:trHeight w:val="27"/>
        </w:trPr>
        <w:tc>
          <w:tcPr>
            <w:tcW w:w="5440" w:type="dxa"/>
            <w:vAlign w:val="bottom"/>
            <w:shd w:val="clear" w:color="auto" w:fill="CCEEFF"/>
          </w:tcPr>
          <w:p>
            <w:pPr>
              <w:spacing w:after="0"/>
              <w:rPr>
                <w:sz w:val="2"/>
                <w:szCs w:val="2"/>
                <w:color w:val="auto"/>
              </w:rPr>
            </w:pPr>
          </w:p>
        </w:tc>
        <w:tc>
          <w:tcPr>
            <w:tcW w:w="5940" w:type="dxa"/>
            <w:vAlign w:val="bottom"/>
            <w:shd w:val="clear" w:color="auto" w:fill="CCEEFF"/>
          </w:tcPr>
          <w:p>
            <w:pPr>
              <w:spacing w:after="0"/>
              <w:rPr>
                <w:sz w:val="2"/>
                <w:szCs w:val="2"/>
                <w:color w:val="auto"/>
              </w:rPr>
            </w:pPr>
          </w:p>
        </w:tc>
      </w:tr>
    </w:tbl>
    <w:p>
      <w:pPr>
        <w:sectPr>
          <w:pgSz w:w="11900" w:h="16838" w:orient="portrait"/>
          <w:cols w:equalWidth="0" w:num="1">
            <w:col w:w="11380"/>
          </w:cols>
          <w:pgMar w:left="240" w:top="941" w:right="27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333-138888, 333-155673, 333-162477, 333-214778, 333-221845, 333-227358 and 333-227359) and on Form S-8 (No. 333-91141, 333-74920, 333-122806, 333-141185, 333-193139, and 333-193140) of Plains All American Pipeline, L.P. of our report dated February 27, 2020 relating to the financial statements and the effectiveness of internal control over financial reporting, which appears in this Form 10-K.</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891"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right="100" w:firstLine="656"/>
        <w:spacing w:after="0" w:line="264" w:lineRule="auto"/>
        <w:tabs>
          <w:tab w:leader="none" w:pos="129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656"/>
        <w:spacing w:after="0" w:line="264" w:lineRule="auto"/>
        <w:tabs>
          <w:tab w:leader="none" w:pos="129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20" w:firstLine="656"/>
        <w:spacing w:after="0" w:line="342" w:lineRule="auto"/>
        <w:tabs>
          <w:tab w:leader="none" w:pos="129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380" w:firstLine="656"/>
        <w:spacing w:after="0" w:line="264" w:lineRule="auto"/>
        <w:tabs>
          <w:tab w:leader="none" w:pos="129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640" w:firstLine="656"/>
        <w:spacing w:after="0" w:line="308" w:lineRule="auto"/>
        <w:tabs>
          <w:tab w:leader="none" w:pos="129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20" w:firstLine="656"/>
        <w:spacing w:after="0" w:line="277" w:lineRule="auto"/>
        <w:tabs>
          <w:tab w:leader="none" w:pos="129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061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75">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891"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00" w:firstLine="656"/>
        <w:spacing w:after="0" w:line="264" w:lineRule="auto"/>
        <w:tabs>
          <w:tab w:leader="none" w:pos="129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656"/>
        <w:spacing w:after="0" w:line="264" w:lineRule="auto"/>
        <w:tabs>
          <w:tab w:leader="none" w:pos="129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20" w:firstLine="656"/>
        <w:spacing w:after="0" w:line="342" w:lineRule="auto"/>
        <w:tabs>
          <w:tab w:leader="none" w:pos="129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380" w:firstLine="656"/>
        <w:spacing w:after="0" w:line="264" w:lineRule="auto"/>
        <w:tabs>
          <w:tab w:leader="none" w:pos="129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right="40" w:firstLine="656"/>
        <w:spacing w:after="0" w:line="308" w:lineRule="auto"/>
        <w:tabs>
          <w:tab w:leader="none" w:pos="87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640" w:firstLine="656"/>
        <w:spacing w:after="0" w:line="308" w:lineRule="auto"/>
        <w:tabs>
          <w:tab w:leader="none" w:pos="129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20" w:firstLine="656"/>
        <w:spacing w:after="0" w:line="277" w:lineRule="auto"/>
        <w:tabs>
          <w:tab w:leader="none" w:pos="129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061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7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891"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All American Pipeline, L.P. (the “Company”), hereby certify that:</w:t>
      </w:r>
    </w:p>
    <w:p>
      <w:pPr>
        <w:spacing w:after="0" w:line="252" w:lineRule="exact"/>
        <w:rPr>
          <w:sz w:val="20"/>
          <w:szCs w:val="20"/>
          <w:color w:val="auto"/>
        </w:rPr>
      </w:pPr>
    </w:p>
    <w:p>
      <w:pPr>
        <w:ind w:right="320" w:firstLine="486"/>
        <w:spacing w:after="0" w:line="264" w:lineRule="auto"/>
        <w:tabs>
          <w:tab w:leader="none" w:pos="69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2019 and filed with the Securities and Exchange Commission on the date hereof (the “Report”) by the Company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700" w:hanging="264"/>
        <w:spacing w:after="0"/>
        <w:tabs>
          <w:tab w:leader="none" w:pos="7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61061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7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Willie Chiang</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Date: February 27, 2020</w:t>
      </w:r>
    </w:p>
    <w:p>
      <w:pPr>
        <w:sectPr>
          <w:pgSz w:w="11900" w:h="16838" w:orient="portrait"/>
          <w:cols w:equalWidth="0" w:num="1">
            <w:col w:w="11420"/>
          </w:cols>
          <w:pgMar w:left="240" w:top="891"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320" w:firstLine="486"/>
        <w:spacing w:after="0" w:line="264" w:lineRule="auto"/>
        <w:tabs>
          <w:tab w:leader="none" w:pos="69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2019 and filed with the Securities and Exchange Commission on the date hereof (the “Report”) by the Company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700" w:hanging="264"/>
        <w:spacing w:after="0"/>
        <w:tabs>
          <w:tab w:leader="none" w:pos="7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61061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7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Date: February 27, 2020</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1)"/>
      <w:numFmt w:val="decimal"/>
      <w:start w:val="1"/>
    </w:lvl>
  </w:abstractNum>
  <w:abstractNum w:abstractNumId="9">
    <w:nsid w:val="661E3F1E"/>
    <w:multiLevelType w:val="hybridMultilevel"/>
    <w:lvl w:ilvl="0">
      <w:lvlJc w:val="left"/>
      <w:lvlText w:val="(%1)"/>
      <w:numFmt w:val="decimal"/>
      <w:start w:val="1"/>
    </w:lvl>
  </w:abstractNum>
  <w:abstractNum w:abstractNumId="10">
    <w:nsid w:val="5DC79EA8"/>
    <w:multiLevelType w:val="hybridMultilevel"/>
    <w:lvl w:ilvl="0">
      <w:lvlJc w:val="left"/>
      <w:lvlText w:val="(%1)"/>
      <w:numFmt w:val="decimal"/>
      <w:start w:val="1"/>
    </w:lvl>
  </w:abstractNum>
  <w:abstractNum w:abstractNumId="11">
    <w:nsid w:val="540A471C"/>
    <w:multiLevelType w:val="hybridMultilevel"/>
    <w:lvl w:ilvl="0">
      <w:lvlJc w:val="left"/>
      <w:lvlText w:val="(%1)"/>
      <w:numFmt w:val="decimal"/>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1)"/>
      <w:numFmt w:val="lowerRoman"/>
      <w:start w:val="3"/>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1)"/>
      <w:numFmt w:val="decimal"/>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1"/>
      <w:numFmt w:val="upperLetter"/>
      <w:start w:val="35"/>
    </w:lvl>
  </w:abstractNum>
  <w:abstractNum w:abstractNumId="21">
    <w:nsid w:val="3B0FD379"/>
    <w:multiLevelType w:val="hybridMultilevel"/>
    <w:lvl w:ilvl="0">
      <w:lvlJc w:val="left"/>
      <w:lvlText w:val="(%1)"/>
      <w:numFmt w:val="lowerRoman"/>
      <w:start w:val="2"/>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1)"/>
      <w:numFmt w:val="decimal"/>
      <w:start w:val="1"/>
    </w:lvl>
  </w:abstractNum>
  <w:abstractNum w:abstractNumId="26">
    <w:nsid w:val="14330624"/>
    <w:multiLevelType w:val="hybridMultilevel"/>
    <w:lvl w:ilvl="0">
      <w:lvlJc w:val="left"/>
      <w:lvlText w:val="(%1)"/>
      <w:numFmt w:val="lowerRoman"/>
      <w:start w:val="3"/>
    </w:lvl>
  </w:abstractNum>
  <w:abstractNum w:abstractNumId="27">
    <w:nsid w:val="7FFFCA11"/>
    <w:multiLevelType w:val="hybridMultilevel"/>
    <w:lvl w:ilvl="0">
      <w:lvlJc w:val="left"/>
      <w:lvlText w:val="(%1)"/>
      <w:numFmt w:val="lowerRoman"/>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abstractNum>
  <w:abstractNum w:abstractNumId="42">
    <w:nsid w:val="68EBC550"/>
    <w:multiLevelType w:val="hybridMultilevel"/>
    <w:lvl w:ilvl="0">
      <w:lvlJc w:val="left"/>
      <w:lvlText w:val="(%1)"/>
      <w:numFmt w:val="decimal"/>
      <w:start w:val="1"/>
    </w:lvl>
  </w:abstractNum>
  <w:abstractNum w:abstractNumId="43">
    <w:nsid w:val="2DF6D648"/>
    <w:multiLevelType w:val="hybridMultilevel"/>
    <w:lvl w:ilvl="0">
      <w:lvlJc w:val="left"/>
      <w:lvlText w:val="(%1)"/>
      <w:numFmt w:val="lowerRoman"/>
      <w:start w:val="4"/>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1)"/>
      <w:numFmt w:val="decimal"/>
      <w:start w:val="1"/>
    </w:lvl>
  </w:abstractNum>
  <w:abstractNum w:abstractNumId="46">
    <w:nsid w:val="39EE015C"/>
    <w:multiLevelType w:val="hybridMultilevel"/>
    <w:lvl w:ilvl="0">
      <w:lvlJc w:val="left"/>
      <w:lvlText w:val="(%1)"/>
      <w:numFmt w:val="decimal"/>
      <w:start w:val="10"/>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
      <w:numFmt w:val="bullet"/>
      <w:start w:val="1"/>
    </w:lvl>
  </w:abstractNum>
  <w:abstractNum w:abstractNumId="54">
    <w:nsid w:val="7055A5F5"/>
    <w:multiLevelType w:val="hybridMultilevel"/>
    <w:lvl w:ilvl="0">
      <w:lvlJc w:val="left"/>
      <w:lvlText w:val="(%1)"/>
      <w:numFmt w:val="decimal"/>
      <w:start w:val="1"/>
    </w:lvl>
  </w:abstractNum>
  <w:abstractNum w:abstractNumId="55">
    <w:nsid w:val="5FB8370B"/>
    <w:multiLevelType w:val="hybridMultilevel"/>
    <w:lvl w:ilvl="0">
      <w:lvlJc w:val="left"/>
      <w:lvlText w:val="(%1)"/>
      <w:numFmt w:val="decimal"/>
      <w:start w:val="1"/>
    </w:lvl>
  </w:abstractNum>
  <w:abstractNum w:abstractNumId="56">
    <w:nsid w:val="50801EE1"/>
    <w:multiLevelType w:val="hybridMultilevel"/>
    <w:lvl w:ilvl="0">
      <w:lvlJc w:val="left"/>
      <w:lvlText w:val="(%1)"/>
      <w:numFmt w:val="lowerRoman"/>
      <w:start w:val="5"/>
    </w:lvl>
  </w:abstractNum>
  <w:abstractNum w:abstractNumId="57">
    <w:nsid w:val="488AC1A"/>
    <w:multiLevelType w:val="hybridMultilevel"/>
    <w:lvl w:ilvl="0">
      <w:lvlJc w:val="left"/>
      <w:lvlText w:val="(%1)"/>
      <w:numFmt w:val="lowerRoman"/>
      <w:start w:val="2"/>
    </w:lvl>
  </w:abstractNum>
  <w:abstractNum w:abstractNumId="58">
    <w:nsid w:val="5FB8011C"/>
    <w:multiLevelType w:val="hybridMultilevel"/>
    <w:lvl w:ilvl="0">
      <w:lvlJc w:val="left"/>
      <w:lvlText w:val="(%1)"/>
      <w:numFmt w:val="decimal"/>
      <w:start w:val="2"/>
    </w:lvl>
  </w:abstractNum>
  <w:abstractNum w:abstractNumId="59">
    <w:nsid w:val="6AA78F7F"/>
    <w:multiLevelType w:val="hybridMultilevel"/>
    <w:lvl w:ilvl="0">
      <w:lvlJc w:val="left"/>
      <w:lvlText w:val="(%1)"/>
      <w:numFmt w:val="decimal"/>
      <w:start w:val="2"/>
    </w:lvl>
  </w:abstractNum>
  <w:abstractNum w:abstractNumId="60">
    <w:nsid w:val="7672BD23"/>
    <w:multiLevelType w:val="hybridMultilevel"/>
    <w:lvl w:ilvl="0">
      <w:lvlJc w:val="left"/>
      <w:lvlText w:val="(%1)"/>
      <w:numFmt w:val="decimal"/>
      <w:start w:val="3"/>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1)"/>
      <w:numFmt w:val="decimal"/>
      <w:start w:val="1"/>
    </w:lvl>
  </w:abstractNum>
  <w:abstractNum w:abstractNumId="63">
    <w:nsid w:val="7D5E18F8"/>
    <w:multiLevelType w:val="hybridMultilevel"/>
    <w:lvl w:ilvl="0">
      <w:lvlJc w:val="left"/>
      <w:lvlText w:val="(%1)"/>
      <w:numFmt w:val="lowerLetter"/>
      <w:start w:val="1"/>
    </w:lvl>
  </w:abstractNum>
  <w:abstractNum w:abstractNumId="64">
    <w:nsid w:val="5F3534A4"/>
    <w:multiLevelType w:val="hybridMultilevel"/>
    <w:lvl w:ilvl="0">
      <w:lvlJc w:val="left"/>
      <w:lvlText w:val="(%1)"/>
      <w:numFmt w:val="decimal"/>
      <w:start w:val="2"/>
    </w:lvl>
  </w:abstractNum>
  <w:abstractNum w:abstractNumId="65">
    <w:nsid w:val="73A1821B"/>
    <w:multiLevelType w:val="hybridMultilevel"/>
    <w:lvl w:ilvl="0">
      <w:lvlJc w:val="left"/>
      <w:lvlText w:val="(%1)"/>
      <w:numFmt w:val="decimal"/>
      <w:start w:val="3"/>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
      <w:numFmt w:val="bullet"/>
      <w:start w:val="1"/>
    </w:lvl>
  </w:abstractNum>
  <w:abstractNum w:abstractNumId="70">
    <w:nsid w:val="6A3DD3E8"/>
    <w:multiLevelType w:val="hybridMultilevel"/>
    <w:lvl w:ilvl="0">
      <w:lvlJc w:val="left"/>
      <w:lvlText w:val="(%1)"/>
      <w:numFmt w:val="lowerRoman"/>
      <w:start w:val="3"/>
    </w:lvl>
  </w:abstractNum>
  <w:abstractNum w:abstractNumId="71">
    <w:nsid w:val="71C91298"/>
    <w:multiLevelType w:val="hybridMultilevel"/>
    <w:lvl w:ilvl="0">
      <w:lvlJc w:val="left"/>
      <w:lvlText w:val="(%1)"/>
      <w:numFmt w:val="lowerRoman"/>
      <w:start w:val="3"/>
    </w:lvl>
  </w:abstractNum>
  <w:abstractNum w:abstractNumId="72">
    <w:nsid w:val="9DAF632"/>
    <w:multiLevelType w:val="hybridMultilevel"/>
    <w:lvl w:ilvl="0">
      <w:lvlJc w:val="left"/>
      <w:lvlText w:val="(%1)"/>
      <w:numFmt w:val="lowerRoman"/>
      <w:start w:val="11"/>
    </w:lvl>
  </w:abstractNum>
  <w:abstractNum w:abstractNumId="73">
    <w:nsid w:val="53299938"/>
    <w:multiLevelType w:val="hybridMultilevel"/>
    <w:lvl w:ilvl="0">
      <w:lvlJc w:val="left"/>
      <w:lvlText w:val="(%1)"/>
      <w:numFmt w:val="decimal"/>
      <w:start w:val="1"/>
    </w:lvl>
  </w:abstractNum>
  <w:abstractNum w:abstractNumId="74">
    <w:nsid w:val="1FBFE8E0"/>
    <w:multiLevelType w:val="hybridMultilevel"/>
    <w:lvl w:ilvl="0">
      <w:lvlJc w:val="left"/>
      <w:lvlText w:val="(%1)"/>
      <w:numFmt w:val="decimal"/>
      <w:start w:val="1"/>
    </w:lvl>
  </w:abstractNum>
  <w:abstractNum w:abstractNumId="75">
    <w:nsid w:val="5092CA79"/>
    <w:multiLevelType w:val="hybridMultilevel"/>
    <w:lvl w:ilvl="0">
      <w:lvlJc w:val="left"/>
      <w:lvlText w:val="•"/>
      <w:numFmt w:val="bullet"/>
      <w:start w:val="1"/>
    </w:lvl>
  </w:abstractNum>
  <w:abstractNum w:abstractNumId="76">
    <w:nsid w:val="1D545C4D"/>
    <w:multiLevelType w:val="hybridMultilevel"/>
    <w:lvl w:ilvl="0">
      <w:lvlJc w:val="left"/>
      <w:lvlText w:val="(%1)"/>
      <w:numFmt w:val="decimal"/>
      <w:start w:val="1"/>
    </w:lvl>
  </w:abstractNum>
  <w:abstractNum w:abstractNumId="77">
    <w:nsid w:val="59ADEA3D"/>
    <w:multiLevelType w:val="hybridMultilevel"/>
    <w:lvl w:ilvl="0">
      <w:lvlJc w:val="left"/>
      <w:lvlText w:val="(%1)"/>
      <w:numFmt w:val="decimal"/>
      <w:start w:val="1"/>
    </w:lvl>
  </w:abstractNum>
  <w:abstractNum w:abstractNumId="78">
    <w:nsid w:val="288F1A34"/>
    <w:multiLevelType w:val="hybridMultilevel"/>
    <w:lvl w:ilvl="0">
      <w:lvlJc w:val="left"/>
      <w:lvlText w:val="(%1)"/>
      <w:numFmt w:val="lowerRoman"/>
      <w:start w:val="1"/>
    </w:lvl>
  </w:abstractNum>
  <w:abstractNum w:abstractNumId="79">
    <w:nsid w:val="2A155DBC"/>
    <w:multiLevelType w:val="hybridMultilevel"/>
    <w:lvl w:ilvl="0">
      <w:lvlJc w:val="left"/>
      <w:lvlText w:val="(%1)"/>
      <w:numFmt w:val="decimal"/>
      <w:start w:val="1"/>
    </w:lvl>
  </w:abstractNum>
  <w:abstractNum w:abstractNumId="80">
    <w:nsid w:val="1D9F6E5F"/>
    <w:multiLevelType w:val="hybridMultilevel"/>
    <w:lvl w:ilvl="0">
      <w:lvlJc w:val="left"/>
      <w:lvlText w:val="(%1)"/>
      <w:numFmt w:val="decimal"/>
      <w:start w:val="1"/>
    </w:lvl>
  </w:abstractNum>
  <w:abstractNum w:abstractNumId="81">
    <w:nsid w:val="97E1B4E"/>
    <w:multiLevelType w:val="hybridMultilevel"/>
    <w:lvl w:ilvl="0">
      <w:lvlJc w:val="left"/>
      <w:lvlText w:val="•"/>
      <w:numFmt w:val="bullet"/>
      <w:start w:val="1"/>
    </w:lvl>
  </w:abstractNum>
  <w:abstractNum w:abstractNumId="82">
    <w:nsid w:val="51088277"/>
    <w:multiLevelType w:val="hybridMultilevel"/>
    <w:lvl w:ilvl="0">
      <w:lvlJc w:val="left"/>
      <w:lvlText w:val="•"/>
      <w:numFmt w:val="bullet"/>
      <w:start w:val="1"/>
    </w:lvl>
  </w:abstractNum>
  <w:abstractNum w:abstractNumId="83">
    <w:nsid w:val="1CA0C5FA"/>
    <w:multiLevelType w:val="hybridMultilevel"/>
    <w:lvl w:ilvl="0">
      <w:lvlJc w:val="left"/>
      <w:lvlText w:val="(%1)"/>
      <w:numFmt w:val="decimal"/>
      <w:start w:val="1"/>
    </w:lvl>
  </w:abstractNum>
  <w:abstractNum w:abstractNumId="84">
    <w:nsid w:val="53584BCB"/>
    <w:multiLevelType w:val="hybridMultilevel"/>
    <w:lvl w:ilvl="0">
      <w:lvlJc w:val="left"/>
      <w:lvlText w:val="(%1)"/>
      <w:numFmt w:val="decimal"/>
      <w:start w:val="2"/>
    </w:lvl>
  </w:abstractNum>
  <w:abstractNum w:abstractNumId="85">
    <w:nsid w:val="415E286C"/>
    <w:multiLevelType w:val="hybridMultilevel"/>
    <w:lvl w:ilvl="0">
      <w:lvlJc w:val="left"/>
      <w:lvlText w:val="(%1)"/>
      <w:numFmt w:val="decimal"/>
      <w:start w:val="2"/>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1)"/>
      <w:numFmt w:val="lowerRoman"/>
      <w:start w:val="1"/>
    </w:lvl>
  </w:abstractNum>
  <w:abstractNum w:abstractNumId="88">
    <w:nsid w:val="45E6D486"/>
    <w:multiLevelType w:val="hybridMultilevel"/>
    <w:lvl w:ilvl="0">
      <w:lvlJc w:val="left"/>
      <w:lvlText w:val="(%1)"/>
      <w:numFmt w:val="decimal"/>
      <w:start w:val="1"/>
    </w:lvl>
  </w:abstractNum>
  <w:abstractNum w:abstractNumId="89">
    <w:nsid w:val="5C10FE21"/>
    <w:multiLevelType w:val="hybridMultilevel"/>
    <w:lvl w:ilvl="0">
      <w:lvlJc w:val="left"/>
      <w:lvlText w:val="•"/>
      <w:numFmt w:val="bullet"/>
      <w:start w:val="1"/>
    </w:lvl>
  </w:abstractNum>
  <w:abstractNum w:abstractNumId="90">
    <w:nsid w:val="E7FFA2B"/>
    <w:multiLevelType w:val="hybridMultilevel"/>
    <w:lvl w:ilvl="0">
      <w:lvlJc w:val="left"/>
      <w:lvlText w:val="(%1)"/>
      <w:numFmt w:val="decimal"/>
      <w:start w:val="1"/>
    </w:lvl>
  </w:abstractNum>
  <w:abstractNum w:abstractNumId="91">
    <w:nsid w:val="3C5991AA"/>
    <w:multiLevelType w:val="hybridMultilevel"/>
    <w:lvl w:ilvl="0">
      <w:lvlJc w:val="left"/>
      <w:lvlText w:val="(%1)"/>
      <w:numFmt w:val="decimal"/>
      <w:start w:val="1"/>
    </w:lvl>
  </w:abstractNum>
  <w:abstractNum w:abstractNumId="92">
    <w:nsid w:val="4BD8591A"/>
    <w:multiLevelType w:val="hybridMultilevel"/>
    <w:lvl w:ilvl="0">
      <w:lvlJc w:val="left"/>
      <w:lvlText w:val="(%1)"/>
      <w:numFmt w:val="decimal"/>
      <w:start w:val="1"/>
    </w:lvl>
  </w:abstractNum>
  <w:abstractNum w:abstractNumId="93">
    <w:nsid w:val="78DF6A55"/>
    <w:multiLevelType w:val="hybridMultilevel"/>
    <w:lvl w:ilvl="0">
      <w:lvlJc w:val="left"/>
      <w:lvlText w:val="(%1)"/>
      <w:numFmt w:val="decimal"/>
      <w:start w:val="1"/>
    </w:lvl>
  </w:abstractNum>
  <w:abstractNum w:abstractNumId="94">
    <w:nsid w:val="39B7AAA2"/>
    <w:multiLevelType w:val="hybridMultilevel"/>
    <w:lvl w:ilvl="0">
      <w:lvlJc w:val="left"/>
      <w:lvlText w:val="$"/>
      <w:numFmt w:val="bullet"/>
      <w:start w:val="1"/>
    </w:lvl>
  </w:abstractNum>
  <w:abstractNum w:abstractNumId="95">
    <w:nsid w:val="2B0D8DBE"/>
    <w:multiLevelType w:val="hybridMultilevel"/>
    <w:lvl w:ilvl="0">
      <w:lvlJc w:val="left"/>
      <w:lvlText w:val="$"/>
      <w:numFmt w:val="bullet"/>
      <w:start w:val="1"/>
    </w:lvl>
  </w:abstractNum>
  <w:abstractNum w:abstractNumId="96">
    <w:nsid w:val="6C80EC70"/>
    <w:multiLevelType w:val="hybridMultilevel"/>
    <w:lvl w:ilvl="0">
      <w:lvlJc w:val="left"/>
      <w:lvlText w:val="(%1)"/>
      <w:numFmt w:val="decimal"/>
      <w:start w:val="1"/>
    </w:lvl>
  </w:abstractNum>
  <w:abstractNum w:abstractNumId="97">
    <w:nsid w:val="379E21B5"/>
    <w:multiLevelType w:val="hybridMultilevel"/>
    <w:lvl w:ilvl="0">
      <w:lvlJc w:val="left"/>
      <w:lvlText w:val="(%1)"/>
      <w:numFmt w:val="decimal"/>
      <w:start w:val="1"/>
    </w:lvl>
  </w:abstractNum>
  <w:abstractNum w:abstractNumId="98">
    <w:nsid w:val="69E373"/>
    <w:multiLevelType w:val="hybridMultilevel"/>
    <w:lvl w:ilvl="0">
      <w:lvlJc w:val="left"/>
      <w:lvlText w:val="(%1)"/>
      <w:numFmt w:val="decimal"/>
      <w:start w:val="1"/>
    </w:lvl>
  </w:abstractNum>
  <w:abstractNum w:abstractNumId="99">
    <w:nsid w:val="2C27173B"/>
    <w:multiLevelType w:val="hybridMultilevel"/>
    <w:lvl w:ilvl="0">
      <w:lvlJc w:val="left"/>
      <w:lvlText w:val="•"/>
      <w:numFmt w:val="bullet"/>
      <w:start w:val="1"/>
    </w:lvl>
  </w:abstractNum>
  <w:abstractNum w:abstractNumId="100">
    <w:nsid w:val="4C9B0904"/>
    <w:multiLevelType w:val="hybridMultilevel"/>
    <w:lvl w:ilvl="0">
      <w:lvlJc w:val="left"/>
      <w:lvlText w:val="&amp;"/>
      <w:numFmt w:val="bullet"/>
      <w:start w:val="1"/>
    </w:lvl>
  </w:abstractNum>
  <w:abstractNum w:abstractNumId="101">
    <w:nsid w:val="6AA7B75C"/>
    <w:multiLevelType w:val="hybridMultilevel"/>
    <w:lvl w:ilvl="0">
      <w:lvlJc w:val="left"/>
      <w:lvlText w:val="(%1)"/>
      <w:numFmt w:val="decimal"/>
      <w:start w:val="3"/>
    </w:lvl>
  </w:abstractNum>
  <w:abstractNum w:abstractNumId="102">
    <w:nsid w:val="1DF029D3"/>
    <w:multiLevelType w:val="hybridMultilevel"/>
    <w:lvl w:ilvl="0">
      <w:lvlJc w:val="left"/>
      <w:lvlText w:val="(%1)"/>
      <w:numFmt w:val="decimal"/>
      <w:start w:val="1"/>
    </w:lvl>
  </w:abstractNum>
  <w:abstractNum w:abstractNumId="103">
    <w:nsid w:val="5675FF36"/>
    <w:multiLevelType w:val="hybridMultilevel"/>
    <w:lvl w:ilvl="0">
      <w:lvlJc w:val="left"/>
      <w:lvlText w:val="(%1)"/>
      <w:numFmt w:val="decimal"/>
      <w:start w:val="1"/>
    </w:lvl>
  </w:abstractNum>
  <w:abstractNum w:abstractNumId="104">
    <w:nsid w:val="3DD15094"/>
    <w:multiLevelType w:val="hybridMultilevel"/>
    <w:lvl w:ilvl="0">
      <w:lvlJc w:val="left"/>
      <w:lvlText w:val="(%1)"/>
      <w:numFmt w:val="decimal"/>
      <w:start w:val="1"/>
    </w:lvl>
  </w:abstractNum>
  <w:abstractNum w:abstractNumId="105">
    <w:nsid w:val="3DB012B3"/>
    <w:multiLevelType w:val="hybridMultilevel"/>
    <w:lvl w:ilvl="0">
      <w:lvlJc w:val="left"/>
      <w:lvlText w:val="%1."/>
      <w:numFmt w:val="decimal"/>
      <w:start w:val="901"/>
    </w:lvl>
  </w:abstractNum>
  <w:abstractNum w:abstractNumId="106">
    <w:nsid w:val="2708C9AF"/>
    <w:multiLevelType w:val="hybridMultilevel"/>
    <w:lvl w:ilvl="0">
      <w:lvlJc w:val="left"/>
      <w:lvlText w:val="(%1)"/>
      <w:numFmt w:val="lowerRoman"/>
      <w:start w:val="4"/>
    </w:lvl>
  </w:abstractNum>
  <w:abstractNum w:abstractNumId="107">
    <w:nsid w:val="5B25ACE2"/>
    <w:multiLevelType w:val="hybridMultilevel"/>
    <w:lvl w:ilvl="0">
      <w:lvlJc w:val="left"/>
      <w:lvlText w:val="(%1)"/>
      <w:numFmt w:val="decimal"/>
      <w:start w:val="1"/>
    </w:lvl>
  </w:abstractNum>
  <w:abstractNum w:abstractNumId="108">
    <w:nsid w:val="175DFCF0"/>
    <w:multiLevelType w:val="hybridMultilevel"/>
    <w:lvl w:ilvl="0">
      <w:lvlJc w:val="left"/>
      <w:lvlText w:val="(%1)"/>
      <w:numFmt w:val="decimal"/>
      <w:start w:val="1"/>
    </w:lvl>
  </w:abstractNum>
  <w:abstractNum w:abstractNumId="109">
    <w:nsid w:val="4F97E3E4"/>
    <w:multiLevelType w:val="hybridMultilevel"/>
    <w:lvl w:ilvl="0">
      <w:lvlJc w:val="left"/>
      <w:lvlText w:val="%1."/>
      <w:numFmt w:val="decimal"/>
      <w:start w:val="1"/>
    </w:lvl>
  </w:abstractNum>
  <w:abstractNum w:abstractNumId="110">
    <w:nsid w:val="53B0A9E"/>
    <w:multiLevelType w:val="hybridMultilevel"/>
    <w:lvl w:ilvl="0">
      <w:lvlJc w:val="left"/>
      <w:lvlText w:val="•"/>
      <w:numFmt w:val="bullet"/>
      <w:start w:val="1"/>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
      <w:numFmt w:val="bullet"/>
      <w:start w:val="1"/>
    </w:lvl>
  </w:abstractNum>
  <w:abstractNum w:abstractNumId="113">
    <w:nsid w:val="56438D15"/>
    <w:multiLevelType w:val="hybridMultilevel"/>
    <w:lvl w:ilvl="0">
      <w:lvlJc w:val="left"/>
      <w:lvlText w:val="•"/>
      <w:numFmt w:val="bullet"/>
      <w:start w:val="1"/>
    </w:lvl>
  </w:abstractNum>
  <w:abstractNum w:abstractNumId="114">
    <w:nsid w:val="519E3149"/>
    <w:multiLevelType w:val="hybridMultilevel"/>
    <w:lvl w:ilvl="0">
      <w:lvlJc w:val="left"/>
      <w:lvlText w:val="•"/>
      <w:numFmt w:val="bullet"/>
      <w:start w:val="1"/>
    </w:lvl>
  </w:abstractNum>
  <w:abstractNum w:abstractNumId="115">
    <w:nsid w:val="2C6E4AFD"/>
    <w:multiLevelType w:val="hybridMultilevel"/>
    <w:lvl w:ilvl="0">
      <w:lvlJc w:val="left"/>
      <w:lvlText w:val="•"/>
      <w:numFmt w:val="bullet"/>
      <w:start w:val="1"/>
    </w:lvl>
  </w:abstractNum>
  <w:abstractNum w:abstractNumId="116">
    <w:nsid w:val="17A1B582"/>
    <w:multiLevelType w:val="hybridMultilevel"/>
    <w:lvl w:ilvl="0">
      <w:lvlJc w:val="left"/>
      <w:lvlText w:val="•"/>
      <w:numFmt w:val="bullet"/>
      <w:start w:val="1"/>
    </w:lvl>
  </w:abstractNum>
  <w:abstractNum w:abstractNumId="117">
    <w:nsid w:val="4DF72E4E"/>
    <w:multiLevelType w:val="hybridMultilevel"/>
    <w:lvl w:ilvl="0">
      <w:lvlJc w:val="left"/>
      <w:lvlText w:val="%1."/>
      <w:numFmt w:val="decimal"/>
      <w:start w:val="1"/>
    </w:lvl>
    <w:lvl w:ilvl="1">
      <w:lvlJc w:val="left"/>
      <w:lvlText w:val="(%2)"/>
      <w:numFmt w:val="lowerLetter"/>
      <w:start w:val="1"/>
    </w:lvl>
  </w:abstractNum>
  <w:abstractNum w:abstractNumId="118">
    <w:nsid w:val="5046B5A9"/>
    <w:multiLevelType w:val="hybridMultilevel"/>
    <w:lvl w:ilvl="0">
      <w:lvlJc w:val="left"/>
      <w:lvlText w:val="%1"/>
      <w:numFmt w:val="decimal"/>
      <w:start w:val="1"/>
    </w:lvl>
    <w:lvl w:ilvl="1">
      <w:lvlJc w:val="left"/>
      <w:lvlText w:val="(%2)"/>
      <w:numFmt w:val="lowerLetter"/>
      <w:start w:val="2"/>
    </w:lvl>
  </w:abstractNum>
  <w:abstractNum w:abstractNumId="119">
    <w:nsid w:val="5D888A08"/>
    <w:multiLevelType w:val="hybridMultilevel"/>
    <w:lvl w:ilvl="0">
      <w:lvlJc w:val="left"/>
      <w:lvlText w:val="%1."/>
      <w:numFmt w:val="decimal"/>
      <w:start w:val="2"/>
    </w:lvl>
    <w:lvl w:ilvl="1">
      <w:lvlJc w:val="left"/>
      <w:lvlText w:val="(%2)"/>
      <w:numFmt w:val="lowerLetter"/>
      <w:start w:val="1"/>
    </w:lvl>
  </w:abstractNum>
  <w:abstractNum w:abstractNumId="120">
    <w:nsid w:val="2A082C70"/>
    <w:multiLevelType w:val="hybridMultilevel"/>
    <w:lvl w:ilvl="0">
      <w:lvlJc w:val="left"/>
      <w:lvlText w:val="%1"/>
      <w:numFmt w:val="decimal"/>
      <w:start w:val="1"/>
    </w:lvl>
    <w:lvl w:ilvl="1">
      <w:lvlJc w:val="left"/>
      <w:lvlText w:val="(%2)"/>
      <w:numFmt w:val="lowerLetter"/>
      <w:start w:val="3"/>
    </w:lvl>
  </w:abstractNum>
  <w:abstractNum w:abstractNumId="121">
    <w:nsid w:val="5EC6AFD4"/>
    <w:multiLevelType w:val="hybridMultilevel"/>
    <w:lvl w:ilvl="0">
      <w:lvlJc w:val="left"/>
      <w:lvlText w:val="%1."/>
      <w:numFmt w:val="decimal"/>
      <w:start w:val="4"/>
    </w:lvl>
    <w:lvl w:ilvl="1">
      <w:lvlJc w:val="left"/>
      <w:lvlText w:val="(%2)"/>
      <w:numFmt w:val="lowerLetter"/>
      <w:start w:val="1"/>
    </w:lvl>
  </w:abstractNum>
  <w:abstractNum w:abstractNumId="122">
    <w:nsid w:val="19E21BB2"/>
    <w:multiLevelType w:val="hybridMultilevel"/>
    <w:lvl w:ilvl="0">
      <w:lvlJc w:val="left"/>
      <w:lvlText w:val="%1."/>
      <w:numFmt w:val="decimal"/>
      <w:start w:val="6"/>
    </w:lvl>
  </w:abstractNum>
  <w:abstractNum w:abstractNumId="123">
    <w:nsid w:val="75E0858A"/>
    <w:multiLevelType w:val="hybridMultilevel"/>
    <w:lvl w:ilvl="0">
      <w:lvlJc w:val="left"/>
      <w:lvlText w:val="%1."/>
      <w:numFmt w:val="decimal"/>
      <w:start w:val="10"/>
    </w:lvl>
  </w:abstractNum>
  <w:abstractNum w:abstractNumId="124">
    <w:nsid w:val="57A61A29"/>
    <w:multiLevelType w:val="hybridMultilevel"/>
    <w:lvl w:ilvl="0">
      <w:lvlJc w:val="left"/>
      <w:lvlText w:val="%1."/>
      <w:numFmt w:val="decimal"/>
      <w:start w:val="11"/>
    </w:lvl>
  </w:abstractNum>
  <w:abstractNum w:abstractNumId="125">
    <w:nsid w:val="5399C654"/>
    <w:multiLevelType w:val="hybridMultilevel"/>
    <w:lvl w:ilvl="0">
      <w:lvlJc w:val="left"/>
      <w:lvlText w:val="%1."/>
      <w:numFmt w:val="decimal"/>
      <w:start w:val="1"/>
    </w:lvl>
  </w:abstractNum>
  <w:abstractNum w:abstractNumId="126">
    <w:nsid w:val="20EE1348"/>
    <w:multiLevelType w:val="hybridMultilevel"/>
    <w:lvl w:ilvl="0">
      <w:lvlJc w:val="left"/>
      <w:lvlText w:val="%1."/>
      <w:numFmt w:val="decimal"/>
      <w:start w:val="6"/>
    </w:lvl>
  </w:abstractNum>
  <w:abstractNum w:abstractNumId="127">
    <w:nsid w:val="4427069A"/>
    <w:multiLevelType w:val="hybridMultilevel"/>
    <w:lvl w:ilvl="0">
      <w:lvlJc w:val="left"/>
      <w:lvlText w:val="%1."/>
      <w:numFmt w:val="decimal"/>
      <w:start w:val="1"/>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1."/>
      <w:numFmt w:val="decimal"/>
      <w:start w:val="5"/>
    </w:lvl>
  </w:abstractNum>
  <w:abstractNum w:abstractNumId="130">
    <w:nsid w:val="704E1DD5"/>
    <w:multiLevelType w:val="hybridMultilevel"/>
    <w:lvl w:ilvl="0">
      <w:lvlJc w:val="left"/>
      <w:lvlText w:val="(%1)"/>
      <w:numFmt w:val="lowerLetter"/>
      <w:start w:val="1"/>
    </w:lvl>
  </w:abstractNum>
  <w:abstractNum w:abstractNumId="131">
    <w:nsid w:val="57D2F10E"/>
    <w:multiLevelType w:val="hybridMultilevel"/>
    <w:lvl w:ilvl="0">
      <w:lvlJc w:val="left"/>
      <w:lvlText w:val="%1."/>
      <w:numFmt w:val="decimal"/>
      <w:start w:val="1"/>
    </w:lvl>
  </w:abstractNum>
  <w:abstractNum w:abstractNumId="132">
    <w:nsid w:val="BFFAE18"/>
    <w:multiLevelType w:val="hybridMultilevel"/>
    <w:lvl w:ilvl="0">
      <w:lvlJc w:val="left"/>
      <w:lvlText w:val="(%1)"/>
      <w:numFmt w:val="lowerLetter"/>
      <w:start w:val="1"/>
    </w:lvl>
  </w:abstractNum>
  <w:abstractNum w:abstractNumId="133">
    <w:nsid w:val="E3E47A8"/>
    <w:multiLevelType w:val="hybridMultilevel"/>
    <w:lvl w:ilvl="0">
      <w:lvlJc w:val="left"/>
      <w:lvlText w:val="%1."/>
      <w:numFmt w:val="decimal"/>
      <w:start w:val="5"/>
    </w:lvl>
  </w:abstractNum>
  <w:abstractNum w:abstractNumId="134">
    <w:nsid w:val="2E48F044"/>
    <w:multiLevelType w:val="hybridMultilevel"/>
    <w:lvl w:ilvl="0">
      <w:lvlJc w:val="left"/>
      <w:lvlText w:val="(%1)"/>
      <w:numFmt w:val="lowerLetter"/>
      <w:start w:val="1"/>
    </w:lvl>
  </w:abstractNum>
  <w:abstractNum w:abstractNumId="135">
    <w:nsid w:val="49D0FEAC"/>
    <w:multiLevelType w:val="hybridMultilevel"/>
    <w:lvl w:ilvl="0">
      <w:lvlJc w:val="left"/>
      <w:lvlText w:val="(%1)"/>
      <w:numFmt w:val="lowerRoman"/>
      <w:start w:val="1"/>
    </w:lvl>
  </w:abstractNum>
  <w:abstractNum w:abstractNumId="136">
    <w:nsid w:val="4BEE5A5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51" Type="http://schemas.openxmlformats.org/officeDocument/2006/relationships/image" Target="media/image216.png"/><Relationship Id="rId266" Type="http://schemas.openxmlformats.org/officeDocument/2006/relationships/image" Target="media/image217.png"/><Relationship Id="rId279" Type="http://schemas.openxmlformats.org/officeDocument/2006/relationships/image" Target="media/image218.png"/><Relationship Id="rId292" Type="http://schemas.openxmlformats.org/officeDocument/2006/relationships/image" Target="media/image219.png"/><Relationship Id="rId309" Type="http://schemas.openxmlformats.org/officeDocument/2006/relationships/image" Target="media/image220.png"/><Relationship Id="rId310" Type="http://schemas.openxmlformats.org/officeDocument/2006/relationships/image" Target="media/image221.png"/><Relationship Id="rId330" Type="http://schemas.openxmlformats.org/officeDocument/2006/relationships/image" Target="media/image222.png"/><Relationship Id="rId331" Type="http://schemas.openxmlformats.org/officeDocument/2006/relationships/image" Target="media/image223.png"/><Relationship Id="rId342" Type="http://schemas.openxmlformats.org/officeDocument/2006/relationships/image" Target="media/image224.png"/><Relationship Id="rId343" Type="http://schemas.openxmlformats.org/officeDocument/2006/relationships/image" Target="media/image225.png"/><Relationship Id="rId344" Type="http://schemas.openxmlformats.org/officeDocument/2006/relationships/image" Target="media/image226.png"/><Relationship Id="rId345" Type="http://schemas.openxmlformats.org/officeDocument/2006/relationships/image" Target="media/image227.png"/><Relationship Id="rId346" Type="http://schemas.openxmlformats.org/officeDocument/2006/relationships/image" Target="media/image228.png"/><Relationship Id="rId347" Type="http://schemas.openxmlformats.org/officeDocument/2006/relationships/image" Target="media/image229.png"/><Relationship Id="rId348" Type="http://schemas.openxmlformats.org/officeDocument/2006/relationships/image" Target="media/image230.png"/><Relationship Id="rId349" Type="http://schemas.openxmlformats.org/officeDocument/2006/relationships/image" Target="media/image231.png"/><Relationship Id="rId350" Type="http://schemas.openxmlformats.org/officeDocument/2006/relationships/image" Target="media/image232.png"/><Relationship Id="rId351" Type="http://schemas.openxmlformats.org/officeDocument/2006/relationships/image" Target="media/image233.png"/><Relationship Id="rId352" Type="http://schemas.openxmlformats.org/officeDocument/2006/relationships/image" Target="media/image234.png"/><Relationship Id="rId353" Type="http://schemas.openxmlformats.org/officeDocument/2006/relationships/image" Target="media/image235.png"/><Relationship Id="rId354" Type="http://schemas.openxmlformats.org/officeDocument/2006/relationships/image" Target="media/image236.png"/><Relationship Id="rId355" Type="http://schemas.openxmlformats.org/officeDocument/2006/relationships/image" Target="media/image237.png"/><Relationship Id="rId356" Type="http://schemas.openxmlformats.org/officeDocument/2006/relationships/image" Target="media/image238.png"/><Relationship Id="rId357" Type="http://schemas.openxmlformats.org/officeDocument/2006/relationships/image" Target="media/image239.png"/><Relationship Id="rId358" Type="http://schemas.openxmlformats.org/officeDocument/2006/relationships/image" Target="media/image240.png"/><Relationship Id="rId359" Type="http://schemas.openxmlformats.org/officeDocument/2006/relationships/image" Target="media/image241.png"/><Relationship Id="rId360" Type="http://schemas.openxmlformats.org/officeDocument/2006/relationships/image" Target="media/image242.png"/><Relationship Id="rId361" Type="http://schemas.openxmlformats.org/officeDocument/2006/relationships/image" Target="media/image243.png"/><Relationship Id="rId362" Type="http://schemas.openxmlformats.org/officeDocument/2006/relationships/image" Target="media/image244.png"/><Relationship Id="rId363" Type="http://schemas.openxmlformats.org/officeDocument/2006/relationships/image" Target="media/image245.png"/><Relationship Id="rId364" Type="http://schemas.openxmlformats.org/officeDocument/2006/relationships/image" Target="media/image246.png"/><Relationship Id="rId365" Type="http://schemas.openxmlformats.org/officeDocument/2006/relationships/image" Target="media/image247.png"/><Relationship Id="rId366" Type="http://schemas.openxmlformats.org/officeDocument/2006/relationships/image" Target="media/image248.png"/><Relationship Id="rId367" Type="http://schemas.openxmlformats.org/officeDocument/2006/relationships/image" Target="media/image249.png"/><Relationship Id="rId368" Type="http://schemas.openxmlformats.org/officeDocument/2006/relationships/image" Target="media/image250.png"/><Relationship Id="rId369" Type="http://schemas.openxmlformats.org/officeDocument/2006/relationships/image" Target="media/image251.png"/><Relationship Id="rId370" Type="http://schemas.openxmlformats.org/officeDocument/2006/relationships/image" Target="media/image252.png"/><Relationship Id="rId371" Type="http://schemas.openxmlformats.org/officeDocument/2006/relationships/image" Target="media/image253.png"/><Relationship Id="rId372" Type="http://schemas.openxmlformats.org/officeDocument/2006/relationships/image" Target="media/image254.png"/><Relationship Id="rId373" Type="http://schemas.openxmlformats.org/officeDocument/2006/relationships/image" Target="media/image255.png"/><Relationship Id="rId374" Type="http://schemas.openxmlformats.org/officeDocument/2006/relationships/image" Target="media/image256.png"/><Relationship Id="rId375" Type="http://schemas.openxmlformats.org/officeDocument/2006/relationships/image" Target="media/image257.png"/><Relationship Id="rId376" Type="http://schemas.openxmlformats.org/officeDocument/2006/relationships/image" Target="media/image258.png"/><Relationship Id="rId377" Type="http://schemas.openxmlformats.org/officeDocument/2006/relationships/image" Target="media/image259.png"/><Relationship Id="rId378" Type="http://schemas.openxmlformats.org/officeDocument/2006/relationships/image" Target="media/image260.png"/><Relationship Id="rId379" Type="http://schemas.openxmlformats.org/officeDocument/2006/relationships/image" Target="media/image261.png"/><Relationship Id="rId380" Type="http://schemas.openxmlformats.org/officeDocument/2006/relationships/image" Target="media/image262.png"/><Relationship Id="rId381" Type="http://schemas.openxmlformats.org/officeDocument/2006/relationships/image" Target="media/image263.png"/><Relationship Id="rId382" Type="http://schemas.openxmlformats.org/officeDocument/2006/relationships/image" Target="media/image264.png"/><Relationship Id="rId383" Type="http://schemas.openxmlformats.org/officeDocument/2006/relationships/image" Target="media/image265.png"/><Relationship Id="rId384" Type="http://schemas.openxmlformats.org/officeDocument/2006/relationships/image" Target="media/image266.png"/><Relationship Id="rId385" Type="http://schemas.openxmlformats.org/officeDocument/2006/relationships/image" Target="media/image267.png"/><Relationship Id="rId386" Type="http://schemas.openxmlformats.org/officeDocument/2006/relationships/image" Target="media/image268.png"/><Relationship Id="rId387" Type="http://schemas.openxmlformats.org/officeDocument/2006/relationships/image" Target="media/image269.png"/><Relationship Id="rId388" Type="http://schemas.openxmlformats.org/officeDocument/2006/relationships/image" Target="media/image270.png"/><Relationship Id="rId389" Type="http://schemas.openxmlformats.org/officeDocument/2006/relationships/image" Target="media/image271.png"/><Relationship Id="rId390" Type="http://schemas.openxmlformats.org/officeDocument/2006/relationships/image" Target="media/image272.png"/><Relationship Id="rId391" Type="http://schemas.openxmlformats.org/officeDocument/2006/relationships/image" Target="media/image273.png"/><Relationship Id="rId392" Type="http://schemas.openxmlformats.org/officeDocument/2006/relationships/image" Target="media/image274.png"/><Relationship Id="rId393" Type="http://schemas.openxmlformats.org/officeDocument/2006/relationships/image" Target="media/image275.png"/><Relationship Id="rId394" Type="http://schemas.openxmlformats.org/officeDocument/2006/relationships/image" Target="media/image276.png"/><Relationship Id="rId395" Type="http://schemas.openxmlformats.org/officeDocument/2006/relationships/image" Target="media/image277.png"/><Relationship Id="rId396" Type="http://schemas.openxmlformats.org/officeDocument/2006/relationships/image" Target="media/image278.png"/><Relationship Id="rId397" Type="http://schemas.openxmlformats.org/officeDocument/2006/relationships/image" Target="media/image279.png"/><Relationship Id="rId398" Type="http://schemas.openxmlformats.org/officeDocument/2006/relationships/image" Target="media/image280.png"/><Relationship Id="rId399" Type="http://schemas.openxmlformats.org/officeDocument/2006/relationships/image" Target="media/image281.png"/><Relationship Id="rId400" Type="http://schemas.openxmlformats.org/officeDocument/2006/relationships/image" Target="media/image282.png"/><Relationship Id="rId401" Type="http://schemas.openxmlformats.org/officeDocument/2006/relationships/image" Target="media/image283.png"/><Relationship Id="rId402" Type="http://schemas.openxmlformats.org/officeDocument/2006/relationships/image" Target="media/image284.png"/><Relationship Id="rId403" Type="http://schemas.openxmlformats.org/officeDocument/2006/relationships/image" Target="media/image285.png"/><Relationship Id="rId404" Type="http://schemas.openxmlformats.org/officeDocument/2006/relationships/image" Target="media/image286.png"/><Relationship Id="rId405" Type="http://schemas.openxmlformats.org/officeDocument/2006/relationships/image" Target="media/image287.png"/><Relationship Id="rId406" Type="http://schemas.openxmlformats.org/officeDocument/2006/relationships/image" Target="media/image288.png"/><Relationship Id="rId407" Type="http://schemas.openxmlformats.org/officeDocument/2006/relationships/image" Target="media/image289.png"/><Relationship Id="rId408" Type="http://schemas.openxmlformats.org/officeDocument/2006/relationships/image" Target="media/image290.png"/><Relationship Id="rId409" Type="http://schemas.openxmlformats.org/officeDocument/2006/relationships/image" Target="media/image291.png"/><Relationship Id="rId410" Type="http://schemas.openxmlformats.org/officeDocument/2006/relationships/image" Target="media/image292.png"/><Relationship Id="rId411" Type="http://schemas.openxmlformats.org/officeDocument/2006/relationships/image" Target="media/image293.png"/><Relationship Id="rId412" Type="http://schemas.openxmlformats.org/officeDocument/2006/relationships/image" Target="media/image294.png"/><Relationship Id="rId413" Type="http://schemas.openxmlformats.org/officeDocument/2006/relationships/image" Target="media/image295.png"/><Relationship Id="rId414" Type="http://schemas.openxmlformats.org/officeDocument/2006/relationships/image" Target="media/image296.png"/><Relationship Id="rId415" Type="http://schemas.openxmlformats.org/officeDocument/2006/relationships/image" Target="media/image297.png"/><Relationship Id="rId416" Type="http://schemas.openxmlformats.org/officeDocument/2006/relationships/image" Target="media/image298.png"/><Relationship Id="rId417" Type="http://schemas.openxmlformats.org/officeDocument/2006/relationships/image" Target="media/image299.png"/><Relationship Id="rId418" Type="http://schemas.openxmlformats.org/officeDocument/2006/relationships/image" Target="media/image300.png"/><Relationship Id="rId419" Type="http://schemas.openxmlformats.org/officeDocument/2006/relationships/image" Target="media/image301.png"/><Relationship Id="rId420" Type="http://schemas.openxmlformats.org/officeDocument/2006/relationships/image" Target="media/image302.png"/><Relationship Id="rId421" Type="http://schemas.openxmlformats.org/officeDocument/2006/relationships/image" Target="media/image303.png"/><Relationship Id="rId422" Type="http://schemas.openxmlformats.org/officeDocument/2006/relationships/image" Target="media/image304.png"/><Relationship Id="rId423" Type="http://schemas.openxmlformats.org/officeDocument/2006/relationships/image" Target="media/image305.png"/><Relationship Id="rId424" Type="http://schemas.openxmlformats.org/officeDocument/2006/relationships/image" Target="media/image306.png"/><Relationship Id="rId425" Type="http://schemas.openxmlformats.org/officeDocument/2006/relationships/image" Target="media/image307.png"/><Relationship Id="rId426" Type="http://schemas.openxmlformats.org/officeDocument/2006/relationships/image" Target="media/image308.png"/><Relationship Id="rId427" Type="http://schemas.openxmlformats.org/officeDocument/2006/relationships/image" Target="media/image309.png"/><Relationship Id="rId428" Type="http://schemas.openxmlformats.org/officeDocument/2006/relationships/image" Target="media/image310.png"/><Relationship Id="rId429" Type="http://schemas.openxmlformats.org/officeDocument/2006/relationships/image" Target="media/image311.png"/><Relationship Id="rId430" Type="http://schemas.openxmlformats.org/officeDocument/2006/relationships/image" Target="media/image312.png"/><Relationship Id="rId431" Type="http://schemas.openxmlformats.org/officeDocument/2006/relationships/image" Target="media/image313.png"/><Relationship Id="rId432" Type="http://schemas.openxmlformats.org/officeDocument/2006/relationships/image" Target="media/image314.png"/><Relationship Id="rId433" Type="http://schemas.openxmlformats.org/officeDocument/2006/relationships/image" Target="media/image315.png"/><Relationship Id="rId434" Type="http://schemas.openxmlformats.org/officeDocument/2006/relationships/image" Target="media/image316.png"/><Relationship Id="rId435" Type="http://schemas.openxmlformats.org/officeDocument/2006/relationships/image" Target="media/image317.png"/><Relationship Id="rId436" Type="http://schemas.openxmlformats.org/officeDocument/2006/relationships/image" Target="media/image318.png"/><Relationship Id="rId437" Type="http://schemas.openxmlformats.org/officeDocument/2006/relationships/image" Target="media/image319.png"/><Relationship Id="rId438" Type="http://schemas.openxmlformats.org/officeDocument/2006/relationships/image" Target="media/image320.png"/><Relationship Id="rId439" Type="http://schemas.openxmlformats.org/officeDocument/2006/relationships/image" Target="media/image321.png"/><Relationship Id="rId440" Type="http://schemas.openxmlformats.org/officeDocument/2006/relationships/image" Target="media/image322.png"/><Relationship Id="rId441" Type="http://schemas.openxmlformats.org/officeDocument/2006/relationships/image" Target="media/image323.png"/><Relationship Id="rId442" Type="http://schemas.openxmlformats.org/officeDocument/2006/relationships/image" Target="media/image324.png"/><Relationship Id="rId443" Type="http://schemas.openxmlformats.org/officeDocument/2006/relationships/image" Target="media/image325.png"/><Relationship Id="rId444" Type="http://schemas.openxmlformats.org/officeDocument/2006/relationships/image" Target="media/image326.png"/><Relationship Id="rId445" Type="http://schemas.openxmlformats.org/officeDocument/2006/relationships/image" Target="media/image327.png"/><Relationship Id="rId446" Type="http://schemas.openxmlformats.org/officeDocument/2006/relationships/image" Target="media/image328.png"/><Relationship Id="rId447" Type="http://schemas.openxmlformats.org/officeDocument/2006/relationships/image" Target="media/image329.png"/><Relationship Id="rId448" Type="http://schemas.openxmlformats.org/officeDocument/2006/relationships/image" Target="media/image330.png"/><Relationship Id="rId449" Type="http://schemas.openxmlformats.org/officeDocument/2006/relationships/image" Target="media/image331.png"/><Relationship Id="rId450" Type="http://schemas.openxmlformats.org/officeDocument/2006/relationships/image" Target="media/image332.png"/><Relationship Id="rId451" Type="http://schemas.openxmlformats.org/officeDocument/2006/relationships/image" Target="media/image333.png"/><Relationship Id="rId452" Type="http://schemas.openxmlformats.org/officeDocument/2006/relationships/image" Target="media/image334.png"/><Relationship Id="rId453" Type="http://schemas.openxmlformats.org/officeDocument/2006/relationships/image" Target="media/image335.png"/><Relationship Id="rId454" Type="http://schemas.openxmlformats.org/officeDocument/2006/relationships/image" Target="media/image336.png"/><Relationship Id="rId455" Type="http://schemas.openxmlformats.org/officeDocument/2006/relationships/image" Target="media/image337.png"/><Relationship Id="rId456" Type="http://schemas.openxmlformats.org/officeDocument/2006/relationships/image" Target="media/image338.png"/><Relationship Id="rId457" Type="http://schemas.openxmlformats.org/officeDocument/2006/relationships/image" Target="media/image339.png"/><Relationship Id="rId458" Type="http://schemas.openxmlformats.org/officeDocument/2006/relationships/image" Target="media/image340.png"/><Relationship Id="rId459" Type="http://schemas.openxmlformats.org/officeDocument/2006/relationships/image" Target="media/image341.png"/><Relationship Id="rId460" Type="http://schemas.openxmlformats.org/officeDocument/2006/relationships/image" Target="media/image342.png"/><Relationship Id="rId461" Type="http://schemas.openxmlformats.org/officeDocument/2006/relationships/image" Target="media/image343.png"/><Relationship Id="rId462" Type="http://schemas.openxmlformats.org/officeDocument/2006/relationships/image" Target="media/image344.png"/><Relationship Id="rId463" Type="http://schemas.openxmlformats.org/officeDocument/2006/relationships/image" Target="media/image345.png"/><Relationship Id="rId464" Type="http://schemas.openxmlformats.org/officeDocument/2006/relationships/image" Target="media/image346.png"/><Relationship Id="rId465" Type="http://schemas.openxmlformats.org/officeDocument/2006/relationships/image" Target="media/image347.png"/><Relationship Id="rId466" Type="http://schemas.openxmlformats.org/officeDocument/2006/relationships/image" Target="media/image348.png"/><Relationship Id="rId467" Type="http://schemas.openxmlformats.org/officeDocument/2006/relationships/image" Target="media/image349.png"/><Relationship Id="rId468" Type="http://schemas.openxmlformats.org/officeDocument/2006/relationships/image" Target="media/image350.png"/><Relationship Id="rId469" Type="http://schemas.openxmlformats.org/officeDocument/2006/relationships/image" Target="media/image351.png"/><Relationship Id="rId470" Type="http://schemas.openxmlformats.org/officeDocument/2006/relationships/image" Target="media/image352.png"/><Relationship Id="rId471" Type="http://schemas.openxmlformats.org/officeDocument/2006/relationships/image" Target="media/image353.png"/><Relationship Id="rId472" Type="http://schemas.openxmlformats.org/officeDocument/2006/relationships/image" Target="media/image354.png"/><Relationship Id="rId473" Type="http://schemas.openxmlformats.org/officeDocument/2006/relationships/image" Target="media/image355.png"/><Relationship Id="rId474" Type="http://schemas.openxmlformats.org/officeDocument/2006/relationships/image" Target="media/image356.jpeg"/><Relationship Id="rId475" Type="http://schemas.openxmlformats.org/officeDocument/2006/relationships/image" Target="media/image357.png"/><Relationship Id="rId476" Type="http://schemas.openxmlformats.org/officeDocument/2006/relationships/image" Target="media/image358.png"/><Relationship Id="rId477" Type="http://schemas.openxmlformats.org/officeDocument/2006/relationships/image" Target="media/image359.png"/><Relationship Id="rId478" Type="http://schemas.openxmlformats.org/officeDocument/2006/relationships/image" Target="media/image360.png"/><Relationship Id="rId221" Type="http://schemas.openxmlformats.org/officeDocument/2006/relationships/hyperlink" Target="http://www.sec.gov/Archives/edgar/data/1070423/000110465912013480/a11-30215_1ex2d1.htm" TargetMode="External"/><Relationship Id="rId222" Type="http://schemas.openxmlformats.org/officeDocument/2006/relationships/hyperlink" Target="http://www.sec.gov/Archives/edgar/data/1070423/000110465913077387/a13-22640_1ex2d1.htm" TargetMode="External"/><Relationship Id="rId223" Type="http://schemas.openxmlformats.org/officeDocument/2006/relationships/hyperlink" Target="http://www.sec.gov/Archives/edgar/data/1070423/000110465916132668/a16-14925_1ex2d1.htm" TargetMode="External"/><Relationship Id="rId224" Type="http://schemas.openxmlformats.org/officeDocument/2006/relationships/hyperlink" Target="http://www.sec.gov/Archives/edgar/data/1070423/000107042317000009/paa03312017exhibit21.htm" TargetMode="External"/><Relationship Id="rId225" Type="http://schemas.openxmlformats.org/officeDocument/2006/relationships/hyperlink" Target="http://www.sec.gov/Archives/edgar/data/1070423/000107042317000009/paa03312017exhibit22.htm" TargetMode="External"/><Relationship Id="rId226" Type="http://schemas.openxmlformats.org/officeDocument/2006/relationships/hyperlink" Target="http://www.sec.gov/Archives/edgar/data/1070423/000110465917061889/a17-22685_5ex3d1.htm" TargetMode="External"/><Relationship Id="rId227" Type="http://schemas.openxmlformats.org/officeDocument/2006/relationships/hyperlink" Target="http://www.sec.gov/Archives/edgar/data/1070423/000104746904016502/a2135501zex-3_2.htm" TargetMode="External"/><Relationship Id="rId228" Type="http://schemas.openxmlformats.org/officeDocument/2006/relationships/hyperlink" Target="http://www.sec.gov/Archives/edgar/data/1070423/000110465911010359/a11-2319_1ex3d9.htm" TargetMode="External"/><Relationship Id="rId229" Type="http://schemas.openxmlformats.org/officeDocument/2006/relationships/hyperlink" Target="http://www.sec.gov/Archives/edgar/data/1070423/000110465911010359/a11-2319_1ex3d10.htm" TargetMode="External"/><Relationship Id="rId230" Type="http://schemas.openxmlformats.org/officeDocument/2006/relationships/hyperlink" Target="http://www.sec.gov/Archives/edgar/data/1070423/000110465914014322/a13-25941_1ex3d7.htm" TargetMode="External"/><Relationship Id="rId231" Type="http://schemas.openxmlformats.org/officeDocument/2006/relationships/hyperlink" Target="http://www.sec.gov/Archives/edgar/data/1070423/000110465914014322/a13-25941_1ex3d8.htm" TargetMode="External"/><Relationship Id="rId234" Type="http://schemas.openxmlformats.org/officeDocument/2006/relationships/hyperlink" Target="http://www.sec.gov/Archives/edgar/data/1070423/000104746904016502/a2135501zex-3_3.htm" TargetMode="External"/><Relationship Id="rId235" Type="http://schemas.openxmlformats.org/officeDocument/2006/relationships/hyperlink" Target="http://www.sec.gov/Archives/edgar/data/1070423/000110465914014322/a13-25941_1ex3d10.htm" TargetMode="External"/><Relationship Id="rId236" Type="http://schemas.openxmlformats.org/officeDocument/2006/relationships/hyperlink" Target="http://www.sec.gov/Archives/edgar/data/1070423/000110465916158355/a16-21841_1ex3d3.htm" TargetMode="External"/><Relationship Id="rId237" Type="http://schemas.openxmlformats.org/officeDocument/2006/relationships/hyperlink" Target="http://www.sec.gov/Archives/edgar/data/1070423/000110465916158355/a16-21841_1ex3d4.htm" TargetMode="External"/><Relationship Id="rId238" Type="http://schemas.openxmlformats.org/officeDocument/2006/relationships/hyperlink" Target="http://www.sec.gov/Archives/edgar/data/1070423/000110465918060011/a18-36196_1ex3d1.htm" TargetMode="External"/><Relationship Id="rId239" Type="http://schemas.openxmlformats.org/officeDocument/2006/relationships/hyperlink" Target="http://www.sec.gov/Archives/edgar/data/1070423/000110465919032810/a19-10856_1ex3d1.htm" TargetMode="External"/><Relationship Id="rId240" Type="http://schemas.openxmlformats.org/officeDocument/2006/relationships/hyperlink" Target="http://www.sec.gov/Archives/edgar/data/1070423/000095012907001096/h43224exv3w10.htm" TargetMode="External"/><Relationship Id="rId241" Type="http://schemas.openxmlformats.org/officeDocument/2006/relationships/hyperlink" Target="http://www.sec.gov/Archives/edgar/data/1070423/000095012907001096/h43224exv3w11.htm" TargetMode="External"/><Relationship Id="rId242" Type="http://schemas.openxmlformats.org/officeDocument/2006/relationships/hyperlink" Target="http://www.sec.gov/Archives/edgar/data/1070423/000095012908000071/h52770exv3w3.htm" TargetMode="External"/><Relationship Id="rId243" Type="http://schemas.openxmlformats.org/officeDocument/2006/relationships/hyperlink" Target="http://www.sec.gov/Archives/edgar/data/1581990/000104746913007875/a2216069zex-3_1.htm" TargetMode="External"/><Relationship Id="rId244" Type="http://schemas.openxmlformats.org/officeDocument/2006/relationships/hyperlink" Target="http://www.sec.gov/Archives/edgar/data/1581990/000110465916158356/a16-21845_1ex3d2.htm" TargetMode="External"/><Relationship Id="rId245" Type="http://schemas.openxmlformats.org/officeDocument/2006/relationships/hyperlink" Target="http://www.sec.gov/Archives/edgar/data/1581990/000104746913007875/a2216069zex-3_3.htm" TargetMode="External"/><Relationship Id="rId246" Type="http://schemas.openxmlformats.org/officeDocument/2006/relationships/hyperlink" Target="http://www.sec.gov/Archives/edgar/data/1581990/000110465917010602/a17-6893_1ex3d1.htm" TargetMode="External"/><Relationship Id="rId247" Type="http://schemas.openxmlformats.org/officeDocument/2006/relationships/hyperlink" Target="http://www.sec.gov/Archives/edgar/data/1070423/000110465918052848/a18-18381_3ex3d1.htm" TargetMode="External"/><Relationship Id="rId248" Type="http://schemas.openxmlformats.org/officeDocument/2006/relationships/hyperlink" Target="http://www.sec.gov/Archives/edgar/data/1070423/000110465918072384/a18-41341_1ex3d1.htm" TargetMode="External"/><Relationship Id="rId249" Type="http://schemas.openxmlformats.org/officeDocument/2006/relationships/hyperlink" Target="http://www.sec.gov/Archives/edgar/data/1070423/000110465919067782/tm1923979d1_ex3-1.htm" TargetMode="External"/><Relationship Id="rId250" Type="http://schemas.openxmlformats.org/officeDocument/2006/relationships/hyperlink" Target="http://www.sec.gov/Archives/edgar/data/1070423/000089924302002834/dex41.txt" TargetMode="External"/><Relationship Id="rId252" Type="http://schemas.openxmlformats.org/officeDocument/2006/relationships/hyperlink" Target="http://www.sec.gov/Archives/edgar/data/1070423/000110465906034368/a06-11663_1ex4d1.htm" TargetMode="External"/><Relationship Id="rId253" Type="http://schemas.openxmlformats.org/officeDocument/2006/relationships/hyperlink" Target="http://www.sec.gov/Archives/edgar/data/1070423/000095012906009235/h40667exv4w2.htm" TargetMode="External"/><Relationship Id="rId254" Type="http://schemas.openxmlformats.org/officeDocument/2006/relationships/hyperlink" Target="http://www.sec.gov/Archives/edgar/data/1070423/000095012311002051/h78739exv4w1.htm" TargetMode="External"/><Relationship Id="rId255" Type="http://schemas.openxmlformats.org/officeDocument/2006/relationships/hyperlink" Target="http://www.sec.gov/Archives/edgar/data/1070423/000119312512132295/d321017dex41.htm" TargetMode="External"/><Relationship Id="rId256" Type="http://schemas.openxmlformats.org/officeDocument/2006/relationships/hyperlink" Target="http://www.sec.gov/Archives/edgar/data/1070423/000119312512132295/d321017dex43.htm" TargetMode="External"/><Relationship Id="rId257" Type="http://schemas.openxmlformats.org/officeDocument/2006/relationships/hyperlink" Target="http://www.sec.gov/Archives/edgar/data/1070423/000119312512499932/d453762dex41.htm" TargetMode="External"/><Relationship Id="rId258" Type="http://schemas.openxmlformats.org/officeDocument/2006/relationships/hyperlink" Target="http://www.sec.gov/Archives/edgar/data/1070423/000119312512499932/d453762dex43.htm" TargetMode="External"/><Relationship Id="rId259" Type="http://schemas.openxmlformats.org/officeDocument/2006/relationships/hyperlink" Target="http://www.sec.gov/Archives/edgar/data/1070423/000119312513336066/d581734dex41.htm" TargetMode="External"/><Relationship Id="rId260" Type="http://schemas.openxmlformats.org/officeDocument/2006/relationships/hyperlink" Target="http://www.sec.gov/Archives/edgar/data/1070423/000119312514164183/d713938dex41.htm" TargetMode="External"/><Relationship Id="rId261" Type="http://schemas.openxmlformats.org/officeDocument/2006/relationships/hyperlink" Target="http://www.sec.gov/Archives/edgar/data/1070423/000119312514338289/d787160dex41.htm" TargetMode="External"/><Relationship Id="rId262" Type="http://schemas.openxmlformats.org/officeDocument/2006/relationships/hyperlink" Target="http://www.sec.gov/Archives/edgar/data/1070423/000119312514440007/d833885dex43.htm" TargetMode="External"/><Relationship Id="rId263" Type="http://schemas.openxmlformats.org/officeDocument/2006/relationships/hyperlink" Target="http://www.sec.gov/Archives/edgar/data/1070423/000119312515302829/d45393dex41.htm" TargetMode="External"/><Relationship Id="rId264" Type="http://schemas.openxmlformats.org/officeDocument/2006/relationships/hyperlink" Target="http://www.sec.gov/Archives/edgar/data/1070423/000110465916159593/a16-22232_1ex4d1.htm" TargetMode="External"/><Relationship Id="rId265" Type="http://schemas.openxmlformats.org/officeDocument/2006/relationships/hyperlink" Target="http://www.sec.gov/Archives/edgar/data/1070423/000141057819001281/tv529555_ex4-1.htm" TargetMode="External"/><Relationship Id="rId267" Type="http://schemas.openxmlformats.org/officeDocument/2006/relationships/hyperlink" Target="http://www.sec.gov/Archives/edgar/data/1070423/000095012309050401/h68193exv4w1.htm" TargetMode="External"/><Relationship Id="rId268" Type="http://schemas.openxmlformats.org/officeDocument/2006/relationships/hyperlink" Target="http://www.sec.gov/Archives/edgar/data/1070423/000110465916093299/a16-3362_1ex4d1.htm" TargetMode="External"/><Relationship Id="rId269" Type="http://schemas.openxmlformats.org/officeDocument/2006/relationships/hyperlink" Target="http://www.sec.gov/Archives/edgar/data/1070423/000110465916158355/a16-21841_1ex10d4.htm" TargetMode="External"/><Relationship Id="rId270" Type="http://schemas.openxmlformats.org/officeDocument/2006/relationships/hyperlink" Target="http://www.sec.gov/Archives/edgar/data/1070423/000095012311080225/h84381exv10w1.htm" TargetMode="External"/><Relationship Id="rId271" Type="http://schemas.openxmlformats.org/officeDocument/2006/relationships/hyperlink" Target="http://www.sec.gov/Archives/edgar/data/1070423/000119312512293769/d374172dex102.htm" TargetMode="External"/><Relationship Id="rId272" Type="http://schemas.openxmlformats.org/officeDocument/2006/relationships/hyperlink" Target="http://www.sec.gov/Archives/edgar/data/1070423/000119312513340586/d585794dex102.htm" TargetMode="External"/><Relationship Id="rId273" Type="http://schemas.openxmlformats.org/officeDocument/2006/relationships/hyperlink" Target="http://www.sec.gov/Archives/edgar/data/1070423/000110465916140243/a16-16900_1ex10d1.htm" TargetMode="External"/><Relationship Id="rId274" Type="http://schemas.openxmlformats.org/officeDocument/2006/relationships/hyperlink" Target="http://www.sec.gov/Archives/edgar/data/1070423/000095012311080225/h84381exv10w2.htm" TargetMode="External"/><Relationship Id="rId275" Type="http://schemas.openxmlformats.org/officeDocument/2006/relationships/hyperlink" Target="http://www.sec.gov/Archives/edgar/data/1070423/000119312512293769/d374172dex101.htm" TargetMode="External"/><Relationship Id="rId276" Type="http://schemas.openxmlformats.org/officeDocument/2006/relationships/hyperlink" Target="http://www.sec.gov/Archives/edgar/data/1070423/000119312513340586/d585794dex101.htm" TargetMode="External"/><Relationship Id="rId277" Type="http://schemas.openxmlformats.org/officeDocument/2006/relationships/hyperlink" Target="http://www.sec.gov/Archives/edgar/data/1070423/000110465916140243/a16-16900_1ex10d3.htm" TargetMode="External"/><Relationship Id="rId278" Type="http://schemas.openxmlformats.org/officeDocument/2006/relationships/hyperlink" Target="http://www.sec.gov/Archives/edgar/data/1070423/000107042317000021/paa09302017exhibit106.htm" TargetMode="External"/><Relationship Id="rId280" Type="http://schemas.openxmlformats.org/officeDocument/2006/relationships/hyperlink" Target="http://www.sec.gov/Archives/edgar/data/1070423/0000899243-99-000614.txt" TargetMode="External"/><Relationship Id="rId281" Type="http://schemas.openxmlformats.org/officeDocument/2006/relationships/hyperlink" Target="http://www.sec.gov/Archives/edgar/data/1070423/000089924301500835/dex101.txt" TargetMode="External"/><Relationship Id="rId282" Type="http://schemas.openxmlformats.org/officeDocument/2006/relationships/hyperlink" Target="http://www.sec.gov/Archives/edgar/data/1070423/000089924301500767/dex101.txt" TargetMode="External"/><Relationship Id="rId283" Type="http://schemas.openxmlformats.org/officeDocument/2006/relationships/hyperlink" Target="http://www.sec.gov/Archives/edgar/data/1070423/000089924301500767/dex102.txt" TargetMode="External"/><Relationship Id="rId284" Type="http://schemas.openxmlformats.org/officeDocument/2006/relationships/hyperlink" Target="http://www.sec.gov/Archives/edgar/data/1070423/000089924301500767/dex103.txt" TargetMode="External"/><Relationship Id="rId285" Type="http://schemas.openxmlformats.org/officeDocument/2006/relationships/hyperlink" Target="http://www.sec.gov/Archives/edgar/data/1070423/000095012908000071/h52770exv10w2.htm" TargetMode="External"/><Relationship Id="rId286" Type="http://schemas.openxmlformats.org/officeDocument/2006/relationships/hyperlink" Target="http://www.sec.gov/Archives/edgar/data/1070423/000089924301500419/dex991.txt" TargetMode="External"/><Relationship Id="rId287" Type="http://schemas.openxmlformats.org/officeDocument/2006/relationships/hyperlink" Target="http://www.sec.gov/Archives/edgar/data/1070423/0000899243-98-001792.txt" TargetMode="External"/><Relationship Id="rId288" Type="http://schemas.openxmlformats.org/officeDocument/2006/relationships/hyperlink" Target="http://www.sec.gov/Archives/edgar/data/1070423/000110465905044729/a05-16431_1ex1d2.htm" TargetMode="External"/><Relationship Id="rId289" Type="http://schemas.openxmlformats.org/officeDocument/2006/relationships/hyperlink" Target="http://www.sec.gov/Archives/edgar/data/1481506/000095012310043694/h72693exv10w1.htm" TargetMode="External"/><Relationship Id="rId290" Type="http://schemas.openxmlformats.org/officeDocument/2006/relationships/hyperlink" Target="http://www.sec.gov/Archives/edgar/data/1481506/000095012310047963/h72950exv10w1.htm" TargetMode="External"/><Relationship Id="rId291" Type="http://schemas.openxmlformats.org/officeDocument/2006/relationships/hyperlink" Target="http://www.sec.gov/Archives/edgar/data/1070423/000110465916158355/a16-21841_1ex10d1.htm" TargetMode="External"/><Relationship Id="rId293" Type="http://schemas.openxmlformats.org/officeDocument/2006/relationships/hyperlink" Target="http://www.sec.gov/Archives/edgar/data/1070423/000110465916158355/a16-21841_1ex10d2.htm" TargetMode="External"/><Relationship Id="rId294" Type="http://schemas.openxmlformats.org/officeDocument/2006/relationships/hyperlink" Target="http://www.sec.gov/Archives/edgar/data/1070423/000089924301501783/dex101.txt" TargetMode="External"/><Relationship Id="rId295" Type="http://schemas.openxmlformats.org/officeDocument/2006/relationships/hyperlink" Target="http://www.sec.gov/Archives/edgar/data/1070423/000104746909001897/a2190434zex-10_49.htm" TargetMode="External"/><Relationship Id="rId296" Type="http://schemas.openxmlformats.org/officeDocument/2006/relationships/hyperlink" Target="http://www.sec.gov/Archives/edgar/data/1070423/000110465911010359/a11-2319_1ex10d31.htm" TargetMode="External"/><Relationship Id="rId297" Type="http://schemas.openxmlformats.org/officeDocument/2006/relationships/hyperlink" Target="http://www.sec.gov/Archives/edgar/data/1070423/000110465913078056/a13-22862_1ex10d2.htm" TargetMode="External"/><Relationship Id="rId298" Type="http://schemas.openxmlformats.org/officeDocument/2006/relationships/hyperlink" Target="http://www.sec.gov/Archives/edgar/data/1070423/000107042318000015/paaq32018exhibit106.htm" TargetMode="External"/><Relationship Id="rId299" Type="http://schemas.openxmlformats.org/officeDocument/2006/relationships/hyperlink" Target="http://www.sec.gov/Archives/edgar/data/1070423/000089924301501783/dex102.txt" TargetMode="External"/><Relationship Id="rId300" Type="http://schemas.openxmlformats.org/officeDocument/2006/relationships/hyperlink" Target="http://www.sec.gov/Archives/edgar/data/1070423/000104746909001897/a2190434zex-10_50.htm" TargetMode="External"/><Relationship Id="rId301" Type="http://schemas.openxmlformats.org/officeDocument/2006/relationships/hyperlink" Target="http://www.sec.gov/Archives/edgar/data/1070423/000107042319000013/paaq32019exhibit101.htm" TargetMode="External"/><Relationship Id="rId302" Type="http://schemas.openxmlformats.org/officeDocument/2006/relationships/hyperlink" Target="http://www.sec.gov/Archives/edgar/data/1070423/000110465911010359/a11-2319_1ex10d32.htm" TargetMode="External"/><Relationship Id="rId303" Type="http://schemas.openxmlformats.org/officeDocument/2006/relationships/hyperlink" Target="http://www.sec.gov/Archives/edgar/data/1070423/000110465913078056/a13-22862_1ex10d3.htm" TargetMode="External"/><Relationship Id="rId304" Type="http://schemas.openxmlformats.org/officeDocument/2006/relationships/hyperlink" Target="http://www.sec.gov/Archives/edgar/data/1070423/000110465916100030/a15-24557_1ex10d53.htm" TargetMode="External"/><Relationship Id="rId305" Type="http://schemas.openxmlformats.org/officeDocument/2006/relationships/hyperlink" Target="http://www.sec.gov/Archives/edgar/data/1070423/000107042318000015/paaq32018exhibit107.htm" TargetMode="External"/><Relationship Id="rId306" Type="http://schemas.openxmlformats.org/officeDocument/2006/relationships/hyperlink" Target="http://www.sec.gov/Archives/edgar/data/1070423/000107042316000004/paa09302016exhibit108.htm" TargetMode="External"/><Relationship Id="rId307" Type="http://schemas.openxmlformats.org/officeDocument/2006/relationships/hyperlink" Target="http://www.sec.gov/Archives/edgar/data/1070423/000107042318000009/paaq12018exhibit101.htm" TargetMode="External"/><Relationship Id="rId308" Type="http://schemas.openxmlformats.org/officeDocument/2006/relationships/hyperlink" Target="http://www.sec.gov/Archives/edgar/data/1070423/000107042316000004/paa09302016exhibit107.htm" TargetMode="External"/><Relationship Id="rId311" Type="http://schemas.openxmlformats.org/officeDocument/2006/relationships/hyperlink" Target="http://www.sec.gov/Archives/edgar/data/1070423/000107042318000009/paaq12018exhibit103.htm" TargetMode="External"/><Relationship Id="rId312" Type="http://schemas.openxmlformats.org/officeDocument/2006/relationships/hyperlink" Target="http://www.sec.gov/Archives/edgar/data/1070423/000107042318000015/paaq32018exhibit108.htm" TargetMode="External"/><Relationship Id="rId313" Type="http://schemas.openxmlformats.org/officeDocument/2006/relationships/hyperlink" Target="http://www.sec.gov/Archives/edgar/data/1070423/000095012901504458/h92828ex99-1.txt" TargetMode="External"/><Relationship Id="rId314" Type="http://schemas.openxmlformats.org/officeDocument/2006/relationships/hyperlink" Target="http://www.sec.gov/Archives/edgar/data/1070423/000119312503033153/dex101.htm" TargetMode="External"/><Relationship Id="rId315" Type="http://schemas.openxmlformats.org/officeDocument/2006/relationships/hyperlink" Target="http://www.sec.gov/Archives/edgar/data/1070423/000104746909001897/a2190434zex-10_52.htm" TargetMode="External"/><Relationship Id="rId316" Type="http://schemas.openxmlformats.org/officeDocument/2006/relationships/hyperlink" Target="http://www.sec.gov/Archives/edgar/data/1070423/000095012905000593/h21990exv10w1.htm" TargetMode="External"/><Relationship Id="rId317" Type="http://schemas.openxmlformats.org/officeDocument/2006/relationships/hyperlink" Target="http://www.sec.gov/Archives/edgar/data/1070423/000104746909001897/a2190434zex-10_51.htm" TargetMode="External"/><Relationship Id="rId318" Type="http://schemas.openxmlformats.org/officeDocument/2006/relationships/hyperlink" Target="http://www.sec.gov/Archives/edgar/data/1070423/000095012907001096/h43224exv10w45.htm" TargetMode="External"/><Relationship Id="rId319" Type="http://schemas.openxmlformats.org/officeDocument/2006/relationships/hyperlink" Target="http://www.sec.gov/Archives/edgar/data/1070423/000110465913093006/a13-26950_1ex4d4.htm" TargetMode="External"/><Relationship Id="rId320" Type="http://schemas.openxmlformats.org/officeDocument/2006/relationships/hyperlink" Target="http://www.sec.gov/Archives/edgar/data/1481506/000095012310047963/h72950exv10w2.htm" TargetMode="External"/><Relationship Id="rId321" Type="http://schemas.openxmlformats.org/officeDocument/2006/relationships/hyperlink" Target="http://www.sec.gov/Archives/edgar/data/1581990/000110465913078057/a13-22338_2ex10d3.htm" TargetMode="External"/><Relationship Id="rId322" Type="http://schemas.openxmlformats.org/officeDocument/2006/relationships/hyperlink" Target="http://www.sec.gov/Archives/edgar/data/1070423/000095012908000071/h52770exv10w1.htm" TargetMode="External"/><Relationship Id="rId323" Type="http://schemas.openxmlformats.org/officeDocument/2006/relationships/hyperlink" Target="http://www.sec.gov/Archives/edgar/data/1070423/000110465913078056/a13-22862_1ex10d4.htm" TargetMode="External"/><Relationship Id="rId324" Type="http://schemas.openxmlformats.org/officeDocument/2006/relationships/hyperlink" Target="http://www.sec.gov/Archives/edgar/data/1070423/000107042316000004/paa09302016exhibit106.htm" TargetMode="External"/><Relationship Id="rId325" Type="http://schemas.openxmlformats.org/officeDocument/2006/relationships/hyperlink" Target="http://www.sec.gov/Archives/edgar/data/1070423/000107042318000009/paaq12018exhibit102.htm" TargetMode="External"/><Relationship Id="rId326" Type="http://schemas.openxmlformats.org/officeDocument/2006/relationships/hyperlink" Target="http://www.sec.gov/Archives/edgar/data/1070423/000107042316000004/paa09302016exhibit105.htm" TargetMode="External"/><Relationship Id="rId327" Type="http://schemas.openxmlformats.org/officeDocument/2006/relationships/hyperlink" Target="http://www.sec.gov/Archives/edgar/data/1070423/000107042318000009/paaq12018exhibit104.htm" TargetMode="External"/><Relationship Id="rId328" Type="http://schemas.openxmlformats.org/officeDocument/2006/relationships/hyperlink" Target="http://www.sec.gov/Archives/edgar/data/1070423/000107042317000015/paa06302017exhibit104.htm" TargetMode="External"/><Relationship Id="rId329" Type="http://schemas.openxmlformats.org/officeDocument/2006/relationships/hyperlink" Target="http://www.sec.gov/Archives/edgar/data/1070423/000107042318000009/paaq12018exhibit105.htm" TargetMode="External"/><Relationship Id="rId332" Type="http://schemas.openxmlformats.org/officeDocument/2006/relationships/hyperlink" Target="http://www.sec.gov/Archives/edgar/data/1070423/000107042317000009/paa03312017exhibit101.htm" TargetMode="External"/><Relationship Id="rId333" Type="http://schemas.openxmlformats.org/officeDocument/2006/relationships/hyperlink" Target="http://www.sec.gov/Archives/edgar/data/1070423/000107042317000009/paa03312017exhibit102.htm" TargetMode="External"/><Relationship Id="rId334" Type="http://schemas.openxmlformats.org/officeDocument/2006/relationships/hyperlink" Target="http://www.sec.gov/Archives/edgar/data/1070423/000107042317000009/paa03312017exhibit103.htm" TargetMode="External"/><Relationship Id="rId335" Type="http://schemas.openxmlformats.org/officeDocument/2006/relationships/hyperlink" Target="http://www.sec.gov/Archives/edgar/data/1581990/000158199017000009/pagp03312017exhibit101.htm" TargetMode="External"/><Relationship Id="rId336" Type="http://schemas.openxmlformats.org/officeDocument/2006/relationships/hyperlink" Target="http://www.sec.gov/Archives/edgar/data/1581990/000158199017000009/pagp03312017exhibit102.htm" TargetMode="External"/><Relationship Id="rId337" Type="http://schemas.openxmlformats.org/officeDocument/2006/relationships/hyperlink" Target="http://www.sec.gov/Archives/edgar/data/1581990/000158199017000009/pagp03312017exhibit103.htm" TargetMode="External"/><Relationship Id="rId338" Type="http://schemas.openxmlformats.org/officeDocument/2006/relationships/hyperlink" Target="http://www.sec.gov/Archives/edgar/data/1070423/000107042319000004/paa201810-kexhibit1066.htm" TargetMode="External"/><Relationship Id="rId339" Type="http://schemas.openxmlformats.org/officeDocument/2006/relationships/hyperlink" Target="http://www.sec.gov/Archives/edgar/data/1070423/000107042319000004/paa201810-kexhibit1067.htm" TargetMode="External"/><Relationship Id="rId340" Type="http://schemas.openxmlformats.org/officeDocument/2006/relationships/hyperlink" Target="http://www.sec.gov/Archives/edgar/data/1070423/000107042319000013/paaq32019exhibit102.htm" TargetMode="External"/><Relationship Id="rId341" Type="http://schemas.openxmlformats.org/officeDocument/2006/relationships/hyperlink" Target="http://www.sec.gov/Archives/edgar/data/1070423/000107042319000013/paaq32019exhibit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2020-02-27T13:40:34Z</dcterms:created>
  <dcterms:modified xsi:type="dcterms:W3CDTF">2020-02-27T13:40:34Z</dcterms:modified>
</cp:coreProperties>
</file>