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740" w:right="1760" w:hanging="3732"/>
        <w:spacing w:after="0" w:line="410" w:lineRule="auto"/>
        <w:tabs>
          <w:tab w:leader="none" w:pos="463"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5"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340" w:space="720"/>
            <w:col w:w="4320"/>
          </w:cols>
          <w:pgMar w:left="240" w:top="233" w:right="279" w:bottom="1440" w:gutter="0" w:footer="0" w:header="0"/>
          <w:type w:val="continuous"/>
        </w:sectPr>
      </w:pPr>
    </w:p>
    <w:p>
      <w:pPr>
        <w:spacing w:after="0" w:line="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4"/>
          <w:szCs w:val="24"/>
          <w:color w:val="auto"/>
        </w:rPr>
      </w:pPr>
    </w:p>
    <w:p>
      <w:pPr>
        <w:ind w:right="10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ind w:right="120" w:firstLine="369"/>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0"/>
          <w:szCs w:val="20"/>
          <w:color w:val="auto"/>
        </w:rPr>
        <w:t>☒</w:t>
      </w:r>
      <w:r>
        <w:rPr>
          <w:rFonts w:ascii="Arial" w:cs="Arial" w:eastAsia="Arial" w:hAnsi="Arial"/>
          <w:sz w:val="17"/>
          <w:szCs w:val="17"/>
          <w:color w:val="auto"/>
        </w:rPr>
        <w:t xml:space="preserve"> Yes </w:t>
      </w:r>
      <w:r>
        <w:rPr>
          <w:rFonts w:ascii="MS PGothic" w:cs="MS PGothic" w:eastAsia="MS PGothic" w:hAnsi="MS PGothic"/>
          <w:sz w:val="20"/>
          <w:szCs w:val="20"/>
          <w:color w:val="auto"/>
        </w:rPr>
        <w:t>☐</w:t>
      </w:r>
      <w:r>
        <w:rPr>
          <w:rFonts w:ascii="Arial" w:cs="Arial" w:eastAsia="Arial" w:hAnsi="Arial"/>
          <w:sz w:val="17"/>
          <w:szCs w:val="17"/>
          <w:color w:val="auto"/>
        </w:rPr>
        <w:t xml:space="preserve"> No</w:t>
      </w:r>
    </w:p>
    <w:p>
      <w:pPr>
        <w:spacing w:after="0" w:line="74"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4" w:lineRule="exact"/>
        <w:rPr>
          <w:sz w:val="24"/>
          <w:szCs w:val="24"/>
          <w:color w:val="auto"/>
        </w:rPr>
      </w:pPr>
    </w:p>
    <w:p>
      <w:pPr>
        <w:ind w:left="1900"/>
        <w:spacing w:after="0" w:line="242" w:lineRule="exact"/>
        <w:tabs>
          <w:tab w:leader="none" w:pos="84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109" w:lineRule="exact"/>
        <w:rPr>
          <w:sz w:val="24"/>
          <w:szCs w:val="24"/>
          <w:color w:val="auto"/>
        </w:rPr>
      </w:pPr>
    </w:p>
    <w:p>
      <w:pPr>
        <w:ind w:left="2000"/>
        <w:spacing w:after="0" w:line="242" w:lineRule="exact"/>
        <w:tabs>
          <w:tab w:leader="none" w:pos="770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69" w:lineRule="exact"/>
        <w:rPr>
          <w:sz w:val="24"/>
          <w:szCs w:val="24"/>
          <w:color w:val="auto"/>
        </w:rPr>
      </w:pPr>
    </w:p>
    <w:p>
      <w:pPr>
        <w:ind w:left="77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17" w:lineRule="exact"/>
        <w:rPr>
          <w:sz w:val="24"/>
          <w:szCs w:val="24"/>
          <w:color w:val="auto"/>
        </w:rPr>
      </w:pPr>
    </w:p>
    <w:p>
      <w:pPr>
        <w:ind w:right="300" w:firstLine="351"/>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74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31, 2019, there were 728,028,576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280" w:type="dxa"/>
            <w:vAlign w:val="bottom"/>
            <w:gridSpan w:val="19"/>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2018</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gridSpan w:val="3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2019 and 2018</w:t>
              </w:r>
            </w:hyperlink>
          </w:p>
        </w:tc>
        <w:tc>
          <w:tcPr>
            <w:tcW w:w="1620" w:type="dxa"/>
            <w:vAlign w:val="bottom"/>
            <w:gridSpan w:val="5"/>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500" w:type="dxa"/>
            <w:vAlign w:val="bottom"/>
            <w:gridSpan w:val="3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2019 and 2018</w:t>
              </w:r>
            </w:hyperlink>
          </w:p>
        </w:tc>
        <w:tc>
          <w:tcPr>
            <w:tcW w:w="700" w:type="dxa"/>
            <w:vAlign w:val="bottom"/>
            <w:gridSpan w:val="2"/>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140" w:type="dxa"/>
            <w:vAlign w:val="bottom"/>
          </w:tcPr>
          <w:p>
            <w:pPr>
              <w:spacing w:after="0"/>
              <w:rPr>
                <w:sz w:val="21"/>
                <w:szCs w:val="21"/>
                <w:color w:val="auto"/>
              </w:rPr>
            </w:pPr>
          </w:p>
        </w:tc>
        <w:tc>
          <w:tcPr>
            <w:tcW w:w="9500" w:type="dxa"/>
            <w:vAlign w:val="bottom"/>
            <w:tcBorders>
              <w:top w:val="single" w:sz="8" w:color="0000EE"/>
            </w:tcBorders>
            <w:gridSpan w:val="3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Accumulated Other Comprehensive Income/(Loss): For the nine months ended</w:t>
              </w:r>
            </w:hyperlink>
          </w:p>
        </w:tc>
        <w:tc>
          <w:tcPr>
            <w:tcW w:w="7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gridSpan w:val="10"/>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September 30, 2019 and 2018</w:t>
              </w:r>
            </w:hyperlink>
          </w:p>
        </w:tc>
        <w:tc>
          <w:tcPr>
            <w:tcW w:w="7100" w:type="dxa"/>
            <w:vAlign w:val="bottom"/>
            <w:tcBorders>
              <w:top w:val="single" w:sz="8" w:color="0000EE"/>
            </w:tcBorders>
            <w:gridSpan w:val="21"/>
          </w:tcPr>
          <w:p>
            <w:pPr>
              <w:spacing w:after="0"/>
              <w:rPr>
                <w:sz w:val="17"/>
                <w:szCs w:val="17"/>
                <w:color w:val="auto"/>
              </w:rPr>
            </w:pPr>
          </w:p>
        </w:tc>
        <w:tc>
          <w:tcPr>
            <w:tcW w:w="800" w:type="dxa"/>
            <w:vAlign w:val="bottom"/>
            <w:gridSpan w:val="3"/>
          </w:tcPr>
          <w:p>
            <w:pPr>
              <w:spacing w:after="0"/>
              <w:rPr>
                <w:sz w:val="17"/>
                <w:szCs w:val="17"/>
                <w:color w:val="auto"/>
              </w:rPr>
            </w:pPr>
          </w:p>
        </w:tc>
        <w:tc>
          <w:tcPr>
            <w:tcW w:w="1020" w:type="dxa"/>
            <w:vAlign w:val="bottom"/>
            <w:gridSpan w:val="5"/>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920" w:type="dxa"/>
            <w:vAlign w:val="bottom"/>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2019 and 2018</w:t>
              </w:r>
            </w:hyperlink>
          </w:p>
        </w:tc>
        <w:tc>
          <w:tcPr>
            <w:tcW w:w="2280" w:type="dxa"/>
            <w:vAlign w:val="bottom"/>
            <w:gridSpan w:val="6"/>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Changes in Partners’ Capital: For the three and nine months ended September 30, 2019 and 2018</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5540" w:type="dxa"/>
            <w:vAlign w:val="bottom"/>
            <w:tcBorders>
              <w:top w:val="single" w:sz="8" w:color="0000EE"/>
            </w:tcBorders>
            <w:gridSpan w:val="12"/>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4200" w:type="dxa"/>
            <w:vAlign w:val="bottom"/>
            <w:gridSpan w:val="21"/>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Organization and Basis of Consolidation and Presentation</w:t>
              </w:r>
            </w:hyperlink>
          </w:p>
        </w:tc>
        <w:tc>
          <w:tcPr>
            <w:tcW w:w="5640" w:type="dxa"/>
            <w:vAlign w:val="bottom"/>
            <w:gridSpan w:val="12"/>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3240" w:type="dxa"/>
            <w:vAlign w:val="bottom"/>
            <w:gridSpan w:val="18"/>
          </w:tcPr>
          <w:p>
            <w:pPr>
              <w:ind w:left="20"/>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Summary of Significant Accounting Policies</w:t>
              </w:r>
            </w:hyperlink>
          </w:p>
        </w:tc>
        <w:tc>
          <w:tcPr>
            <w:tcW w:w="960" w:type="dxa"/>
            <w:vAlign w:val="bottom"/>
            <w:gridSpan w:val="3"/>
          </w:tcPr>
          <w:p>
            <w:pPr>
              <w:spacing w:after="0"/>
              <w:rPr>
                <w:sz w:val="21"/>
                <w:szCs w:val="21"/>
                <w:color w:val="auto"/>
              </w:rPr>
            </w:pPr>
          </w:p>
        </w:tc>
        <w:tc>
          <w:tcPr>
            <w:tcW w:w="5640" w:type="dxa"/>
            <w:vAlign w:val="bottom"/>
            <w:gridSpan w:val="12"/>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3.</w:t>
              </w:r>
            </w:hyperlink>
          </w:p>
        </w:tc>
        <w:tc>
          <w:tcPr>
            <w:tcW w:w="3240" w:type="dxa"/>
            <w:vAlign w:val="bottom"/>
            <w:gridSpan w:val="18"/>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Revenues and Accounts Receivable</w:t>
              </w:r>
            </w:hyperlink>
          </w:p>
        </w:tc>
        <w:tc>
          <w:tcPr>
            <w:tcW w:w="6600" w:type="dxa"/>
            <w:vAlign w:val="bottom"/>
            <w:gridSpan w:val="15"/>
          </w:tcPr>
          <w:p>
            <w:pPr>
              <w:spacing w:after="0"/>
              <w:rPr>
                <w:sz w:val="21"/>
                <w:szCs w:val="21"/>
                <w:color w:val="auto"/>
              </w:rPr>
            </w:pPr>
          </w:p>
        </w:tc>
        <w:tc>
          <w:tcPr>
            <w:tcW w:w="1020" w:type="dxa"/>
            <w:vAlign w:val="bottom"/>
            <w:gridSpan w:val="5"/>
          </w:tcPr>
          <w:p>
            <w:pPr>
              <w:jc w:val="right"/>
              <w:ind w:right="4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4. Net Income Per Common Unit</w:t>
              </w:r>
            </w:hyperlink>
          </w:p>
        </w:tc>
        <w:tc>
          <w:tcPr>
            <w:tcW w:w="360" w:type="dxa"/>
            <w:vAlign w:val="bottom"/>
            <w:gridSpan w:val="4"/>
          </w:tcPr>
          <w:p>
            <w:pPr>
              <w:spacing w:after="0"/>
              <w:rPr>
                <w:sz w:val="21"/>
                <w:szCs w:val="21"/>
                <w:color w:val="auto"/>
              </w:rPr>
            </w:pPr>
          </w:p>
        </w:tc>
        <w:tc>
          <w:tcPr>
            <w:tcW w:w="7240" w:type="dxa"/>
            <w:vAlign w:val="bottom"/>
            <w:gridSpan w:val="18"/>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5.</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Inventory, Linefill and Base Gas and Long-term Inventory</w:t>
              </w:r>
            </w:hyperlink>
          </w:p>
        </w:tc>
        <w:tc>
          <w:tcPr>
            <w:tcW w:w="5600" w:type="dxa"/>
            <w:vAlign w:val="bottom"/>
            <w:gridSpan w:val="11"/>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5600" w:type="dxa"/>
            <w:vAlign w:val="bottom"/>
            <w:gridSpan w:val="11"/>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7.</w:t>
              </w:r>
            </w:hyperlink>
          </w:p>
        </w:tc>
        <w:tc>
          <w:tcPr>
            <w:tcW w:w="2860" w:type="dxa"/>
            <w:vAlign w:val="bottom"/>
            <w:gridSpan w:val="17"/>
          </w:tcPr>
          <w:p>
            <w:pPr>
              <w:ind w:left="20"/>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Investments in Unconsolidated Entities</w:t>
              </w:r>
            </w:hyperlink>
          </w:p>
        </w:tc>
        <w:tc>
          <w:tcPr>
            <w:tcW w:w="698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Debt</w:t>
              </w:r>
            </w:hyperlink>
          </w:p>
        </w:tc>
        <w:tc>
          <w:tcPr>
            <w:tcW w:w="2480" w:type="dxa"/>
            <w:vAlign w:val="bottom"/>
            <w:gridSpan w:val="16"/>
          </w:tcPr>
          <w:p>
            <w:pPr>
              <w:spacing w:after="0"/>
              <w:rPr>
                <w:sz w:val="21"/>
                <w:szCs w:val="21"/>
                <w:color w:val="auto"/>
              </w:rPr>
            </w:pPr>
          </w:p>
        </w:tc>
        <w:tc>
          <w:tcPr>
            <w:tcW w:w="698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Partners’ Capital and Distributions</w:t>
              </w:r>
            </w:hyperlink>
          </w:p>
        </w:tc>
        <w:tc>
          <w:tcPr>
            <w:tcW w:w="7340" w:type="dxa"/>
            <w:vAlign w:val="bottom"/>
            <w:gridSpan w:val="20"/>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10. Derivatives and Risk Management Activities</w:t>
              </w:r>
            </w:hyperlink>
          </w:p>
        </w:tc>
        <w:tc>
          <w:tcPr>
            <w:tcW w:w="6480" w:type="dxa"/>
            <w:vAlign w:val="bottom"/>
            <w:gridSpan w:val="1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11. Leases</w:t>
              </w:r>
            </w:hyperlink>
          </w:p>
        </w:tc>
        <w:tc>
          <w:tcPr>
            <w:tcW w:w="2740" w:type="dxa"/>
            <w:vAlign w:val="bottom"/>
            <w:gridSpan w:val="17"/>
          </w:tcPr>
          <w:p>
            <w:pPr>
              <w:spacing w:after="0"/>
              <w:rPr>
                <w:sz w:val="21"/>
                <w:szCs w:val="21"/>
                <w:color w:val="auto"/>
              </w:rPr>
            </w:pPr>
          </w:p>
        </w:tc>
        <w:tc>
          <w:tcPr>
            <w:tcW w:w="6480" w:type="dxa"/>
            <w:vAlign w:val="bottom"/>
            <w:gridSpan w:val="1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12. Related Party Transactions</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13. Commitments and Contingencies</w:t>
              </w:r>
            </w:hyperlink>
          </w:p>
        </w:tc>
        <w:tc>
          <w:tcPr>
            <w:tcW w:w="7340" w:type="dxa"/>
            <w:vAlign w:val="bottom"/>
            <w:gridSpan w:val="20"/>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14. Operating Segments</w:t>
              </w:r>
            </w:hyperlink>
          </w:p>
        </w:tc>
        <w:tc>
          <w:tcPr>
            <w:tcW w:w="7340" w:type="dxa"/>
            <w:vAlign w:val="bottom"/>
            <w:gridSpan w:val="20"/>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6"/>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15. Income Taxes</w:t>
              </w:r>
            </w:hyperlink>
          </w:p>
        </w:tc>
        <w:tc>
          <w:tcPr>
            <w:tcW w:w="460" w:type="dxa"/>
            <w:vAlign w:val="bottom"/>
            <w:gridSpan w:val="2"/>
          </w:tcPr>
          <w:p>
            <w:pPr>
              <w:spacing w:after="0"/>
              <w:rPr>
                <w:sz w:val="21"/>
                <w:szCs w:val="21"/>
                <w:color w:val="auto"/>
              </w:rPr>
            </w:pPr>
          </w:p>
        </w:tc>
        <w:tc>
          <w:tcPr>
            <w:tcW w:w="8260" w:type="dxa"/>
            <w:vAlign w:val="bottom"/>
            <w:gridSpan w:val="26"/>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
        </w:trPr>
        <w:tc>
          <w:tcPr>
            <w:tcW w:w="3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0340" w:type="dxa"/>
            <w:vAlign w:val="bottom"/>
            <w:gridSpan w:val="3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Item 3. QUANTITATIVE AND QUALITATIVE DISCLOSURES ABOUT MARKET RISK</w:t>
              </w:r>
            </w:hyperlink>
          </w:p>
        </w:tc>
        <w:tc>
          <w:tcPr>
            <w:tcW w:w="2760" w:type="dxa"/>
            <w:vAlign w:val="bottom"/>
            <w:gridSpan w:val="4"/>
          </w:tcPr>
          <w:p>
            <w:pPr>
              <w:spacing w:after="0"/>
              <w:rPr>
                <w:sz w:val="21"/>
                <w:szCs w:val="21"/>
                <w:color w:val="auto"/>
              </w:rPr>
            </w:pPr>
          </w:p>
        </w:tc>
        <w:tc>
          <w:tcPr>
            <w:tcW w:w="88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60" w:type="dxa"/>
            <w:vAlign w:val="bottom"/>
            <w:gridSpan w:val="19"/>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Item 4. CONTROLS AND PROCEDURES</w:t>
              </w:r>
            </w:hyperlink>
          </w:p>
        </w:tc>
        <w:tc>
          <w:tcPr>
            <w:tcW w:w="3540" w:type="dxa"/>
            <w:vAlign w:val="bottom"/>
            <w:gridSpan w:val="9"/>
          </w:tcPr>
          <w:p>
            <w:pPr>
              <w:spacing w:after="0"/>
              <w:rPr>
                <w:sz w:val="21"/>
                <w:szCs w:val="21"/>
                <w:color w:val="auto"/>
              </w:rPr>
            </w:pPr>
          </w:p>
        </w:tc>
        <w:tc>
          <w:tcPr>
            <w:tcW w:w="3640" w:type="dxa"/>
            <w:vAlign w:val="bottom"/>
            <w:gridSpan w:val="8"/>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180" w:type="dxa"/>
            <w:vAlign w:val="bottom"/>
            <w:gridSpan w:val="17"/>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 LEGAL PROCEEDINGS</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1A. RISK FACTORS</w:t>
              </w:r>
            </w:hyperlink>
          </w:p>
        </w:tc>
        <w:tc>
          <w:tcPr>
            <w:tcW w:w="7920" w:type="dxa"/>
            <w:vAlign w:val="bottom"/>
            <w:gridSpan w:val="25"/>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1020" w:type="dxa"/>
            <w:vAlign w:val="bottom"/>
            <w:gridSpan w:val="5"/>
          </w:tcPr>
          <w:p>
            <w:pPr>
              <w:jc w:val="right"/>
              <w:ind w:right="4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3. DEFAULTS UPON SENIOR SECURITIES</w:t>
              </w:r>
            </w:hyperlink>
          </w:p>
        </w:tc>
        <w:tc>
          <w:tcPr>
            <w:tcW w:w="2880" w:type="dxa"/>
            <w:vAlign w:val="bottom"/>
            <w:gridSpan w:val="6"/>
          </w:tcPr>
          <w:p>
            <w:pPr>
              <w:spacing w:after="0"/>
              <w:rPr>
                <w:sz w:val="21"/>
                <w:szCs w:val="21"/>
                <w:color w:val="auto"/>
              </w:rPr>
            </w:pPr>
          </w:p>
        </w:tc>
        <w:tc>
          <w:tcPr>
            <w:tcW w:w="3720" w:type="dxa"/>
            <w:vAlign w:val="bottom"/>
            <w:gridSpan w:val="9"/>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60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600" w:type="dxa"/>
            <w:vAlign w:val="bottom"/>
            <w:gridSpan w:val="15"/>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Item 5. OTHER INFORMATION</w:t>
              </w:r>
            </w:hyperlink>
          </w:p>
        </w:tc>
        <w:tc>
          <w:tcPr>
            <w:tcW w:w="560" w:type="dxa"/>
            <w:vAlign w:val="bottom"/>
            <w:gridSpan w:val="4"/>
          </w:tcPr>
          <w:p>
            <w:pPr>
              <w:spacing w:after="0"/>
              <w:rPr>
                <w:sz w:val="21"/>
                <w:szCs w:val="21"/>
                <w:color w:val="auto"/>
              </w:rPr>
            </w:pPr>
          </w:p>
        </w:tc>
        <w:tc>
          <w:tcPr>
            <w:tcW w:w="7340" w:type="dxa"/>
            <w:vAlign w:val="bottom"/>
            <w:gridSpan w:val="20"/>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0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7900" w:type="dxa"/>
            <w:vAlign w:val="bottom"/>
            <w:gridSpan w:val="2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980" w:type="dxa"/>
            <w:vAlign w:val="bottom"/>
            <w:gridSpan w:val="2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20" w:type="dxa"/>
            <w:vAlign w:val="bottom"/>
            <w:gridSpan w:val="5"/>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SIGNATURES</w:t>
              </w:r>
            </w:hyperlink>
          </w:p>
        </w:tc>
        <w:tc>
          <w:tcPr>
            <w:tcW w:w="240" w:type="dxa"/>
            <w:vAlign w:val="bottom"/>
            <w:gridSpan w:val="2"/>
          </w:tcPr>
          <w:p>
            <w:pPr>
              <w:spacing w:after="0"/>
              <w:rPr>
                <w:sz w:val="21"/>
                <w:szCs w:val="21"/>
                <w:color w:val="auto"/>
              </w:rPr>
            </w:pPr>
          </w:p>
        </w:tc>
        <w:tc>
          <w:tcPr>
            <w:tcW w:w="8980" w:type="dxa"/>
            <w:vAlign w:val="bottom"/>
            <w:gridSpan w:val="29"/>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4"/>
          </w:tcPr>
          <w:p>
            <w:pPr>
              <w:jc w:val="right"/>
              <w:ind w:right="4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75</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280" w:type="dxa"/>
            <w:vAlign w:val="bottom"/>
            <w:gridSpan w:val="21"/>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7"/>
        </w:trPr>
        <w:tc>
          <w:tcPr>
            <w:tcW w:w="8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0"/>
                <w:szCs w:val="20"/>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189"/>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2,454</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373</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3,533</w:t>
            </w:r>
          </w:p>
        </w:tc>
      </w:tr>
      <w:tr>
        <w:trPr>
          <w:trHeight w:val="183"/>
        </w:trPr>
        <w:tc>
          <w:tcPr>
            <w:tcW w:w="8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14,787</w:t>
            </w:r>
          </w:p>
        </w:tc>
      </w:tr>
      <w:tr>
        <w:trPr>
          <w:trHeight w:val="183"/>
        </w:trPr>
        <w:tc>
          <w:tcPr>
            <w:tcW w:w="8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2,521</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right-of-use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r>
      <w:tr>
        <w:trPr>
          <w:trHeight w:val="29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28,377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25,511</w:t>
            </w:r>
          </w:p>
        </w:tc>
      </w:tr>
      <w:tr>
        <w:trPr>
          <w:trHeight w:val="176"/>
        </w:trPr>
        <w:tc>
          <w:tcPr>
            <w:tcW w:w="8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9"/>
        </w:trPr>
        <w:tc>
          <w:tcPr>
            <w:tcW w:w="8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r>
      <w:tr>
        <w:trPr>
          <w:trHeight w:val="237"/>
        </w:trPr>
        <w:tc>
          <w:tcPr>
            <w:tcW w:w="83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3,456</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8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debt, net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910</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10,053</w:t>
            </w:r>
          </w:p>
        </w:tc>
      </w:tr>
      <w:tr>
        <w:trPr>
          <w:trHeight w:val="183"/>
        </w:trPr>
        <w:tc>
          <w:tcPr>
            <w:tcW w:w="8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189"/>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Series A preferred unitholders (71,090,468 and 71,090,468 units outstanding, respectively)</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1,505</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Common unitholders (728,028,576 and 726,361,924 units outstanding, respectively)</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9,710</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12,002</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28,377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25,511</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11"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1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7,541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23,477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24,374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22,838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24,307</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Interest expense (net of capitalized interest of $7, $8, $29 and $21,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4"/>
        </w:trPr>
        <w:tc>
          <w:tcPr>
            <w:tcW w:w="60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0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r>
      <w:tr>
        <w:trPr>
          <w:trHeight w:val="257"/>
        </w:trPr>
        <w:tc>
          <w:tcPr>
            <w:tcW w:w="6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Deferred income tax expense/(benefit)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1,294</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1,298</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commercial paper program (Note 8)</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senior secured hedged inventory facility (Note 8)</w:t>
            </w:r>
          </w:p>
        </w:tc>
        <w:tc>
          <w:tcPr>
            <w:tcW w:w="9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GO Zone term loans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the issuance of senior notes (Note 8)</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Series A preferred unitholders (Note 9)</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paid to Series B preferred unitholders (Note 9)</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 of noncontrolling interest in a subsidiary (Note 9)</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Effect of translation adjustment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21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21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jc w:val="right"/>
              <w:ind w:right="159"/>
              <w:spacing w:after="0" w:line="158" w:lineRule="exact"/>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4"/>
                <w:szCs w:val="4"/>
                <w:color w:val="auto"/>
              </w:rPr>
            </w:pPr>
          </w:p>
        </w:tc>
        <w:tc>
          <w:tcPr>
            <w:tcW w:w="10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Sale of noncontrolling interest in 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subsidiary (Note 9)</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787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10,686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jc w:val="right"/>
              <w:ind w:right="159"/>
              <w:spacing w:after="0" w:line="158" w:lineRule="exact"/>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4"/>
                <w:szCs w:val="4"/>
                <w:color w:val="auto"/>
              </w:rPr>
            </w:pPr>
          </w:p>
        </w:tc>
        <w:tc>
          <w:tcPr>
            <w:tcW w:w="10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12,978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4"/>
                <w:szCs w:val="4"/>
                <w:color w:val="auto"/>
              </w:rPr>
            </w:pPr>
          </w:p>
        </w:tc>
        <w:tc>
          <w:tcPr>
            <w:tcW w:w="10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Unitholders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Impact of adoption of ASU 2017-05</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4"/>
                <w:szCs w:val="4"/>
                <w:color w:val="auto"/>
              </w:rPr>
            </w:pPr>
          </w:p>
        </w:tc>
        <w:tc>
          <w:tcPr>
            <w:tcW w:w="10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Unitholders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September 30, 2019, AAP also owned a limited partner interest in us through its ownership of approximately 252.2 million of our common units (approximately 32% of our total outstanding common units and Series A preferred units combined). Plains All American GP LLC (“GP LLC”), a Delaware limited liability company, is AAP’s general partner. Plains GP Holdings, L.P. (“PAGP”) is the sole and managing member of GP LLC, and, at September 30, 2019, owned an approximate 73% limited partner interest in AAP. PAA GP Holdings LLC (“PAGP GP”) is the general partner of PAGP.</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accompanying unaudited condensed consolidated interim financial statements and related notes thereto should be read in conjunction with our 2018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Effective for the fourth quarter of 2018, we present “(Gains)/losses on asset sales and asset impairments, net” as a separate line item on our Condensed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Condensed Consolidated Statements of Operations. This change was applied retrospectively and does not affect Operating income, Net income or Net income attributable to PAA.</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condensed consolidated balance sheet data as of December 31, 2018 was derived from audited financial statements, but does not include all disclosures required by GAAP. The results of operations for the three and nine months ended September 30, 2019 should not be taken as indicative of results to be expected for the entire year.</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as of the end of the period (in millions):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9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609</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59</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668</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2018 Annual Report on Form 10-K, there have been no new accounting pronouncements that have become effective or have been issued during the nine months ended September 30, 2019 that are of significance or potential significance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historical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7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11 for information about our leases.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p>
      <w:pPr>
        <w:ind w:left="820" w:right="320" w:hanging="164"/>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2018-16, Derivatives and Hedging (Topic 815): Inclusion of the Secured Overnight Financing Rate (SOFR) Overnight Index Swap (OIS) Rate as a Benchmark Interest Rate for Hedge Accounting Purposes;</w:t>
      </w:r>
    </w:p>
    <w:p>
      <w:pPr>
        <w:spacing w:after="0" w:line="75"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ASU 2018-07, Compensation—Stock Compensation (Topic 718): Improvements to Nonemployee Share-Based Payment Accounting; and</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2017-12, Derivatives and Hedging (Topic 815): Targeted Improvements to Accounting for Hedging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July 2019, the FASB issued 2019-07, </w:t>
      </w:r>
      <w:r>
        <w:rPr>
          <w:rFonts w:ascii="Arial" w:cs="Arial" w:eastAsia="Arial" w:hAnsi="Arial"/>
          <w:sz w:val="18"/>
          <w:szCs w:val="18"/>
          <w:i w:val="1"/>
          <w:iCs w:val="1"/>
          <w:color w:val="auto"/>
        </w:rPr>
        <w:t>Codification Updates to SEC Sections: Amendments to SEC Paragraphs Pursuant to SEC Final Rule</w:t>
      </w:r>
      <w:r>
        <w:rPr>
          <w:rFonts w:ascii="Arial" w:cs="Arial" w:eastAsia="Arial" w:hAnsi="Arial"/>
          <w:sz w:val="18"/>
          <w:szCs w:val="18"/>
          <w:color w:val="auto"/>
        </w:rPr>
        <w:t xml:space="preserve"> </w:t>
      </w:r>
      <w:r>
        <w:rPr>
          <w:rFonts w:ascii="Arial" w:cs="Arial" w:eastAsia="Arial" w:hAnsi="Arial"/>
          <w:sz w:val="18"/>
          <w:szCs w:val="18"/>
          <w:i w:val="1"/>
          <w:iCs w:val="1"/>
          <w:color w:val="auto"/>
        </w:rPr>
        <w:t>Releases No. 33-10532, Disclosure Update and Simplification, and Nos. 33-10231 and 33-10442, Investment Company Reporting Modernization, and Miscellaneous Updates</w:t>
      </w:r>
      <w:r>
        <w:rPr>
          <w:rFonts w:ascii="Arial" w:cs="Arial" w:eastAsia="Arial" w:hAnsi="Arial"/>
          <w:sz w:val="18"/>
          <w:szCs w:val="18"/>
          <w:color w:val="auto"/>
        </w:rPr>
        <w:t>, which amended SEC paragraphs in the ASC to reflect the SEC final rule releases Disclosure Update and Simplification,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Reporting Modernization and other miscellaneous updates. This guidance is effective upon issuance and did not have a material impact on our financial position, results of operations or cash flows.</w:t>
      </w:r>
    </w:p>
    <w:p>
      <w:pPr>
        <w:spacing w:after="0" w:line="18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In May 2019, the FASB issued 2019-05, </w:t>
      </w:r>
      <w:r>
        <w:rPr>
          <w:rFonts w:ascii="Arial" w:cs="Arial" w:eastAsia="Arial" w:hAnsi="Arial"/>
          <w:sz w:val="17"/>
          <w:szCs w:val="17"/>
          <w:i w:val="1"/>
          <w:iCs w:val="1"/>
          <w:color w:val="auto"/>
        </w:rPr>
        <w:t>Financial Instruments—Credit Losses (Topic 326): Targeted Transition Relief</w:t>
      </w:r>
      <w:r>
        <w:rPr>
          <w:rFonts w:ascii="Arial" w:cs="Arial" w:eastAsia="Arial" w:hAnsi="Arial"/>
          <w:sz w:val="17"/>
          <w:szCs w:val="17"/>
          <w:color w:val="auto"/>
        </w:rPr>
        <w:t>, which provides transition relief and allows entities to elect the fair value option on certain financial instruments. We expect to adopt this guidance on January 1, 2020, and we are currently evaluating the effect that our adoption will have on our financial position, results of operations and cash flows.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April 2019, the FASB issued 2019-04, </w:t>
      </w:r>
      <w:r>
        <w:rPr>
          <w:rFonts w:ascii="Arial" w:cs="Arial" w:eastAsia="Arial" w:hAnsi="Arial"/>
          <w:sz w:val="18"/>
          <w:szCs w:val="18"/>
          <w:i w:val="1"/>
          <w:iCs w:val="1"/>
          <w:color w:val="auto"/>
        </w:rPr>
        <w:t>Codification Improvements to Topic 326, Financial Instruments—Credit Losses, Topic 815,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and Topic 825, Financial Instruments</w:t>
      </w:r>
      <w:r>
        <w:rPr>
          <w:rFonts w:ascii="Arial" w:cs="Arial" w:eastAsia="Arial" w:hAnsi="Arial"/>
          <w:sz w:val="18"/>
          <w:szCs w:val="18"/>
          <w:color w:val="auto"/>
        </w:rPr>
        <w:t>, which clarifies certain aspects of accounting for credit losses, hedging activities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adopt this guidance on January 1, 2020, and we are currently evaluating the effect that our adoption will have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present our Supply and Logistics segment, Transportation segment and Facilities segment revenues 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Supply and Logistics segment revenues from contracts with customers</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21,716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22,651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w w:val="90"/>
              </w:rPr>
              <w:t>Total Supply and Logistics segment revenues from contracts with customers</w:t>
            </w:r>
          </w:p>
        </w:tc>
        <w:tc>
          <w:tcPr>
            <w:tcW w:w="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23,096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12</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Trucking</w:t>
            </w: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707"/>
        </w:trPr>
        <w:tc>
          <w:tcPr>
            <w:tcW w:w="6060" w:type="dxa"/>
            <w:vAlign w:val="bottom"/>
          </w:tcPr>
          <w:p>
            <w:pPr>
              <w:spacing w:after="0"/>
              <w:rPr>
                <w:sz w:val="24"/>
                <w:szCs w:val="2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w w:val="99"/>
              </w:rPr>
              <w:t>174</w:t>
            </w:r>
          </w:p>
        </w:tc>
        <w:tc>
          <w:tcPr>
            <w:tcW w:w="120" w:type="dxa"/>
            <w:vAlign w:val="bottom"/>
          </w:tcPr>
          <w:p>
            <w:pPr>
              <w:spacing w:after="0"/>
              <w:rPr>
                <w:sz w:val="21"/>
                <w:szCs w:val="21"/>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511</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56</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845</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w w:val="89"/>
              </w:rPr>
              <w:t>13</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September 30, 2019 and December 31, 2018, counterparty deficiencies associated with contracts with customers and buy/sell arrangements that include minimum volume commitments totaled $50 million and $62 million, respectively, of which $30 million and $40 million, respectively, was recorded as a contract liability. The remaining balance of $20 million and $22 million at September 30, 2019 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nine months ended September 30, 2019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0"/>
        </w:trPr>
        <w:tc>
          <w:tcPr>
            <w:tcW w:w="934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43"/>
        </w:trPr>
        <w:tc>
          <w:tcPr>
            <w:tcW w:w="934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2019 (in millions):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Storage, terminalling and throughput agreement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80" w:hanging="164"/>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other Supply and Logistics contracts, due to the election of practical expedients related to variable consideration and short-term contracts;</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2019 and December 31, 2018, substantially all of our trade accounts receivable (net of allowance for doubtful accounts) were less than 30 days past their scheduled invoice date. Our allowance for doubtful accounts receivable totaled $3 million at both September 30, 2019 and December 31, 2018. Although we consider our allowance for doubtful accounts receivable to be adequate, actual amounts could vary significantly from estimated amounts.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57"/>
        </w:trPr>
        <w:tc>
          <w:tcPr>
            <w:tcW w:w="832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our Series A preferred units was excluded from the calculation of diluted net income per common unit for the nine months ended September 30, 2018 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and nine months ended September 30, 2019 and 2018 were reduced by a hypothetical common unit repurchase based on the remaining unamortized fair value, as prescribed by the treasury stock method in guidance issued by the FASB. See Note 17 to our Consolidated Financial Statements included in Part IV of our 2018 Annual Report on Form 10-K for a complete discussion of our equity-indexed compensation plan awards.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1,099</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946</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1,099</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A preferred units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Equity-indexed compensation plan awards</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8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11,481</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53.65</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13,513</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57.35</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53.34</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1,707</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2,532</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utilized a quantitative assessment in our goodwill impairment test as of June 30, 2019 and determined that there was no impairment of goodwill.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 Interest</w:t>
            </w:r>
          </w:p>
        </w:tc>
        <w:tc>
          <w:tcPr>
            <w:tcW w:w="420" w:type="dxa"/>
            <w:vAlign w:val="bottom"/>
          </w:tcPr>
          <w:p>
            <w:pPr>
              <w:spacing w:after="0"/>
              <w:rPr>
                <w:sz w:val="14"/>
                <w:szCs w:val="14"/>
                <w:color w:val="auto"/>
              </w:rPr>
            </w:pPr>
          </w:p>
        </w:tc>
        <w:tc>
          <w:tcPr>
            <w:tcW w:w="16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Investment Balance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at</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 2019</w:t>
            </w: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8"/>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Holdings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Capline Pipeline Company LLC</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Cheyenne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Terminals”)</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Crude Oil Terminal and Dock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Midway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 Oak Pipeline LLC (“Red Oak”)</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Barge Transportation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STACK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Wink to Webster Pipeline LLC (“W2W Pipeline”)</w:t>
            </w:r>
          </w:p>
        </w:tc>
        <w:tc>
          <w:tcPr>
            <w:tcW w:w="2620" w:type="dxa"/>
            <w:vAlign w:val="bottom"/>
            <w:tcBorders>
              <w:bottom w:val="single" w:sz="8" w:color="CCEEFF"/>
            </w:tcBorders>
            <w:gridSpan w:val="2"/>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Capline pipeline was taken out of service in the fourth quarter of 2018. During the third quarter of 2019, the owners of Capline Pipeline Company LLC sanctioned the reversal of the Capline pipeline system.</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and has not yet been placed in service.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Capline LLC. </w:t>
      </w:r>
      <w:r>
        <w:rPr>
          <w:rFonts w:ascii="Arial" w:cs="Arial" w:eastAsia="Arial" w:hAnsi="Arial"/>
          <w:sz w:val="18"/>
          <w:szCs w:val="18"/>
          <w:color w:val="auto"/>
        </w:rPr>
        <w:t>During the first quarter of 2019, the owners of the Capline pipeline system, which originates in St. James, Louisiana and terminates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Illinois, contributed their undivided joint interests in the system to a 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nine months ended September 30, 2019. Such gain is included in “Gain on investment in unconsolidated entities” on our Condensed Consolidated Statement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the expected tariff rates and volumes of crude oil, and the terminal value.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used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W2W Pipeline. </w:t>
      </w:r>
      <w:r>
        <w:rPr>
          <w:rFonts w:ascii="Arial" w:cs="Arial" w:eastAsia="Arial" w:hAnsi="Arial"/>
          <w:sz w:val="17"/>
          <w:szCs w:val="17"/>
          <w:color w:val="auto"/>
        </w:rPr>
        <w:t>In the first quarter of 2019, we announced the formation of W2W Pipeline, a joint venture with subsidiaries of ExxonMobil and</w:t>
      </w:r>
      <w:r>
        <w:rPr>
          <w:rFonts w:ascii="Arial" w:cs="Arial" w:eastAsia="Arial" w:hAnsi="Arial"/>
          <w:sz w:val="17"/>
          <w:szCs w:val="17"/>
          <w:i w:val="1"/>
          <w:iCs w:val="1"/>
          <w:color w:val="auto"/>
        </w:rPr>
        <w:t xml:space="preserve"> </w:t>
      </w:r>
      <w:r>
        <w:rPr>
          <w:rFonts w:ascii="Arial" w:cs="Arial" w:eastAsia="Arial" w:hAnsi="Arial"/>
          <w:sz w:val="17"/>
          <w:szCs w:val="17"/>
          <w:color w:val="auto"/>
        </w:rPr>
        <w:t>Lotus Midstream, LLC. During the third quarter of 2019, three additional entities joined as partners in W2W Pipeline. As a result, our ownership interest in W2W Pipeline decreased from 20% to 16%. We account for our interest in W2W Pipeline under the equity method of accounting. W2W Pipeline is currently developing a new pipeline system that will originate in the Permian Basin in West Texas and transport crude oil to the Texas Gulf Coast. The pipeline system will provide approximately 1.5 million barrels per day of crude oil and condensate capacity, and the project is targeted to commence operations in 2021. W2W Pipeline has entered into an undivided joint-ownership arrangement with a third party whereby the third party has acquired 29% of the capacity of the pipeline segment from Midland, Texas to Webster, Texas, and W2W Pipeline now owns 71% of this segment of the pipeline.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Red Oak. </w:t>
      </w:r>
      <w:r>
        <w:rPr>
          <w:rFonts w:ascii="Arial" w:cs="Arial" w:eastAsia="Arial" w:hAnsi="Arial"/>
          <w:sz w:val="17"/>
          <w:szCs w:val="17"/>
          <w:color w:val="auto"/>
        </w:rPr>
        <w:t>In June 2019, we announced the formation of Red Oak, a joint venture with a subsidiary of Phillips 66. We own a 50% interest in Red Oak,</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in 2021, subject to receipt of applicable permits and regulatory approvals. We account for our interest in Red Oak under the equity method of accounting.</w:t>
      </w:r>
    </w:p>
    <w:p>
      <w:pPr>
        <w:spacing w:after="0" w:line="171"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Once the Red Oak pipeline system is operational, we will record (i) a $155 million increase to our investment in Red Oak associated with our deemed contribution of the value attributable to the capacity lease and (ii) corresponding deferred revenue that will be recognized on a straight-line basis over the initial lease term of 33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2.60% senior notes due December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short-term debt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net of unamortized discounts and debt issuance costs of $63 and $59, respectively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w w:val="89"/>
              </w:rPr>
              <w:t>GO Zone term loans, net of debt issuance costs of $1 and $2, respectively, bearing a weighted-average interest rate of</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0"/>
              <w:spacing w:after="0"/>
              <w:rPr>
                <w:sz w:val="20"/>
                <w:szCs w:val="20"/>
                <w:color w:val="auto"/>
              </w:rPr>
            </w:pPr>
            <w:r>
              <w:rPr>
                <w:rFonts w:ascii="Arial" w:cs="Arial" w:eastAsia="Arial" w:hAnsi="Arial"/>
                <w:sz w:val="18"/>
                <w:szCs w:val="18"/>
                <w:color w:val="auto"/>
              </w:rPr>
              <w:t>2.9% and 3.1%, respectively</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5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30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we classified our $500 million, 2.60% senior notes due December 2019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Our fixed-rate senior notes had a face value of approximately $10.0 billion and $9.0 billion at September 30, 2019 and December 31, 2018, respectively. We estimated the aggregate fair value of these notes as of September 30, 2019 and December 31, 2018 to be approximately $10.3 billion 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August 2019, we extended the maturity dates of our senior unsecured revolving credit facility and senior secured hedged inventory facility by one year to August 2024 and August 2022, respectively, for each extending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nine months ended September 30, 2019 and 2018 were approximately $10.5 billion and $38.6 billion, respectively. Total repayments under our credit facilities and commercial paper program were approximately $10.5 billion and $39.2 billion for the nine months ended September 30,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2019 and December 31, 2018, we had outstanding letters of credit of $149 million and $184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September 2019, we completed the issuance of $1.0 billion, 3.55% senior notes due December 2029 at a public offering price of 99.801%. Interest payments are due on June 15 and December 15 of each year, commencing on June 15, 2020.</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October 2019, we sent notice to the holders of our $500 million, 2.60% senior notes due December 2019 that we will redeem the notes on November 15,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Series A Preferred Units</w:t>
            </w:r>
          </w:p>
        </w:tc>
        <w:tc>
          <w:tcPr>
            <w:tcW w:w="20" w:type="dxa"/>
            <w:vAlign w:val="bottom"/>
          </w:tcPr>
          <w:p>
            <w:pPr>
              <w:spacing w:after="0"/>
              <w:rPr>
                <w:sz w:val="22"/>
                <w:szCs w:val="22"/>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Series B Preferred Units</w:t>
            </w:r>
          </w:p>
        </w:tc>
        <w:tc>
          <w:tcPr>
            <w:tcW w:w="1580" w:type="dxa"/>
            <w:vAlign w:val="bottom"/>
          </w:tcPr>
          <w:p>
            <w:pPr>
              <w:jc w:val="right"/>
              <w:ind w:right="252"/>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726,361,924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423,889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71,090,468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726,785,813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638,806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71,090,468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727,424,619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603,957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2019</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71,090,468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728,028,576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7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3"/>
                <w:szCs w:val="13"/>
                <w:color w:val="auto"/>
              </w:rPr>
            </w:pPr>
          </w:p>
        </w:tc>
        <w:tc>
          <w:tcPr>
            <w:tcW w:w="16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Series B</w:t>
            </w:r>
          </w:p>
        </w:tc>
        <w:tc>
          <w:tcPr>
            <w:tcW w:w="15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69,696,542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1,393,926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Outstanding at March 31, 2018</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725,206,904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375,835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Outstanding at June 30, 2018</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725,582,739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505,650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Outstanding at September 30, 2018</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726,088,389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Series A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52"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October 31, 2019 for the period from July 1, 2019 through September 30, 2019. At September 30, 2019, such amount was accrued to distributions payable in “Other current liabilities” on our Condensed Consolidated Balance Sheet.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Series B Preferred Unit Distributions</w:t>
      </w:r>
      <w:r>
        <w:rPr>
          <w:rFonts w:ascii="Arial" w:cs="Arial" w:eastAsia="Arial" w:hAnsi="Arial"/>
          <w:sz w:val="18"/>
          <w:szCs w:val="18"/>
          <w:color w:val="auto"/>
        </w:rPr>
        <w:t>. Distributions on our Series B preferred units are payable semi-annually in arrears on the 15th day of May and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The following table details distributions paid or to be paid to our Series B preferred unitholders during the first nine months of 2019 (in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6"/>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30.625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30.625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November 1, 2019 for the period from May 15, 2019 through November 14, 2019.</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2019, we had accrued approximately $18 million of distributions payable to our Series B preferred unitholders in “Other current liabilities” on our Condensed Consolidated Balance Sheet.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2"/>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101</w:t>
            </w:r>
          </w:p>
        </w:tc>
        <w:tc>
          <w:tcPr>
            <w:tcW w:w="78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October 31, 2019 for the period from July 1, 2019 through September 30,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May 2019, we formed a joint venture, Red River Pipeline Company LLC (“Red River LLC”), with Delek Logistics Partners, LP (“Delek”) on our Red River pipeline system. We received approximately $128 million for Delek’s 33% interest in Red River LLC. We consolidate Red River LLC, with Delek’s 33% interest accounted for as a noncontrolling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September 30, 2019, we paid $4 million of distributions to noncontrolling interests in Red River LLC.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2019, net derivative positions related to these activities included:</w:t>
      </w:r>
    </w:p>
    <w:p>
      <w:pPr>
        <w:spacing w:after="0" w:line="147" w:lineRule="exact"/>
        <w:rPr>
          <w:sz w:val="20"/>
          <w:szCs w:val="20"/>
          <w:color w:val="auto"/>
        </w:rPr>
      </w:pPr>
    </w:p>
    <w:p>
      <w:pPr>
        <w:ind w:left="980" w:right="2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long position of 3.1 million barrels associated with our crude oil purchases, which was unwound ratably during October 2019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time spread position of 6.9 million barrels, which hedges a portion of our anticipated crude oil lease gathering purchases through December 2020.</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crude oil basis spread position of 23.1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position of 12.1 million barrels through December 2021 related to anticipated net sales of crude oil and NGL inventory.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September 30, 2019, we used derivatives to manage the risk that a portion of our storage capacity will not be utilized (an average of approximately 0.9 million barrels per month of storage capacity through January 2021). These positions involve no outright price exposure, but instead enable us to profitably use the capacity to store hedged crude oil.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Notional Volume</w:t>
            </w:r>
          </w:p>
        </w:tc>
        <w:tc>
          <w:tcPr>
            <w:tcW w:w="2260" w:type="dxa"/>
            <w:vAlign w:val="bottom"/>
          </w:tcPr>
          <w:p>
            <w:pPr>
              <w:spacing w:after="0"/>
              <w:rPr>
                <w:sz w:val="18"/>
                <w:szCs w:val="18"/>
                <w:color w:val="auto"/>
              </w:rPr>
            </w:pPr>
          </w:p>
        </w:tc>
      </w:tr>
      <w:tr>
        <w:trPr>
          <w:trHeight w:val="270"/>
        </w:trPr>
        <w:tc>
          <w:tcPr>
            <w:tcW w:w="6720" w:type="dxa"/>
            <w:vAlign w:val="bottom"/>
          </w:tcPr>
          <w:p>
            <w:pPr>
              <w:spacing w:after="0"/>
              <w:rPr>
                <w:sz w:val="23"/>
                <w:szCs w:val="2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(Short)/Long</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Tenor</w:t>
            </w:r>
          </w:p>
        </w:tc>
      </w:tr>
      <w:tr>
        <w:trPr>
          <w:trHeight w:val="33"/>
        </w:trPr>
        <w:tc>
          <w:tcPr>
            <w:tcW w:w="67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59.5 Bcf</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(5.7)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(2.7)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(0.7)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Specification products sales (put option)</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0.1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2020</w:t>
            </w:r>
          </w:p>
        </w:tc>
      </w:tr>
      <w:tr>
        <w:trPr>
          <w:trHeight w:val="341"/>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5"/>
                <w:szCs w:val="25"/>
                <w:color w:val="auto"/>
                <w:vertAlign w:val="superscript"/>
              </w:rPr>
              <w:t>(1)</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 TWh</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September 30, 2019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Locked</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2019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 Annual Report on Form 10-K for additional information regarding our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Commodity</w:t>
            </w: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3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Commodity</w:t>
            </w: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4"/>
          </w:tcPr>
          <w:p>
            <w:pPr>
              <w:ind w:left="4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Commodity</w:t>
            </w: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4"/>
          </w:tcPr>
          <w:p>
            <w:pPr>
              <w:ind w:left="4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0"/>
        </w:trPr>
        <w:tc>
          <w:tcPr>
            <w:tcW w:w="4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Nine Months Ended September 30, 2018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Commodity</w:t>
            </w: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4"/>
          </w:tcPr>
          <w:p>
            <w:pPr>
              <w:ind w:left="4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4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1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0"/>
                <w:szCs w:val="20"/>
                <w:color w:val="auto"/>
              </w:rPr>
            </w:pPr>
            <w:r>
              <w:rPr>
                <w:rFonts w:ascii="Arial" w:cs="Arial" w:eastAsia="Arial" w:hAnsi="Arial"/>
                <w:sz w:val="13"/>
                <w:szCs w:val="13"/>
                <w:color w:val="auto"/>
              </w:rPr>
              <w:t>(1)</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Derivatives not designated as a hedge.</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Arial" w:cs="Arial" w:eastAsia="Arial" w:hAnsi="Arial"/>
                <w:sz w:val="13"/>
                <w:szCs w:val="13"/>
                <w:color w:val="auto"/>
              </w:rPr>
              <w:t>(2)</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Derivatives in hedging relationships.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gridSpan w:val="9"/>
          </w:tcPr>
          <w:p>
            <w:pPr>
              <w:jc w:val="right"/>
              <w:ind w:right="3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Preferred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Distribution Rate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2"/>
              </w:rPr>
              <w:t>Reset Option</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6"/>
              </w:rPr>
              <w:t>Total Derivatives</w:t>
            </w: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6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2"/>
              </w:rPr>
              <w:t>Reset Option</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6"/>
              </w:rPr>
              <w:t>Total Derivatives</w:t>
            </w: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760" w:type="dxa"/>
            <w:vAlign w:val="bottom"/>
            <w:gridSpan w:val="2"/>
          </w:tcPr>
          <w:p>
            <w:pPr>
              <w:ind w:left="34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r>
      <w:tr>
        <w:trPr>
          <w:trHeight w:val="297"/>
        </w:trPr>
        <w:tc>
          <w:tcPr>
            <w:tcW w:w="8300" w:type="dxa"/>
            <w:vAlign w:val="bottom"/>
          </w:tcPr>
          <w:p>
            <w:pPr>
              <w:ind w:left="20"/>
              <w:spacing w:after="0"/>
              <w:rPr>
                <w:sz w:val="20"/>
                <w:szCs w:val="20"/>
                <w:color w:val="auto"/>
              </w:rPr>
            </w:pPr>
            <w:r>
              <w:rPr>
                <w:rFonts w:ascii="Arial" w:cs="Arial" w:eastAsia="Arial" w:hAnsi="Arial"/>
                <w:sz w:val="18"/>
                <w:szCs w:val="18"/>
                <w:color w:val="auto"/>
              </w:rPr>
              <w:t>Variation margin returned</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received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September 30, 2019, there was a net loss of $281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September 30, 2019, we expect to reclassify a net loss of $10 million to earnings in the next twelve months. We estimate that substantially all of the remaining deferred loss will be reclassified to earnings through 2050 as the underlying hedged transactions impact earnings. A portion of these amounts is based on market prices as of September 30, 2019;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4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2019 and December 31, 2018,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2019</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Fair Value as of December 31, 2018</w:t>
            </w:r>
          </w:p>
        </w:tc>
        <w:tc>
          <w:tcPr>
            <w:tcW w:w="6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ind w:left="660" w:right="12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8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1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140"/>
        <w:spacing w:after="0" w:line="257" w:lineRule="auto"/>
        <w:rPr>
          <w:rFonts w:ascii="Arial" w:cs="Arial" w:eastAsia="Arial" w:hAnsi="Arial"/>
          <w:sz w:val="25"/>
          <w:szCs w:val="25"/>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188" w:lineRule="exact"/>
        <w:rPr>
          <w:rFonts w:ascii="Arial" w:cs="Arial" w:eastAsia="Arial" w:hAnsi="Arial"/>
          <w:sz w:val="25"/>
          <w:szCs w:val="25"/>
          <w:color w:val="auto"/>
          <w:vertAlign w:val="superscript"/>
        </w:rPr>
      </w:pPr>
    </w:p>
    <w:p>
      <w:pPr>
        <w:ind w:left="660" w:right="14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gains/(losses) included in earnings relating to Level 3</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components of lease cost, including both amounts recognized in income and amounts capitalized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September 30, 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immaterial finance lease costs, variable lease costs and sublease income.</w:t>
      </w:r>
    </w:p>
    <w:p>
      <w:pPr>
        <w:spacing w:after="0" w:line="30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information related to cash flows arising from lease transactions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9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7"/>
              </w:rPr>
              <w:t>September 30, 2019</w:t>
            </w: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101</w:t>
            </w:r>
          </w:p>
        </w:tc>
      </w:tr>
      <w:tr>
        <w:trPr>
          <w:trHeight w:val="27"/>
        </w:trPr>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r>
      <w:tr>
        <w:trPr>
          <w:trHeight w:val="324"/>
        </w:trPr>
        <w:tc>
          <w:tcPr>
            <w:tcW w:w="9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change in lease liabilities arising from obtaining new right of use assets or modifications: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16</w:t>
            </w:r>
          </w:p>
        </w:tc>
      </w:tr>
      <w:tr>
        <w:trPr>
          <w:trHeight w:val="27"/>
        </w:trPr>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9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r>
      <w:tr>
        <w:trPr>
          <w:trHeight w:val="27"/>
        </w:trPr>
        <w:tc>
          <w:tcPr>
            <w:tcW w:w="9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85"/>
              </w:rPr>
              <w:t>10.2</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87"/>
              </w:rPr>
              <w:t>3.6</w:t>
            </w:r>
          </w:p>
        </w:tc>
      </w:tr>
      <w:tr>
        <w:trPr>
          <w:trHeight w:val="324"/>
        </w:trPr>
        <w:tc>
          <w:tcPr>
            <w:tcW w:w="4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92"/>
              </w:rPr>
              <w:t>4.5%</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92"/>
              </w:rPr>
              <w:t>2.4%</w:t>
            </w:r>
          </w:p>
        </w:tc>
      </w:tr>
      <w:tr>
        <w:trPr>
          <w:trHeight w:val="905"/>
        </w:trPr>
        <w:tc>
          <w:tcPr>
            <w:tcW w:w="4640" w:type="dxa"/>
            <w:vAlign w:val="bottom"/>
          </w:tcPr>
          <w:p>
            <w:pPr>
              <w:spacing w:after="0"/>
              <w:rPr>
                <w:sz w:val="24"/>
                <w:szCs w:val="24"/>
                <w:color w:val="auto"/>
              </w:rPr>
            </w:pPr>
          </w:p>
        </w:tc>
        <w:tc>
          <w:tcPr>
            <w:tcW w:w="4940" w:type="dxa"/>
            <w:vAlign w:val="bottom"/>
          </w:tcPr>
          <w:p>
            <w:pPr>
              <w:jc w:val="right"/>
              <w:ind w:right="3690"/>
              <w:spacing w:after="0"/>
              <w:rPr>
                <w:sz w:val="20"/>
                <w:szCs w:val="20"/>
                <w:color w:val="auto"/>
              </w:rPr>
            </w:pPr>
            <w:r>
              <w:rPr>
                <w:rFonts w:ascii="Arial" w:cs="Arial" w:eastAsia="Arial" w:hAnsi="Arial"/>
                <w:sz w:val="18"/>
                <w:szCs w:val="18"/>
                <w:color w:val="auto"/>
              </w:rPr>
              <w:t>32</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Condensed Consolidated Balance Sheet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7"/>
              </w:rPr>
              <w:t>September 30, 2019</w:t>
            </w: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97"/>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538</w:t>
            </w:r>
          </w:p>
        </w:tc>
      </w:tr>
      <w:tr>
        <w:trPr>
          <w:trHeight w:val="311"/>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Long-term operating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37"/>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long-term debt,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324"/>
        </w:trPr>
        <w:tc>
          <w:tcPr>
            <w:tcW w:w="4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57"/>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reconciled to our lease liabilities on our Condensed Consolidated Balance Sheet (amounts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discount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Excludes future minimum payments for short-term and other immaterial leases not included on our Condensed Consolidated Balance Sheet.</w:t>
      </w:r>
    </w:p>
    <w:p>
      <w:pPr>
        <w:spacing w:after="0" w:line="200" w:lineRule="exact"/>
        <w:rPr>
          <w:rFonts w:ascii="Arial" w:cs="Arial" w:eastAsia="Arial" w:hAnsi="Arial"/>
          <w:sz w:val="24"/>
          <w:szCs w:val="24"/>
          <w:color w:val="auto"/>
          <w:vertAlign w:val="superscript"/>
        </w:rPr>
      </w:pPr>
    </w:p>
    <w:p>
      <w:pPr>
        <w:spacing w:after="0" w:line="24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three and nine months ended September 30, 2019, our lease revenue was not material.</w:t>
      </w:r>
    </w:p>
    <w:p>
      <w:pPr>
        <w:spacing w:after="0" w:line="193"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September 30, 2019. This presentation includes minimum fixed lease payments and does not include an estimate of variable lease consideration. These agreements have remaining lease terms ranging from two years to 23 years. The following table presents the undiscounted cash flows expected to be received related to these agreements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Remainder</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of 2019</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16 to our Consolidated Financial Statements included in Part IV of our 2018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September 30, 2019 and December 31, 2018, we owned 546,897,362 and 516,938,280,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7 for additional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Kayne Anderson Capital Advisors, L.P. was a principal owner. Through various transactions by an affiliate of The Energy</w:t>
      </w:r>
    </w:p>
    <w:p>
      <w:pPr>
        <w:spacing w:after="0" w:line="46" w:lineRule="exact"/>
        <w:rPr>
          <w:sz w:val="20"/>
          <w:szCs w:val="20"/>
          <w:color w:val="auto"/>
        </w:rPr>
      </w:pPr>
    </w:p>
    <w:p>
      <w:pPr>
        <w:ind w:right="80" w:firstLine="8"/>
        <w:spacing w:after="0" w:line="290" w:lineRule="auto"/>
        <w:tabs>
          <w:tab w:leader="none" w:pos="1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Minerals Group (“EMG”) in May 2019, EMG’s limited partner interest in AAP was significantly reduced, which caused EMG to lose its right to designate a representative on the board of directors of PAGP GP. As a result, EMG’s board designee, John T. Raymond, was automatically removed from the PAGP GP board. Subsequent to such removal, Mr. Raymond was elected to continue to serve as a director of the PAGP GP board. Additionally, as a result of various transactions by a subsidiary of Occidental Petroleum Corporation (“Oxy”) in September 2019, Oxy no longer holds a limited partner interest in AAP and lost its right to designate a representative on the board of directors of PAGP GP. As a result, Oxy’s board designee, Oscar Brown, was automatically removed from the PAGP GP board. Following these transactions, we no longer recognize EMG or Oxy as a principal owner.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and nine months ended September 30, 2019 and 2018,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832</w:t>
            </w:r>
          </w:p>
        </w:tc>
      </w:tr>
      <w:tr>
        <w:trPr>
          <w:trHeight w:val="297"/>
        </w:trPr>
        <w:tc>
          <w:tcPr>
            <w:tcW w:w="5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55" w:lineRule="exact"/>
        <w:rPr>
          <w:rFonts w:ascii="Arial" w:cs="Arial" w:eastAsia="Arial" w:hAnsi="Arial"/>
          <w:sz w:val="22"/>
          <w:szCs w:val="22"/>
          <w:color w:val="auto"/>
          <w:vertAlign w:val="superscript"/>
        </w:rPr>
      </w:pPr>
    </w:p>
    <w:p>
      <w:pPr>
        <w:ind w:left="660" w:right="240" w:hanging="652"/>
        <w:spacing w:after="0" w:line="208"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r>
      <w:tr>
        <w:trPr>
          <w:trHeight w:val="297"/>
        </w:trPr>
        <w:tc>
          <w:tcPr>
            <w:tcW w:w="8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55" w:lineRule="exact"/>
        <w:rPr>
          <w:rFonts w:ascii="Arial" w:cs="Arial" w:eastAsia="Arial" w:hAnsi="Arial"/>
          <w:sz w:val="25"/>
          <w:szCs w:val="25"/>
          <w:color w:val="auto"/>
          <w:vertAlign w:val="superscript"/>
        </w:rPr>
      </w:pPr>
    </w:p>
    <w:p>
      <w:pPr>
        <w:ind w:left="660" w:right="340" w:hanging="652"/>
        <w:spacing w:after="0" w:line="20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41" w:lineRule="exact"/>
        <w:rPr>
          <w:rFonts w:ascii="Arial" w:cs="Arial" w:eastAsia="Arial" w:hAnsi="Arial"/>
          <w:sz w:val="25"/>
          <w:szCs w:val="25"/>
          <w:color w:val="auto"/>
          <w:vertAlign w:val="superscript"/>
        </w:rPr>
      </w:pPr>
    </w:p>
    <w:p>
      <w:pPr>
        <w:ind w:left="660" w:right="140" w:hanging="652"/>
        <w:spacing w:after="0" w:line="252"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A portion of our commitment to transport is supported by crude oil buy/sell agreements with third parties with commensurate quantities.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September 30, 2019, our estimated undiscounted reserve for environmental liabilities (including liabilities related to the Line 901 incident, as discussed further below) totaled $135 million, of which $62 million was classified as short-term and $73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Condensed Consolidated Balance Sheets. At September 30, 2019, we had recorded receivables totaling $62 million for amounts probable of recovery under insurance and from third parties under indemnification agreements, of which $31 million was classified as short-term and $31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Condensed Consolidated Balance Sheets.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civil charges brought against us, in the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80" w:firstLine="8"/>
        <w:spacing w:after="0" w:line="290"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There were also two securities law class action lawsuits filed on behalf of certain purported investors in the Partnership and/or PAGP against the Partnership,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the Partnership’s pipelines and related facilities through false and misleading statements, omission of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facts and concealing of the true extent of the spill. The plaintiffs claimed unspecified damages as a result of the reduction in value of their investments in the Partnership and PAGP, which they attributed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The time period for a further appeal to the U.S. Supreme Court has lapsed so this ruling is now final.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four unitholder derivative lawsuits have been filed by certain purported investors in the Partnership against the Partnership,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Plaintiffs amended and refiled their complaint on June 3, 2019.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9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the Partnership and the Trustees jointly and independently planned and conducted a number of natural resource assessment activities related to the Line 901 incident. We are currently involved in discussions with the Trustees to determine the amount we will be required to pay as compensation for injuries to, destruction of, loss of, or loss of use of natural resources resulting from the Line 901 incident. We also have exposure to the payment of additional fines, penalties and costs under other applicable federal, state and local laws, statutes and regulations. We are actively involved in discussions with the relevant federal and state agencies to determine the amount of such fines, penalties and costs, and we have included an estimate of such costs in the loss accrual described below. To the extent any unpaid natural resource damages or other fines, penalties or costs are reasonably estimable, we have included an estimate of such costs in the loss accrual described below.</w:t>
      </w:r>
    </w:p>
    <w:p>
      <w:pPr>
        <w:spacing w:after="0" w:line="18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Taking the foregoing into account, as of September 30, 2019, we estimate that the aggregate total costs we have incurred or will incur with respect to the Line 901 incident will be approximately $380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2019, we had a remaining undiscounted gross liability of $79 million related to this event, of which approximately $52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2019, we had collected, subject to customary reservations, $200 million out of the approximate $255 million of release costs that we believe are probable of recovery from insurance carriers, net of deductibles. Therefore, as of September 30, 2019, we have recognized a receivable of approximately $55 million for the portion of the release costs that we believe is probable of recovery from insurance, net of deductibles and amounts already collected. Of this amount, approximately $26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San Joaquin Valley Air Pollution Control District. </w:t>
      </w:r>
      <w:r>
        <w:rPr>
          <w:rFonts w:ascii="Arial" w:cs="Arial" w:eastAsia="Arial" w:hAnsi="Arial"/>
          <w:sz w:val="18"/>
          <w:szCs w:val="18"/>
          <w:color w:val="auto"/>
        </w:rPr>
        <w:t>After conducting inspections of the Plains LPG Services, L.P. (“Plains LPG”) facility in Shafter,</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during March and June of 2018, the San Joaquin Valley Air Pollution Control District (the “District”) issued four Notices of Violation which totaled $597,000 in the aggregate. Plains LPG entered into a settlement with the District whereby Plains LPG agreed to enter the District’s INSPECT program (a self-reporting and inspection program) and pay a reduced fine of $275,000, which was paid in July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6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7,541</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6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597</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gridSpan w:val="2"/>
          </w:tcPr>
          <w:p>
            <w:pPr>
              <w:spacing w:after="0"/>
              <w:rPr>
                <w:sz w:val="24"/>
                <w:szCs w:val="24"/>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6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6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60" w:type="dxa"/>
            <w:vAlign w:val="bottom"/>
            <w:gridSpan w:val="3"/>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8,482</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8,792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60" w:type="dxa"/>
            <w:vAlign w:val="bottom"/>
            <w:gridSpan w:val="3"/>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6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revenues of reportable segments</w:t>
            </w:r>
          </w:p>
        </w:tc>
        <w:tc>
          <w:tcPr>
            <w:tcW w:w="4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4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gridSpan w:val="2"/>
            <w:vMerge w:val="restart"/>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6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Adjustment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6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23,477</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6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26,072</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gridSpan w:val="2"/>
            <w:vMerge w:val="restart"/>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6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Adjustment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6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24,374</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6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53"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ectPr>
          <w:pgSz w:w="11900" w:h="16838" w:orient="portrait"/>
          <w:cols w:equalWidth="0" w:num="1">
            <w:col w:w="11400"/>
          </w:cols>
          <w:pgMar w:left="240" w:top="125" w:right="25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160" w:hanging="652"/>
        <w:spacing w:after="0" w:line="262"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of, and gains and losses on significant asset sales by, unconsolidated entities.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hanging="652"/>
        <w:spacing w:after="0" w:line="258"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201"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95" w:lineRule="exact"/>
        <w:rPr>
          <w:rFonts w:ascii="Arial" w:cs="Arial" w:eastAsia="Arial" w:hAnsi="Arial"/>
          <w:sz w:val="25"/>
          <w:szCs w:val="25"/>
          <w:color w:val="auto"/>
          <w:vertAlign w:val="superscript"/>
        </w:rPr>
      </w:pPr>
    </w:p>
    <w:p>
      <w:pPr>
        <w:ind w:left="660" w:right="24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of our Canadian operations are conducted by entities that are treated as corporations for Canadian tax purposes (flow through for U.S. income tax purposes) and that are subject to Canadian federal and provincial taxes. 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first nine months of 2019, we recognized net income of $1.872 billion as compared to net income of $1.099 billion recognized during the first nine months of 2018. The increase in net income over the comparative periods was driven by:</w:t>
      </w:r>
    </w:p>
    <w:p>
      <w:pPr>
        <w:spacing w:after="0" w:line="170" w:lineRule="exact"/>
        <w:rPr>
          <w:sz w:val="20"/>
          <w:szCs w:val="20"/>
          <w:color w:val="auto"/>
        </w:rPr>
      </w:pPr>
    </w:p>
    <w:p>
      <w:pPr>
        <w:ind w:left="1300" w:hanging="320"/>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results from our Supply and Logistics segment due to the realization of favorable crude oil differentials, primarily in the Permian Basin and Canada, higher NGL margins and more favorable impacts in the 2019 period from the mark-to-market of certain derivative instruments;</w:t>
      </w:r>
    </w:p>
    <w:p>
      <w:pPr>
        <w:spacing w:after="0" w:line="181"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 and</w:t>
      </w:r>
    </w:p>
    <w:p>
      <w:pPr>
        <w:spacing w:after="0" w:line="170" w:lineRule="exact"/>
        <w:rPr>
          <w:rFonts w:ascii="Arial" w:cs="Arial" w:eastAsia="Arial" w:hAnsi="Arial"/>
          <w:sz w:val="18"/>
          <w:szCs w:val="18"/>
          <w:color w:val="auto"/>
        </w:rPr>
      </w:pPr>
    </w:p>
    <w:p>
      <w:pPr>
        <w:ind w:left="1300" w:right="40" w:hanging="320"/>
        <w:spacing w:after="0" w:line="25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non-cash gain of $269 million recognized in the current period related to a fair value adjustment resulting from the accounting for the contribution of our undivided joint interest in the Capline pipeline system for an equity interest in Capline Pipeline Company LLC compared to a gain of $210 million recognized in 2018 related to the sale of a portion of our interest in BridgeTex Pipeline Company LLC; partially offset by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2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due to additional depreciation expense associated with the completion of various capital expansion projects; and</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unfavorable impact to the 2019 comparative period of a net gain on asset sales and asset impairments of $79 million for nine months ended September 30, 2018.</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invested $988 million in midstream infrastructure projects during the nine months ended September 30, 2019, and we expect expansion capital for the full year of 2019 to be approximately $1.35 billion, primarily related to projects under development in the Permian Basin. See the “—Acquisitions and Capital Projects” section below for additional information.</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2019, we also announced the formation of several strategic joint ventures, including Wink to Webster Pipeline LLC, Red Oak Pipeline LLC and Red River Pipeline Company LLC. See Note 7 and Note 9 to our Condensed Consolidated Financial Statements for additional information.</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paid approximately $741 million of cash distributions to our common unitholders during the nine months ended September 30, 2019. We also paid cash distributions of approximately $112 million to our Series A preferred unitholders, and we paid a semi-annual cash distribution of $24.5 million to our Series B preferred unitholders. In October 2019, we declared (i) quarterly cash distributions of $0.36 per common unit (a total distribution of $262 million) and $0.525 per Series A preferred unit (a total distribution of $37 million) to be paid on November 14, 2019 and (ii) the semiannual cash distribution of $30.625 per Series B preferred unit (a total distribution of $24.5 million) to be paid on November 15, 2019.</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Leverage Reduction Plan Completion and Financial Policy Update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During 2017 and 2018, we made meaningful progress in executing our Leverage Reduction Plan and in April 2019, we announced our achievement of the remaining objectives. Concurrent with the completion of the Leverage Reduction Plan, we completed a review of our approach to our capital allocation process, targeted leverage metrics and distribution management policies. As part of the April 2019 announcement, we provided several updates regarding our financial policy, including the following actions:</w:t>
      </w:r>
    </w:p>
    <w:p>
      <w:pPr>
        <w:spacing w:after="0" w:line="16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Lowering our targeted long-term debt to Adjusted EBITDA leverage ratio by 0.5x to a range of 3.0x to 3.5x;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Establishing a long-term sustainable minimum annual distribution coverage level of 130% underpinned by predominantly fee-based cash flows; and</w:t>
      </w:r>
    </w:p>
    <w:p>
      <w:pPr>
        <w:spacing w:after="0" w:line="248" w:lineRule="exact"/>
        <w:rPr>
          <w:rFonts w:ascii="Arial" w:cs="Arial" w:eastAsia="Arial" w:hAnsi="Arial"/>
          <w:sz w:val="16"/>
          <w:szCs w:val="16"/>
          <w:color w:val="auto"/>
        </w:rPr>
      </w:pPr>
    </w:p>
    <w:p>
      <w:pPr>
        <w:ind w:left="660" w:right="44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47"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These actions reflect our dedication to optimizing sustainable unitholder value while also preserving and enhancing our financial flexibility, further reducing leverage and improving our credit profile, with an objective of achieving mid-BBB equivalent credit ratings over time. Consistent with those objectives, we announced that we intend to continue to focus on activities to enhance investment returns and reinforce capital discipline through asset optimization, joint ventures, potential divestitures and similar arrangements.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capital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1,370</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1,556</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40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60" w:hanging="652"/>
        <w:spacing w:after="0" w:line="22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2019 and the estimated cost for the year ending December 31, 2019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auto"/>
              </w:rPr>
              <w:t>Complementary Permian Basin Projects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485</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Long-Haul Pipeline Projects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auto"/>
              </w:rPr>
              <w:t>Selected Facilities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r>
      <w:tr>
        <w:trPr>
          <w:trHeight w:val="264"/>
        </w:trPr>
        <w:tc>
          <w:tcPr>
            <w:tcW w:w="9920" w:type="dxa"/>
            <w:vAlign w:val="bottom"/>
            <w:gridSpan w:val="2"/>
          </w:tcPr>
          <w:p>
            <w:pPr>
              <w:ind w:left="16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70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Facilities Segment Adjusted EBITDA </w:t>
            </w:r>
            <w:r>
              <w:rPr>
                <w:rFonts w:ascii="Arial" w:cs="Arial" w:eastAsia="Arial" w:hAnsi="Arial"/>
                <w:sz w:val="25"/>
                <w:szCs w:val="25"/>
                <w:color w:val="auto"/>
                <w:w w:val="93"/>
                <w:vertAlign w:val="superscript"/>
              </w:rPr>
              <w:t>(1)</w:t>
            </w: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Supply and Logistics Segment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w w:val="98"/>
              </w:rPr>
              <w:t>comparability - Segment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Gains/(losses) on asset sales and asset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impairments, net</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Gain on investment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Income tax (expense)/benefit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Basic weighted average common units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Diluted weighted average common units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40" w:hanging="652"/>
        <w:spacing w:after="0" w:line="257"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1"/>
              </w:rPr>
              <w:t>(Gains)/losses on asset sales and asset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impairments, net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Gain on investment in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(8)</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Interest expense, net of certain non-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cash items </w:t>
            </w:r>
            <w:r>
              <w:rPr>
                <w:rFonts w:ascii="Arial" w:cs="Arial" w:eastAsia="Arial" w:hAnsi="Arial"/>
                <w:sz w:val="25"/>
                <w:szCs w:val="25"/>
                <w:color w:val="auto"/>
                <w:vertAlign w:val="superscript"/>
              </w:rPr>
              <w:t>(9)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31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rPr>
              <w:t>Adjusted equity earnings in</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unconsolidated entities, net of</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5"/>
                <w:szCs w:val="25"/>
                <w:color w:val="auto"/>
                <w:vertAlign w:val="superscript"/>
              </w:rPr>
              <w:t>(11)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Distributions to noncontrolling interests</w:t>
            </w:r>
          </w:p>
        </w:tc>
        <w:tc>
          <w:tcPr>
            <w:tcW w:w="22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0"/>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(12)</w:t>
            </w: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5"/>
                <w:szCs w:val="25"/>
                <w:color w:val="auto"/>
                <w:vertAlign w:val="superscript"/>
              </w:rPr>
              <w:t>(13)</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3100" w:type="dxa"/>
            <w:vAlign w:val="bottom"/>
          </w:tcPr>
          <w:p>
            <w:pPr>
              <w:ind w:left="40"/>
              <w:spacing w:after="0"/>
              <w:rPr>
                <w:sz w:val="20"/>
                <w:szCs w:val="20"/>
                <w:color w:val="auto"/>
              </w:rPr>
            </w:pPr>
            <w:r>
              <w:rPr>
                <w:rFonts w:ascii="Arial" w:cs="Arial" w:eastAsia="Arial" w:hAnsi="Arial"/>
                <w:sz w:val="18"/>
                <w:szCs w:val="18"/>
                <w:color w:val="auto"/>
              </w:rPr>
              <w:t>Implied DCF Available to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396</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1,107</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14"/>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77"/>
        </w:trPr>
        <w:tc>
          <w:tcPr>
            <w:tcW w:w="3100" w:type="dxa"/>
            <w:vAlign w:val="bottom"/>
          </w:tcPr>
          <w:p>
            <w:pPr>
              <w:ind w:left="200"/>
              <w:spacing w:after="0"/>
              <w:rPr>
                <w:sz w:val="20"/>
                <w:szCs w:val="20"/>
                <w:color w:val="auto"/>
              </w:rPr>
            </w:pPr>
            <w:r>
              <w:rPr>
                <w:rFonts w:ascii="Arial" w:cs="Arial" w:eastAsia="Arial" w:hAnsi="Arial"/>
                <w:sz w:val="18"/>
                <w:szCs w:val="18"/>
                <w:color w:val="auto"/>
              </w:rPr>
              <w:t>Unitholders</w:t>
            </w:r>
          </w:p>
        </w:tc>
        <w:tc>
          <w:tcPr>
            <w:tcW w:w="2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00" w:type="dxa"/>
            <w:vAlign w:val="bottom"/>
            <w:tcBorders>
              <w:top w:val="single" w:sz="8" w:color="CCEEFF"/>
            </w:tcBorders>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5"/>
                <w:szCs w:val="25"/>
                <w:color w:val="auto"/>
                <w:vertAlign w:val="superscript"/>
              </w:rPr>
              <w:t>(12)</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5"/>
                <w:szCs w:val="25"/>
                <w:color w:val="auto"/>
                <w:vertAlign w:val="superscript"/>
              </w:rPr>
              <w:t>(14)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220" w:hanging="652"/>
        <w:spacing w:after="0" w:line="223"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7" w:lineRule="auto"/>
        <w:tabs>
          <w:tab w:leader="none" w:pos="66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right="20" w:hanging="652"/>
        <w:spacing w:after="0" w:line="273"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right="60" w:hanging="652"/>
        <w:spacing w:after="0" w:line="275"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6" w:lineRule="exact"/>
        <w:rPr>
          <w:sz w:val="20"/>
          <w:szCs w:val="20"/>
          <w:color w:val="auto"/>
        </w:rPr>
      </w:pPr>
    </w:p>
    <w:p>
      <w:pPr>
        <w:ind w:left="660" w:right="20" w:hanging="652"/>
        <w:spacing w:after="0" w:line="274"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20" w:hanging="652"/>
        <w:spacing w:after="0" w:line="22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During the periods presented, there were fluctuations in the value of CAD to USD, resulting in non-cash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5" w:lineRule="exact"/>
        <w:rPr>
          <w:rFonts w:ascii="Arial" w:cs="Arial" w:eastAsia="Arial" w:hAnsi="Arial"/>
          <w:sz w:val="25"/>
          <w:szCs w:val="25"/>
          <w:color w:val="auto"/>
          <w:vertAlign w:val="superscript"/>
        </w:rPr>
      </w:pPr>
    </w:p>
    <w:p>
      <w:pPr>
        <w:ind w:left="660" w:right="240" w:hanging="652"/>
        <w:spacing w:after="0" w:line="22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to our Condensed Consolidated Financial Statements for additional information regarding the Line 901 incident.</w:t>
      </w:r>
    </w:p>
    <w:p>
      <w:pPr>
        <w:spacing w:after="0" w:line="95" w:lineRule="exact"/>
        <w:rPr>
          <w:rFonts w:ascii="Arial" w:cs="Arial" w:eastAsia="Arial" w:hAnsi="Arial"/>
          <w:sz w:val="25"/>
          <w:szCs w:val="25"/>
          <w:color w:val="auto"/>
          <w:vertAlign w:val="superscript"/>
        </w:rPr>
      </w:pPr>
    </w:p>
    <w:p>
      <w:pPr>
        <w:ind w:left="660" w:right="620" w:hanging="652"/>
        <w:spacing w:after="0" w:line="252"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35"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20" w:hanging="652"/>
        <w:spacing w:after="0" w:line="214"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10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during the period presented.</w:t>
      </w:r>
    </w:p>
    <w:p>
      <w:pPr>
        <w:spacing w:after="0" w:line="98" w:lineRule="exact"/>
        <w:rPr>
          <w:rFonts w:ascii="Arial" w:cs="Arial" w:eastAsia="Arial" w:hAnsi="Arial"/>
          <w:sz w:val="25"/>
          <w:szCs w:val="25"/>
          <w:color w:val="auto"/>
          <w:vertAlign w:val="superscript"/>
        </w:rPr>
      </w:pPr>
    </w:p>
    <w:p>
      <w:pPr>
        <w:ind w:left="660" w:right="120" w:hanging="652"/>
        <w:spacing w:after="0" w:line="237"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which were issued in October 2017, is payable semi-annually in arrears on May 15 and November 15. See Note 12 to our Consolidated Financial Statements included in Part IV of our 2018 Annual Report on Form 10-K for additional information regarding our preferred units.</w:t>
      </w:r>
    </w:p>
    <w:p>
      <w:pPr>
        <w:spacing w:after="0" w:line="94" w:lineRule="exact"/>
        <w:rPr>
          <w:rFonts w:ascii="Arial" w:cs="Arial" w:eastAsia="Arial" w:hAnsi="Arial"/>
          <w:sz w:val="25"/>
          <w:szCs w:val="25"/>
          <w:color w:val="auto"/>
          <w:vertAlign w:val="superscript"/>
        </w:rPr>
      </w:pPr>
    </w:p>
    <w:p>
      <w:pPr>
        <w:ind w:left="660" w:right="360" w:hanging="652"/>
        <w:spacing w:after="0" w:line="252"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PAA.</w:t>
      </w:r>
    </w:p>
    <w:p>
      <w:pPr>
        <w:spacing w:after="0" w:line="5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8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(Gains)/losses from derivative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780" w:type="dxa"/>
            <w:vAlign w:val="bottom"/>
            <w:gridSpan w:val="7"/>
          </w:tcPr>
          <w:p>
            <w:pPr>
              <w:jc w:val="center"/>
              <w:ind w:right="3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gridSpan w:val="9"/>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2"/>
                <w:szCs w:val="12"/>
                <w:color w:val="auto"/>
              </w:rPr>
            </w:pPr>
          </w:p>
        </w:tc>
        <w:tc>
          <w:tcPr>
            <w:tcW w:w="2780" w:type="dxa"/>
            <w:vAlign w:val="bottom"/>
            <w:gridSpan w:val="7"/>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regions, trucking and pipeline loss allowance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80" w:hanging="324"/>
        <w:spacing w:after="0" w:line="25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of approximately $64 million and $181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2019, respectively, compared to the three and nine months ended September 30, 2018 was primarily due to higher volumes from increased production and our recently completed capital expansion projects. These increases for the three and nine-month comparative periods included (i) higher volumes on our gathering systems of approximately 328,000 and 303,000 barrels per day, respectively, (ii) higher volumes of approximately 291,000 and 396,000 barrels per day, respectively, on our intra-basin pipelines and (iii) a volume increase of approximately 353,000 and 248,000, respectively, on our long-haul pipelines, including our Sunrise II pipeline, which was placed in service in the fourth quarter of 2018, and the Cactus II Pipeline, which was placed into service in the third quarter of 2019, as discussed below.</w:t>
      </w:r>
    </w:p>
    <w:p>
      <w:pPr>
        <w:spacing w:after="0" w:line="192" w:lineRule="exact"/>
        <w:rPr>
          <w:rFonts w:ascii="Arial" w:cs="Arial" w:eastAsia="Arial" w:hAnsi="Arial"/>
          <w:sz w:val="18"/>
          <w:szCs w:val="18"/>
          <w:color w:val="auto"/>
        </w:rPr>
      </w:pPr>
    </w:p>
    <w:p>
      <w:pPr>
        <w:ind w:left="980" w:right="40"/>
        <w:spacing w:after="0" w:line="312" w:lineRule="auto"/>
        <w:rPr>
          <w:rFonts w:ascii="Arial" w:cs="Arial" w:eastAsia="Arial" w:hAnsi="Arial"/>
          <w:sz w:val="18"/>
          <w:szCs w:val="18"/>
          <w:color w:val="auto"/>
        </w:rPr>
      </w:pPr>
      <w:r>
        <w:rPr>
          <w:rFonts w:ascii="Arial" w:cs="Arial" w:eastAsia="Arial" w:hAnsi="Arial"/>
          <w:sz w:val="16"/>
          <w:szCs w:val="16"/>
          <w:color w:val="auto"/>
        </w:rPr>
        <w:t>The decrease in equity earnings for the three and nine months ended September 30, 2019 compared to the three and nine months ended September 30, 2018 was primarily due to the sale of a 30% interest in BridgeTex Pipeline Company, LLC at the end of the third quarter of 2018, partially offset by equity earnings from our 65% interest in Cactus II Pipeline, which was placed into service in the third quarter of 2019.</w:t>
      </w:r>
    </w:p>
    <w:p>
      <w:pPr>
        <w:spacing w:after="0" w:line="146"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The increase in equity earnings for the nine months ended September 30, 2019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was from our 50% interest in Eagle Ford Pipeline LLC and was primarily due to higher volumes and the recognition of revenue associated with deficiencies under minimum volume commitments.</w:t>
      </w:r>
    </w:p>
    <w:p>
      <w:pPr>
        <w:spacing w:after="0" w:line="181" w:lineRule="exact"/>
        <w:rPr>
          <w:rFonts w:ascii="Arial" w:cs="Arial" w:eastAsia="Arial" w:hAnsi="Arial"/>
          <w:sz w:val="18"/>
          <w:szCs w:val="18"/>
          <w:i w:val="1"/>
          <w:iCs w:val="1"/>
          <w:color w:val="auto"/>
        </w:rPr>
      </w:pPr>
    </w:p>
    <w:p>
      <w:pPr>
        <w:jc w:val="both"/>
        <w:ind w:left="980" w:right="4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for the three and nine months ended September 30, 2019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higher volumes on certain of our pipelines in the Central region, including our Red River pipeline, and the recognition of previously deferred revenue in 2019.</w:t>
      </w:r>
    </w:p>
    <w:p>
      <w:pPr>
        <w:spacing w:after="0" w:line="181"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The decrease in volumes in the Gulf Coast region for the nine months ended September 30, 2019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were associated with (i) the Capline pipeline being taken out of service in the fourth quarter of 2018 and (ii) a lower tariff pipeline, which did not result in a significant impact on revenue.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spacing w:after="0" w:line="297" w:lineRule="auto"/>
        <w:rPr>
          <w:sz w:val="20"/>
          <w:szCs w:val="20"/>
          <w:color w:val="auto"/>
        </w:rPr>
      </w:pPr>
      <w:r>
        <w:rPr>
          <w:rFonts w:ascii="Arial" w:cs="Arial" w:eastAsia="Arial" w:hAnsi="Arial"/>
          <w:sz w:val="16"/>
          <w:szCs w:val="16"/>
          <w:color w:val="auto"/>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three and nine months ended September 30, 2019 compared to the three and nine months ended September 30, 2018 was due to our share of operating costs from our 54.13% interest in Capline Pipeline Company LLC reflected in equity earnings in the 2019 periods, whereas such costs were reflected in field operating costs in the 2018 periods.</w:t>
      </w:r>
    </w:p>
    <w:p>
      <w:pPr>
        <w:spacing w:after="0" w:line="158" w:lineRule="exact"/>
        <w:rPr>
          <w:sz w:val="20"/>
          <w:szCs w:val="20"/>
          <w:color w:val="auto"/>
        </w:rPr>
      </w:pPr>
    </w:p>
    <w:p>
      <w:pPr>
        <w:ind w:left="980" w:right="680"/>
        <w:spacing w:after="0" w:line="277" w:lineRule="auto"/>
        <w:rPr>
          <w:sz w:val="20"/>
          <w:szCs w:val="20"/>
          <w:color w:val="auto"/>
        </w:rPr>
      </w:pPr>
      <w:r>
        <w:rPr>
          <w:rFonts w:ascii="Arial" w:cs="Arial" w:eastAsia="Arial" w:hAnsi="Arial"/>
          <w:sz w:val="18"/>
          <w:szCs w:val="18"/>
          <w:color w:val="auto"/>
        </w:rPr>
        <w:t>In the third quarter of 2019, the owners of Capline Pipeline Company LLC sanctioned the reversal of the Capline pipeline system and a connection to Diamond Pipeline.</w:t>
      </w:r>
    </w:p>
    <w:p>
      <w:pPr>
        <w:spacing w:after="0" w:line="170" w:lineRule="exact"/>
        <w:rPr>
          <w:sz w:val="20"/>
          <w:szCs w:val="20"/>
          <w:color w:val="auto"/>
        </w:rPr>
      </w:pPr>
    </w:p>
    <w:p>
      <w:pPr>
        <w:jc w:val="both"/>
        <w:ind w:left="980" w:hanging="324"/>
        <w:spacing w:after="0" w:line="30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Rocky Mountain region. </w:t>
      </w:r>
      <w:r>
        <w:rPr>
          <w:rFonts w:ascii="Arial" w:cs="Arial" w:eastAsia="Arial" w:hAnsi="Arial"/>
          <w:sz w:val="16"/>
          <w:szCs w:val="16"/>
          <w:color w:val="auto"/>
        </w:rPr>
        <w:t>The favorable volume and equity earnings variances for the three and nine months ended September 30, 2019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and nine months ended September 30, 2018 were primarily driven by favorable results from our 40% interest in Saddlehorn Pipeline Company, LLC due to higher volumes from committed shippers, partially offset by a decrease from our 35.7% interest in White Cliffs Pipeline, LLC due to lower volumes as one crude oil line was taken out of service in May 2019 for conversion to NGL service.</w:t>
      </w:r>
    </w:p>
    <w:p>
      <w:pPr>
        <w:spacing w:after="0" w:line="154" w:lineRule="exact"/>
        <w:rPr>
          <w:rFonts w:ascii="Arial" w:cs="Arial" w:eastAsia="Arial" w:hAnsi="Arial"/>
          <w:sz w:val="16"/>
          <w:szCs w:val="16"/>
          <w:color w:val="auto"/>
        </w:rPr>
      </w:pPr>
    </w:p>
    <w:p>
      <w:pPr>
        <w:ind w:left="980" w:right="280"/>
        <w:spacing w:after="0" w:line="277" w:lineRule="auto"/>
        <w:rPr>
          <w:rFonts w:ascii="Arial" w:cs="Arial" w:eastAsia="Arial" w:hAnsi="Arial"/>
          <w:sz w:val="16"/>
          <w:szCs w:val="16"/>
          <w:color w:val="auto"/>
        </w:rPr>
      </w:pPr>
      <w:r>
        <w:rPr>
          <w:rFonts w:ascii="Arial" w:cs="Arial" w:eastAsia="Arial" w:hAnsi="Arial"/>
          <w:sz w:val="18"/>
          <w:szCs w:val="18"/>
          <w:color w:val="auto"/>
        </w:rPr>
        <w:t>The decrease in revenues for the nine-month comparative period was primarily due to the sale of certain of our assets in the Rocky Mountain region in May of 2018.</w:t>
      </w:r>
    </w:p>
    <w:p>
      <w:pPr>
        <w:spacing w:after="0" w:line="170" w:lineRule="exact"/>
        <w:rPr>
          <w:rFonts w:ascii="Arial" w:cs="Arial" w:eastAsia="Arial" w:hAnsi="Arial"/>
          <w:sz w:val="16"/>
          <w:szCs w:val="16"/>
          <w:color w:val="auto"/>
        </w:rPr>
      </w:pPr>
    </w:p>
    <w:p>
      <w:pPr>
        <w:ind w:left="980" w:right="4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increase in revenues for the three and nine months ended September 30, 2019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higher tariffs on certain of our Canadian crude oil pipelines and related system assets, partially offset by unfavorable foreign exchange impacts.</w:t>
      </w:r>
    </w:p>
    <w:p>
      <w:pPr>
        <w:spacing w:after="0" w:line="181" w:lineRule="exact"/>
        <w:rPr>
          <w:rFonts w:ascii="Arial" w:cs="Arial" w:eastAsia="Arial" w:hAnsi="Arial"/>
          <w:sz w:val="18"/>
          <w:szCs w:val="18"/>
          <w:color w:val="auto"/>
        </w:rPr>
      </w:pPr>
    </w:p>
    <w:p>
      <w:pPr>
        <w:jc w:val="both"/>
        <w:ind w:left="980" w:right="6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Other regions, trucking and pipeline loss allowance revenue. </w:t>
      </w:r>
      <w:r>
        <w:rPr>
          <w:rFonts w:ascii="Arial" w:cs="Arial" w:eastAsia="Arial" w:hAnsi="Arial"/>
          <w:sz w:val="18"/>
          <w:szCs w:val="18"/>
          <w:color w:val="auto"/>
        </w:rPr>
        <w:t>The increase in other revenues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three and nine months ended September 30, 2018 was primarily due to greater loss allowance revenue in the 2019 periods driven by higher volumes and, to a lesser extent, higher prices.</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Adjustments: Deficiencies under minimum volume commitments, net</w:t>
      </w:r>
      <w:r>
        <w:rPr>
          <w:rFonts w:ascii="Arial" w:cs="Arial" w:eastAsia="Arial" w:hAnsi="Arial"/>
          <w:sz w:val="16"/>
          <w:szCs w:val="16"/>
          <w:color w:val="auto"/>
        </w:rPr>
        <w:t>. 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6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For the three and nine months ended September 30, 2019 and the three months ended September 30, 2018, the recognition of previously deferred revenue exceeded amounts billed to counterparties associated with deficiencies under minimum volume commitments. For the nine months ended September 30, 2018, amounts billed to counterparties exceeded revenue recognized during the period that was previously deferred.</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for the three and nine months ended September 30, 2019 compared to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was primarily due to the continued expansion of our transportation segment operations including costs associated with personnel, power related costs and property taxes. The expansion activities included projects placed in service in the fourth quarter of 2018, including our Sunrise II pipeline expansion within the Permian Basin region. For the nine-month comparative period, field operating costs were also impacted by an increase of estimated costs recognized associated with the Line 901 incident (which impact our field operating costs but are excluded from Segment Adjusted EBITDA and thus are reflected as an “Adjustment” in the table above) (see Note 13 to our Condensed Consolidated Financial Statements for additional information regarding the Line 901 incident). The increase in field operating costs for the three and nine months ended September 30, 2019 compared to the three and nine months ended September 30, 2018 was partially offset by the favorable impact of reflecting operating costs associated with the Capline pipeline system in equity earnings for the 2019 periods that were included in field operating costs for the 2018 periods, as discussed above.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the three and nine months ended September 30, 2018 was primarily due to a decrease in equity-indexed compensation expense due to fewer awards outstanding in 2019. A portion of equity-indexed compensation expense was associated with awards that will or may be settled in common units (which impact our segment general and administrative expenses but are excluded from Segment Adjusted EBITDA and thus are reflected as an “Adjustment” in the table above).</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increase in maintenance capital for the three and nine months ended September 30, 2019 compared to the same periods in 2018 was primarily due to the timing of projects in our integrity management program.</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p>
      <w:pPr>
        <w:spacing w:after="0" w:line="63" w:lineRule="exact"/>
        <w:rPr>
          <w:sz w:val="20"/>
          <w:szCs w:val="20"/>
          <w:color w:val="auto"/>
        </w:rPr>
      </w:pPr>
    </w:p>
    <w:p>
      <w:pPr>
        <w:ind w:left="200" w:right="340" w:hanging="161"/>
        <w:spacing w:after="0" w:line="275" w:lineRule="auto"/>
        <w:rPr>
          <w:sz w:val="20"/>
          <w:szCs w:val="20"/>
          <w:color w:val="auto"/>
        </w:rPr>
      </w:pPr>
      <w:r>
        <w:rPr>
          <w:rFonts w:ascii="Arial" w:cs="Arial" w:eastAsia="Arial" w:hAnsi="Arial"/>
          <w:sz w:val="16"/>
          <w:szCs w:val="16"/>
          <w:color w:val="auto"/>
        </w:rPr>
        <w:t xml:space="preserve">Liquids storage (average monthly capacity in millions of barrels) </w:t>
      </w:r>
      <w:r>
        <w:rPr>
          <w:rFonts w:ascii="Arial" w:cs="Arial" w:eastAsia="Arial" w:hAnsi="Arial"/>
          <w:sz w:val="22"/>
          <w:szCs w:val="22"/>
          <w:color w:val="auto"/>
          <w:vertAlign w:val="superscript"/>
        </w:rPr>
        <w:t>(5)</w:t>
      </w:r>
    </w:p>
    <w:p>
      <w:pPr>
        <w:spacing w:after="0" w:line="2" w:lineRule="exact"/>
        <w:rPr>
          <w:sz w:val="20"/>
          <w:szCs w:val="20"/>
          <w:color w:val="auto"/>
        </w:rPr>
      </w:pPr>
    </w:p>
    <w:p>
      <w:pPr>
        <w:ind w:left="200" w:right="100" w:hanging="161"/>
        <w:spacing w:after="0"/>
        <w:rPr>
          <w:sz w:val="20"/>
          <w:szCs w:val="20"/>
          <w:color w:val="auto"/>
        </w:rPr>
      </w:pPr>
      <w:r>
        <w:rPr>
          <w:rFonts w:ascii="Arial" w:cs="Arial" w:eastAsia="Arial" w:hAnsi="Arial"/>
          <w:sz w:val="18"/>
          <w:szCs w:val="18"/>
          <w:color w:val="auto"/>
        </w:rPr>
        <w:t xml:space="preserve">Natural gas storage (average monthly working capacity in billions of cubic feet) </w:t>
      </w:r>
      <w:r>
        <w:rPr>
          <w:rFonts w:ascii="Arial" w:cs="Arial" w:eastAsia="Arial" w:hAnsi="Arial"/>
          <w:sz w:val="25"/>
          <w:szCs w:val="25"/>
          <w:color w:val="auto"/>
          <w:vertAlign w:val="superscript"/>
        </w:rPr>
        <w:t>(6)</w:t>
      </w:r>
    </w:p>
    <w:p>
      <w:pPr>
        <w:spacing w:after="0" w:line="1" w:lineRule="exact"/>
        <w:rPr>
          <w:sz w:val="20"/>
          <w:szCs w:val="20"/>
          <w:color w:val="auto"/>
        </w:rPr>
      </w:pPr>
    </w:p>
    <w:p>
      <w:pPr>
        <w:ind w:left="200" w:right="60" w:hanging="161"/>
        <w:spacing w:after="0" w:line="288" w:lineRule="auto"/>
        <w:rPr>
          <w:sz w:val="20"/>
          <w:szCs w:val="20"/>
          <w:color w:val="auto"/>
        </w:rPr>
      </w:pPr>
      <w:r>
        <w:rPr>
          <w:rFonts w:ascii="Arial" w:cs="Arial" w:eastAsia="Arial" w:hAnsi="Arial"/>
          <w:sz w:val="17"/>
          <w:szCs w:val="17"/>
          <w:color w:val="auto"/>
        </w:rPr>
        <w:t>NGL fractionation (average volumes in thousands of barrels per day)</w:t>
      </w:r>
    </w:p>
    <w:p>
      <w:pPr>
        <w:spacing w:after="0" w:line="1" w:lineRule="exact"/>
        <w:rPr>
          <w:sz w:val="20"/>
          <w:szCs w:val="20"/>
          <w:color w:val="auto"/>
        </w:rPr>
      </w:pPr>
    </w:p>
    <w:p>
      <w:pPr>
        <w:ind w:left="200" w:hanging="161"/>
        <w:spacing w:after="0" w:line="268" w:lineRule="auto"/>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5"/>
          <w:szCs w:val="25"/>
          <w:color w:val="auto"/>
          <w:vertAlign w:val="superscript"/>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5"/>
        </w:trPr>
        <w:tc>
          <w:tcPr>
            <w:tcW w:w="880" w:type="dxa"/>
            <w:vAlign w:val="bottom"/>
          </w:tcPr>
          <w:p>
            <w:pPr>
              <w:jc w:val="right"/>
              <w:ind w:right="1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80" w:type="dxa"/>
            <w:vAlign w:val="bottom"/>
          </w:tcPr>
          <w:p>
            <w:pPr>
              <w:jc w:val="right"/>
              <w:ind w:right="1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jc w:val="right"/>
              <w:ind w:right="18"/>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7"/>
              </w:rPr>
              <w:t>22 %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80" w:type="dxa"/>
            <w:vAlign w:val="bottom"/>
          </w:tcPr>
          <w:p>
            <w:pPr>
              <w:jc w:val="right"/>
              <w:ind w:right="1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-770890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-1534160</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940" w:space="180"/>
            <w:col w:w="830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49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Revenues, net of purchases and related costs, were relatively flat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 The following summarizes the significant drivers of variances in revenues, purchases and related costs and volumes for the nine-month comparative period:</w:t>
      </w:r>
    </w:p>
    <w:p>
      <w:pPr>
        <w:spacing w:after="0" w:line="181" w:lineRule="exact"/>
        <w:rPr>
          <w:sz w:val="20"/>
          <w:szCs w:val="20"/>
          <w:color w:val="auto"/>
        </w:rPr>
      </w:pPr>
    </w:p>
    <w:p>
      <w:pPr>
        <w:ind w:left="980" w:right="140" w:hanging="324"/>
        <w:spacing w:after="0" w:line="286"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increased by $12 million for the nine months ended September 30, 2019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due to increased activity at certain of our terminals, primarily our Cushing terminal, and the addition of 1.0 million barrels of storage capacity at our Midland terminal placed into service in the fourth quarter of 2018 and the first quarter of 2019.</w:t>
      </w:r>
    </w:p>
    <w:p>
      <w:pPr>
        <w:spacing w:after="0" w:line="165"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$9 million for the nine months ended September 30, 2019 compared to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Revenues were favorably impacted by increased activity at certain of our terminals and agreements that were entered into related to usage of our railcars. These favorable impacts were partially offset by the recognition of previously deferred revenue associated with deficiencies under minimum volume commitments in the 2018 period.</w:t>
      </w:r>
    </w:p>
    <w:p>
      <w:pPr>
        <w:spacing w:after="0" w:line="186"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Revenues, net of purchases and related costs, increased by $8 million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nine months ended September 30, 2018, primarily due to expiring contracts replaced by contracts with higher rates and increased hub activity.</w:t>
      </w:r>
    </w:p>
    <w:p>
      <w:pPr>
        <w:spacing w:after="0" w:line="181"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$13 million for the nine months ended September 30, 2019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primarily due to a net unfavorable foreign exchange impact of $11 million and the sale of a natural gas processing facility in the second quarter of 2018, partially offset by higher fees at certain of our facilities.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2019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a decrease in power related costs associated with derivative activities (which impact our field operating costs but are excluded from Segment Adjusted EBITDA and thus are reflected as an “Adjustment” in the table above), partially offset by higher costs at our rail terminals as a result of increased activity.</w:t>
      </w:r>
    </w:p>
    <w:p>
      <w:pPr>
        <w:spacing w:after="0" w:line="18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compared to the nine months ended September 30, 2018 was primarily due to various higher costs, including personnel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months ended September 30, 2019 as compared to the three months ended September 30, 2018,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decreased primarily due to the impact of lower turnaround costs at certain of our NGL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(22,599)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(24,076)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8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620" w:hanging="652"/>
        <w:spacing w:after="0" w:line="216"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95" w:lineRule="exact"/>
        <w:rPr>
          <w:rFonts w:ascii="Arial" w:cs="Arial" w:eastAsia="Arial" w:hAnsi="Arial"/>
          <w:sz w:val="25"/>
          <w:szCs w:val="25"/>
          <w:color w:val="auto"/>
          <w:vertAlign w:val="superscript"/>
        </w:rPr>
      </w:pPr>
    </w:p>
    <w:p>
      <w:pPr>
        <w:ind w:left="660" w:right="2300" w:hanging="652"/>
        <w:spacing w:after="0" w:line="440" w:lineRule="auto"/>
        <w:tabs>
          <w:tab w:leader="none" w:pos="646"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2019</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Nine months ended September 30, 2019</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82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the comparative periods:</w:t>
      </w:r>
    </w:p>
    <w:p>
      <w:pPr>
        <w:spacing w:after="0" w:line="170" w:lineRule="exact"/>
        <w:rPr>
          <w:sz w:val="20"/>
          <w:szCs w:val="20"/>
          <w:color w:val="auto"/>
        </w:rPr>
      </w:pPr>
    </w:p>
    <w:p>
      <w:pPr>
        <w:ind w:left="980" w:right="740" w:hanging="324"/>
        <w:spacing w:after="0" w:line="312"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Crude Oil Operations. </w:t>
      </w:r>
      <w:r>
        <w:rPr>
          <w:rFonts w:ascii="Arial" w:cs="Arial" w:eastAsia="Arial" w:hAnsi="Arial"/>
          <w:sz w:val="16"/>
          <w:szCs w:val="16"/>
          <w:color w:val="auto"/>
        </w:rPr>
        <w:t>Net revenues from our crude oil supply and logistics operations increased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compared to the three and nine months ended September 30, 2018 largely due to the realization of more favorable differentials, primarily in the Permian Basin and, for the nine-month comparative period, more favorable differentials in Canada.</w:t>
      </w:r>
    </w:p>
    <w:p>
      <w:pPr>
        <w:spacing w:after="0" w:line="146" w:lineRule="exact"/>
        <w:rPr>
          <w:rFonts w:ascii="Arial" w:cs="Arial" w:eastAsia="Arial" w:hAnsi="Arial"/>
          <w:sz w:val="16"/>
          <w:szCs w:val="16"/>
          <w:color w:val="auto"/>
        </w:rPr>
      </w:pPr>
    </w:p>
    <w:p>
      <w:pPr>
        <w:ind w:left="980" w:right="4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three months ended September 30, 2019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primarily due to decreased sales volumes and margins.</w:t>
      </w:r>
    </w:p>
    <w:p>
      <w:pPr>
        <w:spacing w:after="0" w:line="170" w:lineRule="exact"/>
        <w:rPr>
          <w:rFonts w:ascii="Arial" w:cs="Arial" w:eastAsia="Arial" w:hAnsi="Arial"/>
          <w:sz w:val="18"/>
          <w:szCs w:val="18"/>
          <w:color w:val="auto"/>
        </w:rPr>
      </w:pPr>
    </w:p>
    <w:p>
      <w:pPr>
        <w:ind w:left="980" w:right="20"/>
        <w:spacing w:after="0" w:line="257" w:lineRule="auto"/>
        <w:rPr>
          <w:rFonts w:ascii="Arial" w:cs="Arial" w:eastAsia="Arial" w:hAnsi="Arial"/>
          <w:sz w:val="18"/>
          <w:szCs w:val="18"/>
          <w:color w:val="auto"/>
        </w:rPr>
      </w:pPr>
      <w:r>
        <w:rPr>
          <w:rFonts w:ascii="Arial" w:cs="Arial" w:eastAsia="Arial" w:hAnsi="Arial"/>
          <w:sz w:val="18"/>
          <w:szCs w:val="18"/>
          <w:color w:val="auto"/>
        </w:rPr>
        <w:t>Net revenues from our NGL operations increased for the nine months ended September 30, 2019 compared to the nine months ended September 30, 2018 primarily due to the streamlining of our NGL activities by focusing on our equity supply from our gathering and processing facilities, favorable regional differentials and the favorable impact of certain non-recurring items recorded in the second quarter of 2019. These favorable impacts were partially offset by decreased sales volumes and margins in the third quarter of 2019 compared to the third quarter of 2018.</w:t>
      </w:r>
    </w:p>
    <w:p>
      <w:pPr>
        <w:spacing w:after="0" w:line="188" w:lineRule="exact"/>
        <w:rPr>
          <w:rFonts w:ascii="Arial" w:cs="Arial" w:eastAsia="Arial" w:hAnsi="Arial"/>
          <w:sz w:val="18"/>
          <w:szCs w:val="18"/>
          <w:color w:val="auto"/>
        </w:rPr>
      </w:pPr>
    </w:p>
    <w:p>
      <w:pPr>
        <w:ind w:left="980" w:right="100" w:hanging="324"/>
        <w:spacing w:after="0" w:line="293" w:lineRule="auto"/>
        <w:tabs>
          <w:tab w:leader="none" w:pos="98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60" w:hanging="324"/>
        <w:spacing w:after="0" w:line="28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165" w:lineRule="exact"/>
        <w:rPr>
          <w:rFonts w:ascii="Arial" w:cs="Arial" w:eastAsia="Arial" w:hAnsi="Arial"/>
          <w:sz w:val="17"/>
          <w:szCs w:val="17"/>
          <w:color w:val="auto"/>
        </w:rPr>
      </w:pPr>
    </w:p>
    <w:p>
      <w:pPr>
        <w:ind w:left="980" w:right="60" w:hanging="324"/>
        <w:spacing w:after="0" w:line="257" w:lineRule="auto"/>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2019 compared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was primarily driven by a decrease in vehicle expense related to the adoption of the new lease accounting standard and, for the three-month comparative period, a decrease in trucking costs due to a shift in volumes to pipelines. Trucking costs were higher for the nine-month comparative period due to higher third-party hauled volumes in certain regions during the first half of 2019.</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and nine months ended September 30, 2019 compared to the three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capital spending increased primarily due to new tractor trailer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Depreciation and amortization expense increased for the three and nine months ended September 30, 2019 compared to the three and nine months ended September 30, 2018 largely driven by (i) additional depreciation expense associated with the completion of various capital expansion projects and (ii) an adjustment to the useful lives of certain assets.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net gain on asset sales and asset impairments for the nine months ended September 30, 2018 was largely driven by a gain on the sale of certain pipelines in the Rocky Mountain region, partially offset by a loss on the sale of a non-core asset under construction.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During the nine months ended September 30, 2019, we recognized a non-cash gain of $269 million related to a fair value adjustment resulting from the accounting for the contribution of our undivided joint interest in the Capline pipeline system for an equity interest in Capline Pipeline Company LLC. See Note 7 to our Condensed Consolidated Financial Statements for additional information. During the nine months ended September 30, 2018, we recognized a gain of $210 million related to our sale of a 30% interest in BridgeTex Pipeline Company, LLC.</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decrease in interest expense for the three and nine months ended September 30, 2019 compared to the three and nine months ended September 30, 2018 was primarily due to a lower weighted average debt balance during the 2019 periods from lower commercial paper and credit facility borrowings. The nine-month comparative period was further favorably impacted by higher capitalized interest in the 2019 period due to additional projects under construction.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000" w:type="dxa"/>
            <w:vAlign w:val="bottom"/>
          </w:tcPr>
          <w:p>
            <w:pPr>
              <w:spacing w:after="0"/>
              <w:rPr>
                <w:sz w:val="16"/>
                <w:szCs w:val="16"/>
                <w:color w:val="auto"/>
              </w:rPr>
            </w:pPr>
          </w:p>
        </w:tc>
        <w:tc>
          <w:tcPr>
            <w:tcW w:w="18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15"/>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Gain/(loss) related to mark-to-market adjustment of our Preferred Distribution Rate Reset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7"/>
        </w:trPr>
        <w:tc>
          <w:tcPr>
            <w:tcW w:w="7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5"/>
                <w:szCs w:val="25"/>
                <w:color w:val="auto"/>
                <w:vertAlign w:val="superscript"/>
              </w:rPr>
              <w:t>(1)</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For the three and nine months ended September 30, 2019 compared to the three and nine months ended September 30, 2018, the increase in income tax expense was primarily due to (i) higher deferred income tax expense as a result of higher year-over-year income as impacted by fluctuations in the derivative mark-to-market valuations in our Canadian operations and (ii) higher current income tax expense as a result of higher taxable earnings from our Canadian operations. These unfavorable impacts to income tax expense were partially offset for the nine-month comparative period by the recognition of a deferred tax benefit of $60 million as a result of the reduction of the provincial tax rate in Alberta, Canada enacted during the second quarter of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7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September 30, 2019, although we had a working capital deficit of $196 million, we had approximately $3.5 billion of liquidity available to meet our ongoing operating, investing and financing needs, subject to continued covenant compliance, as noted below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9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September 30, 2019</w:t>
            </w:r>
          </w:p>
        </w:tc>
      </w:tr>
      <w:tr>
        <w:trPr>
          <w:trHeight w:val="270"/>
        </w:trPr>
        <w:tc>
          <w:tcPr>
            <w:tcW w:w="9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1,462</w:t>
            </w:r>
          </w:p>
        </w:tc>
      </w:tr>
      <w:tr>
        <w:trPr>
          <w:trHeight w:val="270"/>
        </w:trPr>
        <w:tc>
          <w:tcPr>
            <w:tcW w:w="9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1,389</w:t>
            </w:r>
          </w:p>
        </w:tc>
      </w:tr>
      <w:tr>
        <w:trPr>
          <w:trHeight w:val="244"/>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2,851</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609</w:t>
            </w:r>
          </w:p>
        </w:tc>
      </w:tr>
      <w:tr>
        <w:trPr>
          <w:trHeight w:val="27"/>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3,460</w:t>
            </w:r>
          </w:p>
        </w:tc>
      </w:tr>
      <w:tr>
        <w:trPr>
          <w:trHeight w:val="20"/>
        </w:trPr>
        <w:tc>
          <w:tcPr>
            <w:tcW w:w="9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16"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 There were no commercial paper borrowings outstanding as of September 30, 2019.</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0" w:hanging="652"/>
        <w:spacing w:after="0" w:line="216"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$138 million and $11 million, respectively.</w:t>
      </w:r>
    </w:p>
    <w:p>
      <w:pPr>
        <w:spacing w:after="0" w:line="20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September 30, 2019, we were in compliance with all such covenants. Also, see Item 1A. “Risk Factors” included in our 2018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 Annual Report on Form 10-K.</w:t>
      </w:r>
    </w:p>
    <w:p>
      <w:pPr>
        <w:spacing w:after="0" w:line="18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Net cash provided by operating activities for the first nine months of 2019 and 2018 was $1.778 billion and $1.294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the nine months ended September 30, 2019, our cash provided by operating activities was positively impacted by the proceeds from the sale of inventory that we held, primarily due to the sale of NGL inventory. The favorable effects from the liquidation of such inventory were partially offset by the timing of revenue recognized during the period for which cash was received in prior periods.</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During the nine months ended September 30, 2018, we increased the volume of crude oil and NGL inventory that we held, which was funded by proceeds from asset sales and short-term debt. The cash outflows associated with these inventory purchases resulted in a decrease to our cash provided by operating activities. However, this decrease was partially offset by approximately $300 million of cash received for transactions for which the revenue has been deferred pending the completion of future performance obligations. See Note 3 to our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nine months ended September 30, 2019, we paid an aggregate of $47 million to acquire assets, including a crude oil storage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terminal.</w:t>
      </w:r>
    </w:p>
    <w:p>
      <w:pPr>
        <w:spacing w:after="0" w:line="21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$988 million in midstream infrastructure during the nine months ended September 30, 2019, and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invest approximately $1.35 billion during the full year ending December 31, 2019. See “—Acquisitions and Capital Projects” for detail of our projected capital expenditures for the year ending December 31, 2019. We expect to fund our 2019 capital program with retained cash flow, proceeds from assets sold as part of our divestiture program or debt.</w:t>
      </w:r>
    </w:p>
    <w:p>
      <w:pPr>
        <w:spacing w:after="0" w:line="18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the first quarter of 2019, we announced the formation of W2W Pipeline, a joint venture with subsidiaries of ExxonMobil and Lotus Midstream, LLC. During the third quarter of 2019, three additional entities joined as partners in W2W Pipeline. As a result, our ownership interest in W2W Pipeline decreased from 20% to 16%. W2W Pipeline is currently developing a new pipeline system that will originate in the Permian Basin in West Texas and transport crude oil to the Texas Gulf Coast. The pipeline system will provide approximately 1.5 million barrels per day of crude oil and condensate capacity, and the project is targeted to commence operations in 2021. See Note 7 to our Condensed Consolidated Financial Statements for additional information.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second quarter of 2019, we announced the formation of Red Oak, a joint venture with a subsidiary of Phillips 66. We own a 50% interest in Red Oak, 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in 2021, subject to receipt of applicable permits and regulatory approvals. See Note 7 to our Condensed Consolidated Financial Statements for additional information.</w:t>
      </w:r>
    </w:p>
    <w:p>
      <w:pPr>
        <w:spacing w:after="0" w:line="154"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During the second quarter of 2019, we formed a joint venture, Red River LLC, with Delek on our Red River pipeline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approximately $128 million for Delek’s 33% interest in Red River LLC. See Note 9 to our Condensed Consolidated Financial Statements for additional information.</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 reinforce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2018 Annual Report on Form 10-K for further discussion regarding risks related to our acquisitions and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$1.1 billion of debt or equity securities (“Traditional Shelf”). At September 30, 2019,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issuance of $1.0 billion, 3.55% senior notes in September 2019, as discussed further below, was conducted under our WKSI Shelf. We did not conduct any offerings under our Traditional Shelf during the nine months ended September 30, 2019.</w:t>
      </w:r>
    </w:p>
    <w:p>
      <w:pPr>
        <w:spacing w:after="0" w:line="165" w:lineRule="exact"/>
        <w:rPr>
          <w:sz w:val="20"/>
          <w:szCs w:val="20"/>
          <w:color w:val="auto"/>
        </w:rPr>
      </w:pPr>
    </w:p>
    <w:p>
      <w:pPr>
        <w:ind w:right="60" w:firstLine="675"/>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our revolving credit facilities (which impact our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September 30, 2019, we were in compliance with the covenants contained in our credit agreements and indentures.</w:t>
      </w:r>
    </w:p>
    <w:p>
      <w:pPr>
        <w:spacing w:after="0" w:line="193"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As of September 30, 2019 and December 31, 2018, we had no outstanding borrowings under our credit agreements or commercial paper program. However, during the nine months ended September 30, 2019, we borrowed and repaid $10.5 billion under credit agreements and our commercial paper program. These repayments resulted primarily from cash flow from operating activities and proceeds from senior notes issuances.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nine months ended September 30, 2018, we had net repayments on our credit facilities and commercial paper program of $542 million. The net repayments resulted primarily from cash flow from operating activities and proceeds from asset sales, partially offset by borrowings during the period related to funding needs for inventory purchases and related margin activities.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September 2019, we completed the issuance of $1.0 billion, 3.55% senior notes due December 2029 at a public offering price of 99.801%. Interest payments are due on June 15 and December 15 of each year, commencing on June 15, 2020. We intend to use the net proceeds from this offering of $989 million, after deducting the underwriting discount and offering expenses, to partially repay the principal amounts of our 2.60% senior notes due December 2019 and 5.75% senior notes due January 2020 and, pending such repayment, have used a portion of the proceeds to repay outstanding borrowings under our commercial paper program and for general partnership purposes.</w:t>
      </w:r>
    </w:p>
    <w:p>
      <w:pPr>
        <w:spacing w:after="0" w:line="18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October 2019, we sent notice to the holders of our $500 million, 2.60% senior notes due December 2019 that we will redeem the notes on November 15, 2019. We also intend to redeem our $500 million, 5.75% senior notes due January 2020 during the fourth quarter of 2019.</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On November 14, 2019, we will pay a cash distribution of $37 million ($0.525 per unit)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October 31, 2019, the record date for such distribution for the period from July 1, 2019 through September 30, 2019. See Note 9 to our Condensed Consolidated Financial Statements for details of distributions made during or pertaining to the first nine months of 2019.</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Distributions to Series B preferred unitholders. </w:t>
      </w:r>
      <w:r>
        <w:rPr>
          <w:rFonts w:ascii="Arial" w:cs="Arial" w:eastAsia="Arial" w:hAnsi="Arial"/>
          <w:sz w:val="18"/>
          <w:szCs w:val="18"/>
          <w:color w:val="auto"/>
        </w:rPr>
        <w:t>Distributions on our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On November 15, 2019, we will pay the semi-annual cash distribution of $24.5 million on our Series B preferred units to holders of record at the close of business on November 1, 2019 for the period from May 15, 2019 to November 14, 2019. See Note 9 to our Condensed Consolidated Financial Statements for details of distributions made during the first nine months of 2019.</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In accordance with our partnership agreement, after making distributions to holders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November 14, 2019, we will pay a quarterly distribution of $0.36 per common unit ($1.44 per common unit on an annualized basis) on our common units outstanding as of October 31, 2019, the record date for such distribution for the period from July 1, 2019 through September 30, 2019. See Note 9 to our Condensed Consolidated Financial Statements for details of distributions paid during or pertaining to the first nine months of 2019. Also, see Item 5. “Market for Registrant’s Common Units, Related Unitholder Matters and Issuer Purchases of Equity Securities—Cash Distribution Policy” included in our 2018 Annual Report on Form 10-K for additional discussion regarding distributions.</w:t>
      </w:r>
    </w:p>
    <w:p>
      <w:pPr>
        <w:spacing w:after="0" w:line="1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2019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2024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9,807</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15,069</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19,716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19,676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10,568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31,113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40" w:hanging="652"/>
        <w:spacing w:after="0" w:line="237"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8 to our Condensed Consolidated Financial Statements.</w:t>
      </w:r>
    </w:p>
    <w:p>
      <w:pPr>
        <w:spacing w:after="0" w:line="98" w:lineRule="exact"/>
        <w:rPr>
          <w:rFonts w:ascii="Arial" w:cs="Arial" w:eastAsia="Arial" w:hAnsi="Arial"/>
          <w:sz w:val="25"/>
          <w:szCs w:val="25"/>
          <w:color w:val="auto"/>
          <w:vertAlign w:val="superscript"/>
        </w:rPr>
      </w:pPr>
    </w:p>
    <w:p>
      <w:pPr>
        <w:ind w:left="660" w:right="440" w:hanging="652"/>
        <w:spacing w:after="0" w:line="252" w:lineRule="auto"/>
        <w:tabs>
          <w:tab w:leader="none" w:pos="6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11 to our Condensed Consolidated Financial Statements for additional information.</w:t>
      </w:r>
    </w:p>
    <w:p>
      <w:pPr>
        <w:spacing w:after="0" w:line="81" w:lineRule="exact"/>
        <w:rPr>
          <w:rFonts w:ascii="Arial" w:cs="Arial" w:eastAsia="Arial" w:hAnsi="Arial"/>
          <w:sz w:val="22"/>
          <w:szCs w:val="22"/>
          <w:color w:val="auto"/>
          <w:vertAlign w:val="superscript"/>
        </w:rPr>
      </w:pPr>
    </w:p>
    <w:p>
      <w:pPr>
        <w:ind w:left="660" w:right="20" w:hanging="652"/>
        <w:spacing w:after="0" w:line="245" w:lineRule="auto"/>
        <w:tabs>
          <w:tab w:leader="none" w:pos="6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660" w:right="160"/>
        <w:spacing w:after="0" w:line="295" w:lineRule="auto"/>
        <w:rPr>
          <w:rFonts w:ascii="Arial" w:cs="Arial" w:eastAsia="Arial" w:hAnsi="Arial"/>
          <w:sz w:val="22"/>
          <w:szCs w:val="22"/>
          <w:color w:val="auto"/>
          <w:vertAlign w:val="superscript"/>
        </w:rPr>
      </w:pPr>
      <w:r>
        <w:rPr>
          <w:rFonts w:ascii="Arial" w:cs="Arial" w:eastAsia="Arial" w:hAnsi="Arial"/>
          <w:sz w:val="16"/>
          <w:szCs w:val="16"/>
          <w:color w:val="auto"/>
        </w:rPr>
        <w:t>(iv) noncancelable commitments related to our capital expansion projects, including projected contributions for our share of the capital spending of our equity method investments. The storage, processing and transportation agreements include approximately $2.0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rFonts w:ascii="Arial" w:cs="Arial" w:eastAsia="Arial" w:hAnsi="Arial"/>
          <w:sz w:val="22"/>
          <w:szCs w:val="22"/>
          <w:color w:val="auto"/>
          <w:vertAlign w:val="superscript"/>
        </w:rPr>
      </w:pPr>
    </w:p>
    <w:p>
      <w:pPr>
        <w:ind w:left="660" w:right="60" w:hanging="652"/>
        <w:spacing w:after="0" w:line="238"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2019 and December 31, 2018, we had outstanding letters of credit of approximately $149 million and $184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2018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60" w:hanging="324"/>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2018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24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93" w:lineRule="exact"/>
        <w:rPr>
          <w:sz w:val="20"/>
          <w:szCs w:val="20"/>
          <w:color w:val="auto"/>
        </w:rPr>
      </w:pPr>
    </w:p>
    <w:p>
      <w:pPr>
        <w:ind w:left="1360" w:hanging="704"/>
        <w:spacing w:after="0"/>
        <w:tabs>
          <w:tab w:leader="none" w:pos="13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208" w:lineRule="exact"/>
        <w:rPr>
          <w:sz w:val="20"/>
          <w:szCs w:val="20"/>
          <w:color w:val="auto"/>
        </w:rPr>
      </w:pPr>
    </w:p>
    <w:p>
      <w:pPr>
        <w:ind w:left="1360" w:hanging="704"/>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2019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September 30, 2019, approximately $200 million, was subject to interest rate re-sets that generally range from one day to approximately one month. The average interest rate on variable rate debt that was outstanding during the nine months ended September 30, 2019 was 3.1%, based upon rates in effect during such period. The fair value of our interest rate derivatives was a liability of $64 million as of September 30, 2019. A 10% increase in the forward LIBOR curve as of September 30, 2019 would have resulted in an increase of $8 million to the fair value of our interest rate derivatives. A 10% decrease in the forward LIBOR curve as of September 30, 2019 would have resulted in a decrease of $8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September 30, 2019. A 10% increase in the exchange rate (USD-to-CAD) would have resulted in a decrease of $6 million to the fair value of our foreign currency derivatives. A 10% decrease in the exchange rate (USD-to-CAD) would have resulted in an increase of $6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$19 million as of September 30, 2019. A 10% increase or decrease in the fair value would have an impact of $2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2019,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2018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2019, we issued 15,186 common units to AAP in connection with PAGP LTIP award vestings. This issuance was exempt from the registration requirements of the Securities Act of 1933, as amended, pursuant to Section 4(a)(2)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p>
      <w:pPr>
        <w:ind w:left="240"/>
        <w:spacing w:after="0"/>
        <w:tabs>
          <w:tab w:leader="none" w:pos="62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1" w:lineRule="exact"/>
        <w:rPr>
          <w:sz w:val="20"/>
          <w:szCs w:val="20"/>
          <w:color w:val="auto"/>
        </w:rPr>
      </w:pPr>
    </w:p>
    <w:p>
      <w:pPr>
        <w:ind w:left="520"/>
        <w:spacing w:after="0"/>
        <w:tabs>
          <w:tab w:leader="none" w:pos="144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47">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spacing w:after="0" w:line="23" w:lineRule="exact"/>
        <w:rPr>
          <w:sz w:val="20"/>
          <w:szCs w:val="20"/>
          <w:color w:val="auto"/>
        </w:rPr>
      </w:pPr>
    </w:p>
    <w:p>
      <w:pPr>
        <w:ind w:left="186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319" w:lineRule="exact"/>
        <w:rPr>
          <w:sz w:val="20"/>
          <w:szCs w:val="20"/>
          <w:color w:val="auto"/>
        </w:rPr>
      </w:pPr>
    </w:p>
    <w:p>
      <w:pPr>
        <w:ind w:left="1460" w:right="14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279" w:lineRule="exact"/>
        <w:rPr>
          <w:sz w:val="20"/>
          <w:szCs w:val="20"/>
          <w:color w:val="auto"/>
        </w:rPr>
      </w:pPr>
    </w:p>
    <w:p>
      <w:pPr>
        <w:ind w:left="1460" w:right="3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2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3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32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6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279" w:lineRule="exact"/>
        <w:rPr>
          <w:sz w:val="20"/>
          <w:szCs w:val="20"/>
          <w:color w:val="auto"/>
        </w:rPr>
      </w:pPr>
    </w:p>
    <w:p>
      <w:pPr>
        <w:ind w:left="1460" w:right="20" w:hanging="1334"/>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Amendment No. 1 dated January 1, 2013 to the Third Amended and Restated Agreement of Limited Partnership of Plains Pipeline,</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L.P. (incorporated by reference to Exhibit 3.10 to our Annual Report on Form 10-K for the year ended December 31, 2013).</w:t>
        </w:r>
      </w:hyperlink>
    </w:p>
    <w:p>
      <w:pPr>
        <w:spacing w:after="0" w:line="232" w:lineRule="exact"/>
        <w:rPr>
          <w:sz w:val="20"/>
          <w:szCs w:val="20"/>
          <w:color w:val="auto"/>
        </w:rPr>
      </w:pPr>
    </w:p>
    <w:p>
      <w:pPr>
        <w:ind w:left="1460" w:right="2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Seventh Amended and Restated Limited Liability Company Agreement of Plains All American GP LLC dated November 15, 2016</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(incorporated by reference to Exhibit 3.3 to our Current Report on Form 8-K filed November 21, 2016).</w:t>
        </w:r>
      </w:hyperlink>
    </w:p>
    <w:p>
      <w:pPr>
        <w:spacing w:after="0" w:line="279" w:lineRule="exact"/>
        <w:rPr>
          <w:sz w:val="20"/>
          <w:szCs w:val="20"/>
          <w:color w:val="auto"/>
        </w:rPr>
      </w:pPr>
    </w:p>
    <w:p>
      <w:pPr>
        <w:ind w:left="1460" w:right="36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reference to Exhibit 3.4 to our Current Report on Form 8-K filed November 21, 2016).</w:t>
        </w:r>
      </w:hyperlink>
    </w:p>
    <w:p>
      <w:pPr>
        <w:spacing w:after="0" w:line="279" w:lineRule="exact"/>
        <w:rPr>
          <w:sz w:val="20"/>
          <w:szCs w:val="20"/>
          <w:color w:val="auto"/>
        </w:rPr>
      </w:pPr>
    </w:p>
    <w:p>
      <w:pPr>
        <w:ind w:left="1460" w:right="80" w:hanging="1375"/>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130" w:lineRule="exact"/>
        <w:rPr>
          <w:sz w:val="20"/>
          <w:szCs w:val="20"/>
          <w:color w:val="auto"/>
        </w:rPr>
      </w:pPr>
    </w:p>
    <w:p>
      <w:pPr>
        <w:ind w:left="480"/>
        <w:spacing w:after="0"/>
        <w:tabs>
          <w:tab w:leader="none" w:pos="144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w:t>
      </w:r>
      <w:r>
        <w:rPr>
          <w:sz w:val="20"/>
          <w:szCs w:val="20"/>
          <w:color w:val="auto"/>
        </w:rPr>
        <w:tab/>
      </w:r>
      <w:hyperlink r:id="rId58">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spacing w:after="0" w:line="23" w:lineRule="exact"/>
        <w:rPr>
          <w:sz w:val="20"/>
          <w:szCs w:val="20"/>
          <w:color w:val="auto"/>
        </w:rPr>
      </w:pPr>
    </w:p>
    <w:p>
      <w:pPr>
        <w:ind w:left="186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70" w:lineRule="exact"/>
        <w:rPr>
          <w:sz w:val="20"/>
          <w:szCs w:val="20"/>
          <w:color w:val="auto"/>
        </w:rPr>
      </w:pPr>
    </w:p>
    <w:p>
      <w:pPr>
        <w:ind w:left="1460" w:hanging="1379"/>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 </w:t>
      </w:r>
      <w:hyperlink r:id="rId59">
        <w:r>
          <w:rPr>
            <w:rFonts w:ascii="Arial" w:cs="Arial" w:eastAsia="Arial" w:hAnsi="Arial"/>
            <w:sz w:val="16"/>
            <w:szCs w:val="16"/>
            <w:u w:val="single" w:color="auto"/>
            <w:color w:val="0000FF"/>
          </w:rPr>
          <w:t>Certificate of Incorporation of PAA Finance Corp. (f/k/a Pacific Energy Finance Corporation, successor-by-merger to PAA Finance</w:t>
        </w:r>
      </w:hyperlink>
      <w:r>
        <w:rPr>
          <w:rFonts w:ascii="Arial" w:cs="Arial" w:eastAsia="Arial" w:hAnsi="Arial"/>
          <w:sz w:val="16"/>
          <w:szCs w:val="16"/>
          <w:color w:val="auto"/>
        </w:rPr>
        <w:t xml:space="preserve"> </w:t>
      </w:r>
      <w:hyperlink r:id="rId59">
        <w:r>
          <w:rPr>
            <w:rFonts w:ascii="Arial" w:cs="Arial" w:eastAsia="Arial" w:hAnsi="Arial"/>
            <w:sz w:val="16"/>
            <w:szCs w:val="16"/>
            <w:u w:val="single" w:color="auto"/>
            <w:color w:val="0000FF"/>
          </w:rPr>
          <w:t>Corp.) (incorporated by reference to Exhibit 3.10 to our Annual Report on Form 10-K for the year ended December 31, 2006).</w:t>
        </w:r>
      </w:hyperlink>
    </w:p>
    <w:p>
      <w:pPr>
        <w:spacing w:after="0" w:line="232" w:lineRule="exact"/>
        <w:rPr>
          <w:sz w:val="20"/>
          <w:szCs w:val="20"/>
          <w:color w:val="auto"/>
        </w:rPr>
      </w:pPr>
    </w:p>
    <w:p>
      <w:pPr>
        <w:jc w:val="right"/>
        <w:ind w:left="480" w:right="88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3.14       —   </w:t>
      </w:r>
      <w:hyperlink r:id="rId60">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60">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255" w:lineRule="exact"/>
        <w:rPr>
          <w:sz w:val="20"/>
          <w:szCs w:val="20"/>
          <w:color w:val="auto"/>
        </w:rPr>
      </w:pPr>
    </w:p>
    <w:p>
      <w:pPr>
        <w:ind w:left="1460" w:right="6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Current Report on Form 8-K filed January 4, 2008).</w:t>
        </w:r>
      </w:hyperlink>
    </w:p>
    <w:p>
      <w:pPr>
        <w:spacing w:after="0" w:line="279" w:lineRule="exact"/>
        <w:rPr>
          <w:sz w:val="20"/>
          <w:szCs w:val="20"/>
          <w:color w:val="auto"/>
        </w:rPr>
      </w:pPr>
    </w:p>
    <w:p>
      <w:pPr>
        <w:ind w:left="1460" w:right="30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Statement on Form S-1 (333-190227) filed July 29, 2013).</w:t>
        </w:r>
      </w:hyperlink>
    </w:p>
    <w:p>
      <w:pPr>
        <w:sectPr>
          <w:pgSz w:w="11900" w:h="16838" w:orient="portrait"/>
          <w:cols w:equalWidth="0" w:num="1">
            <w:col w:w="11320"/>
          </w:cols>
          <w:pgMar w:left="240" w:top="125" w:right="339" w:bottom="1440" w:gutter="0" w:footer="0" w:header="0"/>
        </w:sect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20"/>
          </w:cols>
          <w:pgMar w:left="240" w:top="125" w:right="3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3.17</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63">
              <w:r>
                <w:rPr>
                  <w:rFonts w:ascii="Arial" w:cs="Arial" w:eastAsia="Arial" w:hAnsi="Arial"/>
                  <w:sz w:val="18"/>
                  <w:szCs w:val="18"/>
                  <w:color w:val="0000FF"/>
                  <w:w w:val="98"/>
                </w:rPr>
                <w:t>Second Amended and Restated Agreement of Limited Partnership of Plains GP Holdings, L.P. dated November 15, 2016</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(incorporated by reference to Exhibit 3.2 to PAGP’s Current Report on Form 8-K filed November 21, 2016).</w:t>
              </w:r>
            </w:hyperlink>
          </w:p>
        </w:tc>
        <w:tc>
          <w:tcPr>
            <w:tcW w:w="780" w:type="dxa"/>
            <w:vAlign w:val="bottom"/>
            <w:gridSpan w:val="1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3.18</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4">
              <w:r>
                <w:rPr>
                  <w:rFonts w:ascii="Arial" w:cs="Arial" w:eastAsia="Arial" w:hAnsi="Arial"/>
                  <w:sz w:val="18"/>
                  <w:szCs w:val="18"/>
                  <w:color w:val="0000FF"/>
                  <w:w w:val="93"/>
                </w:rPr>
                <w:t>Certificate of Formation of PAA GP Holdings LLC (incorporated by reference to Exhibit 3.3 to PAGP’s Registration Statement 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Form S-1 (333-190227) filed July 29, 2013).</w:t>
              </w:r>
            </w:hyperlink>
          </w:p>
        </w:tc>
        <w:tc>
          <w:tcPr>
            <w:tcW w:w="6160" w:type="dxa"/>
            <w:vAlign w:val="bottom"/>
            <w:tcBorders>
              <w:top w:val="single" w:sz="8" w:color="0000FF"/>
            </w:tcBorders>
            <w:gridSpan w:val="26"/>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3.19</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5">
              <w:r>
                <w:rPr>
                  <w:rFonts w:ascii="Arial" w:cs="Arial" w:eastAsia="Arial" w:hAnsi="Arial"/>
                  <w:sz w:val="18"/>
                  <w:szCs w:val="18"/>
                  <w:color w:val="0000FF"/>
                  <w:w w:val="96"/>
                </w:rPr>
                <w:t>Third Amended and Restated Limited Liability Company Agreement of PAA GP Holdings LLC dated as of February 16, 2017</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(incorporated by reference to Exhibit 3.1 to our Current Report on Form 8-K filed February 21, 2017).</w:t>
              </w:r>
            </w:hyperlink>
          </w:p>
        </w:tc>
        <w:tc>
          <w:tcPr>
            <w:tcW w:w="1740" w:type="dxa"/>
            <w:vAlign w:val="bottom"/>
            <w:tcBorders>
              <w:top w:val="single" w:sz="8" w:color="0000FF"/>
            </w:tcBorders>
            <w:gridSpan w:val="12"/>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3.20</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66">
              <w:r>
                <w:rPr>
                  <w:rFonts w:ascii="Arial" w:cs="Arial" w:eastAsia="Arial" w:hAnsi="Arial"/>
                  <w:sz w:val="18"/>
                  <w:szCs w:val="18"/>
                  <w:color w:val="0000FF"/>
                  <w:w w:val="94"/>
                </w:rPr>
                <w:t>Amendment No. 1 dated October 1, 2018 to the Third Amended and Restated Limited Liability Company Agreement of PAA GP</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Holdings LLC (incorporated by reference to Exhibit 3.1 to our Current Report on Form 8-K filed August 20, 2018).</w:t>
              </w:r>
            </w:hyperlink>
          </w:p>
        </w:tc>
        <w:tc>
          <w:tcPr>
            <w:tcW w:w="980" w:type="dxa"/>
            <w:vAlign w:val="bottom"/>
            <w:tcBorders>
              <w:top w:val="single" w:sz="8" w:color="0000FF"/>
            </w:tcBorders>
            <w:gridSpan w:val="15"/>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67">
              <w:r>
                <w:rPr>
                  <w:rFonts w:ascii="Arial" w:cs="Arial" w:eastAsia="Arial" w:hAnsi="Arial"/>
                  <w:sz w:val="18"/>
                  <w:szCs w:val="18"/>
                  <w:color w:val="0000FF"/>
                  <w:w w:val="94"/>
                </w:rPr>
                <w:t>Amendment No. 2 dated December 10, 2018 to the Third Amended and Restated Limited Liability Company Agreement of PAA</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GP Holdings LLC (incorporated by reference to Exhibit 3.1 to our Current Report on Form 8-K filed December 11, 2018).</w:t>
              </w:r>
            </w:hyperlink>
          </w:p>
        </w:tc>
        <w:tc>
          <w:tcPr>
            <w:tcW w:w="460" w:type="dxa"/>
            <w:vAlign w:val="bottom"/>
            <w:tcBorders>
              <w:top w:val="single" w:sz="8" w:color="0000FF"/>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8">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8"/>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Association, as trustee (incorporated by reference to Exhibit 4.1 to our Quarterly Report on Form 10-Q for the quarter ended</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September 30, 2002).</w:t>
              </w:r>
            </w:hyperlink>
          </w:p>
        </w:tc>
        <w:tc>
          <w:tcPr>
            <w:tcW w:w="520" w:type="dxa"/>
            <w:vAlign w:val="bottom"/>
            <w:gridSpan w:val="1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9">
              <w:r>
                <w:rPr>
                  <w:rFonts w:ascii="Arial" w:cs="Arial" w:eastAsia="Arial" w:hAnsi="Arial"/>
                  <w:sz w:val="18"/>
                  <w:szCs w:val="18"/>
                  <w:color w:val="0000FF"/>
                  <w:w w:val="97"/>
                </w:rPr>
                <w:t>Sixth Supplemental Indenture (Series A and Series B 6.70% Senior Notes due 2036) dated May 12, 2006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as trustee (incorporated by reference to Exhibit 4.1 to our Current Report on Form 8-K filed May 12, 2006).</w:t>
              </w:r>
            </w:hyperlink>
          </w:p>
        </w:tc>
        <w:tc>
          <w:tcPr>
            <w:tcW w:w="1680" w:type="dxa"/>
            <w:vAlign w:val="bottom"/>
            <w:gridSpan w:val="2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0">
              <w:r>
                <w:rPr>
                  <w:rFonts w:ascii="Arial" w:cs="Arial" w:eastAsia="Arial" w:hAnsi="Arial"/>
                  <w:sz w:val="18"/>
                  <w:szCs w:val="18"/>
                  <w:color w:val="0000FF"/>
                  <w:w w:val="93"/>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tcBorders>
              <w:top w:val="single" w:sz="8" w:color="0000FF"/>
            </w:tcBorders>
            <w:gridSpan w:val="24"/>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American Pipeline, L.P., PAA Finance Corp., the Subsidiary Guarantors named therein and U.S. Bank National Association, as</w:t>
              </w:r>
            </w:hyperlink>
          </w:p>
        </w:tc>
        <w:tc>
          <w:tcPr>
            <w:tcW w:w="2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trustee (incorporated by reference to Exhibit 4.2 to our Current Report on Form 8-K filed October 30, 2006).</w:t>
              </w:r>
            </w:hyperlink>
          </w:p>
        </w:tc>
        <w:tc>
          <w:tcPr>
            <w:tcW w:w="340" w:type="dxa"/>
            <w:vAlign w:val="bottom"/>
            <w:gridSpan w:val="11"/>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1">
              <w:r>
                <w:rPr>
                  <w:rFonts w:ascii="Arial" w:cs="Arial" w:eastAsia="Arial" w:hAnsi="Arial"/>
                  <w:sz w:val="18"/>
                  <w:szCs w:val="18"/>
                  <w:color w:val="0000FF"/>
                  <w:w w:val="97"/>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Pipeline, L.P., PAA Finance Corp., the Subsidiary Guarantors named therein and U.S. Bank National Association, as trustee</w:t>
              </w:r>
            </w:hyperlink>
          </w:p>
        </w:tc>
        <w:tc>
          <w:tcPr>
            <w:tcW w:w="56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4.1 to our Current Report on Form 8-K filed September 4, 2009).</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2">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7"/>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3">
              <w:r>
                <w:rPr>
                  <w:rFonts w:ascii="Arial" w:cs="Arial" w:eastAsia="Arial" w:hAnsi="Arial"/>
                  <w:sz w:val="18"/>
                  <w:szCs w:val="18"/>
                  <w:color w:val="0000FF"/>
                  <w:w w:val="94"/>
                </w:rPr>
                <w:t>Twentieth Supplemental Indenture (3.65% Senior Notes due 2022)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40" w:type="dxa"/>
            <w:vAlign w:val="bottom"/>
            <w:gridSpan w:val="8"/>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L.P., PAA Finance Corp. and U.S. Bank National Association, as trustee (incorporated by reference to Exhibit 4.1 to our Current</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Report on Form 8-K filed March 26, 2012).</w:t>
              </w:r>
            </w:hyperlink>
          </w:p>
        </w:tc>
        <w:tc>
          <w:tcPr>
            <w:tcW w:w="24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4">
              <w:r>
                <w:rPr>
                  <w:rFonts w:ascii="Arial" w:cs="Arial" w:eastAsia="Arial" w:hAnsi="Arial"/>
                  <w:sz w:val="18"/>
                  <w:szCs w:val="18"/>
                  <w:color w:val="0000FF"/>
                  <w:w w:val="93"/>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8"/>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Report on Form 8-K filed March 26, 2012).</w:t>
              </w:r>
            </w:hyperlink>
          </w:p>
        </w:tc>
        <w:tc>
          <w:tcPr>
            <w:tcW w:w="24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5">
              <w:r>
                <w:rPr>
                  <w:rFonts w:ascii="Arial" w:cs="Arial" w:eastAsia="Arial" w:hAnsi="Arial"/>
                  <w:sz w:val="18"/>
                  <w:szCs w:val="18"/>
                  <w:color w:val="0000FF"/>
                  <w:w w:val="95"/>
                </w:rPr>
                <w:t>Twenty-Second Supplemental Indenture (2.85% Senior Notes due 2023)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8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American Pipeline, L.P., PAA Finance Corp. and U.S. Bank National Association, as trustee (incorporated by reference to</w:t>
              </w:r>
            </w:hyperlink>
          </w:p>
        </w:tc>
        <w:tc>
          <w:tcPr>
            <w:tcW w:w="5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Exhibit 4.1 to our Current Report on Form 8-K filed December 12, 2012).</w:t>
              </w:r>
            </w:hyperlink>
          </w:p>
        </w:tc>
        <w:tc>
          <w:tcPr>
            <w:tcW w:w="720" w:type="dxa"/>
            <w:vAlign w:val="bottom"/>
            <w:gridSpan w:val="1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6">
              <w:r>
                <w:rPr>
                  <w:rFonts w:ascii="Arial" w:cs="Arial" w:eastAsia="Arial" w:hAnsi="Arial"/>
                  <w:sz w:val="18"/>
                  <w:szCs w:val="18"/>
                  <w:color w:val="0000FF"/>
                  <w:w w:val="97"/>
                </w:rPr>
                <w:t>Twenty-Third Supplemental Indenture (4.30% Senior Notes due 2043)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6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American Pipeline, L.P., PAA Finance Corp. and U.S. Bank National Association, as trustee (incorporated by reference to</w:t>
              </w:r>
            </w:hyperlink>
          </w:p>
        </w:tc>
        <w:tc>
          <w:tcPr>
            <w:tcW w:w="620" w:type="dxa"/>
            <w:vAlign w:val="bottom"/>
            <w:gridSpan w:val="1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Exhibit 4.3 to our Current Report on Form 8-K filed December 12, 2012).</w:t>
              </w:r>
            </w:hyperlink>
          </w:p>
        </w:tc>
        <w:tc>
          <w:tcPr>
            <w:tcW w:w="720" w:type="dxa"/>
            <w:vAlign w:val="bottom"/>
            <w:gridSpan w:val="1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80" w:type="dxa"/>
            <w:vAlign w:val="bottom"/>
            <w:gridSpan w:val="1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7">
              <w:r>
                <w:rPr>
                  <w:rFonts w:ascii="Arial" w:cs="Arial" w:eastAsia="Arial" w:hAnsi="Arial"/>
                  <w:sz w:val="18"/>
                  <w:szCs w:val="18"/>
                  <w:color w:val="0000FF"/>
                  <w:w w:val="91"/>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top w:val="single" w:sz="8" w:color="0000FF"/>
            </w:tcBorders>
            <w:gridSpan w:val="31"/>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Pipeline, L.P., PAA Finance Corp. and U.S. Bank National Association, as trustee (incorporated by reference to Exhibit 4.1 to our</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Current Report on Form 8-K filed August 15, 2013).</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20" w:type="dxa"/>
            <w:vAlign w:val="bottom"/>
            <w:gridSpan w:val="18"/>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4"/>
                <w:szCs w:val="24"/>
                <w:color w:val="auto"/>
              </w:rPr>
            </w:pPr>
          </w:p>
        </w:tc>
        <w:tc>
          <w:tcPr>
            <w:tcW w:w="9960" w:type="dxa"/>
            <w:vAlign w:val="bottom"/>
            <w:gridSpan w:val="33"/>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8">
              <w:r>
                <w:rPr>
                  <w:rFonts w:ascii="Arial" w:cs="Arial" w:eastAsia="Arial" w:hAnsi="Arial"/>
                  <w:sz w:val="18"/>
                  <w:szCs w:val="18"/>
                  <w:color w:val="0000FF"/>
                  <w:w w:val="95"/>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5600" w:type="dxa"/>
            <w:vAlign w:val="bottom"/>
            <w:gridSpan w:val="19"/>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40"/>
          </w:cols>
          <w:pgMar w:left="240" w:top="108" w:right="31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9">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FF"/>
                <w:w w:val="97"/>
              </w:rPr>
            </w:pPr>
            <w:hyperlink r:id="rId79">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Exhibit 4.1 to our Current Report on Form 8-K filed September 11, 2014).</w:t>
              </w:r>
            </w:hyperlink>
          </w:p>
        </w:tc>
        <w:tc>
          <w:tcPr>
            <w:tcW w:w="66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0">
              <w:r>
                <w:rPr>
                  <w:rFonts w:ascii="Arial" w:cs="Arial" w:eastAsia="Arial" w:hAnsi="Arial"/>
                  <w:sz w:val="18"/>
                  <w:szCs w:val="18"/>
                  <w:color w:val="0000FF"/>
                  <w:w w:val="95"/>
                </w:rPr>
                <w:t>Twenty-Seventh Supplemental Indenture (2.60% Senior Notes due 2019)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American Pipeline, L.P., PAA Finance Corp. and U.S. Bank National Association, as trustee (incorporated by reference to</w:t>
              </w:r>
            </w:hyperlink>
          </w:p>
        </w:tc>
        <w:tc>
          <w:tcPr>
            <w:tcW w:w="4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Exhibit 4.1 to our Current Report on Form 8-K filed December 11, 2014).</w:t>
              </w:r>
            </w:hyperlink>
          </w:p>
        </w:tc>
        <w:tc>
          <w:tcPr>
            <w:tcW w:w="3420" w:type="dxa"/>
            <w:vAlign w:val="bottom"/>
            <w:tcBorders>
              <w:top w:val="single" w:sz="8" w:color="0000FF"/>
            </w:tcBorders>
            <w:gridSpan w:val="5"/>
          </w:tcPr>
          <w:p>
            <w:pPr>
              <w:spacing w:after="0"/>
              <w:rPr>
                <w:sz w:val="17"/>
                <w:szCs w:val="17"/>
                <w:color w:val="auto"/>
              </w:rPr>
            </w:pPr>
          </w:p>
        </w:tc>
        <w:tc>
          <w:tcPr>
            <w:tcW w:w="660" w:type="dxa"/>
            <w:vAlign w:val="bottom"/>
            <w:gridSpan w:val="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1">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40" w:type="dxa"/>
            <w:vAlign w:val="bottom"/>
            <w:tcBorders>
              <w:top w:val="single" w:sz="8" w:color="0000FF"/>
            </w:tcBorders>
            <w:gridSpan w:val="13"/>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American Pipeline, L.P., PAA Finance Corp. and U.S. Bank National Association, as trustee (incorporated by reference to</w:t>
              </w:r>
            </w:hyperlink>
          </w:p>
        </w:tc>
        <w:tc>
          <w:tcPr>
            <w:tcW w:w="5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Exhibit 4.3 to our Current Report on Form 8-K filed December 11, 2014).</w:t>
              </w:r>
            </w:hyperlink>
          </w:p>
        </w:tc>
        <w:tc>
          <w:tcPr>
            <w:tcW w:w="3420" w:type="dxa"/>
            <w:vAlign w:val="bottom"/>
            <w:tcBorders>
              <w:top w:val="single" w:sz="8" w:color="0000FF"/>
            </w:tcBorders>
            <w:gridSpan w:val="5"/>
          </w:tcPr>
          <w:p>
            <w:pPr>
              <w:spacing w:after="0"/>
              <w:rPr>
                <w:sz w:val="17"/>
                <w:szCs w:val="17"/>
                <w:color w:val="auto"/>
              </w:rPr>
            </w:pPr>
          </w:p>
        </w:tc>
        <w:tc>
          <w:tcPr>
            <w:tcW w:w="660" w:type="dxa"/>
            <w:vAlign w:val="bottom"/>
            <w:gridSpan w:val="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82">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3">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4">
              <w:r>
                <w:rPr>
                  <w:rFonts w:ascii="Arial" w:cs="Arial" w:eastAsia="Arial" w:hAnsi="Arial"/>
                  <w:sz w:val="18"/>
                  <w:szCs w:val="18"/>
                  <w:color w:val="0000FF"/>
                  <w:w w:val="93"/>
                </w:rPr>
                <w:t>Thirty-First Supplemental Indenture (3.55% Senior Notes due 2029) dated September 16, 2019,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Current Report on Form 8-K filed September 17, 2019).</w:t>
              </w:r>
            </w:hyperlink>
          </w:p>
        </w:tc>
        <w:tc>
          <w:tcPr>
            <w:tcW w:w="5380" w:type="dxa"/>
            <w:vAlign w:val="bottom"/>
            <w:gridSpan w:val="17"/>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5">
              <w:r>
                <w:rPr>
                  <w:rFonts w:ascii="Arial" w:cs="Arial" w:eastAsia="Arial" w:hAnsi="Arial"/>
                  <w:sz w:val="18"/>
                  <w:szCs w:val="18"/>
                  <w:color w:val="0000FF"/>
                  <w:w w:val="95"/>
                </w:rPr>
                <w:t>Registration Rights Agreement dated September 3, 2009 by and between Plains All American Pipeline, L.P. and Vulcan Gas</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Storage LLC (incorporated by reference to Exhibit 4.1 to our Registration Statement on Form S-3, File No. 333-162477).</w:t>
              </w:r>
            </w:hyperlink>
          </w:p>
        </w:tc>
        <w:tc>
          <w:tcPr>
            <w:tcW w:w="200" w:type="dxa"/>
            <w:vAlign w:val="bottom"/>
            <w:tcBorders>
              <w:top w:val="single" w:sz="8" w:color="0000FF"/>
            </w:tcBorders>
            <w:gridSpan w:val="3"/>
          </w:tcPr>
          <w:p>
            <w:pPr>
              <w:spacing w:after="0"/>
              <w:rPr>
                <w:sz w:val="17"/>
                <w:szCs w:val="17"/>
                <w:color w:val="auto"/>
              </w:rPr>
            </w:pPr>
          </w:p>
        </w:tc>
        <w:tc>
          <w:tcPr>
            <w:tcW w:w="460" w:type="dxa"/>
            <w:vAlign w:val="bottom"/>
            <w:gridSpan w:val="5"/>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86">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24"/>
                <w:szCs w:val="24"/>
                <w:color w:val="auto"/>
              </w:rPr>
            </w:pPr>
          </w:p>
        </w:tc>
        <w:tc>
          <w:tcPr>
            <w:tcW w:w="9900" w:type="dxa"/>
            <w:vAlign w:val="bottom"/>
            <w:gridSpan w:val="21"/>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87">
              <w:r>
                <w:rPr>
                  <w:rFonts w:ascii="Arial" w:cs="Arial" w:eastAsia="Arial" w:hAnsi="Arial"/>
                  <w:sz w:val="18"/>
                  <w:szCs w:val="18"/>
                  <w:color w:val="0000FF"/>
                  <w:w w:val="91"/>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15, 2016 (incorporated by reference to Exhibit 10.4 to our Current Report on Form 8-K filed November 21, 2016).</w:t>
              </w:r>
            </w:hyperlink>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Amendment No. 2 dated August 15, 2019 to Harry Pefanis Amended and Restated Employment Agreement.</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10.2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LTIP Grant Letter dated August 15, 2019 (Officers)</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10.3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Form of LTIP Grant Letter dated August 15, 2019 (Directors)</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31.1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1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31.2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32.1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18 U.S.C. 1350.</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00" w:type="dxa"/>
            <w:vAlign w:val="bottom"/>
            <w:tcBorders>
              <w:left w:val="single" w:sz="8" w:color="0000FF"/>
            </w:tcBorders>
            <w:gridSpan w:val="14"/>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32.2 ††</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18 U.S.C. 1350.</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00" w:type="dxa"/>
            <w:vAlign w:val="bottom"/>
            <w:gridSpan w:val="14"/>
          </w:tcPr>
          <w:p>
            <w:pPr>
              <w:spacing w:after="0" w:line="20" w:lineRule="exact"/>
              <w:rPr>
                <w:sz w:val="1"/>
                <w:szCs w:val="1"/>
                <w:color w:val="auto"/>
              </w:rPr>
            </w:pPr>
          </w:p>
        </w:tc>
      </w:tr>
      <w:tr>
        <w:trPr>
          <w:trHeight w:val="398"/>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101.INS†</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20" w:type="dxa"/>
            <w:vAlign w:val="bottom"/>
            <w:gridSpan w:val="2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101.SCH†</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Inline XBRL Taxonomy Extension Schema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101.DEF†</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101.LAB†</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101.PRE†</w:t>
            </w:r>
          </w:p>
        </w:tc>
        <w:tc>
          <w:tcPr>
            <w:tcW w:w="9900" w:type="dxa"/>
            <w:vAlign w:val="bottom"/>
            <w:gridSpan w:val="21"/>
          </w:tcPr>
          <w:p>
            <w:pPr>
              <w:ind w:left="80"/>
              <w:spacing w:after="0"/>
              <w:rPr>
                <w:sz w:val="20"/>
                <w:szCs w:val="20"/>
                <w:color w:val="auto"/>
              </w:rPr>
            </w:pPr>
            <w:r>
              <w:rPr>
                <w:rFonts w:ascii="Arial" w:cs="Arial" w:eastAsia="Arial" w:hAnsi="Arial"/>
                <w:sz w:val="18"/>
                <w:szCs w:val="18"/>
                <w:color w:val="auto"/>
              </w:rPr>
              <w:t>—   Inline XBRL Taxonomy Extension Presentation Linkbase Document</w:t>
            </w:r>
          </w:p>
        </w:tc>
      </w:tr>
    </w:tbl>
    <w:p>
      <w:pPr>
        <w:spacing w:after="0" w:line="200" w:lineRule="exact"/>
        <w:rPr>
          <w:sz w:val="20"/>
          <w:szCs w:val="20"/>
          <w:color w:val="auto"/>
        </w:rPr>
      </w:pPr>
    </w:p>
    <w:p>
      <w:pPr>
        <w:sectPr>
          <w:pgSz w:w="11900" w:h="16838" w:orient="portrait"/>
          <w:cols w:equalWidth="0" w:num="1">
            <w:col w:w="11280"/>
          </w:cols>
          <w:pgMar w:left="240" w:top="108" w:right="379" w:bottom="1440" w:gutter="0" w:footer="0" w:header="0"/>
        </w:sectPr>
      </w:pP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80"/>
          </w:cols>
          <w:pgMar w:left="240" w:top="108" w:right="37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60"/>
        <w:spacing w:after="0"/>
        <w:tabs>
          <w:tab w:leader="none" w:pos="1440" w:val="left"/>
          <w:tab w:leader="none" w:pos="1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30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95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125" w:right="1440"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Plains All</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0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Plains All</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Harry N. Pefanis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Second Amendment to Amended and Restated Employment Agreement (the “Amendment”) is made as of the 15th day of August, 2019 between Plains All American GP LLC, a Delaware limited liability company (the “Company”), and Harry N. Pefanis (“Employee”).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on June 30, 2001, the Company and Employee entered into that certain Amended and Restated Employment Agreement, which was amended on August 12, 2005, December 4, 2008, December 23, 2010 and October 21, 2013 (as amended, the “Agreement”); and</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Employee desire to further amend the Agreement to remove certain provisions relating to excise taxes.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mutual covenants and agreements contained herein and in the Agreement, and for other good and valuable consideration, the receipt and sufficiency of which are hereby acknowledged, the Company and Employee do hereby agree as follows:</w:t>
      </w:r>
    </w:p>
    <w:p>
      <w:pPr>
        <w:spacing w:after="0" w:line="226"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Section 8(g) of the Agreement is hereby deleted in its entirety.</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Other than as amended hereby, the Agreement remains in full force and effect.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COMPANY:</w:t>
      </w:r>
    </w:p>
    <w:p>
      <w:pPr>
        <w:spacing w:after="0" w:line="341"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PLAINS ALL AMERICAN GP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tbl>
      <w:tblPr>
        <w:tblLayout w:type="fixed"/>
        <w:tblInd w:w="6900" w:type="dxa"/>
        <w:tblCellMar>
          <w:top w:w="0" w:type="dxa"/>
          <w:left w:w="0" w:type="dxa"/>
          <w:bottom w:w="0" w:type="dxa"/>
          <w:right w:w="0" w:type="dxa"/>
        </w:tblCellMar>
      </w:tblP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34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Richard McGee</w:t>
            </w:r>
          </w:p>
        </w:tc>
      </w:tr>
      <w:tr>
        <w:trPr>
          <w:trHeight w:val="297"/>
        </w:trPr>
        <w:tc>
          <w:tcPr>
            <w:tcW w:w="1220" w:type="dxa"/>
            <w:vAlign w:val="bottom"/>
            <w:gridSpan w:val="2"/>
          </w:tcPr>
          <w:p>
            <w:pPr>
              <w:spacing w:after="0"/>
              <w:rPr>
                <w:sz w:val="20"/>
                <w:szCs w:val="20"/>
                <w:color w:val="auto"/>
              </w:rPr>
            </w:pPr>
            <w:r>
              <w:rPr>
                <w:rFonts w:ascii="Arial" w:cs="Arial" w:eastAsia="Arial" w:hAnsi="Arial"/>
                <w:sz w:val="22"/>
                <w:szCs w:val="22"/>
                <w:color w:val="auto"/>
              </w:rPr>
              <w:t>Title:</w:t>
            </w:r>
          </w:p>
        </w:tc>
        <w:tc>
          <w:tcPr>
            <w:tcW w:w="330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r>
        <w:trPr>
          <w:trHeight w:val="594"/>
        </w:trPr>
        <w:tc>
          <w:tcPr>
            <w:tcW w:w="1220" w:type="dxa"/>
            <w:vAlign w:val="bottom"/>
            <w:gridSpan w:val="2"/>
          </w:tcPr>
          <w:p>
            <w:pPr>
              <w:spacing w:after="0"/>
              <w:rPr>
                <w:sz w:val="20"/>
                <w:szCs w:val="20"/>
                <w:color w:val="auto"/>
              </w:rPr>
            </w:pPr>
            <w:r>
              <w:rPr>
                <w:rFonts w:ascii="Arial" w:cs="Arial" w:eastAsia="Arial" w:hAnsi="Arial"/>
                <w:sz w:val="22"/>
                <w:szCs w:val="22"/>
                <w:color w:val="auto"/>
                <w:w w:val="94"/>
              </w:rPr>
              <w:t>EMPLOYEE:</w:t>
            </w:r>
          </w:p>
        </w:tc>
        <w:tc>
          <w:tcPr>
            <w:tcW w:w="3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576580</wp:posOffset>
            </wp:positionV>
            <wp:extent cx="2889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Harry N. Pefanis</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137795</wp:posOffset>
            </wp:positionV>
            <wp:extent cx="1886585" cy="53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188658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2019 Regular Annual LTIP Grant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Officers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15, 2019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I am pleased to inform you that you have been granted «LTIP_Grant» Phantom Units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0" w:lineRule="exact"/>
        <w:rPr>
          <w:sz w:val="20"/>
          <w:szCs w:val="20"/>
          <w:color w:val="auto"/>
        </w:rPr>
      </w:pPr>
    </w:p>
    <w:p>
      <w:pPr>
        <w:spacing w:after="0" w:line="206" w:lineRule="exact"/>
        <w:rPr>
          <w:sz w:val="20"/>
          <w:szCs w:val="20"/>
          <w:color w:val="auto"/>
        </w:rPr>
      </w:pPr>
    </w:p>
    <w:p>
      <w:pPr>
        <w:ind w:left="2120" w:hanging="1464"/>
        <w:spacing w:after="0" w:line="284" w:lineRule="auto"/>
        <w:tabs>
          <w:tab w:leader="none" w:pos="1058"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50% on the August 2022 Distribution Date and 50% on the later of the August 2022 Distribution Date and the first Distribution Date following PAA’s achievement of distributable cash flow (“DCF”) per Common Unit on a trailing four quarter basis of at least $2.65 (such amount being subject to adjustment in the reasonable discretion of the CEO to account for significant asset sales). The applicable four quarter period for determining whether the requisite DCF per common unit has been achieved for vesting of your Phantom Units may not begin until after December 31, 2020. Any remaining Phantom Units that have not vested by the August 2024 Distribution Date shall expire on such date.</w:t>
      </w:r>
    </w:p>
    <w:p>
      <w:pPr>
        <w:spacing w:after="0" w:line="236" w:lineRule="exact"/>
        <w:rPr>
          <w:rFonts w:ascii="Arial" w:cs="Arial" w:eastAsia="Arial" w:hAnsi="Arial"/>
          <w:sz w:val="22"/>
          <w:szCs w:val="22"/>
          <w:color w:val="auto"/>
        </w:rPr>
      </w:pPr>
    </w:p>
    <w:p>
      <w:pPr>
        <w:ind w:left="2120" w:hanging="1464"/>
        <w:spacing w:after="0" w:line="311" w:lineRule="auto"/>
        <w:tabs>
          <w:tab w:leader="none" w:pos="1058" w:val="left"/>
        </w:tabs>
        <w:numPr>
          <w:ilvl w:val="0"/>
          <w:numId w:val="64"/>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DERs shall vest (become payable in cash) (i) 50% on the August 2020 Distribution Date and (ii) 50% on the first Distribution Date following January 1, 2021 on which PAA achieves DCF per common unit of at least $2.50 on a trailing four quarter basis.</w:t>
      </w:r>
    </w:p>
    <w:p>
      <w:pPr>
        <w:spacing w:after="0" w:line="209" w:lineRule="exact"/>
        <w:rPr>
          <w:rFonts w:ascii="Arial" w:cs="Arial" w:eastAsia="Arial" w:hAnsi="Arial"/>
          <w:sz w:val="21"/>
          <w:szCs w:val="21"/>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00" w:lineRule="exact"/>
        <w:rPr>
          <w:sz w:val="20"/>
          <w:szCs w:val="20"/>
          <w:color w:val="auto"/>
        </w:rPr>
      </w:pPr>
    </w:p>
    <w:p>
      <w:pPr>
        <w:spacing w:after="0" w:line="333"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35"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hanging="1464"/>
        <w:spacing w:after="0" w:line="357"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number of Phantom Units subject to this award and the distributable cash flow level required for vesting under paragraphs 1 and 2 above shall be proportionately reduced or increased for any split or reverse split, respectively, of PAA Common Units, or any event or transaction having a similar effect.</w:t>
      </w:r>
    </w:p>
    <w:p>
      <w:pPr>
        <w:spacing w:after="0" w:line="389" w:lineRule="exact"/>
        <w:rPr>
          <w:rFonts w:ascii="Arial" w:cs="Arial" w:eastAsia="Arial" w:hAnsi="Arial"/>
          <w:sz w:val="19"/>
          <w:szCs w:val="19"/>
          <w:color w:val="auto"/>
        </w:rPr>
      </w:pPr>
    </w:p>
    <w:p>
      <w:pPr>
        <w:ind w:left="2120" w:hanging="1464"/>
        <w:spacing w:after="0" w:line="292" w:lineRule="auto"/>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335"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193" w:lineRule="exact"/>
        <w:rPr>
          <w:rFonts w:ascii="Arial" w:cs="Arial" w:eastAsia="Arial" w:hAnsi="Arial"/>
          <w:sz w:val="19"/>
          <w:szCs w:val="19"/>
          <w:color w:val="auto"/>
        </w:rPr>
      </w:pPr>
    </w:p>
    <w:p>
      <w:pPr>
        <w:ind w:left="2120" w:hanging="1464"/>
        <w:spacing w:after="0" w:line="331"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ectPr>
          <w:pgSz w:w="11900" w:h="16838" w:orient="portrait"/>
          <w:cols w:equalWidth="0" w:num="1">
            <w:col w:w="11420"/>
          </w:cols>
          <w:pgMar w:left="240" w:top="145"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hanging="1464"/>
        <w:spacing w:after="0" w:line="288" w:lineRule="auto"/>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71" w:lineRule="exact"/>
        <w:rPr>
          <w:rFonts w:ascii="Arial" w:cs="Arial" w:eastAsia="Arial" w:hAnsi="Arial"/>
          <w:sz w:val="22"/>
          <w:szCs w:val="22"/>
          <w:color w:val="auto"/>
        </w:rPr>
      </w:pPr>
    </w:p>
    <w:p>
      <w:pPr>
        <w:ind w:left="2120" w:hanging="1464"/>
        <w:spacing w:after="0" w:line="288" w:lineRule="auto"/>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29" w:lineRule="exact"/>
        <w:rPr>
          <w:sz w:val="20"/>
          <w:szCs w:val="20"/>
          <w:color w:val="auto"/>
        </w:rPr>
      </w:pPr>
    </w:p>
    <w:p>
      <w:pPr>
        <w:jc w:val="both"/>
        <w:ind w:left="1580" w:hanging="924"/>
        <w:spacing w:after="0" w:line="288" w:lineRule="auto"/>
        <w:tabs>
          <w:tab w:leader="none" w:pos="15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ectPr>
          <w:pgSz w:w="11900" w:h="16838" w:orient="portrait"/>
          <w:cols w:equalWidth="0" w:num="1">
            <w:col w:w="11420"/>
          </w:cols>
          <w:pgMar w:left="240" w:top="145"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80" w:hanging="924"/>
        <w:spacing w:after="0" w:line="281" w:lineRule="auto"/>
        <w:tabs>
          <w:tab w:leader="none" w:pos="15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Arial" w:cs="Arial" w:eastAsia="Arial" w:hAnsi="Arial"/>
          <w:sz w:val="22"/>
          <w:szCs w:val="22"/>
          <w:color w:val="auto"/>
        </w:rPr>
      </w:pPr>
    </w:p>
    <w:p>
      <w:pPr>
        <w:ind w:left="1580" w:hanging="924"/>
        <w:spacing w:after="0" w:line="281" w:lineRule="auto"/>
        <w:tabs>
          <w:tab w:leader="none" w:pos="15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88" w:lineRule="auto"/>
        <w:tabs>
          <w:tab w:leader="none" w:pos="15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a grant in the event of your death. Unless you indicate otherwise by checking the box below,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Units:</w:t>
        <w:tab/>
        <w:t>«LTIP_Grant»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1042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 Check this box only if this beneficiary designation does not apply to prior grants.</w:t>
      </w:r>
    </w:p>
    <w:p>
      <w:pPr>
        <w:sectPr>
          <w:pgSz w:w="11900" w:h="16838" w:orient="portrait"/>
          <w:cols w:equalWidth="0" w:num="1">
            <w:col w:w="11440"/>
          </w:cols>
          <w:pgMar w:left="240" w:top="145"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2019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15, 2019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[amount]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right="20" w:hanging="968"/>
        <w:spacing w:after="0" w:line="343" w:lineRule="auto"/>
        <w:tabs>
          <w:tab w:leader="none" w:pos="652"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2023 Distribution Date.</w:t>
      </w:r>
    </w:p>
    <w:p>
      <w:pPr>
        <w:spacing w:after="0" w:line="145" w:lineRule="exact"/>
        <w:rPr>
          <w:rFonts w:ascii="Arial" w:cs="Arial" w:eastAsia="Arial" w:hAnsi="Arial"/>
          <w:sz w:val="19"/>
          <w:szCs w:val="19"/>
          <w:color w:val="auto"/>
        </w:rPr>
      </w:pPr>
    </w:p>
    <w:p>
      <w:pPr>
        <w:ind w:left="1300" w:hanging="968"/>
        <w:spacing w:after="0" w:line="263" w:lineRule="auto"/>
        <w:tabs>
          <w:tab w:leader="none" w:pos="652"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hanging="968"/>
        <w:spacing w:after="0" w:line="250" w:lineRule="auto"/>
        <w:tabs>
          <w:tab w:leader="none" w:pos="652"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82" w:name="page83"/>
    <w:bookmarkEnd w:id="82"/>
    <w:p>
      <w:pPr>
        <w:ind w:left="9960"/>
        <w:spacing w:after="0"/>
        <w:rPr>
          <w:sz w:val="20"/>
          <w:szCs w:val="20"/>
          <w:color w:val="auto"/>
        </w:rPr>
      </w:pPr>
      <w:r>
        <w:rPr>
          <w:rFonts w:ascii="Arial" w:cs="Arial" w:eastAsia="Arial" w:hAnsi="Arial"/>
          <w:sz w:val="19"/>
          <w:szCs w:val="19"/>
          <w:color w:val="auto"/>
        </w:rPr>
        <w:t>August 15, 2019</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[Name]</w:t>
            </w:r>
          </w:p>
        </w:tc>
        <w:tc>
          <w:tcPr>
            <w:tcW w:w="272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hanging="968"/>
        <w:spacing w:after="0" w:line="297" w:lineRule="auto"/>
        <w:tabs>
          <w:tab w:leader="none" w:pos="652"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280" w:right="239" w:bottom="1440" w:gutter="0" w:footer="0" w:header="0"/>
        </w:sectPr>
      </w:pPr>
    </w:p>
    <w:bookmarkStart w:id="83" w:name="page84"/>
    <w:bookmarkEnd w:id="83"/>
    <w:p>
      <w:pPr>
        <w:ind w:left="9960"/>
        <w:spacing w:after="0"/>
        <w:rPr>
          <w:sz w:val="20"/>
          <w:szCs w:val="20"/>
          <w:color w:val="auto"/>
        </w:rPr>
      </w:pPr>
      <w:r>
        <w:rPr>
          <w:rFonts w:ascii="Arial" w:cs="Arial" w:eastAsia="Arial" w:hAnsi="Arial"/>
          <w:sz w:val="19"/>
          <w:szCs w:val="19"/>
          <w:color w:val="auto"/>
        </w:rPr>
        <w:t>August 15, 2019</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[Name]</w:t>
            </w:r>
          </w:p>
        </w:tc>
        <w:tc>
          <w:tcPr>
            <w:tcW w:w="2720" w:type="dxa"/>
            <w:vAlign w:val="bottom"/>
          </w:tcPr>
          <w:p>
            <w:pPr>
              <w:jc w:val="right"/>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17754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640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amp;"/>
      <w:numFmt w:val="bullet"/>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90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2"/>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5"/>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5"/>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3"/>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2"/>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4"/>
    </w:lvl>
  </w:abstractNum>
  <w:abstractNum w:abstractNumId="65">
    <w:nsid w:val="1EBA5D23"/>
    <w:multiLevelType w:val="hybridMultilevel"/>
    <w:lvl w:ilvl="0">
      <w:lvlJc w:val="left"/>
      <w:lvlText w:val="%1."/>
      <w:numFmt w:val="decimal"/>
      <w:start w:val="8"/>
    </w:lvl>
  </w:abstractNum>
  <w:abstractNum w:abstractNumId="66">
    <w:nsid w:val="661E3F1E"/>
    <w:multiLevelType w:val="hybridMultilevel"/>
    <w:lvl w:ilvl="0">
      <w:lvlJc w:val="left"/>
      <w:lvlText w:val="(%1)"/>
      <w:numFmt w:val="lowerRoman"/>
      <w:start w:val="1"/>
    </w:lvl>
  </w:abstractNum>
  <w:abstractNum w:abstractNumId="67">
    <w:nsid w:val="5DC79EA8"/>
    <w:multiLevelType w:val="hybridMultilevel"/>
    <w:lvl w:ilvl="0">
      <w:lvlJc w:val="left"/>
      <w:lvlText w:val="(%1)"/>
      <w:numFmt w:val="lowerRoman"/>
      <w:start w:val="2"/>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6"/>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Roman"/>
      <w:start w:val="1"/>
    </w:lvl>
  </w:abstractNum>
  <w:abstractNum w:abstractNumId="79">
    <w:nsid w:val="68EB2F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jpeg"/><Relationship Id="rId93" Type="http://schemas.openxmlformats.org/officeDocument/2006/relationships/image" Target="media/image45.png"/><Relationship Id="rId94" Type="http://schemas.openxmlformats.org/officeDocument/2006/relationships/image" Target="media/image46.jpeg"/><Relationship Id="rId95" Type="http://schemas.openxmlformats.org/officeDocument/2006/relationships/image" Target="media/image47.png"/><Relationship Id="rId96" Type="http://schemas.openxmlformats.org/officeDocument/2006/relationships/image" Target="media/image48.png"/><Relationship Id="rId97" Type="http://schemas.openxmlformats.org/officeDocument/2006/relationships/image" Target="media/image49.png"/><Relationship Id="rId98" Type="http://schemas.openxmlformats.org/officeDocument/2006/relationships/image" Target="media/image50.png"/><Relationship Id="rId99" Type="http://schemas.openxmlformats.org/officeDocument/2006/relationships/image" Target="media/image51.png"/><Relationship Id="rId100" Type="http://schemas.openxmlformats.org/officeDocument/2006/relationships/image" Target="media/image52.png"/><Relationship Id="rId101" Type="http://schemas.openxmlformats.org/officeDocument/2006/relationships/image" Target="media/image53.png"/><Relationship Id="rId47" Type="http://schemas.openxmlformats.org/officeDocument/2006/relationships/hyperlink" Target="http://www.sec.gov/Archives/edgar/data/1070423/000110465917061889/a17-22685_5ex3d1.htm#Exhibit3_1_122228" TargetMode="External"/><Relationship Id="rId48" Type="http://schemas.openxmlformats.org/officeDocument/2006/relationships/hyperlink" Target="http://www.sec.gov/Archives/edgar/data/1070423/000104746904016502/a2135501zex-3_2.htm" TargetMode="External"/><Relationship Id="rId49" Type="http://schemas.openxmlformats.org/officeDocument/2006/relationships/hyperlink" Target="http://www.sec.gov/Archives/edgar/data/1070423/000110465911010359/a11-2319_1ex3d9.htm" TargetMode="External"/><Relationship Id="rId50" Type="http://schemas.openxmlformats.org/officeDocument/2006/relationships/hyperlink" Target="http://www.sec.gov/Archives/edgar/data/1070423/000110465911010359/a11-2319_1ex3d10.htm" TargetMode="External"/><Relationship Id="rId51" Type="http://schemas.openxmlformats.org/officeDocument/2006/relationships/hyperlink" Target="http://www.sec.gov/Archives/edgar/data/1070423/000110465914014322/a13-25941_1ex3d7.htm" TargetMode="External"/><Relationship Id="rId52" Type="http://schemas.openxmlformats.org/officeDocument/2006/relationships/hyperlink" Target="http://www.sec.gov/Archives/edgar/data/1070423/000110465914014322/a13-25941_1ex3d8.htm" TargetMode="External"/><Relationship Id="rId53" Type="http://schemas.openxmlformats.org/officeDocument/2006/relationships/hyperlink" Target="http://www.sec.gov/Archives/edgar/data/1070423/000104746904016502/a2135501zex-3_3.htm" TargetMode="External"/><Relationship Id="rId54" Type="http://schemas.openxmlformats.org/officeDocument/2006/relationships/hyperlink" Target="http://www.sec.gov/Archives/edgar/data/1070423/000110465914014322/a13-25941_1ex3d10.htm" TargetMode="External"/><Relationship Id="rId55" Type="http://schemas.openxmlformats.org/officeDocument/2006/relationships/hyperlink" Target="http://www.sec.gov/Archives/edgar/data/1070423/000110465916158355/a16-21841_1ex3d3.htm" TargetMode="External"/><Relationship Id="rId56" Type="http://schemas.openxmlformats.org/officeDocument/2006/relationships/hyperlink" Target="http://www.sec.gov/Archives/edgar/data/1070423/000110465916158355/a16-21841_1ex3d4.htm" TargetMode="External"/><Relationship Id="rId57" Type="http://schemas.openxmlformats.org/officeDocument/2006/relationships/hyperlink" Target="http://www.sec.gov/Archives/edgar/data/1070423/000110465918060011/a18-36196_1ex3d1.htm" TargetMode="External"/><Relationship Id="rId58" Type="http://schemas.openxmlformats.org/officeDocument/2006/relationships/hyperlink" Target="http://www.sec.gov/Archives/edgar/data/1070423/000110465919032810/a19-10856_1ex3d1.htm" TargetMode="External"/><Relationship Id="rId59" Type="http://schemas.openxmlformats.org/officeDocument/2006/relationships/hyperlink" Target="http://www.sec.gov/Archives/edgar/data/1070423/000095012907001096/h43224exv3w10.htm" TargetMode="External"/><Relationship Id="rId60" Type="http://schemas.openxmlformats.org/officeDocument/2006/relationships/hyperlink" Target="http://www.sec.gov/Archives/edgar/data/1070423/000095012907001096/h43224exv3w11.htm" TargetMode="External"/><Relationship Id="rId61" Type="http://schemas.openxmlformats.org/officeDocument/2006/relationships/hyperlink" Target="http://www.sec.gov/Archives/edgar/data/1070423/000095012908000071/h52770exv3w3.htm" TargetMode="External"/><Relationship Id="rId62" Type="http://schemas.openxmlformats.org/officeDocument/2006/relationships/hyperlink" Target="http://www.sec.gov/Archives/edgar/data/1581990/000104746913007875/a2216069zex-3_1.htm" TargetMode="External"/><Relationship Id="rId63" Type="http://schemas.openxmlformats.org/officeDocument/2006/relationships/hyperlink" Target="http://www.sec.gov/Archives/edgar/data/1581990/000110465916158356/a16-21845_1ex3d2.htm" TargetMode="External"/><Relationship Id="rId64" Type="http://schemas.openxmlformats.org/officeDocument/2006/relationships/hyperlink" Target="http://www.sec.gov/Archives/edgar/data/1581990/000104746913007875/a2216069zex-3_3.htm" TargetMode="External"/><Relationship Id="rId65" Type="http://schemas.openxmlformats.org/officeDocument/2006/relationships/hyperlink" Target="http://www.sec.gov/Archives/edgar/data/1070423/000110465917010601/a17-6891_1ex3d1.htm" TargetMode="External"/><Relationship Id="rId66" Type="http://schemas.openxmlformats.org/officeDocument/2006/relationships/hyperlink" Target="http://www.sec.gov/Archives/edgar/data/1070423/000110465918052848/a18-18381_3ex3d1.htm" TargetMode="External"/><Relationship Id="rId67" Type="http://schemas.openxmlformats.org/officeDocument/2006/relationships/hyperlink" Target="http://www.sec.gov/Archives/edgar/data/1070423/000110465918072384/a18-41341_1ex3d1.htm" TargetMode="External"/><Relationship Id="rId68" Type="http://schemas.openxmlformats.org/officeDocument/2006/relationships/hyperlink" Target="http://www.sec.gov/Archives/edgar/data/1070423/000089924302002834/dex41.txt" TargetMode="External"/><Relationship Id="rId69" Type="http://schemas.openxmlformats.org/officeDocument/2006/relationships/hyperlink" Target="http://www.sec.gov/Archives/edgar/data/1070423/000110465906034368/a06-11663_1ex4d1.htm" TargetMode="External"/><Relationship Id="rId70" Type="http://schemas.openxmlformats.org/officeDocument/2006/relationships/hyperlink" Target="http://www.sec.gov/Archives/edgar/data/1070423/000095012906009235/h40667exv4w2.htm" TargetMode="External"/><Relationship Id="rId71" Type="http://schemas.openxmlformats.org/officeDocument/2006/relationships/hyperlink" Target="http://www.sec.gov/Archives/edgar/data/1070423/000095012309041075/h67912exv4w1.htm" TargetMode="External"/><Relationship Id="rId72" Type="http://schemas.openxmlformats.org/officeDocument/2006/relationships/hyperlink" Target="http://www.sec.gov/Archives/edgar/data/1070423/000095012311002051/h78739exv4w1.htm" TargetMode="External"/><Relationship Id="rId73" Type="http://schemas.openxmlformats.org/officeDocument/2006/relationships/hyperlink" Target="http://www.sec.gov/Archives/edgar/data/1070423/000119312512132295/d321017dex41.htm" TargetMode="External"/><Relationship Id="rId74" Type="http://schemas.openxmlformats.org/officeDocument/2006/relationships/hyperlink" Target="http://www.sec.gov/Archives/edgar/data/1070423/000119312512132295/d321017dex43.htm" TargetMode="External"/><Relationship Id="rId75" Type="http://schemas.openxmlformats.org/officeDocument/2006/relationships/hyperlink" Target="http://www.sec.gov/Archives/edgar/data/1070423/000119312512499932/d453762dex41.htm" TargetMode="External"/><Relationship Id="rId76" Type="http://schemas.openxmlformats.org/officeDocument/2006/relationships/hyperlink" Target="http://www.sec.gov/Archives/edgar/data/1070423/000119312512499932/d453762dex43.htm" TargetMode="External"/><Relationship Id="rId77" Type="http://schemas.openxmlformats.org/officeDocument/2006/relationships/hyperlink" Target="http://www.sec.gov/Archives/edgar/data/1070423/000119312513336066/d581734dex41.htm" TargetMode="External"/><Relationship Id="rId78" Type="http://schemas.openxmlformats.org/officeDocument/2006/relationships/hyperlink" Target="http://www.sec.gov/Archives/edgar/data/1070423/000119312514164183/d713938dex41.htm" TargetMode="External"/><Relationship Id="rId79" Type="http://schemas.openxmlformats.org/officeDocument/2006/relationships/hyperlink" Target="http://www.sec.gov/Archives/edgar/data/1070423/000119312514338289/d787160dex41.htm" TargetMode="External"/><Relationship Id="rId80" Type="http://schemas.openxmlformats.org/officeDocument/2006/relationships/hyperlink" Target="http://www.sec.gov/Archives/edgar/data/1070423/000119312514440007/d833885dex41.htm" TargetMode="External"/><Relationship Id="rId81" Type="http://schemas.openxmlformats.org/officeDocument/2006/relationships/hyperlink" Target="http://www.sec.gov/Archives/edgar/data/1070423/000119312514440007/d833885dex43.htm" TargetMode="External"/><Relationship Id="rId82" Type="http://schemas.openxmlformats.org/officeDocument/2006/relationships/hyperlink" Target="http://www.sec.gov/Archives/edgar/data/1070423/000119312515302829/d45393dex41.htm" TargetMode="External"/><Relationship Id="rId83" Type="http://schemas.openxmlformats.org/officeDocument/2006/relationships/hyperlink" Target="http://www.sec.gov/Archives/edgar/data/1070423/000110465916159593/a16-22232_1ex4d1.htm" TargetMode="External"/><Relationship Id="rId84" Type="http://schemas.openxmlformats.org/officeDocument/2006/relationships/hyperlink" Target="http://www.sec.gov/Archives/edgar/data/1070423/000141057819001281/tv529555_ex4-1.htm" TargetMode="External"/><Relationship Id="rId85" Type="http://schemas.openxmlformats.org/officeDocument/2006/relationships/hyperlink" Target="http://www.sec.gov/Archives/edgar/data/1070423/000095012309050401/h68193exv4w1.htm" TargetMode="External"/><Relationship Id="rId86" Type="http://schemas.openxmlformats.org/officeDocument/2006/relationships/hyperlink" Target="http://www.sec.gov/Archives/edgar/data/1070423/000110465916093299/a16-3362_1ex4d1.htm" TargetMode="External"/><Relationship Id="rId87" Type="http://schemas.openxmlformats.org/officeDocument/2006/relationships/hyperlink" Target="http://www.sec.gov/Archives/edgar/data/1070423/000110465916158355/a16-21841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2019-11-28T11:51:25Z</dcterms:created>
  <dcterms:modified xsi:type="dcterms:W3CDTF">2019-11-28T11:51:25Z</dcterms:modified>
</cp:coreProperties>
</file>