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2 )*</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Limited Partnership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480" w:firstLine="8"/>
        <w:spacing w:after="0" w:line="232" w:lineRule="exact"/>
        <w:tabs>
          <w:tab w:leader="none" w:pos="7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2420" w:type="dxa"/>
            <w:vAlign w:val="bottom"/>
            <w:tcBorders>
              <w:top w:val="single" w:sz="8" w:color="auto"/>
              <w:lef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CUSIP NO. 72651A207</w:t>
            </w: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96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Page 1 of 9 Pages</w:t>
            </w: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right w:val="single" w:sz="8" w:color="auto"/>
            </w:tcBorders>
            <w:gridSpan w:val="2"/>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80" w:type="dxa"/>
            <w:vAlign w:val="bottom"/>
            <w:tcBorders>
              <w:bottom w:val="single" w:sz="8" w:color="auto"/>
            </w:tcBorders>
            <w:gridSpan w:val="3"/>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Energy Income Partners, LLC</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58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8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1640" w:type="dxa"/>
            <w:vAlign w:val="bottom"/>
            <w:tcBorders>
              <w:right w:val="single" w:sz="8" w:color="auto"/>
            </w:tcBorders>
            <w:gridSpan w:val="3"/>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11,311,752</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6"/>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10.</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gridSpan w:val="6"/>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11.</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6"/>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12.</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420" w:type="dxa"/>
            <w:vAlign w:val="bottom"/>
            <w:tcBorders>
              <w:top w:val="single" w:sz="8" w:color="auto"/>
              <w:lef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CUSIP NO. 72651A207</w:t>
            </w: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96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Page 2 of 9 Pages</w:t>
            </w: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80" w:type="dxa"/>
            <w:vAlign w:val="bottom"/>
            <w:tcBorders>
              <w:bottom w:val="single" w:sz="8" w:color="auto"/>
            </w:tcBorders>
            <w:gridSpan w:val="2"/>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James J. Murchie</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58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8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1640" w:type="dxa"/>
            <w:vAlign w:val="bottom"/>
            <w:tcBorders>
              <w:right w:val="single" w:sz="8" w:color="auto"/>
            </w:tcBorders>
            <w:gridSpan w:val="3"/>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11,311,752</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10.</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gridSpan w:val="5"/>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11.</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12.</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420" w:type="dxa"/>
            <w:vAlign w:val="bottom"/>
            <w:tcBorders>
              <w:top w:val="single" w:sz="8" w:color="auto"/>
              <w:lef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CUSIP NO. 72651A207</w:t>
            </w: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96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Page 3 of 9 Pages</w:t>
            </w: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80" w:type="dxa"/>
            <w:vAlign w:val="bottom"/>
            <w:tcBorders>
              <w:bottom w:val="single" w:sz="8" w:color="auto"/>
            </w:tcBorders>
            <w:gridSpan w:val="2"/>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Eva Pao</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58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8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1640" w:type="dxa"/>
            <w:vAlign w:val="bottom"/>
            <w:tcBorders>
              <w:right w:val="single" w:sz="8" w:color="auto"/>
            </w:tcBorders>
            <w:gridSpan w:val="3"/>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11,311,752</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10.</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gridSpan w:val="5"/>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11.</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12.</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420" w:type="dxa"/>
            <w:vAlign w:val="bottom"/>
            <w:tcBorders>
              <w:top w:val="single" w:sz="8" w:color="auto"/>
              <w:lef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CUSIP NO. 72651A207</w:t>
            </w: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96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Page 4 of 9 Pages</w:t>
            </w: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80" w:type="dxa"/>
            <w:vAlign w:val="bottom"/>
            <w:tcBorders>
              <w:bottom w:val="single" w:sz="8" w:color="auto"/>
            </w:tcBorders>
            <w:gridSpan w:val="2"/>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Saul Ballesteros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58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8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1640" w:type="dxa"/>
            <w:vAlign w:val="bottom"/>
            <w:tcBorders>
              <w:right w:val="single" w:sz="8" w:color="auto"/>
            </w:tcBorders>
            <w:gridSpan w:val="3"/>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11,311,752</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10.</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gridSpan w:val="5"/>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11.</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12.</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460" w:type="dxa"/>
            <w:vAlign w:val="bottom"/>
            <w:tcBorders>
              <w:top w:val="single" w:sz="8" w:color="auto"/>
              <w:lef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CUSIP NO. 72651A207</w:t>
            </w:r>
          </w:p>
        </w:tc>
        <w:tc>
          <w:tcPr>
            <w:tcW w:w="6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96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Page 5 of 9 Pages</w:t>
            </w: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80" w:type="dxa"/>
            <w:vAlign w:val="bottom"/>
            <w:tcBorders>
              <w:bottom w:val="single" w:sz="8" w:color="auto"/>
            </w:tcBorders>
            <w:gridSpan w:val="2"/>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John K. Tysseland</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58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8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18"/>
                <w:szCs w:val="18"/>
                <w:color w:val="auto"/>
              </w:rPr>
            </w:pPr>
          </w:p>
        </w:tc>
        <w:tc>
          <w:tcPr>
            <w:tcW w:w="64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1640" w:type="dxa"/>
            <w:vAlign w:val="bottom"/>
            <w:tcBorders>
              <w:right w:val="single" w:sz="8" w:color="auto"/>
            </w:tcBorders>
            <w:gridSpan w:val="3"/>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8"/>
                <w:szCs w:val="18"/>
                <w:color w:val="auto"/>
              </w:rPr>
            </w:pPr>
          </w:p>
        </w:tc>
        <w:tc>
          <w:tcPr>
            <w:tcW w:w="64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11,311,752</w:t>
            </w: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spacing w:after="0"/>
              <w:rPr>
                <w:sz w:val="18"/>
                <w:szCs w:val="18"/>
                <w:color w:val="auto"/>
              </w:rPr>
            </w:pPr>
          </w:p>
        </w:tc>
        <w:tc>
          <w:tcPr>
            <w:tcW w:w="4780" w:type="dxa"/>
            <w:vAlign w:val="bottom"/>
            <w:tcBorders>
              <w:bottom w:val="single" w:sz="8" w:color="auto"/>
            </w:tcBorders>
            <w:gridSpan w:val="2"/>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11,311,752</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10.</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gridSpan w:val="5"/>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11.</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5"/>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12.</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9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 w:name="page7"/>
    <w:bookmarkEnd w:id="6"/>
    <w:p>
      <w:pPr>
        <w:ind w:left="1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5197475</wp:posOffset>
            </wp:positionH>
            <wp:positionV relativeFrom="page">
              <wp:posOffset>157480</wp:posOffset>
            </wp:positionV>
            <wp:extent cx="214312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214312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222885"/>
                    </a:xfrm>
                    <a:prstGeom prst="rect">
                      <a:avLst/>
                    </a:prstGeom>
                    <a:noFill/>
                  </pic:spPr>
                </pic:pic>
              </a:graphicData>
            </a:graphic>
          </wp:anchor>
        </w:drawing>
        <w:t>CUSIP NO. 72651A207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6 of 9 Pages</w:t>
      </w:r>
    </w:p>
    <w:p>
      <w:pPr>
        <w:sectPr>
          <w:pgSz w:w="11900" w:h="16838" w:orient="portrait"/>
          <w:cols w:equalWidth="0" w:num="1">
            <w:col w:w="10720"/>
          </w:cols>
          <w:pgMar w:left="320" w:top="293" w:right="859" w:bottom="1440" w:gutter="0" w:footer="0" w:header="0"/>
        </w:sect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040" w:type="dxa"/>
            <w:vAlign w:val="bottom"/>
          </w:tcPr>
          <w:p>
            <w:pPr>
              <w:spacing w:after="0"/>
              <w:rPr>
                <w:sz w:val="20"/>
                <w:szCs w:val="20"/>
                <w:color w:val="auto"/>
              </w:rPr>
            </w:pP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16"/>
        </w:trPr>
        <w:tc>
          <w:tcPr>
            <w:tcW w:w="1040" w:type="dxa"/>
            <w:vAlign w:val="bottom"/>
          </w:tcPr>
          <w:p>
            <w:pPr>
              <w:spacing w:after="0"/>
              <w:rPr>
                <w:sz w:val="18"/>
                <w:szCs w:val="18"/>
                <w:color w:val="auto"/>
              </w:rPr>
            </w:pP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333 Clay Street, Suite 1600</w:t>
            </w:r>
          </w:p>
        </w:tc>
      </w:tr>
      <w:tr>
        <w:trPr>
          <w:trHeight w:val="234"/>
        </w:trPr>
        <w:tc>
          <w:tcPr>
            <w:tcW w:w="1040" w:type="dxa"/>
            <w:vAlign w:val="bottom"/>
          </w:tcPr>
          <w:p>
            <w:pPr>
              <w:spacing w:after="0"/>
              <w:rPr>
                <w:sz w:val="20"/>
                <w:szCs w:val="20"/>
                <w:color w:val="auto"/>
              </w:rPr>
            </w:pP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Houston, Texas 77002</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Eva Pao</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Saul Ballesteros</w:t>
            </w:r>
          </w:p>
        </w:tc>
      </w:tr>
      <w:tr>
        <w:trPr>
          <w:trHeight w:val="234"/>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John Tysseland</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16"/>
        </w:trPr>
        <w:tc>
          <w:tcPr>
            <w:tcW w:w="1040" w:type="dxa"/>
            <w:vAlign w:val="bottom"/>
          </w:tcPr>
          <w:p>
            <w:pPr>
              <w:spacing w:after="0"/>
              <w:rPr>
                <w:sz w:val="18"/>
                <w:szCs w:val="18"/>
                <w:color w:val="auto"/>
              </w:rPr>
            </w:pP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 Wright Street</w:t>
            </w:r>
          </w:p>
        </w:tc>
      </w:tr>
      <w:tr>
        <w:trPr>
          <w:trHeight w:val="234"/>
        </w:trPr>
        <w:tc>
          <w:tcPr>
            <w:tcW w:w="1040" w:type="dxa"/>
            <w:vAlign w:val="bottom"/>
          </w:tcPr>
          <w:p>
            <w:pPr>
              <w:spacing w:after="0"/>
              <w:rPr>
                <w:sz w:val="20"/>
                <w:szCs w:val="20"/>
                <w:color w:val="auto"/>
              </w:rPr>
            </w:pP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Westport, Connecticut 06880</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Income Partners, LLC is a Delaware limited liability company</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James Murchie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Eva Pao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Saul Ballesteros is a citizen of the United States of America</w:t>
            </w:r>
          </w:p>
        </w:tc>
      </w:tr>
      <w:tr>
        <w:trPr>
          <w:trHeight w:val="234"/>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John Tysseland is a citizen of the United States of America</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040" w:type="dxa"/>
            <w:vAlign w:val="bottom"/>
          </w:tcPr>
          <w:p>
            <w:pPr>
              <w:spacing w:after="0"/>
              <w:rPr>
                <w:sz w:val="20"/>
                <w:szCs w:val="20"/>
                <w:color w:val="auto"/>
              </w:rPr>
            </w:pP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Limited Partnership Interests</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040" w:type="dxa"/>
            <w:vAlign w:val="bottom"/>
          </w:tcPr>
          <w:p>
            <w:pPr>
              <w:spacing w:after="0"/>
              <w:rPr>
                <w:sz w:val="20"/>
                <w:szCs w:val="20"/>
                <w:color w:val="auto"/>
              </w:rPr>
            </w:pP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72651A207</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 240.13d-1(b), or 240.13d-2(b) or (c), check whether the person filing is a:</w:t>
            </w:r>
          </w:p>
        </w:tc>
      </w:tr>
    </w:tbl>
    <w:p>
      <w:pPr>
        <w:spacing w:after="0" w:line="157" w:lineRule="exact"/>
        <w:rPr>
          <w:sz w:val="20"/>
          <w:szCs w:val="20"/>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65" w:lineRule="exact"/>
        <w:rPr>
          <w:rFonts w:ascii="Times New Roman" w:cs="Times New Roman" w:eastAsia="Times New Roman" w:hAnsi="Times New Roman"/>
          <w:sz w:val="18"/>
          <w:szCs w:val="18"/>
          <w:color w:val="auto"/>
        </w:rPr>
      </w:pPr>
    </w:p>
    <w:p>
      <w:pPr>
        <w:ind w:left="1800" w:hanging="307"/>
        <w:spacing w:after="0"/>
        <w:tabs>
          <w:tab w:leader="none" w:pos="18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 240.13d-1(b)(1)(ii)(E);</w:t>
      </w:r>
    </w:p>
    <w:p>
      <w:pPr>
        <w:spacing w:after="0" w:line="184"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200" w:hanging="707"/>
        <w:spacing w:after="0" w:line="245" w:lineRule="exact"/>
        <w:tabs>
          <w:tab w:leader="none" w:pos="1808"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158"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1800" w:hanging="307"/>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320" w:top="293" w:right="859" w:bottom="1440" w:gutter="0" w:footer="0" w:header="0"/>
          <w:type w:val="continuous"/>
        </w:sectPr>
      </w:pPr>
    </w:p>
    <w:bookmarkStart w:id="7" w:name="page8"/>
    <w:bookmarkEnd w:id="7"/>
    <w:p>
      <w:pPr>
        <w:ind w:left="1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5197475</wp:posOffset>
            </wp:positionH>
            <wp:positionV relativeFrom="page">
              <wp:posOffset>157480</wp:posOffset>
            </wp:positionV>
            <wp:extent cx="214312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214312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222885"/>
                    </a:xfrm>
                    <a:prstGeom prst="rect">
                      <a:avLst/>
                    </a:prstGeom>
                    <a:noFill/>
                  </pic:spPr>
                </pic:pic>
              </a:graphicData>
            </a:graphic>
          </wp:anchor>
        </w:drawing>
        <w:t>CUSIP NO. 72651A207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7 of 9 Pages</w:t>
      </w:r>
    </w:p>
    <w:p>
      <w:pPr>
        <w:sectPr>
          <w:pgSz w:w="11900" w:h="16838" w:orient="portrait"/>
          <w:cols w:equalWidth="0" w:num="1">
            <w:col w:w="11220"/>
          </w:cols>
          <w:pgMar w:left="320" w:top="293"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980" w:type="dxa"/>
            <w:vAlign w:val="bottom"/>
          </w:tcPr>
          <w:p>
            <w:pPr>
              <w:spacing w:after="0"/>
              <w:rPr>
                <w:sz w:val="18"/>
                <w:szCs w:val="18"/>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Provide the following information regarding the aggregate number and percentage of the class of securities of the issuer identified in Item</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928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This Schedule 13G is being filed on behalf of (i) Energy Income Partners, LLC, a Delaware limited liability company; (ii) James J.</w:t>
            </w:r>
          </w:p>
        </w:tc>
      </w:tr>
      <w:tr>
        <w:trPr>
          <w:trHeight w:val="234"/>
        </w:trPr>
        <w:tc>
          <w:tcPr>
            <w:tcW w:w="980" w:type="dxa"/>
            <w:vAlign w:val="bottom"/>
          </w:tcPr>
          <w:p>
            <w:pPr>
              <w:spacing w:after="0"/>
              <w:rPr>
                <w:sz w:val="20"/>
                <w:szCs w:val="20"/>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Murchie; (iii) Eva Pao; (iv) Saul Ballesteros; and (v) John K. Tysseland.</w:t>
            </w:r>
          </w:p>
        </w:tc>
      </w:tr>
      <w:tr>
        <w:trPr>
          <w:trHeight w:val="414"/>
        </w:trPr>
        <w:tc>
          <w:tcPr>
            <w:tcW w:w="980" w:type="dxa"/>
            <w:vAlign w:val="bottom"/>
          </w:tcPr>
          <w:p>
            <w:pPr>
              <w:spacing w:after="0"/>
              <w:rPr>
                <w:sz w:val="24"/>
                <w:szCs w:val="24"/>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Ownership as of December 31, 2023, is incorporated by reference to items (5) - (9) and (11) of each of the cover pages of the Reporting</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Persons.</w:t>
            </w:r>
          </w:p>
        </w:tc>
        <w:tc>
          <w:tcPr>
            <w:tcW w:w="928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James J. Murchie, Eva Pao and John Tysseland are the Portfolio Managers with respect to portfolios managed by Energy Income</w:t>
            </w:r>
          </w:p>
        </w:tc>
      </w:tr>
      <w:tr>
        <w:trPr>
          <w:trHeight w:val="234"/>
        </w:trPr>
        <w:tc>
          <w:tcPr>
            <w:tcW w:w="980" w:type="dxa"/>
            <w:vAlign w:val="bottom"/>
          </w:tcPr>
          <w:p>
            <w:pPr>
              <w:spacing w:after="0"/>
              <w:rPr>
                <w:sz w:val="20"/>
                <w:szCs w:val="20"/>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Partners, LLC. Saul Ballesteros is a control person of Energy Income Partners, LLC.</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0"/>
        </w:trPr>
        <w:tc>
          <w:tcPr>
            <w:tcW w:w="980" w:type="dxa"/>
            <w:vAlign w:val="bottom"/>
          </w:tcPr>
          <w:p>
            <w:pPr>
              <w:spacing w:after="0"/>
              <w:rPr>
                <w:sz w:val="15"/>
                <w:szCs w:val="15"/>
                <w:color w:val="auto"/>
              </w:rPr>
            </w:pPr>
          </w:p>
        </w:tc>
        <w:tc>
          <w:tcPr>
            <w:tcW w:w="1024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980" w:type="dxa"/>
            <w:vAlign w:val="bottom"/>
          </w:tcPr>
          <w:p>
            <w:pPr>
              <w:spacing w:after="0"/>
              <w:rPr>
                <w:sz w:val="24"/>
                <w:szCs w:val="24"/>
                <w:color w:val="auto"/>
              </w:rPr>
            </w:pPr>
          </w:p>
        </w:tc>
        <w:tc>
          <w:tcPr>
            <w:tcW w:w="1024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8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16"/>
        </w:trPr>
        <w:tc>
          <w:tcPr>
            <w:tcW w:w="980" w:type="dxa"/>
            <w:vAlign w:val="bottom"/>
          </w:tcPr>
          <w:p>
            <w:pPr>
              <w:spacing w:after="0"/>
              <w:rPr>
                <w:sz w:val="18"/>
                <w:szCs w:val="18"/>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Energy Income Partners, LLC, serves as a sub-adviser to certain registered investment companies advised by First Trust Advisors LP</w:t>
            </w:r>
          </w:p>
        </w:tc>
      </w:tr>
      <w:tr>
        <w:trPr>
          <w:trHeight w:val="234"/>
        </w:trPr>
        <w:tc>
          <w:tcPr>
            <w:tcW w:w="980" w:type="dxa"/>
            <w:vAlign w:val="bottom"/>
          </w:tcPr>
          <w:p>
            <w:pPr>
              <w:spacing w:after="0"/>
              <w:rPr>
                <w:sz w:val="20"/>
                <w:szCs w:val="20"/>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(“Sub-Advised Funds”). As of December 31, 2023, the Sub-Advised Funds beneficially owned 5.2% of this share class.</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980" w:type="dxa"/>
            <w:vAlign w:val="bottom"/>
          </w:tcPr>
          <w:p>
            <w:pPr>
              <w:spacing w:after="0"/>
              <w:rPr>
                <w:sz w:val="19"/>
                <w:szCs w:val="19"/>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4"/>
        </w:trPr>
        <w:tc>
          <w:tcPr>
            <w:tcW w:w="980" w:type="dxa"/>
            <w:vAlign w:val="bottom"/>
          </w:tcPr>
          <w:p>
            <w:pPr>
              <w:spacing w:after="0"/>
              <w:rPr>
                <w:sz w:val="20"/>
                <w:szCs w:val="20"/>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(iii)</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 Pao</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(iv)</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Saul Ballesteros; and</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 Tysseland</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980" w:type="dxa"/>
            <w:vAlign w:val="bottom"/>
          </w:tcPr>
          <w:p>
            <w:pPr>
              <w:spacing w:after="0"/>
              <w:rPr>
                <w:sz w:val="20"/>
                <w:szCs w:val="20"/>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980" w:type="dxa"/>
            <w:vAlign w:val="bottom"/>
          </w:tcPr>
          <w:p>
            <w:pPr>
              <w:spacing w:after="0"/>
              <w:rPr>
                <w:sz w:val="18"/>
                <w:szCs w:val="18"/>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34"/>
        </w:trPr>
        <w:tc>
          <w:tcPr>
            <w:tcW w:w="980" w:type="dxa"/>
            <w:vAlign w:val="bottom"/>
          </w:tcPr>
          <w:p>
            <w:pPr>
              <w:spacing w:after="0"/>
              <w:rPr>
                <w:sz w:val="20"/>
                <w:szCs w:val="20"/>
                <w:color w:val="auto"/>
              </w:rPr>
            </w:pPr>
          </w:p>
        </w:tc>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bl>
    <w:p>
      <w:pPr>
        <w:ind w:left="1300" w:right="420"/>
        <w:spacing w:after="0" w:line="260" w:lineRule="auto"/>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84"/>
        </w:trPr>
        <w:tc>
          <w:tcPr>
            <w:tcW w:w="33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72651A207</w:t>
            </w:r>
          </w:p>
        </w:tc>
        <w:tc>
          <w:tcPr>
            <w:tcW w:w="450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Page 8 of 9 Pages</w:t>
            </w:r>
          </w:p>
        </w:tc>
      </w:tr>
      <w:tr>
        <w:trPr>
          <w:trHeight w:val="54"/>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 Energy Income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JOINT FILING</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Energy Income Partners, LLC, James J. Murchie, Eva Pao, Saul Ballesteros and John K. Tysseland </w:t>
      </w:r>
      <w:r>
        <w:rPr>
          <w:rFonts w:ascii="Times New Roman" w:cs="Times New Roman" w:eastAsia="Times New Roman" w:hAnsi="Times New Roman"/>
          <w:sz w:val="18"/>
          <w:szCs w:val="18"/>
          <w:color w:val="auto"/>
        </w:rPr>
        <w:t>hereby agree that the Statement on Schedule 13G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this agreement is attached as an exhibit as well as all future amendments to such Statement, shall be filed jointly on behalf of each of them. This agreement is intended to satisfy the requirements of Rule 13d-1(k)(1)(iii) under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J. Murchie</w:t>
            </w:r>
          </w:p>
        </w:tc>
        <w:tc>
          <w:tcPr>
            <w:tcW w:w="562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Energy Income Partners, LLC</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Title:Chief Executive Officer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Eva Pao</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Eva Pao</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Saul Ballesteros</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Saul Ballesteros</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 Trader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K. Tysseland</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K. Tysseland</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Portfolio Manager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2024-02-14T13:04:15Z</dcterms:created>
  <dcterms:modified xsi:type="dcterms:W3CDTF">2024-02-14T13:04:15Z</dcterms:modified>
</cp:coreProperties>
</file>