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12/28/2016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1"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2"/>
                <w:szCs w:val="2"/>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240" w:type="dxa"/>
            <w:vAlign w:val="bottom"/>
          </w:tcPr>
          <w:p>
            <w:pPr>
              <w:spacing w:after="0"/>
              <w:rPr>
                <w:sz w:val="11"/>
                <w:szCs w:val="11"/>
                <w:color w:val="auto"/>
              </w:rPr>
            </w:pPr>
          </w:p>
        </w:tc>
        <w:tc>
          <w:tcPr>
            <w:tcW w:w="33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TX</w:t>
            </w:r>
          </w:p>
        </w:tc>
        <w:tc>
          <w:tcPr>
            <w:tcW w:w="7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4"/>
                <w:szCs w:val="14"/>
                <w:color w:val="auto"/>
              </w:rPr>
            </w:pPr>
          </w:p>
        </w:tc>
        <w:tc>
          <w:tcPr>
            <w:tcW w:w="1620" w:type="dxa"/>
            <w:vAlign w:val="bottom"/>
            <w:gridSpan w:val="5"/>
          </w:tcPr>
          <w:p>
            <w:pPr>
              <w:ind w:left="160"/>
              <w:spacing w:after="0" w:line="170" w:lineRule="exact"/>
              <w:rPr>
                <w:sz w:val="20"/>
                <w:szCs w:val="20"/>
                <w:color w:val="auto"/>
              </w:rPr>
            </w:pPr>
            <w:r>
              <w:rPr>
                <w:rFonts w:ascii="Arial" w:cs="Arial" w:eastAsia="Arial" w:hAnsi="Arial"/>
                <w:sz w:val="18"/>
                <w:szCs w:val="18"/>
                <w:color w:val="0000FF"/>
              </w:rPr>
              <w:t>12/30/2016</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gridSpan w:val="3"/>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42"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9"/>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7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9"/>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8"/>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114"/>
              <w:spacing w:after="0"/>
              <w:rPr>
                <w:sz w:val="20"/>
                <w:szCs w:val="20"/>
                <w:color w:val="auto"/>
              </w:rPr>
            </w:pPr>
            <w:r>
              <w:rPr>
                <w:rFonts w:ascii="Arial" w:cs="Arial" w:eastAsia="Arial" w:hAnsi="Arial"/>
                <w:sz w:val="18"/>
                <w:szCs w:val="18"/>
                <w:color w:val="0000FF"/>
                <w:w w:val="99"/>
              </w:rPr>
              <w:t>12/28/2016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(1)(2)</w:t>
            </w:r>
          </w:p>
        </w:tc>
        <w:tc>
          <w:tcPr>
            <w:tcW w:w="1120" w:type="dxa"/>
            <w:vAlign w:val="bottom"/>
            <w:gridSpan w:val="2"/>
            <w:vMerge w:val="restart"/>
          </w:tcPr>
          <w:p>
            <w:pPr>
              <w:ind w:left="220"/>
              <w:spacing w:after="0"/>
              <w:rPr>
                <w:sz w:val="20"/>
                <w:szCs w:val="20"/>
                <w:color w:val="auto"/>
              </w:rPr>
            </w:pPr>
            <w:r>
              <w:rPr>
                <w:rFonts w:ascii="Arial" w:cs="Arial" w:eastAsia="Arial" w:hAnsi="Arial"/>
                <w:sz w:val="18"/>
                <w:szCs w:val="18"/>
                <w:color w:val="0000FF"/>
              </w:rPr>
              <w:t>168,063</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18"/>
                <w:szCs w:val="18"/>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(2)</w:t>
            </w:r>
          </w:p>
        </w:tc>
        <w:tc>
          <w:tcPr>
            <w:tcW w:w="240" w:type="dxa"/>
            <w:vAlign w:val="bottom"/>
          </w:tcPr>
          <w:p>
            <w:pPr>
              <w:spacing w:after="0"/>
              <w:rPr>
                <w:sz w:val="18"/>
                <w:szCs w:val="18"/>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244,875,989</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8"/>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8"/>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114"/>
              <w:spacing w:after="0"/>
              <w:rPr>
                <w:sz w:val="20"/>
                <w:szCs w:val="20"/>
                <w:color w:val="auto"/>
              </w:rPr>
            </w:pPr>
            <w:r>
              <w:rPr>
                <w:rFonts w:ascii="Arial" w:cs="Arial" w:eastAsia="Arial" w:hAnsi="Arial"/>
                <w:sz w:val="18"/>
                <w:szCs w:val="18"/>
                <w:color w:val="0000FF"/>
                <w:w w:val="99"/>
              </w:rPr>
              <w:t>12/29/2016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(1)(3)</w:t>
            </w:r>
          </w:p>
        </w:tc>
        <w:tc>
          <w:tcPr>
            <w:tcW w:w="1120" w:type="dxa"/>
            <w:vAlign w:val="bottom"/>
            <w:gridSpan w:val="2"/>
            <w:vMerge w:val="restart"/>
          </w:tcPr>
          <w:p>
            <w:pPr>
              <w:ind w:left="220"/>
              <w:spacing w:after="0"/>
              <w:rPr>
                <w:sz w:val="20"/>
                <w:szCs w:val="20"/>
                <w:color w:val="auto"/>
              </w:rPr>
            </w:pPr>
            <w:r>
              <w:rPr>
                <w:rFonts w:ascii="Arial" w:cs="Arial" w:eastAsia="Arial" w:hAnsi="Arial"/>
                <w:sz w:val="18"/>
                <w:szCs w:val="18"/>
                <w:color w:val="0000FF"/>
              </w:rPr>
              <w:t>124,800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18"/>
                <w:szCs w:val="18"/>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(3)</w:t>
            </w:r>
          </w:p>
        </w:tc>
        <w:tc>
          <w:tcPr>
            <w:tcW w:w="240" w:type="dxa"/>
            <w:vAlign w:val="bottom"/>
          </w:tcPr>
          <w:p>
            <w:pPr>
              <w:spacing w:after="0"/>
              <w:rPr>
                <w:sz w:val="18"/>
                <w:szCs w:val="18"/>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245,000,789</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8"/>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8"/>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40" w:type="dxa"/>
            <w:vAlign w:val="bottom"/>
            <w:gridSpan w:val="15"/>
          </w:tcPr>
          <w:p>
            <w:pPr>
              <w:jc w:val="center"/>
              <w:ind w:left="5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700" w:type="dxa"/>
            <w:vAlign w:val="bottom"/>
          </w:tcPr>
          <w:p>
            <w:pPr>
              <w:ind w:left="38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700" w:type="dxa"/>
            <w:vAlign w:val="bottom"/>
          </w:tcPr>
          <w:p>
            <w:pPr>
              <w:ind w:left="38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Plains All American 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176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17690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w w:val="95"/>
              </w:rPr>
              <w:t>333 CLAY STREET,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7">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60" w:firstLine="9"/>
        <w:spacing w:after="0" w:line="228"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that certain Omnibus Agreement (the "Omnibus Agreement") dated November 15, 2016, by and among PAA GP Holdings LLC ("PAGP GP"), Plains GP Holdings, L.P. ("PAGP"), Plains All American GP LLC ("GP LLC"), Plains AAP, L.P. ("AAP"), PAA GP LLC and the Issuer, PAGP has agreed to use the net proceeds from any public or private offering and sale of PAGP's Class A shares to purchase from AAP a number of AAP Class A units equal to the number of Class A shares sold in such offering at a price equal to the net proceeds from such offering. The Omnibus Agreement also provides that immediately following such purchase and sale, AAP will use the net proceeds it receives from such sale of AAP Class A units to PAGP to purchase from PAA an equivalent number of common units representing limited partner interests of PAA ("Common Units").</w:t>
      </w:r>
    </w:p>
    <w:p>
      <w:pPr>
        <w:spacing w:after="0" w:line="32" w:lineRule="exact"/>
        <w:rPr>
          <w:rFonts w:ascii="Arial" w:cs="Arial" w:eastAsia="Arial" w:hAnsi="Arial"/>
          <w:sz w:val="14"/>
          <w:szCs w:val="14"/>
          <w:color w:val="008000"/>
        </w:rPr>
      </w:pPr>
    </w:p>
    <w:p>
      <w:pPr>
        <w:ind w:left="2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December 28, 2016, PAGP sold an aggregate 168,063 Class A shares and used the net proceeds therefrom ($5,857,320.94) to purchase an equivalent number of Class A units of AAP. AAP used such net proceeds to purchase an equivalent number of Common Units from PAA.</w:t>
      </w:r>
    </w:p>
    <w:p>
      <w:pPr>
        <w:spacing w:after="0" w:line="30" w:lineRule="exact"/>
        <w:rPr>
          <w:rFonts w:ascii="Arial" w:cs="Arial" w:eastAsia="Arial" w:hAnsi="Arial"/>
          <w:sz w:val="14"/>
          <w:szCs w:val="14"/>
          <w:color w:val="008000"/>
        </w:rPr>
      </w:pPr>
    </w:p>
    <w:p>
      <w:pPr>
        <w:ind w:left="2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December 29, 2016, PAGP sold an aggregate 124,800 Class A shares and used the net proceeds therefrom ($4,272,457.63) to purchase an equivalent number of Class A units of AAP. AAP used such net proceeds to purchase an equivalent number of Common Units from PAA.</w:t>
      </w:r>
    </w:p>
    <w:p>
      <w:pPr>
        <w:spacing w:after="0" w:line="30" w:lineRule="exact"/>
        <w:rPr>
          <w:rFonts w:ascii="Arial" w:cs="Arial" w:eastAsia="Arial" w:hAnsi="Arial"/>
          <w:sz w:val="14"/>
          <w:szCs w:val="14"/>
          <w:color w:val="008000"/>
        </w:rPr>
      </w:pPr>
    </w:p>
    <w:p>
      <w:pPr>
        <w:jc w:val="both"/>
        <w:ind w:left="20" w:firstLine="9"/>
        <w:spacing w:after="0" w:line="233"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PAA GP Holdings LLC ("PAGP GP") is the general partner of Plains GP Holdings, L.P. ("PAGP"), which is the managing member of Plains All American GP LLC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This amendment is filed to reflect that the reporting persons are directors in addition to 10% owners and to modify the transaction code for the transactions reported herein from "P" to "A".</w:t>
      </w:r>
    </w:p>
    <w:p>
      <w:pPr>
        <w:spacing w:after="0" w:line="71"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6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6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7"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2020-01-15T23:24:37Z</dcterms:created>
  <dcterms:modified xsi:type="dcterms:W3CDTF">2020-01-15T23:24:37Z</dcterms:modified>
</cp:coreProperties>
</file>