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3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5302250</wp:posOffset>
            </wp:positionH>
            <wp:positionV relativeFrom="paragraph">
              <wp:posOffset>-638175</wp:posOffset>
            </wp:positionV>
            <wp:extent cx="59055" cy="6515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4023995</wp:posOffset>
            </wp:positionH>
            <wp:positionV relativeFrom="paragraph">
              <wp:posOffset>-638175</wp:posOffset>
            </wp:positionV>
            <wp:extent cx="59055" cy="6515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-1596390</wp:posOffset>
            </wp:positionH>
            <wp:positionV relativeFrom="paragraph">
              <wp:posOffset>25400</wp:posOffset>
            </wp:positionV>
            <wp:extent cx="6991350" cy="50615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5061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20"/>
            <w:col w:w="85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Pruner Alexandra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80"/>
              <w:spacing w:after="0" w:line="106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5,816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1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5,816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08/12/2022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-2150110</wp:posOffset>
            </wp:positionV>
            <wp:extent cx="29210" cy="2155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5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Class A share is deliverable for each Phantom Class A share that vests.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Ann F. Gullion,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08/16/2022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45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Alexandra Pruner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-18415</wp:posOffset>
            </wp:positionV>
            <wp:extent cx="12331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-85090</wp:posOffset>
            </wp:positionV>
            <wp:extent cx="4946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59034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2022-08-16T15:47:36Z</dcterms:created>
  <dcterms:modified xsi:type="dcterms:W3CDTF">2022-08-16T15:47:36Z</dcterms:modified>
</cp:coreProperties>
</file>