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80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80" w:type="dxa"/>
            <w:vAlign w:val="bottom"/>
          </w:tcPr>
          <w:p>
            <w:pPr>
              <w:jc w:val="center"/>
              <w:ind w:right="37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7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7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80" w:type="dxa"/>
            <w:vAlign w:val="bottom"/>
            <w:vMerge w:val="restart"/>
          </w:tcPr>
          <w:p>
            <w:pPr>
              <w:jc w:val="center"/>
              <w:ind w:right="3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5375910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4037330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wp:posOffset>
            </wp:positionV>
            <wp:extent cx="7280910" cy="9341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0910" cy="9341485"/>
                    </a:xfrm>
                    <a:prstGeom prst="rect">
                      <a:avLst/>
                    </a:prstGeom>
                    <a:noFill/>
                  </pic:spPr>
                </pic:pic>
              </a:graphicData>
            </a:graphic>
          </wp:anchor>
        </w:drawing>
      </w:r>
    </w:p>
    <w:p>
      <w:pPr>
        <w:spacing w:after="0" w:line="84" w:lineRule="exact"/>
        <w:rPr>
          <w:sz w:val="24"/>
          <w:szCs w:val="24"/>
          <w:color w:val="auto"/>
        </w:rPr>
      </w:pPr>
    </w:p>
    <w:p>
      <w:pPr>
        <w:sectPr>
          <w:pgSz w:w="11900" w:h="16838" w:orient="portrait"/>
          <w:cols w:equalWidth="0" w:num="2">
            <w:col w:w="2220" w:space="620"/>
            <w:col w:w="8680"/>
          </w:cols>
          <w:pgMar w:left="240" w:top="219" w:right="13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EMG Investment, LLC</w:t>
        </w:r>
      </w:hyperlink>
    </w:p>
    <w:p>
      <w:pPr>
        <w:spacing w:after="0" w:line="303"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line="361" w:lineRule="auto"/>
        <w:rPr>
          <w:sz w:val="20"/>
          <w:szCs w:val="20"/>
          <w:color w:val="auto"/>
        </w:rPr>
      </w:pPr>
      <w:r>
        <w:rPr>
          <w:rFonts w:ascii="Arial" w:cs="Arial" w:eastAsia="Arial" w:hAnsi="Arial"/>
          <w:sz w:val="16"/>
          <w:szCs w:val="16"/>
          <w:color w:val="0000FF"/>
        </w:rPr>
        <w:t>C/O THE ENERGY &amp; MINERALS GROUP, LP 2229 SAN FELIPE STREET, SUITE 1300</w:t>
      </w:r>
    </w:p>
    <w:p>
      <w:pPr>
        <w:spacing w:after="0" w:line="17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6"/>
          <w:szCs w:val="16"/>
          <w:color w:val="0000FF"/>
        </w:rPr>
        <w:t>HOUSTON</w:t>
      </w:r>
      <w:r>
        <w:rPr>
          <w:sz w:val="20"/>
          <w:szCs w:val="20"/>
          <w:color w:val="auto"/>
        </w:rPr>
        <w:tab/>
      </w:r>
      <w:r>
        <w:rPr>
          <w:rFonts w:ascii="Arial" w:cs="Arial" w:eastAsia="Arial" w:hAnsi="Arial"/>
          <w:sz w:val="16"/>
          <w:szCs w:val="16"/>
          <w:color w:val="0000FF"/>
        </w:rPr>
        <w:t>TX</w:t>
      </w:r>
      <w:r>
        <w:rPr>
          <w:sz w:val="20"/>
          <w:szCs w:val="20"/>
          <w:color w:val="auto"/>
        </w:rPr>
        <w:tab/>
      </w:r>
      <w:r>
        <w:rPr>
          <w:rFonts w:ascii="Arial" w:cs="Arial" w:eastAsia="Arial" w:hAnsi="Arial"/>
          <w:sz w:val="15"/>
          <w:szCs w:val="15"/>
          <w:color w:val="0000FF"/>
        </w:rPr>
        <w:t>77019</w:t>
      </w:r>
    </w:p>
    <w:p>
      <w:pPr>
        <w:spacing w:after="0" w:line="32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940" w:type="dxa"/>
            <w:vAlign w:val="bottom"/>
            <w:gridSpan w:val="3"/>
          </w:tcPr>
          <w:p>
            <w:pPr>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PLAINS ALL AMERICAN PIPELINE LP </w:t>
              </w:r>
            </w:hyperlink>
            <w:r>
              <w:rPr>
                <w:rFonts w:ascii="Arial" w:cs="Arial" w:eastAsia="Arial" w:hAnsi="Arial"/>
                <w:sz w:val="15"/>
                <w:szCs w:val="15"/>
                <w:color w:val="000000"/>
              </w:rPr>
              <w: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w w:val="94"/>
              </w:rPr>
              <w:t>(Check all applicable)</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380" w:type="dxa"/>
            <w:vAlign w:val="bottom"/>
            <w:tcBorders>
              <w:bottom w:val="single" w:sz="8" w:color="0000EE"/>
            </w:tcBorders>
          </w:tcPr>
          <w:p>
            <w:pPr>
              <w:spacing w:after="0"/>
              <w:rPr>
                <w:sz w:val="3"/>
                <w:szCs w:val="3"/>
                <w:color w:val="auto"/>
              </w:rPr>
            </w:pPr>
          </w:p>
        </w:tc>
        <w:tc>
          <w:tcPr>
            <w:tcW w:w="440" w:type="dxa"/>
            <w:vAlign w:val="bottom"/>
          </w:tcPr>
          <w:p>
            <w:pPr>
              <w:spacing w:after="0"/>
              <w:rPr>
                <w:sz w:val="3"/>
                <w:szCs w:val="3"/>
                <w:color w:val="auto"/>
              </w:rPr>
            </w:pPr>
          </w:p>
        </w:tc>
        <w:tc>
          <w:tcPr>
            <w:tcW w:w="12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3940" w:type="dxa"/>
            <w:vAlign w:val="bottom"/>
            <w:gridSpan w:val="3"/>
            <w:vMerge w:val="restart"/>
          </w:tcPr>
          <w:p>
            <w:pPr>
              <w:spacing w:after="0"/>
              <w:rPr>
                <w:sz w:val="20"/>
                <w:szCs w:val="20"/>
                <w:color w:val="auto"/>
              </w:rPr>
            </w:pPr>
            <w:r>
              <w:rPr>
                <w:rFonts w:ascii="Arial" w:cs="Arial" w:eastAsia="Arial" w:hAnsi="Arial"/>
                <w:sz w:val="16"/>
                <w:szCs w:val="16"/>
                <w:color w:val="0000FF"/>
              </w:rPr>
              <w:t xml:space="preserve">PAA </w:t>
            </w:r>
            <w:r>
              <w:rPr>
                <w:rFonts w:ascii="Arial" w:cs="Arial" w:eastAsia="Arial" w:hAnsi="Arial"/>
                <w:sz w:val="20"/>
                <w:szCs w:val="20"/>
                <w:color w:val="000000"/>
              </w:rPr>
              <w:t>]</w:t>
            </w:r>
          </w:p>
        </w:tc>
        <w:tc>
          <w:tcPr>
            <w:tcW w:w="12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3940" w:type="dxa"/>
            <w:vAlign w:val="bottom"/>
            <w:gridSpan w:val="3"/>
            <w:vMerge w:val="continue"/>
          </w:tcPr>
          <w:p>
            <w:pPr>
              <w:spacing w:after="0"/>
              <w:rPr>
                <w:sz w:val="11"/>
                <w:szCs w:val="11"/>
                <w:color w:val="auto"/>
              </w:rPr>
            </w:pPr>
          </w:p>
        </w:tc>
        <w:tc>
          <w:tcPr>
            <w:tcW w:w="1700" w:type="dxa"/>
            <w:vAlign w:val="bottom"/>
            <w:gridSpan w:val="2"/>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X</w:t>
            </w: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3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6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color w:val="0000FF"/>
                <w:w w:val="90"/>
              </w:rPr>
              <w:t>See Remarks</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8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2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80" w:type="dxa"/>
            <w:vAlign w:val="bottom"/>
            <w:gridSpan w:val="2"/>
            <w:vMerge w:val="continue"/>
          </w:tcPr>
          <w:p>
            <w:pPr>
              <w:spacing w:after="0"/>
              <w:rPr>
                <w:sz w:val="7"/>
                <w:szCs w:val="7"/>
                <w:color w:val="auto"/>
              </w:rPr>
            </w:pPr>
          </w:p>
        </w:tc>
        <w:tc>
          <w:tcPr>
            <w:tcW w:w="3820" w:type="dxa"/>
            <w:vAlign w:val="bottom"/>
            <w:gridSpan w:val="2"/>
            <w:vMerge w:val="continue"/>
          </w:tcPr>
          <w:p>
            <w:pPr>
              <w:spacing w:after="0"/>
              <w:rPr>
                <w:sz w:val="7"/>
                <w:szCs w:val="7"/>
                <w:color w:val="auto"/>
              </w:rPr>
            </w:pPr>
          </w:p>
        </w:tc>
        <w:tc>
          <w:tcPr>
            <w:tcW w:w="1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560" w:type="dxa"/>
            <w:vAlign w:val="bottom"/>
            <w:gridSpan w:val="3"/>
          </w:tcPr>
          <w:p>
            <w:pPr>
              <w:ind w:left="60"/>
              <w:spacing w:after="0"/>
              <w:rPr>
                <w:sz w:val="20"/>
                <w:szCs w:val="20"/>
                <w:color w:val="auto"/>
              </w:rPr>
            </w:pPr>
            <w:r>
              <w:rPr>
                <w:rFonts w:ascii="Arial" w:cs="Arial" w:eastAsia="Arial" w:hAnsi="Arial"/>
                <w:sz w:val="16"/>
                <w:szCs w:val="16"/>
                <w:color w:val="0000FF"/>
              </w:rPr>
              <w:t>05/23/2019</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38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3420" w:type="dxa"/>
            <w:vAlign w:val="bottom"/>
            <w:tcBorders>
              <w:bottom w:val="single" w:sz="8" w:color="2C2C2C"/>
            </w:tcBorders>
            <w:gridSpan w:val="4"/>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20" w:type="dxa"/>
            <w:vAlign w:val="bottom"/>
            <w:gridSpan w:val="4"/>
          </w:tcPr>
          <w:p>
            <w:pPr>
              <w:ind w:left="6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20" w:type="dxa"/>
            <w:vAlign w:val="bottom"/>
            <w:gridSpan w:val="4"/>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bl>
    <w:p>
      <w:pPr>
        <w:spacing w:after="0" w:line="452" w:lineRule="exact"/>
        <w:rPr>
          <w:sz w:val="24"/>
          <w:szCs w:val="24"/>
          <w:color w:val="auto"/>
        </w:rPr>
      </w:pPr>
    </w:p>
    <w:p>
      <w:pPr>
        <w:sectPr>
          <w:pgSz w:w="11900" w:h="16838" w:orient="portrait"/>
          <w:cols w:equalWidth="0" w:num="2">
            <w:col w:w="3360" w:space="640"/>
            <w:col w:w="7520"/>
          </w:cols>
          <w:pgMar w:left="240" w:top="219" w:right="13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48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60" w:type="dxa"/>
            <w:vAlign w:val="bottom"/>
            <w:gridSpan w:val="3"/>
          </w:tcPr>
          <w:p>
            <w:pPr>
              <w:ind w:left="920"/>
              <w:spacing w:after="0" w:line="123"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120" w:type="dxa"/>
            <w:vAlign w:val="bottom"/>
            <w:gridSpan w:val="4"/>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10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60" w:type="dxa"/>
            <w:vAlign w:val="bottom"/>
            <w:gridSpan w:val="3"/>
          </w:tcPr>
          <w:p>
            <w:pPr>
              <w:jc w:val="center"/>
              <w:ind w:left="835"/>
              <w:spacing w:after="0"/>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 Reported</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0"/>
                <w:szCs w:val="10"/>
                <w:color w:val="auto"/>
              </w:rPr>
            </w:pPr>
          </w:p>
        </w:tc>
        <w:tc>
          <w:tcPr>
            <w:tcW w:w="48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8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8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Units</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46"/>
              <w:spacing w:after="0"/>
              <w:rPr>
                <w:sz w:val="20"/>
                <w:szCs w:val="20"/>
                <w:color w:val="auto"/>
              </w:rPr>
            </w:pPr>
            <w:r>
              <w:rPr>
                <w:rFonts w:ascii="Arial" w:cs="Arial" w:eastAsia="Arial" w:hAnsi="Arial"/>
                <w:sz w:val="16"/>
                <w:szCs w:val="16"/>
                <w:color w:val="0000FF"/>
                <w:w w:val="94"/>
              </w:rPr>
              <w:t>05/23/2019</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(1)(2)</w:t>
            </w:r>
          </w:p>
        </w:tc>
        <w:tc>
          <w:tcPr>
            <w:tcW w:w="84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4,013,478</w:t>
            </w:r>
          </w:p>
        </w:tc>
        <w:tc>
          <w:tcPr>
            <w:tcW w:w="48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800" w:type="dxa"/>
            <w:vAlign w:val="bottom"/>
            <w:tcBorders>
              <w:bottom w:val="single" w:sz="8" w:color="2C2C2C"/>
            </w:tcBorders>
          </w:tcPr>
          <w:p>
            <w:pPr>
              <w:jc w:val="center"/>
              <w:ind w:left="75"/>
              <w:spacing w:after="0"/>
              <w:rPr>
                <w:sz w:val="20"/>
                <w:szCs w:val="20"/>
                <w:color w:val="auto"/>
              </w:rPr>
            </w:pPr>
            <w:r>
              <w:rPr>
                <w:rFonts w:ascii="Arial" w:cs="Arial" w:eastAsia="Arial" w:hAnsi="Arial"/>
                <w:sz w:val="11"/>
                <w:szCs w:val="11"/>
                <w:color w:val="008000"/>
                <w:w w:val="96"/>
              </w:rPr>
              <w:t>(1)(2)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6"/>
              </w:rPr>
              <w:t>4,013,478</w:t>
            </w:r>
            <w:r>
              <w:rPr>
                <w:rFonts w:ascii="Arial" w:cs="Arial" w:eastAsia="Arial" w:hAnsi="Arial"/>
                <w:sz w:val="21"/>
                <w:szCs w:val="21"/>
                <w:color w:val="008000"/>
                <w:w w:val="86"/>
                <w:vertAlign w:val="superscript"/>
              </w:rPr>
              <w:t>(8)</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Units</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46"/>
              <w:spacing w:after="0"/>
              <w:rPr>
                <w:sz w:val="20"/>
                <w:szCs w:val="20"/>
                <w:color w:val="auto"/>
              </w:rPr>
            </w:pPr>
            <w:r>
              <w:rPr>
                <w:rFonts w:ascii="Arial" w:cs="Arial" w:eastAsia="Arial" w:hAnsi="Arial"/>
                <w:sz w:val="16"/>
                <w:szCs w:val="16"/>
                <w:color w:val="0000FF"/>
                <w:w w:val="94"/>
              </w:rPr>
              <w:t>05/23/2019</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(1)(2)</w:t>
            </w:r>
          </w:p>
        </w:tc>
        <w:tc>
          <w:tcPr>
            <w:tcW w:w="84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4,013,478</w:t>
            </w:r>
          </w:p>
        </w:tc>
        <w:tc>
          <w:tcPr>
            <w:tcW w:w="48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800" w:type="dxa"/>
            <w:vAlign w:val="bottom"/>
            <w:tcBorders>
              <w:bottom w:val="single" w:sz="8" w:color="2C2C2C"/>
            </w:tcBorders>
          </w:tcPr>
          <w:p>
            <w:pPr>
              <w:jc w:val="center"/>
              <w:ind w:left="75"/>
              <w:spacing w:after="0"/>
              <w:rPr>
                <w:sz w:val="20"/>
                <w:szCs w:val="20"/>
                <w:color w:val="auto"/>
              </w:rPr>
            </w:pPr>
            <w:r>
              <w:rPr>
                <w:rFonts w:ascii="Arial" w:cs="Arial" w:eastAsia="Arial" w:hAnsi="Arial"/>
                <w:sz w:val="11"/>
                <w:szCs w:val="11"/>
                <w:color w:val="008000"/>
                <w:w w:val="96"/>
              </w:rPr>
              <w:t>(1)(2)</w:t>
            </w:r>
          </w:p>
        </w:tc>
        <w:tc>
          <w:tcPr>
            <w:tcW w:w="760" w:type="dxa"/>
            <w:vAlign w:val="bottom"/>
            <w:tcBorders>
              <w:bottom w:val="single" w:sz="8" w:color="2C2C2C"/>
            </w:tcBorders>
            <w:gridSpan w:val="2"/>
          </w:tcPr>
          <w:p>
            <w:pPr>
              <w:jc w:val="center"/>
              <w:ind w:left="371"/>
              <w:spacing w:after="0"/>
              <w:rPr>
                <w:sz w:val="20"/>
                <w:szCs w:val="20"/>
                <w:color w:val="auto"/>
              </w:rPr>
            </w:pPr>
            <w:r>
              <w:rPr>
                <w:rFonts w:ascii="Arial" w:cs="Arial" w:eastAsia="Arial" w:hAnsi="Arial"/>
                <w:sz w:val="16"/>
                <w:szCs w:val="16"/>
                <w:color w:val="0000FF"/>
                <w:w w:val="89"/>
              </w:rPr>
              <w:t>0</w:t>
            </w: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Units</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46"/>
              <w:spacing w:after="0"/>
              <w:rPr>
                <w:sz w:val="20"/>
                <w:szCs w:val="20"/>
                <w:color w:val="auto"/>
              </w:rPr>
            </w:pPr>
            <w:r>
              <w:rPr>
                <w:rFonts w:ascii="Arial" w:cs="Arial" w:eastAsia="Arial" w:hAnsi="Arial"/>
                <w:sz w:val="16"/>
                <w:szCs w:val="16"/>
                <w:color w:val="0000FF"/>
                <w:w w:val="94"/>
              </w:rPr>
              <w:t>05/28/2019</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(5)(6)</w:t>
            </w:r>
          </w:p>
        </w:tc>
        <w:tc>
          <w:tcPr>
            <w:tcW w:w="84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8,179,284</w:t>
            </w:r>
          </w:p>
        </w:tc>
        <w:tc>
          <w:tcPr>
            <w:tcW w:w="48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800" w:type="dxa"/>
            <w:vAlign w:val="bottom"/>
            <w:tcBorders>
              <w:bottom w:val="single" w:sz="8" w:color="2C2C2C"/>
            </w:tcBorders>
          </w:tcPr>
          <w:p>
            <w:pPr>
              <w:jc w:val="center"/>
              <w:ind w:left="75"/>
              <w:spacing w:after="0"/>
              <w:rPr>
                <w:sz w:val="20"/>
                <w:szCs w:val="20"/>
                <w:color w:val="auto"/>
              </w:rPr>
            </w:pPr>
            <w:r>
              <w:rPr>
                <w:rFonts w:ascii="Arial" w:cs="Arial" w:eastAsia="Arial" w:hAnsi="Arial"/>
                <w:sz w:val="11"/>
                <w:szCs w:val="11"/>
                <w:color w:val="008000"/>
                <w:w w:val="96"/>
              </w:rPr>
              <w:t>(5)(6)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6"/>
              </w:rPr>
              <w:t>8,179,284</w:t>
            </w:r>
            <w:r>
              <w:rPr>
                <w:rFonts w:ascii="Arial" w:cs="Arial" w:eastAsia="Arial" w:hAnsi="Arial"/>
                <w:sz w:val="21"/>
                <w:szCs w:val="21"/>
                <w:color w:val="008000"/>
                <w:w w:val="86"/>
                <w:vertAlign w:val="superscript"/>
              </w:rPr>
              <w:t>(8)</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Units</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46"/>
              <w:spacing w:after="0"/>
              <w:rPr>
                <w:sz w:val="20"/>
                <w:szCs w:val="20"/>
                <w:color w:val="auto"/>
              </w:rPr>
            </w:pPr>
            <w:r>
              <w:rPr>
                <w:rFonts w:ascii="Arial" w:cs="Arial" w:eastAsia="Arial" w:hAnsi="Arial"/>
                <w:sz w:val="16"/>
                <w:szCs w:val="16"/>
                <w:color w:val="0000FF"/>
                <w:w w:val="94"/>
              </w:rPr>
              <w:t>05/28/2019</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(5)(6)</w:t>
            </w:r>
          </w:p>
        </w:tc>
        <w:tc>
          <w:tcPr>
            <w:tcW w:w="84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8,179,284</w:t>
            </w:r>
          </w:p>
        </w:tc>
        <w:tc>
          <w:tcPr>
            <w:tcW w:w="48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800" w:type="dxa"/>
            <w:vAlign w:val="bottom"/>
            <w:tcBorders>
              <w:bottom w:val="single" w:sz="8" w:color="2C2C2C"/>
            </w:tcBorders>
          </w:tcPr>
          <w:p>
            <w:pPr>
              <w:jc w:val="center"/>
              <w:ind w:left="75"/>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23.1</w:t>
            </w:r>
          </w:p>
        </w:tc>
        <w:tc>
          <w:tcPr>
            <w:tcW w:w="760" w:type="dxa"/>
            <w:vAlign w:val="bottom"/>
            <w:tcBorders>
              <w:bottom w:val="single" w:sz="8" w:color="2C2C2C"/>
            </w:tcBorders>
            <w:gridSpan w:val="2"/>
          </w:tcPr>
          <w:p>
            <w:pPr>
              <w:jc w:val="center"/>
              <w:ind w:left="371"/>
              <w:spacing w:after="0"/>
              <w:rPr>
                <w:sz w:val="20"/>
                <w:szCs w:val="20"/>
                <w:color w:val="auto"/>
              </w:rPr>
            </w:pPr>
            <w:r>
              <w:rPr>
                <w:rFonts w:ascii="Arial" w:cs="Arial" w:eastAsia="Arial" w:hAnsi="Arial"/>
                <w:sz w:val="16"/>
                <w:szCs w:val="16"/>
                <w:color w:val="0000FF"/>
                <w:w w:val="89"/>
              </w:rPr>
              <w:t>0</w:t>
            </w: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600" w:type="dxa"/>
            <w:vAlign w:val="bottom"/>
            <w:tcBorders>
              <w:top w:val="single" w:sz="8" w:color="2C2C2C"/>
            </w:tcBorders>
            <w:gridSpan w:val="13"/>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40" w:type="dxa"/>
            <w:vAlign w:val="bottom"/>
            <w:gridSpan w:val="11"/>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40" w:type="dxa"/>
            <w:vAlign w:val="bottom"/>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140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40" w:type="dxa"/>
            <w:vAlign w:val="bottom"/>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14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1480" w:type="dxa"/>
            <w:vAlign w:val="bottom"/>
            <w:gridSpan w:val="3"/>
          </w:tcPr>
          <w:p>
            <w:pPr>
              <w:ind w:left="10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Reported</w:t>
            </w: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3"/>
          </w:tcPr>
          <w:p>
            <w:pPr>
              <w:ind w:left="60"/>
              <w:spacing w:after="0" w:line="139" w:lineRule="exact"/>
              <w:rPr>
                <w:sz w:val="20"/>
                <w:szCs w:val="20"/>
                <w:color w:val="auto"/>
              </w:rPr>
            </w:pPr>
            <w:r>
              <w:rPr>
                <w:rFonts w:ascii="Arial" w:cs="Arial" w:eastAsia="Arial" w:hAnsi="Arial"/>
                <w:sz w:val="13"/>
                <w:szCs w:val="13"/>
                <w:color w:val="0000FF"/>
                <w:w w:val="90"/>
              </w:rPr>
              <w:t>Shares/Class</w:t>
            </w: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(1)(2)</w:t>
            </w:r>
          </w:p>
        </w:tc>
        <w:tc>
          <w:tcPr>
            <w:tcW w:w="940" w:type="dxa"/>
            <w:vAlign w:val="bottom"/>
            <w:gridSpan w:val="2"/>
            <w:vMerge w:val="restart"/>
          </w:tcPr>
          <w:p>
            <w:pPr>
              <w:ind w:left="260"/>
              <w:spacing w:after="0"/>
              <w:rPr>
                <w:sz w:val="20"/>
                <w:szCs w:val="20"/>
                <w:color w:val="auto"/>
              </w:rPr>
            </w:pPr>
            <w:r>
              <w:rPr>
                <w:rFonts w:ascii="Arial" w:cs="Arial" w:eastAsia="Arial" w:hAnsi="Arial"/>
                <w:sz w:val="13"/>
                <w:szCs w:val="13"/>
                <w:color w:val="0000FF"/>
              </w:rPr>
              <w:t>05/23/2019</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restart"/>
          </w:tcPr>
          <w:p>
            <w:pPr>
              <w:ind w:left="60"/>
              <w:spacing w:after="0" w:line="262"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(1)(2)</w:t>
            </w:r>
          </w:p>
        </w:tc>
        <w:tc>
          <w:tcPr>
            <w:tcW w:w="1120" w:type="dxa"/>
            <w:vAlign w:val="bottom"/>
            <w:gridSpan w:val="3"/>
            <w:vMerge w:val="restart"/>
          </w:tcPr>
          <w:p>
            <w:pPr>
              <w:jc w:val="center"/>
              <w:ind w:left="183"/>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4,013,478</w:t>
            </w:r>
          </w:p>
        </w:tc>
        <w:tc>
          <w:tcPr>
            <w:tcW w:w="740" w:type="dxa"/>
            <w:vAlign w:val="bottom"/>
            <w:vMerge w:val="restart"/>
          </w:tcPr>
          <w:p>
            <w:pPr>
              <w:ind w:left="200"/>
              <w:spacing w:after="0"/>
              <w:rPr>
                <w:sz w:val="20"/>
                <w:szCs w:val="20"/>
                <w:color w:val="auto"/>
              </w:rPr>
            </w:pPr>
            <w:r>
              <w:rPr>
                <w:rFonts w:ascii="Arial" w:cs="Arial" w:eastAsia="Arial" w:hAnsi="Arial"/>
                <w:sz w:val="11"/>
                <w:szCs w:val="11"/>
                <w:color w:val="008000"/>
              </w:rPr>
              <w:t>(1)(2)</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660" w:type="dxa"/>
            <w:vAlign w:val="bottom"/>
            <w:gridSpan w:val="2"/>
          </w:tcPr>
          <w:p>
            <w:pPr>
              <w:ind w:left="80"/>
              <w:spacing w:after="0" w:line="139" w:lineRule="exact"/>
              <w:rPr>
                <w:sz w:val="20"/>
                <w:szCs w:val="20"/>
                <w:color w:val="auto"/>
              </w:rPr>
            </w:pPr>
            <w:r>
              <w:rPr>
                <w:rFonts w:ascii="Arial" w:cs="Arial" w:eastAsia="Arial" w:hAnsi="Arial"/>
                <w:sz w:val="13"/>
                <w:szCs w:val="13"/>
                <w:color w:val="0000FF"/>
              </w:rPr>
              <w:t>Common</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0000FF"/>
                <w:w w:val="92"/>
              </w:rPr>
              <w:t>4,013,478</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9"/>
              </w:rPr>
              <w:t>(1)(2)</w:t>
            </w: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2"/>
              </w:rPr>
              <w:t>41,618,643</w:t>
            </w:r>
            <w:r>
              <w:rPr>
                <w:rFonts w:ascii="Arial" w:cs="Arial" w:eastAsia="Arial" w:hAnsi="Arial"/>
                <w:sz w:val="21"/>
                <w:szCs w:val="21"/>
                <w:color w:val="008000"/>
                <w:w w:val="82"/>
                <w:vertAlign w:val="superscript"/>
              </w:rPr>
              <w:t>(8)</w:t>
            </w:r>
          </w:p>
        </w:tc>
        <w:tc>
          <w:tcPr>
            <w:tcW w:w="660" w:type="dxa"/>
            <w:vAlign w:val="bottom"/>
            <w:vMerge w:val="restart"/>
          </w:tcPr>
          <w:p>
            <w:pPr>
              <w:ind w:left="36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A Units/GP</w:t>
            </w:r>
          </w:p>
        </w:tc>
        <w:tc>
          <w:tcPr>
            <w:tcW w:w="74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line="139" w:lineRule="exact"/>
              <w:rPr>
                <w:sz w:val="20"/>
                <w:szCs w:val="20"/>
                <w:color w:val="auto"/>
              </w:rPr>
            </w:pPr>
            <w:r>
              <w:rPr>
                <w:rFonts w:ascii="Arial" w:cs="Arial" w:eastAsia="Arial" w:hAnsi="Arial"/>
                <w:sz w:val="13"/>
                <w:szCs w:val="13"/>
                <w:color w:val="0000FF"/>
              </w:rPr>
              <w:t>Units</w:t>
            </w:r>
          </w:p>
        </w:tc>
        <w:tc>
          <w:tcPr>
            <w:tcW w:w="80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w w:val="90"/>
              </w:rPr>
              <w:t>Shares/Class</w:t>
            </w:r>
          </w:p>
        </w:tc>
        <w:tc>
          <w:tcPr>
            <w:tcW w:w="740" w:type="dxa"/>
            <w:vAlign w:val="bottom"/>
          </w:tcPr>
          <w:p>
            <w:pPr>
              <w:ind w:left="260"/>
              <w:spacing w:after="0"/>
              <w:rPr>
                <w:sz w:val="20"/>
                <w:szCs w:val="20"/>
                <w:color w:val="auto"/>
              </w:rPr>
            </w:pPr>
            <w:r>
              <w:rPr>
                <w:rFonts w:ascii="Arial" w:cs="Arial" w:eastAsia="Arial" w:hAnsi="Arial"/>
                <w:sz w:val="11"/>
                <w:szCs w:val="11"/>
                <w:color w:val="008000"/>
              </w:rPr>
              <w:t>(3)(4)</w:t>
            </w:r>
          </w:p>
        </w:tc>
        <w:tc>
          <w:tcPr>
            <w:tcW w:w="940" w:type="dxa"/>
            <w:vAlign w:val="bottom"/>
            <w:gridSpan w:val="2"/>
          </w:tcPr>
          <w:p>
            <w:pPr>
              <w:ind w:left="260"/>
              <w:spacing w:after="0"/>
              <w:rPr>
                <w:sz w:val="20"/>
                <w:szCs w:val="20"/>
                <w:color w:val="auto"/>
              </w:rPr>
            </w:pPr>
            <w:r>
              <w:rPr>
                <w:rFonts w:ascii="Arial" w:cs="Arial" w:eastAsia="Arial" w:hAnsi="Arial"/>
                <w:sz w:val="13"/>
                <w:szCs w:val="13"/>
                <w:color w:val="0000FF"/>
              </w:rPr>
              <w:t>05/23/2019</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ind w:left="60"/>
              <w:spacing w:after="0" w:line="199" w:lineRule="exact"/>
              <w:rPr>
                <w:sz w:val="20"/>
                <w:szCs w:val="20"/>
                <w:color w:val="auto"/>
              </w:rPr>
            </w:pPr>
            <w:r>
              <w:rPr>
                <w:rFonts w:ascii="Arial" w:cs="Arial" w:eastAsia="Arial" w:hAnsi="Arial"/>
                <w:sz w:val="22"/>
                <w:szCs w:val="22"/>
                <w:color w:val="0000FF"/>
                <w:vertAlign w:val="subscript"/>
              </w:rPr>
              <w:t>J</w:t>
            </w:r>
            <w:r>
              <w:rPr>
                <w:rFonts w:ascii="Arial" w:cs="Arial" w:eastAsia="Arial" w:hAnsi="Arial"/>
                <w:sz w:val="10"/>
                <w:szCs w:val="10"/>
                <w:color w:val="008000"/>
              </w:rPr>
              <w:t>(3)(4)</w:t>
            </w:r>
          </w:p>
        </w:tc>
        <w:tc>
          <w:tcPr>
            <w:tcW w:w="1120" w:type="dxa"/>
            <w:vAlign w:val="bottom"/>
            <w:gridSpan w:val="3"/>
          </w:tcPr>
          <w:p>
            <w:pPr>
              <w:jc w:val="center"/>
              <w:ind w:left="183"/>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19,890,113</w:t>
            </w:r>
          </w:p>
        </w:tc>
        <w:tc>
          <w:tcPr>
            <w:tcW w:w="740" w:type="dxa"/>
            <w:vAlign w:val="bottom"/>
          </w:tcPr>
          <w:p>
            <w:pPr>
              <w:ind w:left="200"/>
              <w:spacing w:after="0"/>
              <w:rPr>
                <w:sz w:val="20"/>
                <w:szCs w:val="20"/>
                <w:color w:val="auto"/>
              </w:rPr>
            </w:pPr>
            <w:r>
              <w:rPr>
                <w:rFonts w:ascii="Arial" w:cs="Arial" w:eastAsia="Arial" w:hAnsi="Arial"/>
                <w:sz w:val="11"/>
                <w:szCs w:val="11"/>
                <w:color w:val="008000"/>
              </w:rPr>
              <w:t>(3)(4)</w:t>
            </w:r>
          </w:p>
        </w:tc>
        <w:tc>
          <w:tcPr>
            <w:tcW w:w="66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66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800" w:type="dxa"/>
            <w:vAlign w:val="bottom"/>
          </w:tcPr>
          <w:p>
            <w:pPr>
              <w:jc w:val="center"/>
              <w:spacing w:after="0"/>
              <w:rPr>
                <w:sz w:val="20"/>
                <w:szCs w:val="20"/>
                <w:color w:val="auto"/>
              </w:rPr>
            </w:pPr>
            <w:r>
              <w:rPr>
                <w:rFonts w:ascii="Arial" w:cs="Arial" w:eastAsia="Arial" w:hAnsi="Arial"/>
                <w:sz w:val="16"/>
                <w:szCs w:val="16"/>
                <w:color w:val="0000FF"/>
                <w:w w:val="92"/>
              </w:rPr>
              <w:t>19,890,113</w:t>
            </w:r>
          </w:p>
        </w:tc>
        <w:tc>
          <w:tcPr>
            <w:tcW w:w="760" w:type="dxa"/>
            <w:vAlign w:val="bottom"/>
            <w:gridSpan w:val="2"/>
          </w:tcPr>
          <w:p>
            <w:pPr>
              <w:jc w:val="center"/>
              <w:spacing w:after="0"/>
              <w:rPr>
                <w:sz w:val="20"/>
                <w:szCs w:val="20"/>
                <w:color w:val="auto"/>
              </w:rPr>
            </w:pPr>
            <w:r>
              <w:rPr>
                <w:rFonts w:ascii="Arial" w:cs="Arial" w:eastAsia="Arial" w:hAnsi="Arial"/>
                <w:sz w:val="11"/>
                <w:szCs w:val="11"/>
                <w:color w:val="008000"/>
                <w:w w:val="89"/>
              </w:rPr>
              <w:t>(3)(4)</w:t>
            </w:r>
          </w:p>
        </w:tc>
        <w:tc>
          <w:tcPr>
            <w:tcW w:w="820" w:type="dxa"/>
            <w:vAlign w:val="bottom"/>
            <w:gridSpan w:val="2"/>
          </w:tcPr>
          <w:p>
            <w:pPr>
              <w:jc w:val="center"/>
              <w:spacing w:after="0" w:line="199" w:lineRule="exact"/>
              <w:rPr>
                <w:sz w:val="20"/>
                <w:szCs w:val="20"/>
                <w:color w:val="auto"/>
              </w:rPr>
            </w:pPr>
            <w:r>
              <w:rPr>
                <w:rFonts w:ascii="Arial" w:cs="Arial" w:eastAsia="Arial" w:hAnsi="Arial"/>
                <w:sz w:val="13"/>
                <w:szCs w:val="13"/>
                <w:color w:val="0000FF"/>
                <w:w w:val="82"/>
              </w:rPr>
              <w:t>21,728,530</w:t>
            </w:r>
            <w:r>
              <w:rPr>
                <w:rFonts w:ascii="Arial" w:cs="Arial" w:eastAsia="Arial" w:hAnsi="Arial"/>
                <w:sz w:val="21"/>
                <w:szCs w:val="21"/>
                <w:color w:val="008000"/>
                <w:w w:val="82"/>
                <w:vertAlign w:val="superscript"/>
              </w:rPr>
              <w:t>(8)</w:t>
            </w:r>
          </w:p>
        </w:tc>
        <w:tc>
          <w:tcPr>
            <w:tcW w:w="660" w:type="dxa"/>
            <w:vAlign w:val="bottom"/>
          </w:tcPr>
          <w:p>
            <w:pPr>
              <w:ind w:left="36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80" w:type="dxa"/>
            <w:vAlign w:val="bottom"/>
            <w:gridSpan w:val="3"/>
          </w:tcPr>
          <w:p>
            <w:pPr>
              <w:ind w:left="60"/>
              <w:spacing w:after="0" w:line="80" w:lineRule="exact"/>
              <w:rPr>
                <w:sz w:val="20"/>
                <w:szCs w:val="20"/>
                <w:color w:val="auto"/>
              </w:rPr>
            </w:pPr>
            <w:r>
              <w:rPr>
                <w:rFonts w:ascii="Arial" w:cs="Arial" w:eastAsia="Arial" w:hAnsi="Arial"/>
                <w:sz w:val="9"/>
                <w:szCs w:val="9"/>
                <w:color w:val="0000FF"/>
              </w:rPr>
              <w:t>A Units/GP</w:t>
            </w: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line="80" w:lineRule="exact"/>
              <w:rPr>
                <w:sz w:val="20"/>
                <w:szCs w:val="20"/>
                <w:color w:val="auto"/>
              </w:rPr>
            </w:pPr>
            <w:r>
              <w:rPr>
                <w:rFonts w:ascii="Arial" w:cs="Arial" w:eastAsia="Arial" w:hAnsi="Arial"/>
                <w:sz w:val="9"/>
                <w:szCs w:val="9"/>
                <w:color w:val="0000FF"/>
              </w:rPr>
              <w:t>Units</w:t>
            </w: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w w:val="90"/>
              </w:rPr>
              <w:t>Shares/Class</w:t>
            </w:r>
          </w:p>
        </w:tc>
        <w:tc>
          <w:tcPr>
            <w:tcW w:w="740" w:type="dxa"/>
            <w:vAlign w:val="bottom"/>
          </w:tcPr>
          <w:p>
            <w:pPr>
              <w:ind w:left="260"/>
              <w:spacing w:after="0"/>
              <w:rPr>
                <w:sz w:val="20"/>
                <w:szCs w:val="20"/>
                <w:color w:val="auto"/>
              </w:rPr>
            </w:pPr>
            <w:r>
              <w:rPr>
                <w:rFonts w:ascii="Arial" w:cs="Arial" w:eastAsia="Arial" w:hAnsi="Arial"/>
                <w:sz w:val="11"/>
                <w:szCs w:val="11"/>
                <w:color w:val="008000"/>
              </w:rPr>
              <w:t>(5)(6)</w:t>
            </w:r>
          </w:p>
        </w:tc>
        <w:tc>
          <w:tcPr>
            <w:tcW w:w="940" w:type="dxa"/>
            <w:vAlign w:val="bottom"/>
            <w:gridSpan w:val="2"/>
          </w:tcPr>
          <w:p>
            <w:pPr>
              <w:ind w:left="260"/>
              <w:spacing w:after="0"/>
              <w:rPr>
                <w:sz w:val="20"/>
                <w:szCs w:val="20"/>
                <w:color w:val="auto"/>
              </w:rPr>
            </w:pPr>
            <w:r>
              <w:rPr>
                <w:rFonts w:ascii="Arial" w:cs="Arial" w:eastAsia="Arial" w:hAnsi="Arial"/>
                <w:sz w:val="13"/>
                <w:szCs w:val="13"/>
                <w:color w:val="0000FF"/>
              </w:rPr>
              <w:t>05/28/2019</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ind w:left="60"/>
              <w:spacing w:after="0" w:line="199" w:lineRule="exact"/>
              <w:rPr>
                <w:sz w:val="20"/>
                <w:szCs w:val="20"/>
                <w:color w:val="auto"/>
              </w:rPr>
            </w:pPr>
            <w:r>
              <w:rPr>
                <w:rFonts w:ascii="Arial" w:cs="Arial" w:eastAsia="Arial" w:hAnsi="Arial"/>
                <w:sz w:val="22"/>
                <w:szCs w:val="22"/>
                <w:color w:val="0000FF"/>
                <w:vertAlign w:val="subscript"/>
              </w:rPr>
              <w:t>J</w:t>
            </w:r>
            <w:r>
              <w:rPr>
                <w:rFonts w:ascii="Arial" w:cs="Arial" w:eastAsia="Arial" w:hAnsi="Arial"/>
                <w:sz w:val="10"/>
                <w:szCs w:val="10"/>
                <w:color w:val="008000"/>
              </w:rPr>
              <w:t>(5)(6)</w:t>
            </w:r>
          </w:p>
        </w:tc>
        <w:tc>
          <w:tcPr>
            <w:tcW w:w="1120" w:type="dxa"/>
            <w:vAlign w:val="bottom"/>
            <w:gridSpan w:val="3"/>
          </w:tcPr>
          <w:p>
            <w:pPr>
              <w:jc w:val="center"/>
              <w:ind w:left="183"/>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15,507,575</w:t>
            </w:r>
          </w:p>
        </w:tc>
        <w:tc>
          <w:tcPr>
            <w:tcW w:w="740" w:type="dxa"/>
            <w:vAlign w:val="bottom"/>
          </w:tcPr>
          <w:p>
            <w:pPr>
              <w:ind w:left="200"/>
              <w:spacing w:after="0"/>
              <w:rPr>
                <w:sz w:val="20"/>
                <w:szCs w:val="20"/>
                <w:color w:val="auto"/>
              </w:rPr>
            </w:pPr>
            <w:r>
              <w:rPr>
                <w:rFonts w:ascii="Arial" w:cs="Arial" w:eastAsia="Arial" w:hAnsi="Arial"/>
                <w:sz w:val="11"/>
                <w:szCs w:val="11"/>
                <w:color w:val="008000"/>
              </w:rPr>
              <w:t>(5)(6)</w:t>
            </w:r>
          </w:p>
        </w:tc>
        <w:tc>
          <w:tcPr>
            <w:tcW w:w="66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66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800" w:type="dxa"/>
            <w:vAlign w:val="bottom"/>
          </w:tcPr>
          <w:p>
            <w:pPr>
              <w:jc w:val="center"/>
              <w:spacing w:after="0"/>
              <w:rPr>
                <w:sz w:val="20"/>
                <w:szCs w:val="20"/>
                <w:color w:val="auto"/>
              </w:rPr>
            </w:pPr>
            <w:r>
              <w:rPr>
                <w:rFonts w:ascii="Arial" w:cs="Arial" w:eastAsia="Arial" w:hAnsi="Arial"/>
                <w:sz w:val="16"/>
                <w:szCs w:val="16"/>
                <w:color w:val="0000FF"/>
                <w:w w:val="92"/>
              </w:rPr>
              <w:t>15,507,575</w:t>
            </w:r>
          </w:p>
        </w:tc>
        <w:tc>
          <w:tcPr>
            <w:tcW w:w="760" w:type="dxa"/>
            <w:vAlign w:val="bottom"/>
            <w:gridSpan w:val="2"/>
          </w:tcPr>
          <w:p>
            <w:pPr>
              <w:jc w:val="center"/>
              <w:spacing w:after="0"/>
              <w:rPr>
                <w:sz w:val="20"/>
                <w:szCs w:val="20"/>
                <w:color w:val="auto"/>
              </w:rPr>
            </w:pPr>
            <w:r>
              <w:rPr>
                <w:rFonts w:ascii="Arial" w:cs="Arial" w:eastAsia="Arial" w:hAnsi="Arial"/>
                <w:sz w:val="11"/>
                <w:szCs w:val="11"/>
                <w:color w:val="008000"/>
                <w:w w:val="89"/>
              </w:rPr>
              <w:t>(5)(6)</w:t>
            </w:r>
          </w:p>
        </w:tc>
        <w:tc>
          <w:tcPr>
            <w:tcW w:w="820" w:type="dxa"/>
            <w:vAlign w:val="bottom"/>
            <w:gridSpan w:val="2"/>
          </w:tcPr>
          <w:p>
            <w:pPr>
              <w:jc w:val="center"/>
              <w:spacing w:after="0" w:line="199" w:lineRule="exact"/>
              <w:rPr>
                <w:sz w:val="20"/>
                <w:szCs w:val="20"/>
                <w:color w:val="auto"/>
              </w:rPr>
            </w:pPr>
            <w:r>
              <w:rPr>
                <w:rFonts w:ascii="Arial" w:cs="Arial" w:eastAsia="Arial" w:hAnsi="Arial"/>
                <w:sz w:val="13"/>
                <w:szCs w:val="13"/>
                <w:color w:val="0000FF"/>
                <w:w w:val="85"/>
              </w:rPr>
              <w:t>6,220,955</w:t>
            </w:r>
            <w:r>
              <w:rPr>
                <w:rFonts w:ascii="Arial" w:cs="Arial" w:eastAsia="Arial" w:hAnsi="Arial"/>
                <w:sz w:val="21"/>
                <w:szCs w:val="21"/>
                <w:color w:val="008000"/>
                <w:w w:val="85"/>
                <w:vertAlign w:val="superscript"/>
              </w:rPr>
              <w:t>(8)</w:t>
            </w:r>
          </w:p>
        </w:tc>
        <w:tc>
          <w:tcPr>
            <w:tcW w:w="660" w:type="dxa"/>
            <w:vAlign w:val="bottom"/>
          </w:tcPr>
          <w:p>
            <w:pPr>
              <w:ind w:left="36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80" w:type="dxa"/>
            <w:vAlign w:val="bottom"/>
            <w:gridSpan w:val="3"/>
          </w:tcPr>
          <w:p>
            <w:pPr>
              <w:ind w:left="60"/>
              <w:spacing w:after="0" w:line="80" w:lineRule="exact"/>
              <w:rPr>
                <w:sz w:val="20"/>
                <w:szCs w:val="20"/>
                <w:color w:val="auto"/>
              </w:rPr>
            </w:pPr>
            <w:r>
              <w:rPr>
                <w:rFonts w:ascii="Arial" w:cs="Arial" w:eastAsia="Arial" w:hAnsi="Arial"/>
                <w:sz w:val="9"/>
                <w:szCs w:val="9"/>
                <w:color w:val="0000FF"/>
              </w:rPr>
              <w:t>A Units/GP</w:t>
            </w: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line="80" w:lineRule="exact"/>
              <w:rPr>
                <w:sz w:val="20"/>
                <w:szCs w:val="20"/>
                <w:color w:val="auto"/>
              </w:rPr>
            </w:pPr>
            <w:r>
              <w:rPr>
                <w:rFonts w:ascii="Arial" w:cs="Arial" w:eastAsia="Arial" w:hAnsi="Arial"/>
                <w:sz w:val="9"/>
                <w:szCs w:val="9"/>
                <w:color w:val="0000FF"/>
              </w:rPr>
              <w:t>Units</w:t>
            </w: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3"/>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600" w:type="dxa"/>
            <w:vAlign w:val="bottom"/>
            <w:tcBorders>
              <w:top w:val="single" w:sz="8" w:color="2C2C2C"/>
            </w:tcBorders>
            <w:gridSpan w:val="7"/>
          </w:tcPr>
          <w:p>
            <w:pPr>
              <w:ind w:left="60"/>
              <w:spacing w:after="0" w:line="22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6"/>
          </w:tcPr>
          <w:p>
            <w:pPr>
              <w:spacing w:after="0" w:line="210" w:lineRule="exact"/>
              <w:rPr>
                <w:rFonts w:ascii="Arial" w:cs="Arial" w:eastAsia="Arial" w:hAnsi="Arial"/>
                <w:sz w:val="20"/>
                <w:szCs w:val="20"/>
                <w:color w:val="0000EE"/>
              </w:rPr>
            </w:pPr>
            <w:hyperlink r:id="rId12">
              <w:r>
                <w:rPr>
                  <w:rFonts w:ascii="Arial" w:cs="Arial" w:eastAsia="Arial" w:hAnsi="Arial"/>
                  <w:sz w:val="20"/>
                  <w:szCs w:val="20"/>
                  <w:color w:val="0000EE"/>
                </w:rPr>
                <w:t>EMG Investment, LLC</w:t>
              </w:r>
            </w:hyperlink>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000" w:type="dxa"/>
            <w:vAlign w:val="bottom"/>
          </w:tcPr>
          <w:p>
            <w:pPr>
              <w:ind w:left="4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00" w:type="dxa"/>
            <w:vAlign w:val="bottom"/>
            <w:gridSpan w:val="7"/>
          </w:tcPr>
          <w:p>
            <w:pPr>
              <w:spacing w:after="0"/>
              <w:rPr>
                <w:sz w:val="20"/>
                <w:szCs w:val="20"/>
                <w:color w:val="auto"/>
              </w:rPr>
            </w:pPr>
            <w:r>
              <w:rPr>
                <w:rFonts w:ascii="Arial" w:cs="Arial" w:eastAsia="Arial" w:hAnsi="Arial"/>
                <w:sz w:val="16"/>
                <w:szCs w:val="16"/>
                <w:color w:val="0000FF"/>
              </w:rPr>
              <w:t>C/O THE ENERGY &amp; MINERALS GROUP, LP</w:t>
            </w: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00" w:type="dxa"/>
            <w:vAlign w:val="bottom"/>
            <w:gridSpan w:val="7"/>
          </w:tcPr>
          <w:p>
            <w:pPr>
              <w:spacing w:after="0"/>
              <w:rPr>
                <w:sz w:val="20"/>
                <w:szCs w:val="20"/>
                <w:color w:val="auto"/>
              </w:rPr>
            </w:pPr>
            <w:r>
              <w:rPr>
                <w:rFonts w:ascii="Arial" w:cs="Arial" w:eastAsia="Arial" w:hAnsi="Arial"/>
                <w:sz w:val="16"/>
                <w:szCs w:val="16"/>
                <w:color w:val="0000FF"/>
              </w:rPr>
              <w:t>2229 SAN FELIPE STREET, SUITE 1300</w:t>
            </w: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spacing w:after="0"/>
              <w:rPr>
                <w:sz w:val="20"/>
                <w:szCs w:val="20"/>
                <w:color w:val="auto"/>
              </w:rPr>
            </w:pPr>
            <w:r>
              <w:rPr>
                <w:rFonts w:ascii="Arial" w:cs="Arial" w:eastAsia="Arial" w:hAnsi="Arial"/>
                <w:sz w:val="16"/>
                <w:szCs w:val="16"/>
                <w:color w:val="0000FF"/>
              </w:rPr>
              <w:t>HOUSTON</w:t>
            </w:r>
          </w:p>
        </w:tc>
        <w:tc>
          <w:tcPr>
            <w:tcW w:w="1080" w:type="dxa"/>
            <w:vAlign w:val="bottom"/>
            <w:gridSpan w:val="3"/>
          </w:tcPr>
          <w:p>
            <w:pPr>
              <w:ind w:left="40"/>
              <w:spacing w:after="0"/>
              <w:rPr>
                <w:sz w:val="20"/>
                <w:szCs w:val="20"/>
                <w:color w:val="auto"/>
              </w:rPr>
            </w:pPr>
            <w:r>
              <w:rPr>
                <w:rFonts w:ascii="Arial" w:cs="Arial" w:eastAsia="Arial" w:hAnsi="Arial"/>
                <w:sz w:val="16"/>
                <w:szCs w:val="16"/>
                <w:color w:val="0000FF"/>
              </w:rPr>
              <w:t>TX</w:t>
            </w:r>
          </w:p>
        </w:tc>
        <w:tc>
          <w:tcPr>
            <w:tcW w:w="1000" w:type="dxa"/>
            <w:vAlign w:val="bottom"/>
          </w:tcPr>
          <w:p>
            <w:pPr>
              <w:ind w:left="420"/>
              <w:spacing w:after="0"/>
              <w:rPr>
                <w:sz w:val="20"/>
                <w:szCs w:val="20"/>
                <w:color w:val="auto"/>
              </w:rPr>
            </w:pPr>
            <w:r>
              <w:rPr>
                <w:rFonts w:ascii="Arial" w:cs="Arial" w:eastAsia="Arial" w:hAnsi="Arial"/>
                <w:sz w:val="16"/>
                <w:szCs w:val="16"/>
                <w:color w:val="0000FF"/>
              </w:rPr>
              <w:t>77019</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000" w:type="dxa"/>
            <w:vAlign w:val="bottom"/>
          </w:tcPr>
          <w:p>
            <w:pPr>
              <w:ind w:left="42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3"/>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6"/>
          </w:tcPr>
          <w:p>
            <w:pPr>
              <w:spacing w:after="0" w:line="210" w:lineRule="exact"/>
              <w:rPr>
                <w:rFonts w:ascii="Arial" w:cs="Arial" w:eastAsia="Arial" w:hAnsi="Arial"/>
                <w:sz w:val="20"/>
                <w:szCs w:val="20"/>
                <w:color w:val="0000EE"/>
                <w:w w:val="99"/>
              </w:rPr>
            </w:pPr>
            <w:hyperlink r:id="rId14">
              <w:r>
                <w:rPr>
                  <w:rFonts w:ascii="Arial" w:cs="Arial" w:eastAsia="Arial" w:hAnsi="Arial"/>
                  <w:sz w:val="20"/>
                  <w:szCs w:val="20"/>
                  <w:color w:val="0000EE"/>
                  <w:w w:val="99"/>
                </w:rPr>
                <w:t>NGP MR Management, LLC</w:t>
              </w:r>
            </w:hyperlink>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000" w:type="dxa"/>
            <w:vAlign w:val="bottom"/>
          </w:tcPr>
          <w:p>
            <w:pPr>
              <w:ind w:left="4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00" w:type="dxa"/>
            <w:vAlign w:val="bottom"/>
            <w:gridSpan w:val="7"/>
          </w:tcPr>
          <w:p>
            <w:pPr>
              <w:spacing w:after="0"/>
              <w:rPr>
                <w:sz w:val="20"/>
                <w:szCs w:val="20"/>
                <w:color w:val="auto"/>
              </w:rPr>
            </w:pPr>
            <w:r>
              <w:rPr>
                <w:rFonts w:ascii="Arial" w:cs="Arial" w:eastAsia="Arial" w:hAnsi="Arial"/>
                <w:sz w:val="16"/>
                <w:szCs w:val="16"/>
                <w:color w:val="0000FF"/>
              </w:rPr>
              <w:t>C/O THE ENERGY &amp; MINERALS GROUP, LP</w:t>
            </w: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00" w:type="dxa"/>
            <w:vAlign w:val="bottom"/>
            <w:gridSpan w:val="7"/>
          </w:tcPr>
          <w:p>
            <w:pPr>
              <w:spacing w:after="0"/>
              <w:rPr>
                <w:sz w:val="20"/>
                <w:szCs w:val="20"/>
                <w:color w:val="auto"/>
              </w:rPr>
            </w:pPr>
            <w:r>
              <w:rPr>
                <w:rFonts w:ascii="Arial" w:cs="Arial" w:eastAsia="Arial" w:hAnsi="Arial"/>
                <w:sz w:val="16"/>
                <w:szCs w:val="16"/>
                <w:color w:val="0000FF"/>
              </w:rPr>
              <w:t>2229 SAN FELIPE STREET, SUITE 1300</w:t>
            </w: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spacing w:after="0"/>
              <w:rPr>
                <w:sz w:val="20"/>
                <w:szCs w:val="20"/>
                <w:color w:val="auto"/>
              </w:rPr>
            </w:pPr>
            <w:r>
              <w:rPr>
                <w:rFonts w:ascii="Arial" w:cs="Arial" w:eastAsia="Arial" w:hAnsi="Arial"/>
                <w:sz w:val="16"/>
                <w:szCs w:val="16"/>
                <w:color w:val="0000FF"/>
              </w:rPr>
              <w:t>HOUSTON</w:t>
            </w:r>
          </w:p>
        </w:tc>
        <w:tc>
          <w:tcPr>
            <w:tcW w:w="1080" w:type="dxa"/>
            <w:vAlign w:val="bottom"/>
            <w:gridSpan w:val="3"/>
          </w:tcPr>
          <w:p>
            <w:pPr>
              <w:ind w:left="40"/>
              <w:spacing w:after="0"/>
              <w:rPr>
                <w:sz w:val="20"/>
                <w:szCs w:val="20"/>
                <w:color w:val="auto"/>
              </w:rPr>
            </w:pPr>
            <w:r>
              <w:rPr>
                <w:rFonts w:ascii="Arial" w:cs="Arial" w:eastAsia="Arial" w:hAnsi="Arial"/>
                <w:sz w:val="16"/>
                <w:szCs w:val="16"/>
                <w:color w:val="0000FF"/>
              </w:rPr>
              <w:t>TX</w:t>
            </w:r>
          </w:p>
        </w:tc>
        <w:tc>
          <w:tcPr>
            <w:tcW w:w="1000" w:type="dxa"/>
            <w:vAlign w:val="bottom"/>
          </w:tcPr>
          <w:p>
            <w:pPr>
              <w:ind w:left="420"/>
              <w:spacing w:after="0"/>
              <w:rPr>
                <w:sz w:val="20"/>
                <w:szCs w:val="20"/>
                <w:color w:val="auto"/>
              </w:rPr>
            </w:pPr>
            <w:r>
              <w:rPr>
                <w:rFonts w:ascii="Arial" w:cs="Arial" w:eastAsia="Arial" w:hAnsi="Arial"/>
                <w:sz w:val="16"/>
                <w:szCs w:val="16"/>
                <w:color w:val="0000FF"/>
              </w:rPr>
              <w:t>77019</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7291705</wp:posOffset>
            </wp:positionH>
            <wp:positionV relativeFrom="paragraph">
              <wp:posOffset>-5574665</wp:posOffset>
            </wp:positionV>
            <wp:extent cx="23495" cy="254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3495" cy="2542540"/>
                    </a:xfrm>
                    <a:prstGeom prst="rect">
                      <a:avLst/>
                    </a:prstGeom>
                    <a:noFill/>
                  </pic:spPr>
                </pic:pic>
              </a:graphicData>
            </a:graphic>
          </wp:anchor>
        </w:drawing>
      </w:r>
    </w:p>
    <w:p>
      <w:pPr>
        <w:sectPr>
          <w:pgSz w:w="11900" w:h="16838" w:orient="portrait"/>
          <w:cols w:equalWidth="0" w:num="1">
            <w:col w:w="11520"/>
          </w:cols>
          <w:pgMar w:left="240" w:top="219" w:right="139" w:bottom="0" w:gutter="0" w:footer="0" w:header="0"/>
          <w:type w:val="continuous"/>
        </w:sectPr>
      </w:pPr>
    </w:p>
    <w:p>
      <w:pPr>
        <w:spacing w:after="0" w:line="30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520"/>
          </w:cols>
          <w:pgMar w:left="240" w:top="219" w:right="139" w:bottom="0" w:gutter="0" w:footer="0" w:header="0"/>
          <w:type w:val="continuous"/>
        </w:sectPr>
      </w:pPr>
    </w:p>
    <w:bookmarkStart w:id="1" w:name="page2"/>
    <w:bookmarkEnd w:id="1"/>
    <w:p>
      <w:pPr>
        <w:ind w:left="1"/>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 w:right="100" w:hanging="1"/>
        <w:spacing w:after="0" w:line="231" w:lineRule="auto"/>
        <w:tabs>
          <w:tab w:leader="none" w:pos="12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May 23, 2019, pursuant to the limited partnership agreement of Plains AAP, L.P. ("AAP"), EMG Investment, LLC ("EMG") redeemed 4,013,478 Class A Units in AAP ("Class A Units") for common units ("Common Units") of Plains All American Pipeline, L.P. (the "Issuer") held by AAP on a one-for-one basis, by delivering such Class A Units to Plains AAP along with the associated Class B shares ("Class B Shares") in Plains GP Holdings, L.P. ("PAGP") and GP Units ("GP Units") in PAA GP Holdings LLC to PAGP (the "Redemption Right"). Immediately following such redemption, EMG distributed to certain of its members, in-kind and on a pro rata basis based on their ownership interests in EMG, the Common Units received in such redemption.</w:t>
      </w:r>
    </w:p>
    <w:p>
      <w:pPr>
        <w:spacing w:after="0" w:line="30" w:lineRule="exact"/>
        <w:rPr>
          <w:rFonts w:ascii="Arial" w:cs="Arial" w:eastAsia="Arial" w:hAnsi="Arial"/>
          <w:sz w:val="13"/>
          <w:szCs w:val="13"/>
          <w:color w:val="008000"/>
        </w:rPr>
      </w:pPr>
    </w:p>
    <w:p>
      <w:pPr>
        <w:ind w:left="1" w:right="100" w:hanging="1"/>
        <w:spacing w:after="0" w:line="234" w:lineRule="auto"/>
        <w:tabs>
          <w:tab w:leader="none" w:pos="12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member receiving such Common Units is bound by a lock-up, which restricts the sale of such Common Units (i) in any amount prior to the 61st day following the date of redemption, (ii) in an amount exceeding 1/3 of the Common Units distributed to such Member prior to the 121st day following the date of redemption, and (iii) in an amount exceeding 2/3 of the Common Units distributed to such Member prior to the 181st day following the date of redemption.</w:t>
      </w:r>
    </w:p>
    <w:p>
      <w:pPr>
        <w:spacing w:after="0" w:line="29" w:lineRule="exact"/>
        <w:rPr>
          <w:rFonts w:ascii="Arial" w:cs="Arial" w:eastAsia="Arial" w:hAnsi="Arial"/>
          <w:sz w:val="13"/>
          <w:szCs w:val="13"/>
          <w:color w:val="008000"/>
        </w:rPr>
      </w:pPr>
    </w:p>
    <w:p>
      <w:pPr>
        <w:ind w:left="1" w:right="40" w:hanging="1"/>
        <w:spacing w:after="0"/>
        <w:tabs>
          <w:tab w:leader="none" w:pos="12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May 23, 2019, EMG distributed to certain of its members, in-kind and on a pro rata basis based on their ownership interests in EMG, bundled interests comprising Class A Units, Class B Shares and GP Units. Pursuant to the limited partnership agreement of AAP, the members to whom such bundled interests were transferred will have a Redemption Right with respect thereto.</w:t>
      </w:r>
    </w:p>
    <w:p>
      <w:pPr>
        <w:spacing w:after="0" w:line="29" w:lineRule="exact"/>
        <w:rPr>
          <w:rFonts w:ascii="Arial" w:cs="Arial" w:eastAsia="Arial" w:hAnsi="Arial"/>
          <w:sz w:val="13"/>
          <w:szCs w:val="13"/>
          <w:color w:val="008000"/>
        </w:rPr>
      </w:pPr>
    </w:p>
    <w:p>
      <w:pPr>
        <w:jc w:val="both"/>
        <w:ind w:left="1" w:hanging="1"/>
        <w:spacing w:after="0" w:line="231" w:lineRule="auto"/>
        <w:tabs>
          <w:tab w:leader="none" w:pos="12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member receiving such bundled interests is bound by a lock-up, which restricts the sale of Common Units or Class A shares ("PAGP Class A Shares") of PAGP into which such bundled interests are convertible (i) in any amount prior to the 61st day following the date of redemption, (ii) in an amount exceeding 1/3 of the Common Units or PAGP Class A Shares into which the bundled interests distributed to such Member are convertible prior to the 121st day following the date of redemption, and (iii) in an amount exceeding 2/3 of the Common Units or PAGP Class A Shares into which the bundled interests distributed to such Member are convertible prior to the 181st day following the date of redemption.</w:t>
      </w:r>
    </w:p>
    <w:p>
      <w:pPr>
        <w:spacing w:after="0" w:line="30" w:lineRule="exact"/>
        <w:rPr>
          <w:rFonts w:ascii="Arial" w:cs="Arial" w:eastAsia="Arial" w:hAnsi="Arial"/>
          <w:sz w:val="13"/>
          <w:szCs w:val="13"/>
          <w:color w:val="008000"/>
        </w:rPr>
      </w:pPr>
    </w:p>
    <w:p>
      <w:pPr>
        <w:ind w:left="1" w:right="140" w:hanging="1"/>
        <w:spacing w:after="0" w:line="234" w:lineRule="auto"/>
        <w:tabs>
          <w:tab w:leader="none" w:pos="12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May 28, 2019, EMG requested redemption of 8,179,284 Class A Units in exchange for Common Units on a one-for-one basis pursuant to its Redemption Right. In addition, in lieu of exercising its Redemption Right, EMG elected to exercise its right, pursuant to the limited partnership agreement of AAP, to immediately exchange 7,328,291 Class A Units, together with a like number of Class B Shares and GP Units, for PAGP Class A Shares on a one-for-one basis.</w:t>
      </w:r>
    </w:p>
    <w:p>
      <w:pPr>
        <w:spacing w:after="0" w:line="29" w:lineRule="exact"/>
        <w:rPr>
          <w:rFonts w:ascii="Arial" w:cs="Arial" w:eastAsia="Arial" w:hAnsi="Arial"/>
          <w:sz w:val="13"/>
          <w:szCs w:val="13"/>
          <w:color w:val="008000"/>
        </w:rPr>
      </w:pPr>
    </w:p>
    <w:p>
      <w:pPr>
        <w:ind w:left="1" w:hanging="1"/>
        <w:spacing w:after="0" w:line="234" w:lineRule="auto"/>
        <w:tabs>
          <w:tab w:leader="none" w:pos="12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EMG has agreed to sell the Common Units and PAGP Class A Shares it will receive pursuant to such request for redemption and election to exchange in multiple transactions exempt from registration under Rule 144 of the Securities Act of 1933, as amended, at a price of $23.10 per Common Unit or PAGP Class A Share, as applicable. Following the completion of such sales, EMG will distribute the proceeds thereof to its remaining members on a pro rata basis.</w:t>
      </w:r>
    </w:p>
    <w:p>
      <w:pPr>
        <w:spacing w:after="0" w:line="29" w:lineRule="exact"/>
        <w:rPr>
          <w:rFonts w:ascii="Arial" w:cs="Arial" w:eastAsia="Arial" w:hAnsi="Arial"/>
          <w:sz w:val="13"/>
          <w:szCs w:val="13"/>
          <w:color w:val="008000"/>
        </w:rPr>
      </w:pPr>
    </w:p>
    <w:p>
      <w:pPr>
        <w:ind w:left="121" w:hanging="121"/>
        <w:spacing w:after="0"/>
        <w:tabs>
          <w:tab w:leader="none" w:pos="12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AAP, the Redemption Right does not expire.</w:t>
      </w:r>
    </w:p>
    <w:p>
      <w:pPr>
        <w:spacing w:after="0" w:line="39" w:lineRule="exact"/>
        <w:rPr>
          <w:rFonts w:ascii="Arial" w:cs="Arial" w:eastAsia="Arial" w:hAnsi="Arial"/>
          <w:sz w:val="13"/>
          <w:szCs w:val="13"/>
          <w:color w:val="008000"/>
        </w:rPr>
      </w:pPr>
    </w:p>
    <w:p>
      <w:pPr>
        <w:ind w:left="1" w:right="60" w:hanging="1"/>
        <w:spacing w:after="0" w:line="234" w:lineRule="auto"/>
        <w:tabs>
          <w:tab w:leader="none" w:pos="12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Beneficial ownership of the Common Units, Class A Units, Class B Shares and GP Units referred to herein is being reported hereunder by NGP MR Management, LLC solely because NGP MR Management, LLC may be deemed to beneficially own such Common Units, Class A Units, Class B Shares and GP Units as a result of its status as the designated manager of EMG. NGP MR Management, LLC disclaims beneficial ownership of the securities held by EMG except to the extent of its pecuniary interest therein.</w:t>
      </w:r>
    </w:p>
    <w:p>
      <w:pPr>
        <w:spacing w:after="0" w:line="2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64" w:lineRule="exact"/>
        <w:rPr>
          <w:sz w:val="20"/>
          <w:szCs w:val="20"/>
          <w:color w:val="auto"/>
        </w:rPr>
      </w:pPr>
    </w:p>
    <w:p>
      <w:pPr>
        <w:ind w:left="1" w:right="80"/>
        <w:spacing w:after="0" w:line="261" w:lineRule="auto"/>
        <w:rPr>
          <w:sz w:val="20"/>
          <w:szCs w:val="20"/>
          <w:color w:val="auto"/>
        </w:rPr>
      </w:pPr>
      <w:r>
        <w:rPr>
          <w:rFonts w:ascii="Arial" w:cs="Arial" w:eastAsia="Arial" w:hAnsi="Arial"/>
          <w:sz w:val="12"/>
          <w:szCs w:val="12"/>
          <w:color w:val="008000"/>
        </w:rPr>
        <w:t>John T. Raymond currently serves as the representative of EMG Investment, LLC on the board of directors of the managing partner of the Issuer. John T. Raymond is the Chief Executive Officer of NGP MR Management, LLC, which is the manager of EMG Investment, LLC. As such, EMG Investment, LLC and NGP MR Management, LLC may each be deemed a director of the Issuer. The filing of this Statement shall not be construed as an admission that any Reporting Person is, for purposes of Section 13(d) of the Securities and Exchange Act of 1934, as amended, the beneficial owner of any security.</w:t>
      </w:r>
    </w:p>
    <w:p>
      <w:pPr>
        <w:spacing w:after="0" w:line="31" w:lineRule="exact"/>
        <w:rPr>
          <w:sz w:val="20"/>
          <w:szCs w:val="20"/>
          <w:color w:val="auto"/>
        </w:rPr>
      </w:pPr>
    </w:p>
    <w:tbl>
      <w:tblPr>
        <w:tblLayout w:type="fixed"/>
        <w:tblInd w:w="6821" w:type="dxa"/>
        <w:tblCellMar>
          <w:top w:w="0" w:type="dxa"/>
          <w:left w:w="0" w:type="dxa"/>
          <w:bottom w:w="0" w:type="dxa"/>
          <w:right w:w="0" w:type="dxa"/>
        </w:tblCellMar>
      </w:tblPr>
      <w:tr>
        <w:trPr>
          <w:trHeight w:val="184"/>
        </w:trPr>
        <w:tc>
          <w:tcPr>
            <w:tcW w:w="2060" w:type="dxa"/>
            <w:vAlign w:val="bottom"/>
            <w:gridSpan w:val="2"/>
          </w:tcPr>
          <w:p>
            <w:pPr>
              <w:spacing w:after="0"/>
              <w:rPr>
                <w:sz w:val="20"/>
                <w:szCs w:val="20"/>
                <w:color w:val="auto"/>
              </w:rPr>
            </w:pPr>
            <w:r>
              <w:rPr>
                <w:rFonts w:ascii="Arial" w:cs="Arial" w:eastAsia="Arial" w:hAnsi="Arial"/>
                <w:sz w:val="16"/>
                <w:szCs w:val="16"/>
                <w:color w:val="0000FF"/>
              </w:rPr>
              <w:t>/s/ John T. Raymond</w:t>
            </w:r>
          </w:p>
        </w:tc>
        <w:tc>
          <w:tcPr>
            <w:tcW w:w="980" w:type="dxa"/>
            <w:vAlign w:val="bottom"/>
            <w:gridSpan w:val="2"/>
          </w:tcPr>
          <w:p>
            <w:pPr>
              <w:ind w:left="240"/>
              <w:spacing w:after="0"/>
              <w:rPr>
                <w:sz w:val="20"/>
                <w:szCs w:val="20"/>
                <w:color w:val="auto"/>
              </w:rPr>
            </w:pPr>
            <w:r>
              <w:rPr>
                <w:rFonts w:ascii="Arial" w:cs="Arial" w:eastAsia="Arial" w:hAnsi="Arial"/>
                <w:sz w:val="16"/>
                <w:szCs w:val="16"/>
                <w:color w:val="0000FF"/>
                <w:w w:val="89"/>
              </w:rPr>
              <w:t>05/28/2019</w:t>
            </w:r>
          </w:p>
        </w:tc>
      </w:tr>
      <w:tr>
        <w:trPr>
          <w:trHeight w:val="20"/>
        </w:trPr>
        <w:tc>
          <w:tcPr>
            <w:tcW w:w="1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40"/>
              <w:spacing w:after="0"/>
              <w:rPr>
                <w:sz w:val="20"/>
                <w:szCs w:val="20"/>
                <w:color w:val="auto"/>
              </w:rPr>
            </w:pPr>
            <w:r>
              <w:rPr>
                <w:rFonts w:ascii="Arial" w:cs="Arial" w:eastAsia="Arial" w:hAnsi="Arial"/>
                <w:sz w:val="13"/>
                <w:szCs w:val="13"/>
                <w:color w:val="auto"/>
              </w:rPr>
              <w:t>Date</w:t>
            </w:r>
          </w:p>
        </w:tc>
      </w:tr>
    </w:tbl>
    <w:p>
      <w:pPr>
        <w:spacing w:after="0" w:line="37"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4060" w:hanging="1"/>
        <w:spacing w:after="0" w:line="325"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1"/>
      </w:cols>
      <w:pgMar w:left="279" w:top="12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507562"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5760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2020-02-21T03:00:39Z</dcterms:created>
  <dcterms:modified xsi:type="dcterms:W3CDTF">2020-02-21T03:00:39Z</dcterms:modified>
</cp:coreProperties>
</file>