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581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8178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KAFU Holdings (QP), L.P.</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AVENUE OF THE STARS, 3RD FLOOR</w:t>
      </w:r>
    </w:p>
    <w:p>
      <w:pPr>
        <w:spacing w:after="0" w:line="34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LOS ANGELES</w:t>
            </w:r>
          </w:p>
        </w:tc>
        <w:tc>
          <w:tcPr>
            <w:tcW w:w="860" w:type="dxa"/>
            <w:vAlign w:val="bottom"/>
          </w:tcPr>
          <w:p>
            <w:pPr>
              <w:ind w:left="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90067</w:t>
            </w: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PLAINS ALL AMERICAN PIPELINE LP</w:t>
              </w:r>
              <w:r>
                <w:rPr>
                  <w:rFonts w:ascii="Arial" w:cs="Arial" w:eastAsia="Arial" w:hAnsi="Arial"/>
                  <w:sz w:val="15"/>
                  <w:szCs w:val="15"/>
                  <w:color w:val="0000EE"/>
                </w:rPr>
                <w:t xml:space="preserve"> </w:t>
              </w:r>
            </w:hyperlink>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840" w:type="dxa"/>
            <w:vAlign w:val="bottom"/>
            <w:vMerge w:val="restart"/>
          </w:tcPr>
          <w:p>
            <w:pPr>
              <w:ind w:left="60"/>
              <w:spacing w:after="0" w:line="203" w:lineRule="exact"/>
              <w:rPr>
                <w:sz w:val="20"/>
                <w:szCs w:val="20"/>
                <w:color w:val="auto"/>
              </w:rPr>
            </w:pPr>
            <w:r>
              <w:rPr>
                <w:rFonts w:ascii="Arial" w:cs="Arial" w:eastAsia="Arial" w:hAnsi="Arial"/>
                <w:sz w:val="16"/>
                <w:szCs w:val="16"/>
                <w:color w:val="0000FF"/>
              </w:rPr>
              <w:t xml:space="preserve">PAA </w:t>
            </w:r>
            <w:r>
              <w:rPr>
                <w:rFonts w:ascii="Arial" w:cs="Arial" w:eastAsia="Arial" w:hAnsi="Arial"/>
                <w:sz w:val="20"/>
                <w:szCs w:val="20"/>
                <w:color w:val="000000"/>
              </w:rPr>
              <w:t>]</w:t>
            </w:r>
          </w:p>
        </w:tc>
        <w:tc>
          <w:tcPr>
            <w:tcW w:w="16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480" w:type="dxa"/>
            <w:vAlign w:val="bottom"/>
          </w:tcPr>
          <w:p>
            <w:pPr>
              <w:ind w:left="260"/>
              <w:spacing w:after="0" w:line="165" w:lineRule="exact"/>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38"/>
        </w:trPr>
        <w:tc>
          <w:tcPr>
            <w:tcW w:w="3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38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6"/>
        </w:trPr>
        <w:tc>
          <w:tcPr>
            <w:tcW w:w="384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8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620" w:type="dxa"/>
            <w:vAlign w:val="bottom"/>
            <w:gridSpan w:val="2"/>
            <w:vMerge w:val="restart"/>
          </w:tcPr>
          <w:p>
            <w:pPr>
              <w:ind w:left="7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40" w:type="dxa"/>
            <w:vAlign w:val="bottom"/>
            <w:vMerge w:val="restart"/>
          </w:tcPr>
          <w:p>
            <w:pPr>
              <w:ind w:left="60"/>
              <w:spacing w:after="0"/>
              <w:rPr>
                <w:sz w:val="20"/>
                <w:szCs w:val="20"/>
                <w:color w:val="auto"/>
              </w:rPr>
            </w:pPr>
            <w:r>
              <w:rPr>
                <w:rFonts w:ascii="Arial" w:cs="Arial" w:eastAsia="Arial" w:hAnsi="Arial"/>
                <w:sz w:val="16"/>
                <w:szCs w:val="16"/>
                <w:color w:val="0000FF"/>
              </w:rPr>
              <w:t>06/30/2020</w:t>
            </w:r>
          </w:p>
        </w:tc>
        <w:tc>
          <w:tcPr>
            <w:tcW w:w="4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8" w:lineRule="exact"/>
        <w:rPr>
          <w:sz w:val="24"/>
          <w:szCs w:val="24"/>
          <w:color w:val="auto"/>
        </w:rPr>
      </w:pPr>
    </w:p>
    <w:tbl>
      <w:tblPr>
        <w:tblLayout w:type="fixed"/>
        <w:tblInd w:w="41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136525</wp:posOffset>
            </wp:positionV>
            <wp:extent cx="6971030" cy="153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534160"/>
                    </a:xfrm>
                    <a:prstGeom prst="rect">
                      <a:avLst/>
                    </a:prstGeom>
                    <a:noFill/>
                  </pic:spPr>
                </pic:pic>
              </a:graphicData>
            </a:graphic>
          </wp:anchor>
        </w:drawing>
      </w:r>
    </w:p>
    <w:p>
      <w:pPr>
        <w:spacing w:after="0" w:line="27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4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540" w:type="dxa"/>
            <w:vAlign w:val="bottom"/>
            <w:gridSpan w:val="2"/>
            <w:vMerge w:val="restart"/>
          </w:tcPr>
          <w:p>
            <w:pPr>
              <w:ind w:left="660"/>
              <w:spacing w:after="0"/>
              <w:rPr>
                <w:sz w:val="20"/>
                <w:szCs w:val="20"/>
                <w:color w:val="auto"/>
              </w:rPr>
            </w:pPr>
            <w:r>
              <w:rPr>
                <w:rFonts w:ascii="Arial" w:cs="Arial" w:eastAsia="Arial" w:hAnsi="Arial"/>
                <w:sz w:val="16"/>
                <w:szCs w:val="16"/>
                <w:color w:val="0000FF"/>
              </w:rPr>
              <w:t>06/30/2020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40,679</w:t>
            </w:r>
          </w:p>
        </w:tc>
        <w:tc>
          <w:tcPr>
            <w:tcW w:w="56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800" w:type="dxa"/>
            <w:vAlign w:val="bottom"/>
            <w:gridSpan w:val="2"/>
            <w:vMerge w:val="restart"/>
          </w:tcPr>
          <w:p>
            <w:pPr>
              <w:jc w:val="right"/>
              <w:ind w:right="3"/>
              <w:spacing w:after="0"/>
              <w:rPr>
                <w:sz w:val="20"/>
                <w:szCs w:val="20"/>
                <w:color w:val="auto"/>
              </w:rPr>
            </w:pPr>
            <w:r>
              <w:rPr>
                <w:rFonts w:ascii="Arial" w:cs="Arial" w:eastAsia="Arial" w:hAnsi="Arial"/>
                <w:sz w:val="16"/>
                <w:szCs w:val="16"/>
                <w:color w:val="0000FF"/>
              </w:rPr>
              <w:t>40,679</w:t>
            </w:r>
          </w:p>
        </w:tc>
        <w:tc>
          <w:tcPr>
            <w:tcW w:w="840" w:type="dxa"/>
            <w:vAlign w:val="bottom"/>
            <w:vMerge w:val="restart"/>
          </w:tcPr>
          <w:p>
            <w:pPr>
              <w:ind w:left="720"/>
              <w:spacing w:after="0"/>
              <w:rPr>
                <w:sz w:val="20"/>
                <w:szCs w:val="20"/>
                <w:color w:val="auto"/>
              </w:rPr>
            </w:pPr>
            <w:r>
              <w:rPr>
                <w:rFonts w:ascii="Arial" w:cs="Arial" w:eastAsia="Arial" w:hAnsi="Arial"/>
                <w:sz w:val="16"/>
                <w:szCs w:val="16"/>
                <w:color w:val="0000FF"/>
              </w:rPr>
              <w:t>I</w:t>
            </w:r>
          </w:p>
        </w:tc>
        <w:tc>
          <w:tcPr>
            <w:tcW w:w="4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0000FF"/>
                <w:w w:val="98"/>
              </w:rPr>
              <w:t>See</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ind w:left="660"/>
              <w:spacing w:after="0"/>
              <w:rPr>
                <w:sz w:val="20"/>
                <w:szCs w:val="20"/>
                <w:color w:val="auto"/>
              </w:rPr>
            </w:pPr>
            <w:r>
              <w:rPr>
                <w:rFonts w:ascii="Arial" w:cs="Arial" w:eastAsia="Arial" w:hAnsi="Arial"/>
                <w:sz w:val="16"/>
                <w:szCs w:val="16"/>
                <w:color w:val="0000FF"/>
              </w:rPr>
              <w:t>06/30/2020</w:t>
            </w: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89"/>
              </w:rPr>
              <w:t>40,679</w:t>
            </w:r>
          </w:p>
        </w:tc>
        <w:tc>
          <w:tcPr>
            <w:tcW w:w="5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6"/>
                <w:szCs w:val="16"/>
                <w:color w:val="0000FF"/>
              </w:rPr>
              <w:t>D</w:t>
            </w: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jc w:val="right"/>
              <w:ind w:right="183"/>
              <w:spacing w:after="0"/>
              <w:rPr>
                <w:sz w:val="20"/>
                <w:szCs w:val="20"/>
                <w:color w:val="auto"/>
              </w:rPr>
            </w:pPr>
            <w:r>
              <w:rPr>
                <w:rFonts w:ascii="Arial" w:cs="Arial" w:eastAsia="Arial" w:hAnsi="Arial"/>
                <w:sz w:val="16"/>
                <w:szCs w:val="16"/>
                <w:color w:val="0000FF"/>
              </w:rPr>
              <w:t>0</w:t>
            </w:r>
          </w:p>
        </w:tc>
        <w:tc>
          <w:tcPr>
            <w:tcW w:w="840" w:type="dxa"/>
            <w:vAlign w:val="bottom"/>
            <w:tcBorders>
              <w:top w:val="single" w:sz="8" w:color="2C2C2C"/>
            </w:tcBorders>
            <w:vMerge w:val="restart"/>
          </w:tcPr>
          <w:p>
            <w:pPr>
              <w:ind w:left="720"/>
              <w:spacing w:after="0"/>
              <w:rPr>
                <w:sz w:val="20"/>
                <w:szCs w:val="20"/>
                <w:color w:val="auto"/>
              </w:rPr>
            </w:pPr>
            <w:r>
              <w:rPr>
                <w:rFonts w:ascii="Arial" w:cs="Arial" w:eastAsia="Arial" w:hAnsi="Arial"/>
                <w:sz w:val="16"/>
                <w:szCs w:val="16"/>
                <w:color w:val="0000FF"/>
              </w:rPr>
              <w:t>I</w:t>
            </w: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98"/>
              </w:rPr>
              <w:t>See</w:t>
            </w:r>
          </w:p>
        </w:tc>
        <w:tc>
          <w:tcPr>
            <w:tcW w:w="7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0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of (D) (Instr.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w w:val="90"/>
              </w:rPr>
              <w:t>Shares/Class</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vMerge w:val="restart"/>
          </w:tcPr>
          <w:p>
            <w:pPr>
              <w:ind w:left="300"/>
              <w:spacing w:after="0"/>
              <w:rPr>
                <w:sz w:val="20"/>
                <w:szCs w:val="20"/>
                <w:color w:val="auto"/>
              </w:rPr>
            </w:pPr>
            <w:r>
              <w:rPr>
                <w:rFonts w:ascii="Arial" w:cs="Arial" w:eastAsia="Arial" w:hAnsi="Arial"/>
                <w:sz w:val="13"/>
                <w:szCs w:val="13"/>
                <w:color w:val="0000FF"/>
              </w:rPr>
              <w:t>06/30/2020</w:t>
            </w:r>
          </w:p>
        </w:tc>
        <w:tc>
          <w:tcPr>
            <w:tcW w:w="1120" w:type="dxa"/>
            <w:vAlign w:val="bottom"/>
          </w:tcPr>
          <w:p>
            <w:pPr>
              <w:spacing w:after="0"/>
              <w:rPr>
                <w:sz w:val="10"/>
                <w:szCs w:val="10"/>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w w:val="80"/>
              </w:rPr>
              <w:t>40,679</w:t>
            </w:r>
          </w:p>
        </w:tc>
        <w:tc>
          <w:tcPr>
            <w:tcW w:w="800" w:type="dxa"/>
            <w:vAlign w:val="bottom"/>
          </w:tcPr>
          <w:p>
            <w:pPr>
              <w:ind w:left="340"/>
              <w:spacing w:after="0" w:line="123" w:lineRule="exact"/>
              <w:rPr>
                <w:sz w:val="20"/>
                <w:szCs w:val="20"/>
                <w:color w:val="auto"/>
              </w:rPr>
            </w:pPr>
            <w:r>
              <w:rPr>
                <w:rFonts w:ascii="Arial" w:cs="Arial" w:eastAsia="Arial" w:hAnsi="Arial"/>
                <w:sz w:val="11"/>
                <w:szCs w:val="11"/>
                <w:color w:val="008000"/>
              </w:rPr>
              <w:t>(1)(2)</w:t>
            </w:r>
          </w:p>
        </w:tc>
        <w:tc>
          <w:tcPr>
            <w:tcW w:w="740" w:type="dxa"/>
            <w:vAlign w:val="bottom"/>
          </w:tcPr>
          <w:p>
            <w:pPr>
              <w:jc w:val="center"/>
              <w:spacing w:after="0" w:line="123" w:lineRule="exact"/>
              <w:rPr>
                <w:sz w:val="20"/>
                <w:szCs w:val="20"/>
                <w:color w:val="auto"/>
              </w:rPr>
            </w:pPr>
            <w:r>
              <w:rPr>
                <w:rFonts w:ascii="Arial" w:cs="Arial" w:eastAsia="Arial" w:hAnsi="Arial"/>
                <w:sz w:val="11"/>
                <w:szCs w:val="11"/>
                <w:color w:val="008000"/>
                <w:w w:val="96"/>
              </w:rPr>
              <w:t>(1)(2)</w:t>
            </w:r>
          </w:p>
        </w:tc>
        <w:tc>
          <w:tcPr>
            <w:tcW w:w="560" w:type="dxa"/>
            <w:vAlign w:val="bottom"/>
          </w:tcPr>
          <w:p>
            <w:pPr>
              <w:ind w:left="60"/>
              <w:spacing w:after="0" w:line="123" w:lineRule="exact"/>
              <w:rPr>
                <w:sz w:val="20"/>
                <w:szCs w:val="20"/>
                <w:color w:val="auto"/>
              </w:rPr>
            </w:pPr>
            <w:r>
              <w:rPr>
                <w:rFonts w:ascii="Arial" w:cs="Arial" w:eastAsia="Arial" w:hAnsi="Arial"/>
                <w:sz w:val="13"/>
                <w:szCs w:val="13"/>
                <w:color w:val="0000FF"/>
                <w:w w:val="90"/>
              </w:rPr>
              <w:t>Common</w:t>
            </w:r>
          </w:p>
        </w:tc>
        <w:tc>
          <w:tcPr>
            <w:tcW w:w="58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40,679</w:t>
            </w: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vMerge w:val="restart"/>
          </w:tcPr>
          <w:p>
            <w:pPr>
              <w:ind w:left="100"/>
              <w:spacing w:after="0"/>
              <w:rPr>
                <w:sz w:val="20"/>
                <w:szCs w:val="20"/>
                <w:color w:val="auto"/>
              </w:rPr>
            </w:pPr>
            <w:r>
              <w:rPr>
                <w:rFonts w:ascii="Arial" w:cs="Arial" w:eastAsia="Arial" w:hAnsi="Arial"/>
                <w:sz w:val="13"/>
                <w:szCs w:val="13"/>
                <w:color w:val="0000FF"/>
              </w:rPr>
              <w:t>15,923,666</w:t>
            </w:r>
          </w:p>
        </w:tc>
        <w:tc>
          <w:tcPr>
            <w:tcW w:w="4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A Units/GP</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Units</w:t>
            </w:r>
          </w:p>
        </w:tc>
        <w:tc>
          <w:tcPr>
            <w:tcW w:w="5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4"/>
          </w:tcPr>
          <w:p>
            <w:pPr>
              <w:ind w:left="6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3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KAFU Holdings (QP), L.P.</w:t>
              </w:r>
            </w:hyperlink>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4"/>
          </w:tcPr>
          <w:p>
            <w:pPr>
              <w:ind w:left="20"/>
              <w:spacing w:after="0"/>
              <w:rPr>
                <w:sz w:val="20"/>
                <w:szCs w:val="20"/>
                <w:color w:val="auto"/>
              </w:rPr>
            </w:pPr>
            <w:r>
              <w:rPr>
                <w:rFonts w:ascii="Arial" w:cs="Arial" w:eastAsia="Arial" w:hAnsi="Arial"/>
                <w:sz w:val="16"/>
                <w:szCs w:val="16"/>
                <w:color w:val="0000FF"/>
              </w:rPr>
              <w:t>1800 AVENUE OF THE STARS, 3RD FLOOR</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tcPr>
          <w:p>
            <w:pPr>
              <w:ind w:left="20"/>
              <w:spacing w:after="0"/>
              <w:rPr>
                <w:sz w:val="20"/>
                <w:szCs w:val="20"/>
                <w:color w:val="auto"/>
              </w:rPr>
            </w:pPr>
            <w:r>
              <w:rPr>
                <w:rFonts w:ascii="Arial" w:cs="Arial" w:eastAsia="Arial" w:hAnsi="Arial"/>
                <w:sz w:val="16"/>
                <w:szCs w:val="16"/>
                <w:color w:val="0000FF"/>
              </w:rPr>
              <w:t>CA</w:t>
            </w:r>
          </w:p>
        </w:tc>
        <w:tc>
          <w:tcPr>
            <w:tcW w:w="1120" w:type="dxa"/>
            <w:vAlign w:val="bottom"/>
          </w:tcPr>
          <w:p>
            <w:pPr>
              <w:ind w:left="360"/>
              <w:spacing w:after="0"/>
              <w:rPr>
                <w:sz w:val="20"/>
                <w:szCs w:val="20"/>
                <w:color w:val="auto"/>
              </w:rPr>
            </w:pPr>
            <w:r>
              <w:rPr>
                <w:rFonts w:ascii="Arial" w:cs="Arial" w:eastAsia="Arial" w:hAnsi="Arial"/>
                <w:sz w:val="16"/>
                <w:szCs w:val="16"/>
                <w:color w:val="0000FF"/>
              </w:rPr>
              <w:t>90067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20" w:type="dxa"/>
            <w:vAlign w:val="bottom"/>
            <w:gridSpan w:val="8"/>
          </w:tcPr>
          <w:p>
            <w:pPr>
              <w:ind w:left="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KAYNE ANDERSON CAPITAL ADVISORS LP</w:t>
              </w:r>
            </w:hyperlink>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sz w:val="20"/>
                <w:szCs w:val="20"/>
                <w:color w:val="auto"/>
              </w:rPr>
            </w:pPr>
            <w:r>
              <w:rPr>
                <w:rFonts w:ascii="Arial" w:cs="Arial" w:eastAsia="Arial" w:hAnsi="Arial"/>
                <w:sz w:val="16"/>
                <w:szCs w:val="16"/>
                <w:color w:val="0000FF"/>
              </w:rPr>
              <w:t>1800 AVENUE OF THE STARS</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3RD FLOOR</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tcPr>
          <w:p>
            <w:pPr>
              <w:ind w:left="20"/>
              <w:spacing w:after="0"/>
              <w:rPr>
                <w:sz w:val="20"/>
                <w:szCs w:val="20"/>
                <w:color w:val="auto"/>
              </w:rPr>
            </w:pPr>
            <w:r>
              <w:rPr>
                <w:rFonts w:ascii="Arial" w:cs="Arial" w:eastAsia="Arial" w:hAnsi="Arial"/>
                <w:sz w:val="16"/>
                <w:szCs w:val="16"/>
                <w:color w:val="0000FF"/>
              </w:rPr>
              <w:t>CA</w:t>
            </w:r>
          </w:p>
        </w:tc>
        <w:tc>
          <w:tcPr>
            <w:tcW w:w="1120" w:type="dxa"/>
            <w:vAlign w:val="bottom"/>
          </w:tcPr>
          <w:p>
            <w:pPr>
              <w:ind w:left="360"/>
              <w:spacing w:after="0"/>
              <w:rPr>
                <w:sz w:val="20"/>
                <w:szCs w:val="20"/>
                <w:color w:val="auto"/>
              </w:rPr>
            </w:pPr>
            <w:r>
              <w:rPr>
                <w:rFonts w:ascii="Arial" w:cs="Arial" w:eastAsia="Arial" w:hAnsi="Arial"/>
                <w:sz w:val="16"/>
                <w:szCs w:val="16"/>
                <w:color w:val="0000FF"/>
              </w:rPr>
              <w:t>90067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-5267960</wp:posOffset>
            </wp:positionV>
            <wp:extent cx="7035165" cy="5332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5165" cy="533273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00" w:hanging="1"/>
        <w:spacing w:after="0" w:line="23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June 30, 2020, KAFU Holdings (QP), L.P. exercised the Redemption Right with respect to an aggregate 40,679 Class A Units.</w:t>
      </w:r>
    </w:p>
    <w:p>
      <w:pPr>
        <w:spacing w:after="0" w:line="31" w:lineRule="exact"/>
        <w:rPr>
          <w:rFonts w:ascii="Arial" w:cs="Arial" w:eastAsia="Arial" w:hAnsi="Arial"/>
          <w:sz w:val="13"/>
          <w:szCs w:val="13"/>
          <w:color w:val="008000"/>
        </w:rPr>
      </w:pPr>
    </w:p>
    <w:p>
      <w:pPr>
        <w:ind w:left="40" w:right="38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spacing w:after="0" w:line="23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5"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0000FF"/>
                <w:w w:val="95"/>
              </w:rPr>
              <w:t>/s/ Michael O'Neil</w:t>
            </w:r>
          </w:p>
        </w:tc>
        <w:tc>
          <w:tcPr>
            <w:tcW w:w="80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07/02/2020</w:t>
            </w: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60" w:hanging="1"/>
        <w:spacing w:after="0" w:line="326"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1"/>
      </w:cols>
      <w:pgMar w:left="499" w:top="12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2020-07-02T12:38:24Z</dcterms:created>
  <dcterms:modified xsi:type="dcterms:W3CDTF">2020-07-02T12:38:24Z</dcterms:modified>
</cp:coreProperties>
</file>