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385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3854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20" w:right="340"/>
        <w:spacing w:after="0" w:line="258" w:lineRule="auto"/>
        <w:rPr>
          <w:sz w:val="20"/>
          <w:szCs w:val="20"/>
          <w:color w:val="auto"/>
        </w:rPr>
      </w:pPr>
      <w:r>
        <w:rPr>
          <w:rFonts w:ascii="Arial" w:cs="Arial" w:eastAsia="Arial" w:hAnsi="Arial"/>
          <w:sz w:val="14"/>
          <w:szCs w:val="14"/>
          <w:color w:val="E8112D"/>
        </w:rPr>
        <w:t>The information in this preliminary prospectus supplement is not complete and may be changed. This preliminary prospectus supplement and the attached prospectus are not an offer to sell and do not seek an offer to buy these securities in any jurisdiction where the offer or sale is not permitted.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333-126447</w:t>
      </w:r>
    </w:p>
    <w:p>
      <w:pPr>
        <w:spacing w:after="0" w:line="22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E8112D"/>
        </w:rPr>
        <w:t>SUBJECT TO COMPLETION, DATED DECEMBER 13, 2006</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July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220345</wp:posOffset>
            </wp:positionV>
            <wp:extent cx="169799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6,163,960 Common Units</w:t>
      </w:r>
    </w:p>
    <w:p>
      <w:pPr>
        <w:spacing w:after="0" w:line="77"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76"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We are offering 6,163,960 common units directly to certain purchasers (the “Purchasers”) in a privately negotiated transaction at a price of $48.67 per unit. We expect to receive net proceeds of approximately $306 million, including our general partner’s proportionate capital contribution after deducting offering expenses, from this sale of our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73025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9"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Our common units are listed on The New York Stock Exchange under the symbol “PAA.” The last reported sale price of our common units on the New York Stock Exchange on December 12, 2006 was $51.40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14" w:lineRule="exact"/>
        <w:rPr>
          <w:sz w:val="20"/>
          <w:szCs w:val="20"/>
          <w:color w:val="auto"/>
        </w:rPr>
      </w:pPr>
    </w:p>
    <w:p>
      <w:pPr>
        <w:ind w:left="700" w:right="140" w:firstLine="397"/>
        <w:spacing w:after="0" w:line="282" w:lineRule="auto"/>
        <w:rPr>
          <w:sz w:val="20"/>
          <w:szCs w:val="20"/>
          <w:color w:val="auto"/>
        </w:rPr>
      </w:pPr>
      <w:r>
        <w:rPr>
          <w:rFonts w:ascii="Arial" w:cs="Arial" w:eastAsia="Arial" w:hAnsi="Arial"/>
          <w:sz w:val="18"/>
          <w:szCs w:val="18"/>
          <w:b w:val="1"/>
          <w:bCs w:val="1"/>
          <w:color w:val="auto"/>
        </w:rPr>
        <w:t>Investing in our common units involves risks. See “Risk Factors” beginning on page S-1 of this prospectus supplement and on page 5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71755</wp:posOffset>
            </wp:positionV>
            <wp:extent cx="1132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3"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The date of this prospectus supplement is December  ,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ind w:left="700" w:right="1040" w:firstLine="397"/>
        <w:spacing w:after="0" w:line="302"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w:t>
      </w:r>
    </w:p>
    <w:p>
      <w:pPr>
        <w:spacing w:after="0" w:line="60" w:lineRule="exact"/>
        <w:rPr>
          <w:sz w:val="20"/>
          <w:szCs w:val="20"/>
          <w:color w:val="auto"/>
        </w:rPr>
      </w:pPr>
    </w:p>
    <w:p>
      <w:pPr>
        <w:ind w:left="700" w:right="940" w:firstLine="397"/>
        <w:spacing w:after="0" w:line="27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w:t>
      </w:r>
    </w:p>
    <w:p>
      <w:pPr>
        <w:spacing w:after="0" w:line="77" w:lineRule="exact"/>
        <w:rPr>
          <w:sz w:val="20"/>
          <w:szCs w:val="20"/>
          <w:color w:val="auto"/>
        </w:rPr>
      </w:pPr>
    </w:p>
    <w:p>
      <w:pPr>
        <w:ind w:left="700" w:right="1180" w:firstLine="397"/>
        <w:spacing w:after="0" w:line="264"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29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60" w:type="dxa"/>
            <w:vAlign w:val="bottom"/>
          </w:tcPr>
          <w:p>
            <w:pPr>
              <w:ind w:left="260"/>
              <w:spacing w:after="0"/>
              <w:rPr>
                <w:sz w:val="20"/>
                <w:szCs w:val="20"/>
                <w:color w:val="auto"/>
              </w:rPr>
            </w:pPr>
            <w:r>
              <w:rPr>
                <w:rFonts w:ascii="Arial" w:cs="Arial" w:eastAsia="Arial" w:hAnsi="Arial"/>
                <w:sz w:val="18"/>
                <w:szCs w:val="18"/>
                <w:b w:val="1"/>
                <w:bCs w:val="1"/>
                <w:color w:val="auto"/>
              </w:rPr>
              <w:t>TABLE OF CONTENTS</w:t>
            </w:r>
          </w:p>
        </w:tc>
      </w:tr>
      <w:tr>
        <w:trPr>
          <w:trHeight w:val="28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60" w:type="dxa"/>
            <w:vAlign w:val="bottom"/>
          </w:tcPr>
          <w:p>
            <w:pPr>
              <w:ind w:left="320"/>
              <w:spacing w:after="0"/>
              <w:rPr>
                <w:sz w:val="20"/>
                <w:szCs w:val="20"/>
                <w:color w:val="auto"/>
              </w:rPr>
            </w:pPr>
            <w:r>
              <w:rPr>
                <w:rFonts w:ascii="Arial" w:cs="Arial" w:eastAsia="Arial" w:hAnsi="Arial"/>
                <w:sz w:val="18"/>
                <w:szCs w:val="18"/>
                <w:b w:val="1"/>
                <w:bCs w:val="1"/>
                <w:color w:val="auto"/>
              </w:rPr>
              <w:t>Prospectus Supplement</w:t>
            </w:r>
          </w:p>
        </w:tc>
      </w:tr>
      <w:tr>
        <w:trPr>
          <w:trHeight w:val="190"/>
        </w:trPr>
        <w:tc>
          <w:tcPr>
            <w:tcW w:w="2520" w:type="dxa"/>
            <w:vAlign w:val="bottom"/>
            <w:tcBorders>
              <w:bottom w:val="single" w:sz="8" w:color="0000EE"/>
            </w:tcBorders>
            <w:gridSpan w:val="6"/>
          </w:tcPr>
          <w:p>
            <w:pPr>
              <w:spacing w:after="0" w:line="190"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Plains All American Pipeline, L.P.</w:t>
              </w:r>
            </w:hyperlink>
          </w:p>
        </w:tc>
        <w:tc>
          <w:tcPr>
            <w:tcW w:w="1220" w:type="dxa"/>
            <w:vAlign w:val="bottom"/>
            <w:gridSpan w:val="3"/>
          </w:tcPr>
          <w:p>
            <w:pPr>
              <w:spacing w:after="0"/>
              <w:rPr>
                <w:sz w:val="16"/>
                <w:szCs w:val="16"/>
                <w:color w:val="auto"/>
              </w:rPr>
            </w:pPr>
          </w:p>
        </w:tc>
        <w:tc>
          <w:tcPr>
            <w:tcW w:w="6160" w:type="dxa"/>
            <w:vAlign w:val="bottom"/>
          </w:tcPr>
          <w:p>
            <w:pPr>
              <w:ind w:left="5920"/>
              <w:spacing w:after="0" w:line="190" w:lineRule="exact"/>
              <w:rPr>
                <w:sz w:val="20"/>
                <w:szCs w:val="20"/>
                <w:color w:val="auto"/>
              </w:rPr>
            </w:pPr>
            <w:r>
              <w:rPr>
                <w:rFonts w:ascii="Arial" w:cs="Arial" w:eastAsia="Arial" w:hAnsi="Arial"/>
                <w:sz w:val="18"/>
                <w:szCs w:val="18"/>
                <w:color w:val="auto"/>
                <w:w w:val="78"/>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2840" w:type="dxa"/>
            <w:vAlign w:val="bottom"/>
            <w:gridSpan w:val="7"/>
          </w:tcPr>
          <w:p>
            <w:pPr>
              <w:spacing w:after="0"/>
              <w:rPr>
                <w:sz w:val="17"/>
                <w:szCs w:val="17"/>
                <w:color w:val="auto"/>
              </w:rPr>
            </w:pPr>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S-1</w:t>
            </w:r>
          </w:p>
        </w:tc>
      </w:tr>
      <w:tr>
        <w:trPr>
          <w:trHeight w:val="196"/>
        </w:trPr>
        <w:tc>
          <w:tcPr>
            <w:tcW w:w="3740" w:type="dxa"/>
            <w:vAlign w:val="bottom"/>
            <w:gridSpan w:val="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S-2</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96"/>
        </w:trPr>
        <w:tc>
          <w:tcPr>
            <w:tcW w:w="3740" w:type="dxa"/>
            <w:vAlign w:val="bottom"/>
            <w:gridSpan w:val="9"/>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Price Range of Common Units and Distributions</w:t>
              </w:r>
            </w:hyperlink>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S-3</w:t>
            </w:r>
          </w:p>
        </w:tc>
      </w:tr>
      <w:tr>
        <w:trPr>
          <w:trHeight w:val="196"/>
        </w:trPr>
        <w:tc>
          <w:tcPr>
            <w:tcW w:w="3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Plan of Distribution</w:t>
              </w:r>
            </w:hyperlink>
          </w:p>
        </w:tc>
        <w:tc>
          <w:tcPr>
            <w:tcW w:w="240" w:type="dxa"/>
            <w:vAlign w:val="bottom"/>
          </w:tcPr>
          <w:p>
            <w:pPr>
              <w:spacing w:after="0"/>
              <w:rPr>
                <w:sz w:val="17"/>
                <w:szCs w:val="17"/>
                <w:color w:val="auto"/>
              </w:rPr>
            </w:pPr>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S-4</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Where You Can Find More Information</w:t>
              </w:r>
            </w:hyperlink>
          </w:p>
        </w:tc>
        <w:tc>
          <w:tcPr>
            <w:tcW w:w="880" w:type="dxa"/>
            <w:vAlign w:val="bottom"/>
            <w:gridSpan w:val="2"/>
          </w:tcPr>
          <w:p>
            <w:pPr>
              <w:spacing w:after="0"/>
              <w:rPr>
                <w:sz w:val="17"/>
                <w:szCs w:val="17"/>
                <w:color w:val="auto"/>
              </w:rPr>
            </w:pPr>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S-5</w:t>
            </w:r>
          </w:p>
        </w:tc>
      </w:tr>
      <w:tr>
        <w:trPr>
          <w:trHeight w:val="196"/>
        </w:trPr>
        <w:tc>
          <w:tcPr>
            <w:tcW w:w="3740" w:type="dxa"/>
            <w:vAlign w:val="bottom"/>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Forward-Looking Statements</w:t>
              </w:r>
            </w:hyperlink>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S-7</w:t>
            </w:r>
          </w:p>
        </w:tc>
      </w:tr>
      <w:tr>
        <w:trPr>
          <w:trHeight w:val="196"/>
        </w:trPr>
        <w:tc>
          <w:tcPr>
            <w:tcW w:w="2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Experts</w:t>
              </w:r>
            </w:hyperlink>
          </w:p>
        </w:tc>
        <w:tc>
          <w:tcPr>
            <w:tcW w:w="1640" w:type="dxa"/>
            <w:vAlign w:val="bottom"/>
            <w:gridSpan w:val="4"/>
          </w:tcPr>
          <w:p>
            <w:pPr>
              <w:spacing w:after="0"/>
              <w:rPr>
                <w:sz w:val="17"/>
                <w:szCs w:val="17"/>
                <w:color w:val="auto"/>
              </w:rPr>
            </w:pPr>
          </w:p>
        </w:tc>
        <w:tc>
          <w:tcPr>
            <w:tcW w:w="6160" w:type="dxa"/>
            <w:vAlign w:val="bottom"/>
          </w:tcPr>
          <w:p>
            <w:pPr>
              <w:ind w:left="5920"/>
              <w:spacing w:after="0" w:line="196" w:lineRule="exact"/>
              <w:rPr>
                <w:sz w:val="20"/>
                <w:szCs w:val="20"/>
                <w:color w:val="auto"/>
              </w:rPr>
            </w:pPr>
            <w:r>
              <w:rPr>
                <w:rFonts w:ascii="Arial" w:cs="Arial" w:eastAsia="Arial" w:hAnsi="Arial"/>
                <w:sz w:val="18"/>
                <w:szCs w:val="18"/>
                <w:color w:val="auto"/>
                <w:w w:val="78"/>
              </w:rPr>
              <w:t>S-8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20" w:type="dxa"/>
            <w:vAlign w:val="bottom"/>
          </w:tcPr>
          <w:p>
            <w:pPr>
              <w:jc w:val="right"/>
              <w:ind w:right="5250"/>
              <w:spacing w:after="0"/>
              <w:rPr>
                <w:sz w:val="20"/>
                <w:szCs w:val="20"/>
                <w:color w:val="auto"/>
              </w:rPr>
            </w:pPr>
            <w:r>
              <w:rPr>
                <w:rFonts w:ascii="Arial" w:cs="Arial" w:eastAsia="Arial" w:hAnsi="Arial"/>
                <w:sz w:val="18"/>
                <w:szCs w:val="18"/>
                <w:b w:val="1"/>
                <w:bCs w:val="1"/>
                <w:color w:val="auto"/>
              </w:rPr>
              <w:t>Prospectus</w:t>
            </w:r>
          </w:p>
        </w:tc>
      </w:tr>
      <w:tr>
        <w:trPr>
          <w:trHeight w:val="190"/>
        </w:trPr>
        <w:tc>
          <w:tcPr>
            <w:tcW w:w="700" w:type="dxa"/>
            <w:vAlign w:val="bottom"/>
          </w:tcPr>
          <w:p>
            <w:pPr>
              <w:spacing w:after="0"/>
              <w:rPr>
                <w:sz w:val="16"/>
                <w:szCs w:val="16"/>
                <w:color w:val="auto"/>
              </w:rPr>
            </w:pPr>
          </w:p>
        </w:tc>
        <w:tc>
          <w:tcPr>
            <w:tcW w:w="158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About this Prospectus</w:t>
              </w:r>
            </w:hyperlink>
          </w:p>
        </w:tc>
        <w:tc>
          <w:tcPr>
            <w:tcW w:w="2220" w:type="dxa"/>
            <w:vAlign w:val="bottom"/>
            <w:gridSpan w:val="7"/>
          </w:tcPr>
          <w:p>
            <w:pPr>
              <w:spacing w:after="0"/>
              <w:rPr>
                <w:sz w:val="16"/>
                <w:szCs w:val="16"/>
                <w:color w:val="auto"/>
              </w:rPr>
            </w:pPr>
          </w:p>
        </w:tc>
        <w:tc>
          <w:tcPr>
            <w:tcW w:w="6920" w:type="dxa"/>
            <w:vAlign w:val="bottom"/>
          </w:tcPr>
          <w:p>
            <w:pPr>
              <w:jc w:val="right"/>
              <w:ind w:right="730"/>
              <w:spacing w:after="0" w:line="190" w:lineRule="exact"/>
              <w:rPr>
                <w:sz w:val="20"/>
                <w:szCs w:val="20"/>
                <w:color w:val="auto"/>
              </w:rPr>
            </w:pPr>
            <w:r>
              <w:rPr>
                <w:rFonts w:ascii="Arial" w:cs="Arial" w:eastAsia="Arial" w:hAnsi="Arial"/>
                <w:sz w:val="18"/>
                <w:szCs w:val="18"/>
                <w:color w:val="auto"/>
              </w:rPr>
              <w:t>i</w:t>
            </w:r>
          </w:p>
        </w:tc>
      </w:tr>
      <w:tr>
        <w:trPr>
          <w:trHeight w:val="196"/>
        </w:trPr>
        <w:tc>
          <w:tcPr>
            <w:tcW w:w="700" w:type="dxa"/>
            <w:vAlign w:val="bottom"/>
          </w:tcPr>
          <w:p>
            <w:pPr>
              <w:spacing w:after="0"/>
              <w:rPr>
                <w:sz w:val="17"/>
                <w:szCs w:val="17"/>
                <w:color w:val="auto"/>
              </w:rPr>
            </w:pPr>
          </w:p>
        </w:tc>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Where You Can Find More Information</w:t>
              </w:r>
            </w:hyperlink>
          </w:p>
        </w:tc>
        <w:tc>
          <w:tcPr>
            <w:tcW w:w="940" w:type="dxa"/>
            <w:vAlign w:val="bottom"/>
            <w:gridSpan w:val="2"/>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1</w:t>
            </w: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Forward-Looking Statements</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Who We Are</w:t>
              </w:r>
            </w:hyperlink>
          </w:p>
        </w:tc>
        <w:tc>
          <w:tcPr>
            <w:tcW w:w="1160" w:type="dxa"/>
            <w:vAlign w:val="bottom"/>
            <w:tcBorders>
              <w:top w:val="single" w:sz="8" w:color="0000EE"/>
            </w:tcBorders>
            <w:gridSpan w:val="7"/>
          </w:tcPr>
          <w:p>
            <w:pPr>
              <w:spacing w:after="0"/>
              <w:rPr>
                <w:sz w:val="17"/>
                <w:szCs w:val="17"/>
                <w:color w:val="auto"/>
              </w:rPr>
            </w:pPr>
          </w:p>
        </w:tc>
        <w:tc>
          <w:tcPr>
            <w:tcW w:w="1700" w:type="dxa"/>
            <w:vAlign w:val="bottom"/>
            <w:gridSpan w:val="5"/>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2900" w:type="dxa"/>
            <w:vAlign w:val="bottom"/>
            <w:gridSpan w:val="13"/>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Ratio of Earnings to Fixed Charges</w:t>
              </w:r>
            </w:hyperlink>
          </w:p>
        </w:tc>
        <w:tc>
          <w:tcPr>
            <w:tcW w:w="1260" w:type="dxa"/>
            <w:vAlign w:val="bottom"/>
            <w:gridSpan w:val="3"/>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Our Debt Securities</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Our Common Units</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21</w:t>
            </w:r>
          </w:p>
        </w:tc>
      </w:tr>
      <w:tr>
        <w:trPr>
          <w:trHeight w:val="196"/>
        </w:trPr>
        <w:tc>
          <w:tcPr>
            <w:tcW w:w="7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Cash Distribution Policy</w:t>
              </w:r>
            </w:hyperlink>
          </w:p>
        </w:tc>
        <w:tc>
          <w:tcPr>
            <w:tcW w:w="720" w:type="dxa"/>
            <w:vAlign w:val="bottom"/>
            <w:tcBorders>
              <w:top w:val="single" w:sz="8" w:color="0000EE"/>
            </w:tcBorders>
            <w:gridSpan w:val="2"/>
          </w:tcPr>
          <w:p>
            <w:pPr>
              <w:spacing w:after="0"/>
              <w:rPr>
                <w:sz w:val="17"/>
                <w:szCs w:val="17"/>
                <w:color w:val="auto"/>
              </w:rPr>
            </w:pPr>
          </w:p>
        </w:tc>
        <w:tc>
          <w:tcPr>
            <w:tcW w:w="1300" w:type="dxa"/>
            <w:vAlign w:val="bottom"/>
            <w:gridSpan w:val="4"/>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23</w:t>
            </w: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Our Partnership Agreement</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26</w:t>
            </w:r>
          </w:p>
        </w:tc>
      </w:tr>
      <w:tr>
        <w:trPr>
          <w:trHeight w:val="196"/>
        </w:trPr>
        <w:tc>
          <w:tcPr>
            <w:tcW w:w="700" w:type="dxa"/>
            <w:vAlign w:val="bottom"/>
          </w:tcPr>
          <w:p>
            <w:pPr>
              <w:spacing w:after="0"/>
              <w:rPr>
                <w:sz w:val="17"/>
                <w:szCs w:val="17"/>
                <w:color w:val="auto"/>
              </w:rPr>
            </w:pPr>
          </w:p>
        </w:tc>
        <w:tc>
          <w:tcPr>
            <w:tcW w:w="30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Tax Considerations</w:t>
              </w:r>
            </w:hyperlink>
          </w:p>
        </w:tc>
        <w:tc>
          <w:tcPr>
            <w:tcW w:w="740" w:type="dxa"/>
            <w:vAlign w:val="bottom"/>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29</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42</w:t>
            </w:r>
          </w:p>
        </w:tc>
      </w:tr>
      <w:tr>
        <w:trPr>
          <w:trHeight w:val="196"/>
        </w:trPr>
        <w:tc>
          <w:tcPr>
            <w:tcW w:w="70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3"/>
          </w:tcPr>
          <w:p>
            <w:pPr>
              <w:spacing w:after="0"/>
              <w:rPr>
                <w:sz w:val="17"/>
                <w:szCs w:val="17"/>
                <w:color w:val="auto"/>
              </w:rPr>
            </w:pPr>
          </w:p>
        </w:tc>
        <w:tc>
          <w:tcPr>
            <w:tcW w:w="2380" w:type="dxa"/>
            <w:vAlign w:val="bottom"/>
            <w:gridSpan w:val="8"/>
          </w:tcPr>
          <w:p>
            <w:pPr>
              <w:spacing w:after="0"/>
              <w:rPr>
                <w:sz w:val="17"/>
                <w:szCs w:val="17"/>
                <w:color w:val="auto"/>
              </w:rPr>
            </w:pPr>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43</w:t>
            </w:r>
          </w:p>
        </w:tc>
      </w:tr>
      <w:tr>
        <w:trPr>
          <w:trHeight w:val="196"/>
        </w:trPr>
        <w:tc>
          <w:tcPr>
            <w:tcW w:w="700" w:type="dxa"/>
            <w:vAlign w:val="bottom"/>
          </w:tcPr>
          <w:p>
            <w:pPr>
              <w:spacing w:after="0"/>
              <w:rPr>
                <w:sz w:val="17"/>
                <w:szCs w:val="17"/>
                <w:color w:val="auto"/>
              </w:rPr>
            </w:pPr>
          </w:p>
        </w:tc>
        <w:tc>
          <w:tcPr>
            <w:tcW w:w="380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69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43</w:t>
            </w:r>
          </w:p>
        </w:tc>
      </w:tr>
      <w:tr>
        <w:trPr>
          <w:trHeight w:val="247"/>
        </w:trPr>
        <w:tc>
          <w:tcPr>
            <w:tcW w:w="70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69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PLAINS ALL AMERICAN PIPELINE, L.P.</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Plains Marketing, L.P., Plains Pipeline, L.P. and Plains Marketing Canada, L.P. Giving effect to the Pacific Merger (defined below), we also operate through Pacific Energy Group LLC and PEG Canada L.P.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develop and operate natural gas storage facilities.</w:t>
      </w:r>
    </w:p>
    <w:p>
      <w:pPr>
        <w:spacing w:after="0" w:line="7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On November 15, 2006, we completed our acquisition of Pacific Energy Partners, L.P. (“Pacific Energy”) pursuant to an Agreement and Plan of Merger dated June 11, 2006 (the “Pacific Merger”).</w:t>
      </w:r>
    </w:p>
    <w:p>
      <w:pPr>
        <w:spacing w:after="0" w:line="76" w:lineRule="exact"/>
        <w:rPr>
          <w:sz w:val="20"/>
          <w:szCs w:val="20"/>
          <w:color w:val="auto"/>
        </w:rPr>
      </w:pPr>
    </w:p>
    <w:p>
      <w:pPr>
        <w:ind w:left="700" w:right="1140" w:firstLine="397"/>
        <w:spacing w:after="0" w:line="277" w:lineRule="auto"/>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You should carefully consider the risk factors discussed in our 2005 annual report on Form 10-K and our quarterly reports 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Form 10-Q for the quarters ended June 30, 2006 and September 30, 2006, as amended, together with all of the other information included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this prospectus supplement, the accompanying prospectus and the documents we have incorporated by reference into this prospectus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evaluating an investment in our common units. If any of the described risks actually were to occur, our business, financial condition or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results of operations could be materially adversely affected.</w:t>
      </w:r>
    </w:p>
    <w:p>
      <w:pPr>
        <w:spacing w:after="0" w:line="4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The net proceeds of this offering will be approximately $306 million, including our general partner’s proportionate capital contribution after deducting estimated offering expenses. We intend to use the net proceeds of this offering (i) to repay indebtedness; (ii) to fund capital expenditures; and (iii) for general corporate purposes.</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Indebtedness under our senior unsecured credit facility was approximately $473 million as of December 11, 2006, and had an annual interest rate of 5.5% and a final maturity in July 2011. Substantially all of the outstanding indebtedness under the facility was incurred to fund acquisitions (including the Pacific Merger), capital expansion projects, working capital requirements and the purchase of hedged inventory.</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135"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As of December 11, 2006, we had 103,241,218 common units outstanding, held by approximately 400 holders of record. Our common units are traded on the New York Stock Exchange under the symbol “PAA.”</w:t>
      </w:r>
    </w:p>
    <w:p>
      <w:pPr>
        <w:spacing w:after="0" w:line="76"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December 12, 2006 was $51.40 per common unit.</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Price Range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5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Distributions(1)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$31.18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0.5625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35.98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45.08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42.82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$47.00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$39.81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0.7075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(through December 12, 2006)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hanging="312"/>
        <w:spacing w:after="0"/>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cash distributions per common unit declared with respect to the quarter and paid in the following quarter.</w:t>
      </w:r>
    </w:p>
    <w:p>
      <w:pPr>
        <w:spacing w:after="0" w:line="63" w:lineRule="exact"/>
        <w:rPr>
          <w:rFonts w:ascii="Arial" w:cs="Arial" w:eastAsia="Arial" w:hAnsi="Arial"/>
          <w:sz w:val="18"/>
          <w:szCs w:val="18"/>
          <w:color w:val="auto"/>
        </w:rPr>
      </w:pPr>
    </w:p>
    <w:p>
      <w:pPr>
        <w:ind w:left="1200" w:right="140" w:hanging="312"/>
        <w:spacing w:after="0" w:line="264" w:lineRule="auto"/>
        <w:tabs>
          <w:tab w:leader="none" w:pos="1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attributable to the fourth quarter of 2006 has not yet been declared or paid. Following completion of the Pacific Merger, Plains’ management announced its intention to recommend that the board of directors of Plains’ general partner increase the annual distribution rate to $3.20 effective with Plains’ next distribution in February 2007.</w:t>
      </w:r>
    </w:p>
    <w:p>
      <w:pPr>
        <w:spacing w:after="0" w:line="3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We are selling the common units offered pursuant to this prospectus directly to the following purchasers in a privately negotiated transaction in which no party is acting as an underwriter:</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Common Units</w:t>
            </w:r>
          </w:p>
        </w:tc>
      </w:tr>
      <w:tr>
        <w:trPr>
          <w:trHeight w:val="480"/>
        </w:trPr>
        <w:tc>
          <w:tcPr>
            <w:tcW w:w="80" w:type="dxa"/>
            <w:vAlign w:val="bottom"/>
            <w:tcBorders>
              <w:top w:val="single" w:sz="8" w:color="auto"/>
            </w:tcBorders>
          </w:tcPr>
          <w:p>
            <w:pPr>
              <w:spacing w:after="0"/>
              <w:rPr>
                <w:sz w:val="24"/>
                <w:szCs w:val="24"/>
                <w:color w:val="auto"/>
              </w:rPr>
            </w:pPr>
          </w:p>
        </w:tc>
        <w:tc>
          <w:tcPr>
            <w:tcW w:w="8660" w:type="dxa"/>
            <w:vAlign w:val="bottom"/>
          </w:tcPr>
          <w:p>
            <w:pPr>
              <w:ind w:left="10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6,163,960</w:t>
            </w:r>
          </w:p>
        </w:tc>
      </w:tr>
    </w:tbl>
    <w:p>
      <w:pPr>
        <w:spacing w:after="0" w:line="10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Subject to the terms of a purchase agreement to be entered into, the purchasers are expected to agree to purchase, and we intend to sell to the purchasers, 6,163,960 common units at a price of $48.67 per unit. We will determine the per unit price through negotiations with the purchasers.</w:t>
      </w:r>
    </w:p>
    <w:p>
      <w:pPr>
        <w:spacing w:after="0" w:line="8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(the “SEC”)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rFonts w:ascii="Arial" w:cs="Arial" w:eastAsia="Arial" w:hAnsi="Arial"/>
          <w:sz w:val="18"/>
          <w:szCs w:val="18"/>
          <w:i w:val="1"/>
          <w:iCs w:val="1"/>
          <w:color w:val="auto"/>
        </w:rPr>
        <w:t>however</w:t>
      </w:r>
      <w:r>
        <w:rPr>
          <w:rFonts w:ascii="Arial" w:cs="Arial" w:eastAsia="Arial" w:hAnsi="Arial"/>
          <w:sz w:val="18"/>
          <w:szCs w:val="18"/>
          <w:color w:val="auto"/>
        </w:rPr>
        <w:t>, a purchaser may enter into a total return swap or similar transaction as long as the swap counterparty agrees to be bound by the terms of the lock-up.</w:t>
      </w:r>
    </w:p>
    <w:p>
      <w:pPr>
        <w:spacing w:after="0" w:line="98"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 xml:space="preserve">We expect to deliver the units through the book entry facilities of The Depository Trust Company against payment of the aggregate purchase price for the units purchased on or about December , 2006;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we and certain of the purchasers may agree to close the offering with respect to the common units being offered to such purchaser on a later date as mutually agreed upon by us and such purchaser in accordance with the purchase agreement.</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w:t>
      </w:r>
    </w:p>
    <w:p>
      <w:pPr>
        <w:spacing w:after="0" w:line="94" w:lineRule="exact"/>
        <w:rPr>
          <w:sz w:val="20"/>
          <w:szCs w:val="20"/>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2006, as amended;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2006;</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16, 2006 (announcement of Andrews acquisition);</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March 21, 2006 (entry into direct placement unit purchase agreement);</w:t>
      </w:r>
    </w:p>
    <w:p>
      <w:pPr>
        <w:spacing w:after="0" w:line="62" w:lineRule="exact"/>
        <w:rPr>
          <w:rFonts w:ascii="Arial" w:cs="Arial" w:eastAsia="Arial" w:hAnsi="Arial"/>
          <w:sz w:val="18"/>
          <w:szCs w:val="18"/>
          <w:color w:val="auto"/>
        </w:rPr>
      </w:pPr>
    </w:p>
    <w:p>
      <w:pPr>
        <w:ind w:left="1300" w:right="96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21, 2006 (audited balance sheet of Plains AAP, L.P. as of December 31, 2005);</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2006 (announcement of private placement offering of $250 million of notes);</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May 12, 2006 (entry into note purchase agreement, registration rights agreement and supplemental indentures);</w:t>
      </w:r>
    </w:p>
    <w:p>
      <w:pPr>
        <w:spacing w:after="0" w:line="62" w:lineRule="exact"/>
        <w:rPr>
          <w:rFonts w:ascii="Arial" w:cs="Arial" w:eastAsia="Arial" w:hAnsi="Arial"/>
          <w:sz w:val="18"/>
          <w:szCs w:val="18"/>
          <w:color w:val="auto"/>
        </w:rPr>
      </w:pPr>
    </w:p>
    <w:p>
      <w:pPr>
        <w:ind w:left="1300" w:right="6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15, 2006 (amendment to PAA/Vulcan limited liability company agreement);</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June 12, 2006 (entry into Pacific merger agreement and purchase agreement with LB Pacific);</w:t>
      </w:r>
    </w:p>
    <w:p>
      <w:pPr>
        <w:spacing w:after="0" w:line="62"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June 30, 2006 (unaudited balance sheet of Plains AAP, L.P. as of March 31, 2006);</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14, 2006 (pro forma financial statements);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20, 2006 (amendment to Pacific merger agreement);</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July 25, 2006 (entry into direct placement unit purchase agreement);</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4, 2006 (entry into amended and restated credit agreement and bridge loan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23, 2006 (LTIP grants to audit committee members);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24, 2006 (pro forma financial statements);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25, 2006 (execution of eighth supplemental indenture);</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28, 2006 (unaudited balance sheet of Plains AAP, L.P. as of June 30, 2006);</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23, 2006 (announcement of private placement offering of $1.0 billion of senior notes);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27, 2006 (entry into note purchase agreement);</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30, 2006 (entry into registration rights agreements and ninth and tenth supplemental indentures);</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November 13, 2006 (announcement of unitholder approval of Pacific merger);</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November 21, 2006 (completion of Pacific Merger, entry into supplemental indentures, amendment to partnership agreement and pro forma and historical financial statements);</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SEC on November 29, 2006 (unaudited consolidated balance sheet of Plains AAP, L.P. as of September 30, 2006);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Current Report on Form 8-K filed with the SEC on December 11, 2006 (announcement of potential fine at Pyramid Lake).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11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8"/>
          <w:szCs w:val="18"/>
          <w:i w:val="1"/>
          <w:iCs w:val="1"/>
          <w:color w:val="auto"/>
        </w:rPr>
        <w:t>www.sec.gov.</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All statements included or incorporated by reference in this prospectus or any prospectus supplement,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95" w:lineRule="exact"/>
        <w:rPr>
          <w:sz w:val="20"/>
          <w:szCs w:val="20"/>
          <w:color w:val="auto"/>
        </w:rPr>
      </w:pPr>
    </w:p>
    <w:p>
      <w:pPr>
        <w:ind w:left="1300" w:right="16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successfully integrate the respective business operations of Pacific Energy or our failure to successfully integrate any future acquisitions;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realize the anticipated cost savings, synergies and other benefits of the merger with Pacific Energy;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declines in volumes shipped on the Basin Pipeline, Capline Pipeline and our other pipelines by us and third party shippers;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of adequate third party production volumes for transportation and marketing in the areas in which we operate;</w:t>
      </w:r>
    </w:p>
    <w:p>
      <w:pPr>
        <w:spacing w:after="0" w:line="140" w:lineRule="exact"/>
        <w:rPr>
          <w:rFonts w:ascii="Arial" w:cs="Arial" w:eastAsia="Arial" w:hAnsi="Arial"/>
          <w:sz w:val="16"/>
          <w:szCs w:val="16"/>
          <w:color w:val="auto"/>
        </w:rPr>
      </w:pPr>
    </w:p>
    <w:p>
      <w:pPr>
        <w:ind w:left="1300" w:right="32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natural gas or various grades of crude oil and resulting changes in pricing conditions or transmission throughput requirements;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 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access to capital to fund additional acquisitions and our ability to obtain debt or equity financing on satisfactory terms;</w:t>
      </w:r>
    </w:p>
    <w:p>
      <w:pPr>
        <w:spacing w:after="0" w:line="74" w:lineRule="exact"/>
        <w:rPr>
          <w:rFonts w:ascii="Arial" w:cs="Arial" w:eastAsia="Arial" w:hAnsi="Arial"/>
          <w:sz w:val="17"/>
          <w:szCs w:val="17"/>
          <w:color w:val="auto"/>
        </w:rPr>
      </w:pPr>
    </w:p>
    <w:p>
      <w:pPr>
        <w:ind w:left="1300" w:right="4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8"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 party pipelines;</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63"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8"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 and</w:t>
      </w:r>
    </w:p>
    <w:p>
      <w:pPr>
        <w:spacing w:after="0" w:line="63"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and uncertainties inherent in the marketing, transportation, terminalling, gathering and storage of crude oil and liquefied petroleum gas.</w:t>
      </w:r>
    </w:p>
    <w:p>
      <w:pPr>
        <w:spacing w:after="0" w:line="76"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Other factors described herein or incorporated by reference, or factors that are unknown or unpredictable, could also have a material adverse effect on future results. Please read “Risk Factors” beginning on page S-1 of this prospectus, in Item 1A. “Risk Factors” in our annual report on Form 10-K for the year ended December 31, 2005 and in Item 1A. “Risk Factors” in our quarterly reports on Form 10-Q for the quarters ended June 30, 2006 and September 30, 2006, as amended. Except as required by securities laws applicable to the documents incorporated by reference, we do not intend to update these forward-looking statements and information.</w:t>
      </w:r>
    </w:p>
    <w:p>
      <w:pPr>
        <w:spacing w:after="0" w:line="11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of Plains All American Pipeline, L.P.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78"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balance sheet of Plains AAP, L.P. incorporated in this prospectus supplement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w:t>
      </w:r>
    </w:p>
    <w:p>
      <w:pPr>
        <w:spacing w:after="0" w:line="52"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w:t>
      </w: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342"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$2,000,000,000</w:t>
      </w:r>
    </w:p>
    <w:p>
      <w:pPr>
        <w:spacing w:after="0" w:line="57" w:lineRule="exact"/>
        <w:rPr>
          <w:sz w:val="20"/>
          <w:szCs w:val="20"/>
          <w:color w:val="auto"/>
        </w:rPr>
      </w:pPr>
    </w:p>
    <w:p>
      <w:pPr>
        <w:jc w:val="center"/>
        <w:ind w:right="-71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719"/>
        <w:spacing w:after="0"/>
        <w:rPr>
          <w:sz w:val="20"/>
          <w:szCs w:val="20"/>
          <w:color w:val="auto"/>
        </w:rPr>
      </w:pPr>
      <w:r>
        <w:rPr>
          <w:rFonts w:ascii="Arial" w:cs="Arial" w:eastAsia="Arial" w:hAnsi="Arial"/>
          <w:sz w:val="43"/>
          <w:szCs w:val="43"/>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93345</wp:posOffset>
            </wp:positionV>
            <wp:extent cx="11322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3"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Common Units</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88900</wp:posOffset>
            </wp:positionV>
            <wp:extent cx="1132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from time to time offer the following securities under this prospectus:</w:t>
      </w:r>
    </w:p>
    <w:p>
      <w:pPr>
        <w:spacing w:after="0" w:line="131"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Plains All American Pipeline, L.P.;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of Plains All American Pipeline, L.P.</w:t>
      </w:r>
    </w:p>
    <w:p>
      <w:pPr>
        <w:spacing w:after="0" w:line="131"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units are traded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100330</wp:posOffset>
            </wp:positionV>
            <wp:extent cx="1132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73"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w:t>
      </w:r>
    </w:p>
    <w:p>
      <w:pPr>
        <w:spacing w:after="0" w:line="47" w:lineRule="exact"/>
        <w:rPr>
          <w:sz w:val="20"/>
          <w:szCs w:val="20"/>
          <w:color w:val="auto"/>
        </w:rPr>
      </w:pPr>
    </w:p>
    <w:p>
      <w:pPr>
        <w:ind w:left="700" w:right="320" w:firstLine="397"/>
        <w:spacing w:after="0" w:line="243" w:lineRule="auto"/>
        <w:rPr>
          <w:sz w:val="20"/>
          <w:szCs w:val="20"/>
          <w:color w:val="auto"/>
        </w:rPr>
      </w:pPr>
      <w:r>
        <w:rPr>
          <w:rFonts w:ascii="Arial" w:cs="Arial" w:eastAsia="Arial" w:hAnsi="Arial"/>
          <w:sz w:val="22"/>
          <w:szCs w:val="22"/>
          <w:b w:val="1"/>
          <w:bCs w:val="1"/>
          <w:color w:val="auto"/>
        </w:rPr>
        <w:t>Limited partnerships are inherently different from corporations. You should consider each of the factors described under “Risk Factors,” which begin on page 5, in deciding whether or not to buy any of our securities.</w:t>
      </w:r>
    </w:p>
    <w:p>
      <w:pPr>
        <w:spacing w:after="0" w:line="96"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our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59055</wp:posOffset>
            </wp:positionV>
            <wp:extent cx="11322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date of this prospectus is July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7260" w:type="dxa"/>
            <w:vAlign w:val="bottom"/>
          </w:tcPr>
          <w:p>
            <w:pPr>
              <w:jc w:val="center"/>
              <w:ind w:left="1250"/>
              <w:spacing w:after="0"/>
              <w:rPr>
                <w:sz w:val="20"/>
                <w:szCs w:val="20"/>
                <w:color w:val="auto"/>
              </w:rPr>
            </w:pPr>
            <w:r>
              <w:rPr>
                <w:rFonts w:ascii="Arial" w:cs="Arial" w:eastAsia="Arial" w:hAnsi="Arial"/>
                <w:sz w:val="18"/>
                <w:szCs w:val="18"/>
                <w:b w:val="1"/>
                <w:bCs w:val="1"/>
                <w:color w:val="auto"/>
                <w:w w:val="89"/>
              </w:rPr>
              <w:t>Table of Contents</w:t>
            </w:r>
          </w:p>
        </w:tc>
        <w:tc>
          <w:tcPr>
            <w:tcW w:w="1980" w:type="dxa"/>
            <w:vAlign w:val="bottom"/>
          </w:tcPr>
          <w:p>
            <w:pPr>
              <w:spacing w:after="0"/>
              <w:rPr>
                <w:sz w:val="24"/>
                <w:szCs w:val="24"/>
                <w:color w:val="auto"/>
              </w:rPr>
            </w:pPr>
          </w:p>
        </w:tc>
      </w:tr>
      <w:tr>
        <w:trPr>
          <w:trHeight w:val="445"/>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ABOUT THIS PROSPECTUS</w:t>
            </w:r>
          </w:p>
        </w:tc>
        <w:tc>
          <w:tcPr>
            <w:tcW w:w="19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WHERE YOU CAN FIND MORE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FORWARD-LOOKING STATEMENTS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WHO WE ARE</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RISK FACTORS</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USE OF PROCEEDS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RATIO OF EARNINGS TO FIXED CHARGES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DESCRIPTION OF OUR DEBT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DESCRIPTION OF OUR COMMON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CASH DISTRIBUTION POLICY</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DESCRIPTION OF OUR PARTNERSHIP AGREEMENT</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TAX CONSIDERATIONS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PLAN OF DISTRIBUTION</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LEGAL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620" w:type="dxa"/>
            <w:vAlign w:val="bottom"/>
            <w:gridSpan w:val="2"/>
          </w:tcPr>
          <w:p>
            <w:pPr>
              <w:ind w:left="700"/>
              <w:spacing w:after="0"/>
              <w:rPr>
                <w:sz w:val="20"/>
                <w:szCs w:val="20"/>
                <w:color w:val="auto"/>
              </w:rPr>
            </w:pPr>
            <w:r>
              <w:rPr>
                <w:rFonts w:ascii="Arial" w:cs="Arial" w:eastAsia="Arial" w:hAnsi="Arial"/>
                <w:sz w:val="18"/>
                <w:szCs w:val="18"/>
                <w:color w:val="auto"/>
              </w:rPr>
              <w:t>EXPERTS</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54"/>
        </w:trPr>
        <w:tc>
          <w:tcPr>
            <w:tcW w:w="1360" w:type="dxa"/>
            <w:vAlign w:val="bottom"/>
          </w:tcPr>
          <w:p>
            <w:pPr>
              <w:spacing w:after="0"/>
              <w:rPr>
                <w:sz w:val="24"/>
                <w:szCs w:val="24"/>
                <w:color w:val="auto"/>
              </w:rPr>
            </w:pPr>
          </w:p>
        </w:tc>
        <w:tc>
          <w:tcPr>
            <w:tcW w:w="7260" w:type="dxa"/>
            <w:vAlign w:val="bottom"/>
          </w:tcPr>
          <w:p>
            <w:pPr>
              <w:jc w:val="center"/>
              <w:ind w:left="1250"/>
              <w:spacing w:after="0"/>
              <w:rPr>
                <w:sz w:val="20"/>
                <w:szCs w:val="20"/>
                <w:color w:val="auto"/>
              </w:rPr>
            </w:pPr>
            <w:r>
              <w:rPr>
                <w:rFonts w:ascii="Arial" w:cs="Arial" w:eastAsia="Arial" w:hAnsi="Arial"/>
                <w:sz w:val="18"/>
                <w:szCs w:val="18"/>
                <w:b w:val="1"/>
                <w:bCs w:val="1"/>
                <w:color w:val="auto"/>
                <w:w w:val="98"/>
              </w:rPr>
              <w:t>ABOUT THIS PROSPECTUS</w:t>
            </w:r>
          </w:p>
        </w:tc>
        <w:tc>
          <w:tcPr>
            <w:tcW w:w="1980" w:type="dxa"/>
            <w:vAlign w:val="bottom"/>
          </w:tcPr>
          <w:p>
            <w:pPr>
              <w:spacing w:after="0"/>
              <w:rPr>
                <w:sz w:val="24"/>
                <w:szCs w:val="24"/>
                <w:color w:val="auto"/>
              </w:rPr>
            </w:pPr>
          </w:p>
        </w:tc>
      </w:tr>
    </w:tbl>
    <w:p>
      <w:pPr>
        <w:spacing w:after="0" w:line="107"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w:t>
      </w:r>
    </w:p>
    <w:p>
      <w:pPr>
        <w:spacing w:after="0" w:line="7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this registration statement, the terms “we,” “our,” “ours,” and “us” refer to Plains All American Pipeline, L.P. and its subsidiaries, unless otherwise indicated or the context requires otherwise.</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3"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2004;</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2005;</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Reports on Forms 8-K filed on January 26, 2005; February 23, 2005; March 8, 2005; April 1, 2005; April 8, 2005; April 21, 2005; April 25, 2005; May 12, 2005; May 25, 2005; and May 31, 2005;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copy of these filings at no cost by making written or telephone requests for copies to:</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(713) 646-4100</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Additionally, you may read and copy any materials that we have filed with the SEC at the SEC’s Public Reference Room at</w:t>
      </w:r>
    </w:p>
    <w:p>
      <w:pPr>
        <w:spacing w:after="0" w:line="35"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 xml:space="preserve">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8"/>
          <w:szCs w:val="18"/>
          <w:i w:val="1"/>
          <w:iCs w:val="1"/>
          <w:color w:val="auto"/>
        </w:rPr>
        <w:t>www.sec.gov.</w:t>
      </w:r>
    </w:p>
    <w:p>
      <w:pPr>
        <w:spacing w:after="0" w:line="9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84" w:lineRule="exact"/>
        <w:rPr>
          <w:sz w:val="20"/>
          <w:szCs w:val="20"/>
          <w:color w:val="auto"/>
        </w:rPr>
      </w:pPr>
    </w:p>
    <w:p>
      <w:pPr>
        <w:ind w:left="1300" w:right="8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access to capital to fund additional acquisitions and our ability to obtain debt or equity financing on satisfactory terms;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third party shippers;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adequate third party production volumes for transportation and marketing in the areas in which we operate;</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demand for various grades of crude oil and resulting changes in pricing conditions or transmission throughput requirements;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counter-parties;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crude oil price fluctuations;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spacing w:after="0" w:line="99"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execute our business strategy by:</w:t>
      </w:r>
    </w:p>
    <w:p>
      <w:pPr>
        <w:spacing w:after="0" w:line="131" w:lineRule="exact"/>
        <w:rPr>
          <w:sz w:val="20"/>
          <w:szCs w:val="20"/>
          <w:color w:val="auto"/>
        </w:rPr>
      </w:pPr>
    </w:p>
    <w:p>
      <w:pPr>
        <w:ind w:left="1300" w:right="54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and optimizing throughput on our existing pipeline and gathering assets and realizing cost efficiencies through operational improvements;</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our Cushing Terminal and our other assets to service the needs of refiners and to profit from merchant activities that take advantage of crude oil pricing and quality differentials;</w:t>
      </w:r>
    </w:p>
    <w:p>
      <w:pPr>
        <w:spacing w:after="0" w:line="62"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assets we have recently acquired along the Gulf Coast and our Cushing Terminal to increase our presence in the importation of foreign crude through Gulf of Mexico receipt facilities to U.S. refiners;</w:t>
      </w:r>
    </w:p>
    <w:p>
      <w:pPr>
        <w:spacing w:after="0" w:line="62" w:lineRule="exact"/>
        <w:rPr>
          <w:rFonts w:ascii="Arial" w:cs="Arial" w:eastAsia="Arial" w:hAnsi="Arial"/>
          <w:sz w:val="18"/>
          <w:szCs w:val="18"/>
          <w:color w:val="auto"/>
        </w:rPr>
      </w:pPr>
    </w:p>
    <w:p>
      <w:pPr>
        <w:ind w:left="1300" w:hanging="202"/>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15" w:lineRule="exact"/>
        <w:rPr>
          <w:rFonts w:ascii="Arial" w:cs="Arial" w:eastAsia="Arial" w:hAnsi="Arial"/>
          <w:sz w:val="16"/>
          <w:szCs w:val="16"/>
          <w:color w:val="auto"/>
        </w:rPr>
      </w:pPr>
    </w:p>
    <w:p>
      <w:pPr>
        <w:ind w:left="1300" w:right="4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73"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prudently and economically leveraging our asset base, knowledge base and skill sets to participate in energy businesses that are closely related to, or significantly intertwined with, the crude oil business.</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To a lesser degree, we also engage in a similar business strategy with respect to the wholesale marketing and storage of LPG, which we began as a result of an acquisition in mid-2001.</w:t>
      </w:r>
    </w:p>
    <w:p>
      <w:pPr>
        <w:spacing w:after="0" w:line="76"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w:t>
      </w:r>
    </w:p>
    <w:p>
      <w:pPr>
        <w:spacing w:after="0" w:line="73"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Our principal executive offices are located at 333 Clay Street, Suite 1600, Houston, Texas 77002, and our phone number is (713) 646-4100.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31"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We estimate that capital expenditures for expansion projects will be approximately $180 million during 2005, an $80 million increase over the estimate provided in our Annual Report on Form 10-K for the year</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419" w:right="1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320" w:firstLine="397"/>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right="820"/>
        <w:spacing w:after="0" w:line="381" w:lineRule="auto"/>
        <w:rPr>
          <w:sz w:val="20"/>
          <w:szCs w:val="20"/>
          <w:color w:val="auto"/>
        </w:rPr>
      </w:pPr>
      <w:r>
        <w:rPr>
          <w:rFonts w:ascii="Arial" w:cs="Arial" w:eastAsia="Arial" w:hAnsi="Arial"/>
          <w:sz w:val="15"/>
          <w:szCs w:val="15"/>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spacing w:after="0" w:line="207"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Our trading policies cannot eliminate all price risks. In addition, any non-compliance with our trading policies could result in significant financial losses.</w:t>
      </w:r>
    </w:p>
    <w:p>
      <w:pPr>
        <w:spacing w:after="0" w:line="76"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75" w:lineRule="exact"/>
        <w:rPr>
          <w:sz w:val="20"/>
          <w:szCs w:val="20"/>
          <w:color w:val="auto"/>
        </w:rPr>
      </w:pPr>
    </w:p>
    <w:p>
      <w:pPr>
        <w:ind w:left="700" w:right="280" w:firstLine="397"/>
        <w:spacing w:after="0" w:line="276" w:lineRule="auto"/>
        <w:rPr>
          <w:sz w:val="20"/>
          <w:szCs w:val="20"/>
          <w:color w:val="auto"/>
        </w:rPr>
      </w:pPr>
      <w:r>
        <w:rPr>
          <w:rFonts w:ascii="Arial" w:cs="Arial" w:eastAsia="Arial" w:hAnsi="Arial"/>
          <w:sz w:val="17"/>
          <w:szCs w:val="17"/>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If we do not make acquisitions on economically acceptable terms our future growth may be limited.</w:t>
      </w:r>
    </w:p>
    <w:p>
      <w:pPr>
        <w:spacing w:after="0" w:line="131"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w:t>
      </w:r>
    </w:p>
    <w:p>
      <w:pPr>
        <w:spacing w:after="0" w:line="7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particular, competition for midstream assets and businesses has intensified substantially and as a result such assets and businesses have become more costly. As a result, we may not be able to complete the number</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or size of acquisitions that we have targeted internally or to continue to grow as quickly as we have historically.</w:t>
      </w:r>
    </w:p>
    <w:p>
      <w:pPr>
        <w:spacing w:after="0" w:line="239"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b w:val="1"/>
          <w:bCs w:val="1"/>
          <w:i w:val="1"/>
          <w:iCs w:val="1"/>
          <w:color w:val="auto"/>
        </w:rPr>
        <w:t>Our acquisition strategy requires access to new capital. Tightened capital markets or other factors which increase our cost of capital could impair our ability to grow.</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acquisition involves potential risks, including:</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from the acquired assets and businesses that is below the forecasts we used in evaluating the acquisition;</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1300" w:right="480" w:hanging="202"/>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nature of our assets and business could expose us to significant compliance costs and liabilities.</w:t>
      </w:r>
    </w:p>
    <w:p>
      <w:pPr>
        <w:spacing w:after="0" w:line="131"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profitability of our pipeline operations depends on the volume of crude oil shipped.</w:t>
      </w:r>
    </w:p>
    <w:p>
      <w:pPr>
        <w:spacing w:after="0" w:line="131"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Third party shippers generally do not have long term contractual commitments to ship crude oil on our pipelines. A decision by a shipper to substantially reduce or cease to ship volumes of crude oil on our</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w:t>
      </w:r>
    </w:p>
    <w:p>
      <w:pPr>
        <w:spacing w:after="0" w:line="202"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b w:val="1"/>
          <w:bCs w:val="1"/>
          <w:i w:val="1"/>
          <w:iCs w:val="1"/>
          <w:color w:val="auto"/>
        </w:rPr>
        <w:t>The success of our business strategy to increase and optimize throughput on our pipeline and gathering assets is dependent upon our securing additional supplies of crude oil.</w:t>
      </w:r>
    </w:p>
    <w:p>
      <w:pPr>
        <w:spacing w:after="0" w:line="76"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72"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Our operations are dependent upon demand for crude oil by refiners in the Midwest and on the Gulf Coast. Any decrease in this demand could adversely affect our business.</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face intense competition in our gathering, marketing, terminalling and storage activities.</w:t>
      </w:r>
    </w:p>
    <w:p>
      <w:pPr>
        <w:spacing w:after="0" w:line="131" w:lineRule="exact"/>
        <w:rPr>
          <w:sz w:val="20"/>
          <w:szCs w:val="20"/>
          <w:color w:val="auto"/>
        </w:rPr>
      </w:pPr>
    </w:p>
    <w:p>
      <w:pPr>
        <w:ind w:left="700" w:right="220" w:firstLine="397"/>
        <w:spacing w:after="0" w:line="279" w:lineRule="auto"/>
        <w:rPr>
          <w:sz w:val="20"/>
          <w:szCs w:val="20"/>
          <w:color w:val="auto"/>
        </w:rPr>
      </w:pPr>
      <w:r>
        <w:rPr>
          <w:rFonts w:ascii="Arial" w:cs="Arial" w:eastAsia="Arial" w:hAnsi="Arial"/>
          <w:sz w:val="17"/>
          <w:szCs w:val="17"/>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w:t>
      </w:r>
    </w:p>
    <w:p>
      <w:pPr>
        <w:spacing w:after="0" w:line="185" w:lineRule="exact"/>
        <w:rPr>
          <w:sz w:val="20"/>
          <w:szCs w:val="20"/>
          <w:color w:val="auto"/>
        </w:rPr>
      </w:pPr>
    </w:p>
    <w:p>
      <w:pPr>
        <w:ind w:left="900" w:right="340"/>
        <w:spacing w:after="0" w:line="277" w:lineRule="auto"/>
        <w:rPr>
          <w:sz w:val="20"/>
          <w:szCs w:val="20"/>
          <w:color w:val="auto"/>
        </w:rPr>
      </w:pPr>
      <w:r>
        <w:rPr>
          <w:rFonts w:ascii="Arial" w:cs="Arial" w:eastAsia="Arial" w:hAnsi="Arial"/>
          <w:sz w:val="18"/>
          <w:szCs w:val="18"/>
          <w:b w:val="1"/>
          <w:bCs w:val="1"/>
          <w:i w:val="1"/>
          <w:iCs w:val="1"/>
          <w:color w:val="auto"/>
        </w:rPr>
        <w:t>The profitability of our gathering and marketing activities is generally dependent on the volumes of crude oil we purchase and gather.</w:t>
      </w:r>
    </w:p>
    <w:p>
      <w:pPr>
        <w:spacing w:after="0" w:line="76" w:lineRule="exact"/>
        <w:rPr>
          <w:sz w:val="20"/>
          <w:szCs w:val="20"/>
          <w:color w:val="auto"/>
        </w:rPr>
      </w:pPr>
    </w:p>
    <w:p>
      <w:pPr>
        <w:jc w:val="both"/>
        <w:ind w:left="700" w:right="20" w:firstLine="397"/>
        <w:spacing w:after="0" w:line="288" w:lineRule="auto"/>
        <w:rPr>
          <w:sz w:val="20"/>
          <w:szCs w:val="20"/>
          <w:color w:val="auto"/>
        </w:rPr>
      </w:pPr>
      <w:r>
        <w:rPr>
          <w:rFonts w:ascii="Arial" w:cs="Arial" w:eastAsia="Arial" w:hAnsi="Arial"/>
          <w:sz w:val="16"/>
          <w:szCs w:val="16"/>
          <w:color w:val="auto"/>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w:t>
      </w:r>
    </w:p>
    <w:p>
      <w:pPr>
        <w:ind w:left="700" w:right="20"/>
        <w:spacing w:after="0" w:line="252" w:lineRule="auto"/>
        <w:rPr>
          <w:sz w:val="20"/>
          <w:szCs w:val="20"/>
          <w:color w:val="auto"/>
        </w:rPr>
      </w:pPr>
      <w:r>
        <w:rPr>
          <w:rFonts w:ascii="Arial" w:cs="Arial" w:eastAsia="Arial" w:hAnsi="Arial"/>
          <w:sz w:val="18"/>
          <w:szCs w:val="18"/>
          <w:color w:val="auto"/>
        </w:rPr>
        <w:t>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margins vary based on the location of the crude oil, the strength or weakness of the market and the grade or quality of crude oil.</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Loss of credit rating or the ability to receive open credit could negatively affect our ability to capitalize on a volatile market</w:t>
      </w:r>
    </w:p>
    <w:p>
      <w:pPr>
        <w:spacing w:after="0" w:line="15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are exposed to the credit risk of our customers in the ordinary course of our gathering and marketing activities.</w:t>
      </w:r>
    </w:p>
    <w:p>
      <w:pPr>
        <w:spacing w:after="0" w:line="142"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2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pipeline assets are subject to federal, state and provincial regulation.</w:t>
      </w:r>
    </w:p>
    <w:p>
      <w:pPr>
        <w:spacing w:after="0" w:line="131"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Our pipeline systems are dependent upon their interconnections with other crude oil pipelines to reach end markets.</w:t>
      </w:r>
    </w:p>
    <w:p>
      <w:pPr>
        <w:spacing w:after="0" w:line="142"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Reduced throughput on these interconnecting pipelines as a result of testing, line repair, reduced operating pressures or other causes could result in reduced throughput on our pipeline systems that would adversely affect our profitability.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Fluctuations in demand can negatively affect our operating results.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terms of our indebtedness may limit our ability to borrow additional funds or capitalize on business opportunities.</w:t>
      </w:r>
    </w:p>
    <w:p>
      <w:pPr>
        <w:spacing w:after="0" w:line="142"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131"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Because we conduct operations in Canada, we are exposed to currency fluctuations and exchange rate risks that may adversely affect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Cash distributions are not guaranteed and may fluctuate with our performance and the establishment of financial reserves.</w:t>
      </w:r>
    </w:p>
    <w:p>
      <w:pPr>
        <w:spacing w:after="0" w:line="15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Inherent in an Investment in Plains All American Pipeline</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reimbursements due to our general partner may be substantial and will reduce our cash available for distribution to you.</w:t>
      </w:r>
    </w:p>
    <w:p>
      <w:pPr>
        <w:spacing w:after="0" w:line="15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remove our general partner even if you wish to do so.</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76" w:lineRule="exact"/>
        <w:rPr>
          <w:sz w:val="20"/>
          <w:szCs w:val="20"/>
          <w:color w:val="auto"/>
        </w:rPr>
      </w:pPr>
    </w:p>
    <w:p>
      <w:pPr>
        <w:ind w:left="1300" w:right="46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1300" w:right="56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As a result of these provisions, the price at which the common units will trade may be lower because of the absence or reduction of a takeover premium in the trading price.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may issue additional common units without your approval, which would dilute your existing ownership interests.</w:t>
      </w:r>
    </w:p>
    <w:p>
      <w:pPr>
        <w:spacing w:after="0" w:line="142"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w:t>
      </w:r>
    </w:p>
    <w:p>
      <w:pPr>
        <w:spacing w:after="0" w:line="71"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your proportionate ownership interest in Plains All American Pipeline will decrease;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3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actions constitute control of our business.</w:t>
      </w:r>
    </w:p>
    <w:p>
      <w:pPr>
        <w:spacing w:after="0" w:line="131"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w:t>
      </w:r>
    </w:p>
    <w:p>
      <w:pPr>
        <w:spacing w:after="0" w:line="76"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conflicts may include the following:</w:t>
      </w:r>
    </w:p>
    <w:p>
      <w:pPr>
        <w:spacing w:after="0" w:line="131" w:lineRule="exact"/>
        <w:rPr>
          <w:sz w:val="20"/>
          <w:szCs w:val="20"/>
          <w:color w:val="auto"/>
        </w:rPr>
      </w:pPr>
    </w:p>
    <w:p>
      <w:pPr>
        <w:ind w:left="1300" w:right="6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any employees and we rely solely on employees of the general partner or, in the case of Plains Marketing Canada, employees of PMC (Nova Scotia) Company;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our partnership agreement, we reimburse the general partner for the costs of managing and for operating the partnership;</w:t>
      </w:r>
    </w:p>
    <w:p>
      <w:pPr>
        <w:spacing w:after="0" w:line="140" w:lineRule="exact"/>
        <w:rPr>
          <w:rFonts w:ascii="Arial" w:cs="Arial" w:eastAsia="Arial" w:hAnsi="Arial"/>
          <w:sz w:val="16"/>
          <w:szCs w:val="16"/>
          <w:color w:val="auto"/>
        </w:rPr>
      </w:pPr>
    </w:p>
    <w:p>
      <w:pPr>
        <w:ind w:left="1300" w:right="1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cash expenditures, borrowings and reserves in any quarter may affect available cash to pay quarterly distributions to unitholders;</w:t>
      </w:r>
    </w:p>
    <w:p>
      <w:pPr>
        <w:spacing w:after="0" w:line="62" w:lineRule="exact"/>
        <w:rPr>
          <w:rFonts w:ascii="Arial" w:cs="Arial" w:eastAsia="Arial" w:hAnsi="Arial"/>
          <w:sz w:val="18"/>
          <w:szCs w:val="18"/>
          <w:color w:val="auto"/>
        </w:rPr>
      </w:pPr>
    </w:p>
    <w:p>
      <w:pPr>
        <w:ind w:left="1300" w:right="140" w:hanging="202"/>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w:t>
      </w:r>
    </w:p>
    <w:p>
      <w:pPr>
        <w:spacing w:after="0" w:line="78" w:lineRule="exact"/>
        <w:rPr>
          <w:rFonts w:ascii="Arial" w:cs="Arial" w:eastAsia="Arial" w:hAnsi="Arial"/>
          <w:sz w:val="18"/>
          <w:szCs w:val="18"/>
          <w:color w:val="auto"/>
        </w:rPr>
      </w:pPr>
    </w:p>
    <w:p>
      <w:pPr>
        <w:ind w:left="1300" w:right="40" w:hanging="202"/>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w:t>
      </w:r>
    </w:p>
    <w:p>
      <w:pPr>
        <w:spacing w:after="0" w:line="38" w:lineRule="exact"/>
        <w:rPr>
          <w:rFonts w:ascii="Arial" w:cs="Arial" w:eastAsia="Arial" w:hAnsi="Arial"/>
          <w:sz w:val="16"/>
          <w:szCs w:val="16"/>
          <w:color w:val="auto"/>
        </w:rPr>
      </w:pPr>
    </w:p>
    <w:p>
      <w:pPr>
        <w:ind w:left="1300" w:right="48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have a holding company structure in which our subsidiaries conduct our operations and own our operating assets.</w:t>
      </w:r>
    </w:p>
    <w:p>
      <w:pPr>
        <w:spacing w:after="0" w:line="142"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w:t>
      </w:r>
    </w:p>
    <w:p>
      <w:pPr>
        <w:spacing w:after="0" w:line="195"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debt securities or to repay them at maturity.</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94" w:lineRule="exact"/>
        <w:rPr>
          <w:sz w:val="20"/>
          <w:szCs w:val="20"/>
          <w:color w:val="auto"/>
        </w:rPr>
      </w:pPr>
    </w:p>
    <w:p>
      <w:pPr>
        <w:ind w:left="1300" w:right="1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31"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Risks to Common Unitholders</w:t>
      </w:r>
    </w:p>
    <w:p>
      <w:pPr>
        <w:spacing w:after="0" w:line="135"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You should read “Tax Considerations” for a more complete discussion of the following expected material federal income tax consequences of owning and disposing of common units.</w:t>
      </w:r>
    </w:p>
    <w:p>
      <w:pPr>
        <w:spacing w:after="0" w:line="184"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The IRS could treat us as a corporation for tax purposes, which would substantially reduce the cash available for distribution to you.</w:t>
      </w:r>
    </w:p>
    <w:p>
      <w:pPr>
        <w:spacing w:after="0" w:line="76"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anticipated after-tax benefit of an investment in the common units depends largely on our being treated as a partnership for federal income tax purposes. We have not requested, and do not plan to request, a ruling from the IRS on this or any other matter affecting us.</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w:t>
      </w: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reduction in the after-tax return to the unitholders, likely causing a substantial reduction in the value of the common units.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 successful IRS contest of the federal income tax positions we take may adversely impact the market for common units.</w:t>
      </w:r>
    </w:p>
    <w:p>
      <w:pPr>
        <w:spacing w:after="0" w:line="131"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be required to pay taxes even if you do not receive any cash distributions.</w:t>
      </w:r>
    </w:p>
    <w:p>
      <w:pPr>
        <w:spacing w:after="0" w:line="131"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131"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w:t>
      </w:r>
    </w:p>
    <w:p>
      <w:pPr>
        <w:spacing w:after="0" w:line="181" w:lineRule="exact"/>
        <w:rPr>
          <w:sz w:val="20"/>
          <w:szCs w:val="20"/>
          <w:color w:val="auto"/>
        </w:rPr>
      </w:pPr>
    </w:p>
    <w:p>
      <w:pPr>
        <w:ind w:left="900" w:right="300"/>
        <w:spacing w:after="0" w:line="277" w:lineRule="auto"/>
        <w:rPr>
          <w:sz w:val="20"/>
          <w:szCs w:val="20"/>
          <w:color w:val="auto"/>
        </w:rPr>
      </w:pPr>
      <w:r>
        <w:rPr>
          <w:rFonts w:ascii="Arial" w:cs="Arial" w:eastAsia="Arial" w:hAnsi="Arial"/>
          <w:sz w:val="18"/>
          <w:szCs w:val="18"/>
          <w:b w:val="1"/>
          <w:bCs w:val="1"/>
          <w:i w:val="1"/>
          <w:iCs w:val="1"/>
          <w:color w:val="auto"/>
        </w:rPr>
        <w:t>If you are a tax-exempt entity, a regulated investment company or an individual not residing in the United States, you may have adverse tax consequences from owning common units.</w:t>
      </w:r>
    </w:p>
    <w:p>
      <w:pPr>
        <w:spacing w:after="0" w:line="76"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We treat a purchaser of units as having the same tax benefits without regard to the units purchased. The IRS may challenge this treatment, which could adversely affect the value of the units.</w:t>
      </w:r>
    </w:p>
    <w:p>
      <w:pPr>
        <w:spacing w:after="0" w:line="76"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 — Uniformity of Units” in this prospectus for further discussion of the effect of the depreciation and amortization positions we have adopted.</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You will likely be subject to foreign, state and local taxes in jurisdictions where you do not live as a result of an investment in units.</w:t>
      </w:r>
    </w:p>
    <w:p>
      <w:pPr>
        <w:spacing w:after="0" w:line="165"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w:t>
      </w:r>
    </w:p>
    <w:p>
      <w:pPr>
        <w:spacing w:after="0" w:line="29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2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Three Months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Ended</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40" w:type="dxa"/>
            <w:vAlign w:val="bottom"/>
          </w:tcPr>
          <w:p>
            <w:pPr>
              <w:spacing w:after="0"/>
              <w:rPr>
                <w:sz w:val="12"/>
                <w:szCs w:val="12"/>
                <w:color w:val="auto"/>
              </w:rPr>
            </w:pPr>
          </w:p>
        </w:tc>
        <w:tc>
          <w:tcPr>
            <w:tcW w:w="114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w w:val="89"/>
              </w:rPr>
              <w:t>March 31,</w:t>
            </w: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2005</w:t>
            </w:r>
          </w:p>
        </w:tc>
        <w:tc>
          <w:tcPr>
            <w:tcW w:w="360" w:type="dxa"/>
            <w:vAlign w:val="bottom"/>
          </w:tcPr>
          <w:p>
            <w:pPr>
              <w:spacing w:after="0"/>
              <w:rPr>
                <w:sz w:val="11"/>
                <w:szCs w:val="11"/>
                <w:color w:val="auto"/>
              </w:rPr>
            </w:pPr>
          </w:p>
        </w:tc>
        <w:tc>
          <w:tcPr>
            <w:tcW w:w="4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2004</w:t>
            </w:r>
          </w:p>
        </w:tc>
        <w:tc>
          <w:tcPr>
            <w:tcW w:w="360" w:type="dxa"/>
            <w:vAlign w:val="bottom"/>
          </w:tcPr>
          <w:p>
            <w:pPr>
              <w:spacing w:after="0"/>
              <w:rPr>
                <w:sz w:val="11"/>
                <w:szCs w:val="11"/>
                <w:color w:val="auto"/>
              </w:rPr>
            </w:pPr>
          </w:p>
        </w:tc>
        <w:tc>
          <w:tcPr>
            <w:tcW w:w="4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2003</w:t>
            </w:r>
          </w:p>
        </w:tc>
        <w:tc>
          <w:tcPr>
            <w:tcW w:w="360" w:type="dxa"/>
            <w:vAlign w:val="bottom"/>
          </w:tcPr>
          <w:p>
            <w:pPr>
              <w:spacing w:after="0"/>
              <w:rPr>
                <w:sz w:val="11"/>
                <w:szCs w:val="11"/>
                <w:color w:val="auto"/>
              </w:rPr>
            </w:pPr>
          </w:p>
        </w:tc>
        <w:tc>
          <w:tcPr>
            <w:tcW w:w="4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2002</w:t>
            </w:r>
          </w:p>
        </w:tc>
        <w:tc>
          <w:tcPr>
            <w:tcW w:w="360" w:type="dxa"/>
            <w:vAlign w:val="bottom"/>
          </w:tcPr>
          <w:p>
            <w:pPr>
              <w:spacing w:after="0"/>
              <w:rPr>
                <w:sz w:val="11"/>
                <w:szCs w:val="11"/>
                <w:color w:val="auto"/>
              </w:rPr>
            </w:pPr>
          </w:p>
        </w:tc>
        <w:tc>
          <w:tcPr>
            <w:tcW w:w="4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2001</w:t>
            </w:r>
          </w:p>
        </w:tc>
        <w:tc>
          <w:tcPr>
            <w:tcW w:w="360" w:type="dxa"/>
            <w:vAlign w:val="bottom"/>
          </w:tcPr>
          <w:p>
            <w:pPr>
              <w:spacing w:after="0"/>
              <w:rPr>
                <w:sz w:val="11"/>
                <w:szCs w:val="11"/>
                <w:color w:val="auto"/>
              </w:rPr>
            </w:pPr>
          </w:p>
        </w:tc>
        <w:tc>
          <w:tcPr>
            <w:tcW w:w="4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2000</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tcPr>
          <w:p>
            <w:pPr>
              <w:spacing w:after="0"/>
              <w:rPr>
                <w:sz w:val="22"/>
                <w:szCs w:val="22"/>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85"/>
              </w:rPr>
              <w:t>3.46</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2.39</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2.77</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2.26</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79"/>
              </w:rPr>
              <w:t>3.33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DESCRIPTION OF OUR DEBT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debt securities will be:</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issued under separate indentures (which may be existing indentures) among us and Wachovia Bank, N.A., as Trustee.</w:t>
      </w:r>
    </w:p>
    <w:p>
      <w:pPr>
        <w:spacing w:after="0" w:line="14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40"/>
        <w:spacing w:after="0" w:line="259" w:lineRule="auto"/>
        <w:rPr>
          <w:sz w:val="20"/>
          <w:szCs w:val="20"/>
          <w:color w:val="auto"/>
        </w:rPr>
      </w:pPr>
      <w:r>
        <w:rPr>
          <w:rFonts w:ascii="Arial" w:cs="Arial" w:eastAsia="Arial" w:hAnsi="Arial"/>
          <w:sz w:val="18"/>
          <w:szCs w:val="18"/>
          <w:color w:val="auto"/>
        </w:rPr>
        <w:t>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31"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w:t>
      </w:r>
    </w:p>
    <w:p>
      <w:pPr>
        <w:spacing w:after="0" w:line="7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Asset Sale</w:t>
      </w:r>
    </w:p>
    <w:p>
      <w:pPr>
        <w:spacing w:after="0" w:line="135" w:lineRule="exact"/>
        <w:rPr>
          <w:sz w:val="20"/>
          <w:szCs w:val="20"/>
          <w:color w:val="auto"/>
        </w:rPr>
      </w:pPr>
    </w:p>
    <w:p>
      <w:pPr>
        <w:jc w:val="both"/>
        <w:ind w:left="700" w:right="20" w:firstLine="397"/>
        <w:spacing w:after="0" w:line="279" w:lineRule="auto"/>
        <w:rPr>
          <w:sz w:val="20"/>
          <w:szCs w:val="20"/>
          <w:color w:val="auto"/>
        </w:rPr>
      </w:pPr>
      <w:r>
        <w:rPr>
          <w:rFonts w:ascii="Arial" w:cs="Arial" w:eastAsia="Arial" w:hAnsi="Arial"/>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7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6" w:lineRule="exact"/>
        <w:rPr>
          <w:sz w:val="20"/>
          <w:szCs w:val="20"/>
          <w:color w:val="auto"/>
        </w:rPr>
      </w:pPr>
    </w:p>
    <w:p>
      <w:pPr>
        <w:ind w:left="1300" w:right="26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7" w:lineRule="exact"/>
        <w:rPr>
          <w:rFonts w:ascii="Arial" w:cs="Arial" w:eastAsia="Arial" w:hAnsi="Arial"/>
          <w:sz w:val="17"/>
          <w:szCs w:val="17"/>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Indentures</w:t>
      </w:r>
    </w:p>
    <w:p>
      <w:pPr>
        <w:spacing w:after="0" w:line="135" w:lineRule="exact"/>
        <w:rPr>
          <w:sz w:val="20"/>
          <w:szCs w:val="20"/>
          <w:color w:val="auto"/>
        </w:rPr>
      </w:pPr>
    </w:p>
    <w:p>
      <w:pPr>
        <w:ind w:left="700" w:right="220" w:firstLine="397"/>
        <w:spacing w:after="0" w:line="297" w:lineRule="auto"/>
        <w:rPr>
          <w:sz w:val="20"/>
          <w:szCs w:val="20"/>
          <w:color w:val="auto"/>
        </w:rPr>
      </w:pPr>
      <w:r>
        <w:rPr>
          <w:rFonts w:ascii="Arial" w:cs="Arial" w:eastAsia="Arial" w:hAnsi="Arial"/>
          <w:sz w:val="16"/>
          <w:szCs w:val="16"/>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supplemented or amended without the consent of each holder affected. Without the consent of each outstanding debt security affected, no modification of the indenture or waiver may:</w:t>
      </w:r>
    </w:p>
    <w:p>
      <w:pPr>
        <w:spacing w:after="0" w:line="76"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17" w:lineRule="exact"/>
        <w:rPr>
          <w:rFonts w:ascii="Arial" w:cs="Arial" w:eastAsia="Arial" w:hAnsi="Arial"/>
          <w:sz w:val="18"/>
          <w:szCs w:val="18"/>
          <w:color w:val="auto"/>
        </w:rPr>
      </w:pPr>
    </w:p>
    <w:p>
      <w:pPr>
        <w:ind w:left="1300" w:right="340" w:hanging="202"/>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76"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117"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“Event of Default,” when used in an indenture, will mean any of the following with respect to the debt securities of any series:</w:t>
      </w:r>
    </w:p>
    <w:p>
      <w:pPr>
        <w:spacing w:after="0" w:line="142"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on the part of the issuers to comply with the covenant described under “— Consolidation, Merger or Asset Sale”;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that continues for 30 days after written notice is given to the issuers;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31"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5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35" w:lineRule="exact"/>
        <w:rPr>
          <w:sz w:val="20"/>
          <w:szCs w:val="20"/>
          <w:color w:val="auto"/>
        </w:rPr>
      </w:pPr>
    </w:p>
    <w:p>
      <w:pPr>
        <w:jc w:val="center"/>
        <w:ind w:left="560" w:right="380"/>
        <w:spacing w:after="0" w:line="342" w:lineRule="auto"/>
        <w:rPr>
          <w:sz w:val="20"/>
          <w:szCs w:val="20"/>
          <w:color w:val="auto"/>
        </w:rPr>
      </w:pPr>
      <w:r>
        <w:rPr>
          <w:rFonts w:ascii="Arial" w:cs="Arial" w:eastAsia="Arial" w:hAnsi="Arial"/>
          <w:sz w:val="16"/>
          <w:szCs w:val="16"/>
          <w:color w:val="auto"/>
        </w:rPr>
        <w:t>The indenture will not limit the amount of debt securities that we may issue, unless we indicate otherwise in a prospectus supplement. The indenture will allow us to issue debt securities of any series up to the aggregate principal amount that we authorize.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of Notes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Minimum Denominations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Personal Liability</w:t>
      </w:r>
    </w:p>
    <w:p>
      <w:pPr>
        <w:spacing w:after="0" w:line="135"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2" w:lineRule="exact"/>
        <w:rPr>
          <w:sz w:val="20"/>
          <w:szCs w:val="20"/>
          <w:color w:val="auto"/>
        </w:rPr>
      </w:pPr>
    </w:p>
    <w:p>
      <w:pPr>
        <w:jc w:val="both"/>
        <w:ind w:left="700" w:right="360" w:firstLine="397"/>
        <w:spacing w:after="0" w:line="264"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Registration and Transfer</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be required:</w:t>
      </w:r>
    </w:p>
    <w:p>
      <w:pPr>
        <w:spacing w:after="0" w:line="131" w:lineRule="exact"/>
        <w:rPr>
          <w:sz w:val="20"/>
          <w:szCs w:val="20"/>
          <w:color w:val="auto"/>
        </w:rPr>
      </w:pPr>
    </w:p>
    <w:p>
      <w:pPr>
        <w:ind w:left="1300" w:right="80" w:hanging="202"/>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8" w:lineRule="exact"/>
        <w:rPr>
          <w:rFonts w:ascii="Arial" w:cs="Arial" w:eastAsia="Arial" w:hAnsi="Arial"/>
          <w:sz w:val="16"/>
          <w:szCs w:val="16"/>
          <w:color w:val="auto"/>
        </w:rPr>
      </w:pPr>
    </w:p>
    <w:p>
      <w:pPr>
        <w:ind w:left="1300" w:right="22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300" w:right="380" w:hanging="202"/>
        <w:spacing w:after="0" w:line="286"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7" w:lineRule="exact"/>
        <w:rPr>
          <w:rFonts w:ascii="Arial" w:cs="Arial" w:eastAsia="Arial" w:hAnsi="Arial"/>
          <w:sz w:val="17"/>
          <w:szCs w:val="17"/>
          <w:color w:val="auto"/>
        </w:rPr>
      </w:pPr>
    </w:p>
    <w:p>
      <w:pPr>
        <w:jc w:val="both"/>
        <w:ind w:left="1300" w:right="14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7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98"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National Association of Securities Dealers, Inc.</w:t>
      </w:r>
    </w:p>
    <w:p>
      <w:pPr>
        <w:spacing w:after="0" w:line="76"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5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83"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6" w:lineRule="exact"/>
        <w:rPr>
          <w:sz w:val="20"/>
          <w:szCs w:val="20"/>
          <w:color w:val="auto"/>
        </w:rPr>
      </w:pPr>
    </w:p>
    <w:p>
      <w:pPr>
        <w:ind w:left="1300" w:right="4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720" w:hanging="249"/>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2100" w:hanging="248"/>
        <w:spacing w:after="0"/>
        <w:tabs>
          <w:tab w:leader="none" w:pos="21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been authenticated (except lost, stolen or destroyed debt</w:t>
      </w:r>
    </w:p>
    <w:p>
      <w:pPr>
        <w:spacing w:after="0" w:line="34" w:lineRule="exact"/>
        <w:rPr>
          <w:rFonts w:ascii="Arial" w:cs="Arial" w:eastAsia="Arial" w:hAnsi="Arial"/>
          <w:sz w:val="17"/>
          <w:szCs w:val="17"/>
          <w:color w:val="auto"/>
        </w:rPr>
      </w:pPr>
    </w:p>
    <w:p>
      <w:pPr>
        <w:ind w:left="1480"/>
        <w:spacing w:after="0" w:line="261" w:lineRule="auto"/>
        <w:rPr>
          <w:rFonts w:ascii="Arial" w:cs="Arial" w:eastAsia="Arial" w:hAnsi="Arial"/>
          <w:sz w:val="17"/>
          <w:szCs w:val="17"/>
          <w:color w:val="auto"/>
        </w:rPr>
      </w:pPr>
      <w:r>
        <w:rPr>
          <w:rFonts w:ascii="Arial" w:cs="Arial" w:eastAsia="Arial" w:hAnsi="Arial"/>
          <w:sz w:val="18"/>
          <w:szCs w:val="18"/>
          <w:color w:val="auto"/>
        </w:rPr>
        <w:t>securities that have been replaced or paid and debt securities for whose payment money has theretofore been deposited in trust and thereafter repaid to us) have been delivered to the Trustee for cancellation; or</w:t>
      </w:r>
    </w:p>
    <w:p>
      <w:pPr>
        <w:spacing w:after="0" w:line="89" w:lineRule="exact"/>
        <w:rPr>
          <w:rFonts w:ascii="Arial" w:cs="Arial" w:eastAsia="Arial" w:hAnsi="Arial"/>
          <w:sz w:val="17"/>
          <w:szCs w:val="17"/>
          <w:color w:val="auto"/>
        </w:rPr>
      </w:pPr>
    </w:p>
    <w:p>
      <w:pPr>
        <w:ind w:left="1480" w:right="20" w:firstLine="372"/>
        <w:spacing w:after="0" w:line="290" w:lineRule="auto"/>
        <w:tabs>
          <w:tab w:leader="none" w:pos="21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1" w:lineRule="exact"/>
        <w:rPr>
          <w:rFonts w:ascii="Arial" w:cs="Arial" w:eastAsia="Arial" w:hAnsi="Arial"/>
          <w:sz w:val="16"/>
          <w:szCs w:val="16"/>
          <w:color w:val="auto"/>
        </w:rPr>
      </w:pPr>
    </w:p>
    <w:p>
      <w:pPr>
        <w:ind w:left="1720" w:hanging="249"/>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1080" w:right="200" w:firstLine="391"/>
        <w:spacing w:after="0" w:line="277" w:lineRule="auto"/>
        <w:tabs>
          <w:tab w:leader="none" w:pos="1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76"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Wachovia Bank N.A. will be the initial Trustee under each indenture. We maintain a banking relation in the ordinary course of business with Wachovia Bank N.A. and some of its affiliates.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31" w:lineRule="exact"/>
        <w:rPr>
          <w:sz w:val="20"/>
          <w:szCs w:val="20"/>
          <w:color w:val="auto"/>
        </w:rPr>
      </w:pPr>
    </w:p>
    <w:p>
      <w:pPr>
        <w:ind w:left="700" w:right="80" w:firstLine="397"/>
        <w:spacing w:after="0" w:line="342"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UNITS</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5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Our outstanding common units are listed on the NYSE under the symbol “PAA.” Any additional common units we issue will also be listed on the NYSE.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holder of common units is entitled to one vote for each common unit on all matters submitted to a vote of the unitholders.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76"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7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Liability</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77"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Reports and Records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8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117" w:lineRule="exact"/>
        <w:rPr>
          <w:rFonts w:ascii="Arial" w:cs="Arial" w:eastAsia="Arial" w:hAnsi="Arial"/>
          <w:sz w:val="18"/>
          <w:szCs w:val="18"/>
          <w:color w:val="auto"/>
        </w:rPr>
      </w:pPr>
    </w:p>
    <w:p>
      <w:pPr>
        <w:ind w:left="1300" w:right="500" w:hanging="202"/>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7"/>
          <w:szCs w:val="17"/>
          <w:color w:val="auto"/>
        </w:rPr>
      </w:pPr>
    </w:p>
    <w:p>
      <w:pPr>
        <w:ind w:left="1300" w:right="8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Available Cash</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will distribute to our unitholders, on a quarterly basis, all of our available cash in the manner described below.</w:t>
      </w:r>
    </w:p>
    <w:p>
      <w:pPr>
        <w:spacing w:after="0" w:line="142"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29"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funds for distributions to unitholders and the general partner in respect of any one or more of the next four quarters.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unitholders will be characterized as either operating surplus or capital surplus. We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operating surplus differently than available cash from capital surplus. See “— Quarterly Distributions of Available Cash.”</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131"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jc w:val="both"/>
        <w:ind w:left="1300" w:right="700" w:hanging="202"/>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131"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87" w:lineRule="exact"/>
        <w:rPr>
          <w:sz w:val="20"/>
          <w:szCs w:val="20"/>
          <w:color w:val="auto"/>
        </w:rPr>
      </w:pPr>
    </w:p>
    <w:p>
      <w:pPr>
        <w:jc w:val="both"/>
        <w:ind w:left="700" w:right="340" w:firstLine="397"/>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31" w:lineRule="exact"/>
        <w:rPr>
          <w:sz w:val="20"/>
          <w:szCs w:val="20"/>
          <w:color w:val="auto"/>
        </w:rPr>
      </w:pPr>
    </w:p>
    <w:p>
      <w:pPr>
        <w:ind w:left="1300" w:right="42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Distributions”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87" w:lineRule="exact"/>
        <w:rPr>
          <w:sz w:val="20"/>
          <w:szCs w:val="20"/>
          <w:color w:val="auto"/>
        </w:rPr>
      </w:pPr>
    </w:p>
    <w:p>
      <w:pPr>
        <w:ind w:left="1300" w:right="3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31"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i w:val="1"/>
          <w:iCs w:val="1"/>
          <w:color w:val="auto"/>
        </w:rPr>
        <w:t xml:space="preserve">How Distributions from Capital Surplus Will Be Made. </w:t>
      </w:r>
      <w:r>
        <w:rPr>
          <w:rFonts w:ascii="Arial" w:cs="Arial" w:eastAsia="Arial" w:hAnsi="Arial"/>
          <w:sz w:val="18"/>
          <w:szCs w:val="18"/>
          <w:color w:val="auto"/>
        </w:rPr>
        <w:t>We will make distributions of available cash from capital surplus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manner:</w:t>
      </w:r>
    </w:p>
    <w:p>
      <w:pPr>
        <w:spacing w:after="0" w:line="76" w:lineRule="exact"/>
        <w:rPr>
          <w:sz w:val="20"/>
          <w:szCs w:val="20"/>
          <w:color w:val="auto"/>
        </w:rPr>
      </w:pPr>
    </w:p>
    <w:p>
      <w:pPr>
        <w:ind w:left="1300" w:right="400" w:hanging="202"/>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9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When Payback Occurs. </w:t>
      </w:r>
      <w:r>
        <w:rPr>
          <w:rFonts w:ascii="Arial" w:cs="Arial" w:eastAsia="Arial" w:hAnsi="Arial"/>
          <w:sz w:val="18"/>
          <w:szCs w:val="18"/>
          <w:color w:val="auto"/>
        </w:rPr>
        <w:t>When “payback” of the reduced initial unit price has occurred, i.e., when the unrecovered capital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is zero, then</w:t>
      </w:r>
    </w:p>
    <w:p>
      <w:pPr>
        <w:spacing w:after="0" w:line="76" w:lineRule="exact"/>
        <w:rPr>
          <w:sz w:val="20"/>
          <w:szCs w:val="20"/>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92" w:lineRule="exact"/>
        <w:rPr>
          <w:sz w:val="20"/>
          <w:szCs w:val="20"/>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If We Became Subject to Taxation. </w:t>
      </w:r>
      <w:r>
        <w:rPr>
          <w:rFonts w:ascii="Arial" w:cs="Arial" w:eastAsia="Arial" w:hAnsi="Arial"/>
          <w:sz w:val="18"/>
          <w:szCs w:val="18"/>
          <w:color w:val="auto"/>
        </w:rPr>
        <w:t>If legislation is enacted or if existing law is modified or interpreted by the relevant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92" w:lineRule="exact"/>
        <w:rPr>
          <w:sz w:val="20"/>
          <w:szCs w:val="20"/>
          <w:color w:val="auto"/>
        </w:rPr>
      </w:pPr>
    </w:p>
    <w:p>
      <w:pPr>
        <w:ind w:left="1300" w:right="440" w:hanging="202"/>
        <w:spacing w:after="0" w:line="286"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1"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we dissolve and liquidate, we will sell our assets or otherwise dispose of our assets and we will adjust the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 balances to show any resulting gain or loss. We will first apply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Manner of Adjustment. </w:t>
      </w:r>
      <w:r>
        <w:rPr>
          <w:rFonts w:ascii="Arial" w:cs="Arial" w:eastAsia="Arial" w:hAnsi="Arial"/>
          <w:sz w:val="18"/>
          <w:szCs w:val="18"/>
          <w:color w:val="auto"/>
        </w:rPr>
        <w:t>If we liquidate, we would allocate any loss to the general partner and each unitholder as follows:</w:t>
      </w:r>
    </w:p>
    <w:p>
      <w:pPr>
        <w:spacing w:after="0" w:line="131" w:lineRule="exact"/>
        <w:rPr>
          <w:sz w:val="20"/>
          <w:szCs w:val="20"/>
          <w:color w:val="auto"/>
        </w:rPr>
      </w:pPr>
    </w:p>
    <w:p>
      <w:pPr>
        <w:ind w:left="1300" w:right="280" w:hanging="202"/>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31"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76"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“Tax Considerations”;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ind w:left="700" w:right="40" w:firstLine="397"/>
        <w:spacing w:after="0" w:line="259"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35"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Issuance of Additional Securities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8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92" w:lineRule="exact"/>
        <w:rPr>
          <w:sz w:val="20"/>
          <w:szCs w:val="20"/>
          <w:color w:val="auto"/>
        </w:rPr>
      </w:pPr>
    </w:p>
    <w:p>
      <w:pPr>
        <w:jc w:val="both"/>
        <w:ind w:left="700" w:right="580" w:firstLine="397"/>
        <w:spacing w:after="0" w:line="342" w:lineRule="auto"/>
        <w:rPr>
          <w:sz w:val="20"/>
          <w:szCs w:val="20"/>
          <w:color w:val="auto"/>
        </w:rPr>
      </w:pPr>
      <w:r>
        <w:rPr>
          <w:rFonts w:ascii="Arial" w:cs="Arial" w:eastAsia="Arial" w:hAnsi="Arial"/>
          <w:sz w:val="16"/>
          <w:szCs w:val="16"/>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29"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8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99"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7"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35" w:lineRule="exact"/>
        <w:rPr>
          <w:sz w:val="20"/>
          <w:szCs w:val="20"/>
          <w:color w:val="auto"/>
        </w:rPr>
      </w:pPr>
    </w:p>
    <w:p>
      <w:pPr>
        <w:jc w:val="both"/>
        <w:ind w:left="700" w:right="100" w:firstLine="397"/>
        <w:spacing w:after="0" w:line="286" w:lineRule="auto"/>
        <w:rPr>
          <w:sz w:val="20"/>
          <w:szCs w:val="20"/>
          <w:color w:val="auto"/>
        </w:rPr>
      </w:pPr>
      <w:r>
        <w:rPr>
          <w:rFonts w:ascii="Arial" w:cs="Arial" w:eastAsia="Arial" w:hAnsi="Arial"/>
          <w:sz w:val="17"/>
          <w:szCs w:val="17"/>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1"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Management Provisions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76" w:lineRule="exact"/>
        <w:rPr>
          <w:sz w:val="20"/>
          <w:szCs w:val="20"/>
          <w:color w:val="auto"/>
        </w:rPr>
      </w:pPr>
    </w:p>
    <w:p>
      <w:pPr>
        <w:ind w:left="1300" w:right="46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Call Right</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308" w:lineRule="auto"/>
        <w:rPr>
          <w:sz w:val="20"/>
          <w:szCs w:val="20"/>
          <w:color w:val="auto"/>
        </w:rPr>
      </w:pPr>
      <w:r>
        <w:rPr>
          <w:rFonts w:ascii="Arial" w:cs="Arial" w:eastAsia="Arial" w:hAnsi="Arial"/>
          <w:sz w:val="17"/>
          <w:szCs w:val="17"/>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TAX CONSIDERATIONS</w:t>
      </w:r>
    </w:p>
    <w:p>
      <w:pPr>
        <w:spacing w:after="0" w:line="135" w:lineRule="exact"/>
        <w:rPr>
          <w:sz w:val="20"/>
          <w:szCs w:val="20"/>
          <w:color w:val="auto"/>
        </w:rPr>
      </w:pPr>
    </w:p>
    <w:p>
      <w:pPr>
        <w:jc w:val="both"/>
        <w:ind w:left="700" w:right="380" w:firstLine="397"/>
        <w:spacing w:after="0" w:line="259" w:lineRule="auto"/>
        <w:rPr>
          <w:sz w:val="20"/>
          <w:szCs w:val="20"/>
          <w:color w:val="auto"/>
        </w:rPr>
      </w:pPr>
      <w:r>
        <w:rPr>
          <w:rFonts w:ascii="Arial" w:cs="Arial" w:eastAsia="Arial" w:hAnsi="Arial"/>
          <w:sz w:val="18"/>
          <w:szCs w:val="18"/>
          <w:color w:val="auto"/>
        </w:rPr>
        <w:t>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w:t>
      </w:r>
    </w:p>
    <w:p>
      <w:pPr>
        <w:spacing w:after="0" w:line="92" w:lineRule="exact"/>
        <w:rPr>
          <w:sz w:val="20"/>
          <w:szCs w:val="20"/>
          <w:color w:val="auto"/>
        </w:rPr>
      </w:pPr>
    </w:p>
    <w:p>
      <w:pPr>
        <w:ind w:left="700" w:right="580" w:firstLine="397"/>
        <w:spacing w:after="0" w:line="264" w:lineRule="auto"/>
        <w:rPr>
          <w:sz w:val="20"/>
          <w:szCs w:val="20"/>
          <w:color w:val="auto"/>
        </w:rPr>
      </w:pPr>
      <w:r>
        <w:rPr>
          <w:rFonts w:ascii="Arial" w:cs="Arial" w:eastAsia="Arial" w:hAnsi="Arial"/>
          <w:sz w:val="18"/>
          <w:szCs w:val="18"/>
          <w:color w:val="auto"/>
        </w:rPr>
        <w:t>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8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w:t>
      </w:r>
    </w:p>
    <w:p>
      <w:pPr>
        <w:spacing w:after="0" w:line="84"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All statements as to matters of law and legal conclusions, but not as to factual matters, contained in this section, unless otherwise noted, are the opinion of counsel and are based on the accuracy of the factual representations made by us.</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w:t>
      </w:r>
    </w:p>
    <w:p>
      <w:pPr>
        <w:spacing w:after="0" w:line="95"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For the reasons described below, counsel has not rendered an opinion with respect to the following specific federal income tax issues:</w:t>
      </w:r>
    </w:p>
    <w:p>
      <w:pPr>
        <w:spacing w:after="0" w:line="76" w:lineRule="exact"/>
        <w:rPr>
          <w:sz w:val="20"/>
          <w:szCs w:val="20"/>
          <w:color w:val="auto"/>
        </w:rPr>
      </w:pPr>
    </w:p>
    <w:p>
      <w:pPr>
        <w:ind w:left="1080" w:right="20" w:firstLine="391"/>
        <w:spacing w:after="0" w:line="277" w:lineRule="auto"/>
        <w:tabs>
          <w:tab w:leader="none" w:pos="17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treatment of a unitholder whose common units are loaned to a short seller to cover a short sale of common units (please read “— Tax Consequences of Unit Ownership — Treatment of Short Sales”);</w:t>
      </w:r>
    </w:p>
    <w:p>
      <w:pPr>
        <w:spacing w:after="0" w:line="75" w:lineRule="exact"/>
        <w:rPr>
          <w:rFonts w:ascii="Arial" w:cs="Arial" w:eastAsia="Arial" w:hAnsi="Arial"/>
          <w:sz w:val="18"/>
          <w:szCs w:val="18"/>
          <w:color w:val="auto"/>
        </w:rPr>
      </w:pPr>
    </w:p>
    <w:p>
      <w:pPr>
        <w:ind w:left="1080" w:right="280" w:firstLine="391"/>
        <w:spacing w:after="0" w:line="308" w:lineRule="auto"/>
        <w:tabs>
          <w:tab w:leader="none" w:pos="17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our monthly convention for allocating taxable income and losses is permitted by existing Treasury Regulations (please read “— Disposition of Common Units — Allocations Between Transferors and Transferees”); and</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firstLine="391"/>
        <w:spacing w:after="0" w:line="277" w:lineRule="auto"/>
        <w:tabs>
          <w:tab w:leader="none" w:pos="17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our method for depreciating Section 743 adjustments is sustainable (please read “— Tax Consequences of Unit Ownership — Section 754 Election”).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Status</w:t>
      </w:r>
    </w:p>
    <w:p>
      <w:pPr>
        <w:spacing w:after="0" w:line="135" w:lineRule="exact"/>
        <w:rPr>
          <w:sz w:val="20"/>
          <w:szCs w:val="20"/>
          <w:color w:val="auto"/>
        </w:rPr>
      </w:pPr>
    </w:p>
    <w:p>
      <w:pPr>
        <w:jc w:val="both"/>
        <w:ind w:left="700" w:right="160" w:firstLine="397"/>
        <w:spacing w:after="0" w:line="302" w:lineRule="auto"/>
        <w:rPr>
          <w:sz w:val="20"/>
          <w:szCs w:val="20"/>
          <w:color w:val="auto"/>
        </w:rPr>
      </w:pPr>
      <w:r>
        <w:rPr>
          <w:rFonts w:ascii="Arial" w:cs="Arial" w:eastAsia="Arial" w:hAnsi="Arial"/>
          <w:sz w:val="16"/>
          <w:szCs w:val="16"/>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60" w:lineRule="exact"/>
        <w:rPr>
          <w:sz w:val="20"/>
          <w:szCs w:val="20"/>
          <w:color w:val="auto"/>
        </w:rPr>
      </w:pPr>
    </w:p>
    <w:p>
      <w:pPr>
        <w:ind w:left="700" w:right="320" w:firstLine="397"/>
        <w:spacing w:after="0" w:line="257"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w:t>
      </w:r>
    </w:p>
    <w:p>
      <w:pPr>
        <w:spacing w:after="0" w:line="94"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In rendering its opinion, counsel has relied on factual representations made by us and the general partner. The representations made by us and our general partner upon which counsel has relied are:</w:t>
      </w:r>
    </w:p>
    <w:p>
      <w:pPr>
        <w:spacing w:after="0" w:line="76" w:lineRule="exact"/>
        <w:rPr>
          <w:sz w:val="20"/>
          <w:szCs w:val="20"/>
          <w:color w:val="auto"/>
        </w:rPr>
      </w:pPr>
    </w:p>
    <w:p>
      <w:pPr>
        <w:ind w:left="1720" w:hanging="249"/>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we nor the operating partnerships will elect to be treated as a corporation;</w:t>
      </w:r>
    </w:p>
    <w:p>
      <w:pPr>
        <w:spacing w:after="0" w:line="130" w:lineRule="exact"/>
        <w:rPr>
          <w:rFonts w:ascii="Arial" w:cs="Arial" w:eastAsia="Arial" w:hAnsi="Arial"/>
          <w:sz w:val="18"/>
          <w:szCs w:val="18"/>
          <w:color w:val="auto"/>
        </w:rPr>
      </w:pPr>
    </w:p>
    <w:p>
      <w:pPr>
        <w:ind w:left="1080" w:right="100" w:firstLine="391"/>
        <w:spacing w:after="0" w:line="277" w:lineRule="auto"/>
        <w:tabs>
          <w:tab w:leader="none" w:pos="17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each taxable year, more than 90% of our gross income will be income from sources that our counsel has opined or will opine is “qualifying income” within the meaning of Section 7704(d) of the Internal Revenue Code.</w:t>
      </w:r>
    </w:p>
    <w:p>
      <w:pPr>
        <w:spacing w:after="0" w:line="76"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w:t>
      </w:r>
    </w:p>
    <w:p>
      <w:pPr>
        <w:spacing w:after="0" w:line="7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84"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discussion below is based on the conclusion that we will be classified as a partnership for federal income tax purposes.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Partner Status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Unitholders who have become limited partners of Plains All American Pipeline will be treated as partners of Plains All American Pipeline for federal income tax purposes. Also:</w:t>
      </w:r>
    </w:p>
    <w:p>
      <w:pPr>
        <w:spacing w:after="0" w:line="76"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assignees who have executed and delivered transfer applications, and are awaiting admission as limited partners and</w:t>
      </w:r>
    </w:p>
    <w:p>
      <w:pPr>
        <w:spacing w:after="0" w:line="128" w:lineRule="exact"/>
        <w:rPr>
          <w:rFonts w:ascii="Arial" w:cs="Arial" w:eastAsia="Arial" w:hAnsi="Arial"/>
          <w:sz w:val="17"/>
          <w:szCs w:val="17"/>
          <w:color w:val="auto"/>
        </w:rPr>
      </w:pPr>
    </w:p>
    <w:p>
      <w:pPr>
        <w:ind w:left="1300" w:right="28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76" w:lineRule="exact"/>
        <w:rPr>
          <w:sz w:val="20"/>
          <w:szCs w:val="20"/>
          <w:color w:val="auto"/>
        </w:rPr>
      </w:pPr>
    </w:p>
    <w:p>
      <w:pPr>
        <w:jc w:val="both"/>
        <w:ind w:left="700" w:right="300"/>
        <w:spacing w:after="0" w:line="288" w:lineRule="auto"/>
        <w:rPr>
          <w:sz w:val="20"/>
          <w:szCs w:val="20"/>
          <w:color w:val="auto"/>
        </w:rPr>
      </w:pPr>
      <w:r>
        <w:rPr>
          <w:rFonts w:ascii="Arial" w:cs="Arial" w:eastAsia="Arial" w:hAnsi="Arial"/>
          <w:sz w:val="16"/>
          <w:szCs w:val="16"/>
          <w:color w:val="auto"/>
        </w:rPr>
        <w:t>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w:t>
      </w:r>
    </w:p>
    <w:p>
      <w:pPr>
        <w:ind w:left="700" w:right="220"/>
        <w:spacing w:after="0" w:line="302" w:lineRule="auto"/>
        <w:rPr>
          <w:sz w:val="20"/>
          <w:szCs w:val="20"/>
          <w:color w:val="auto"/>
        </w:rPr>
      </w:pPr>
      <w:r>
        <w:rPr>
          <w:rFonts w:ascii="Arial" w:cs="Arial" w:eastAsia="Arial" w:hAnsi="Arial"/>
          <w:sz w:val="16"/>
          <w:szCs w:val="16"/>
          <w:color w:val="auto"/>
        </w:rPr>
        <w:t>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6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 beneficial owner of common units whose units have been transferred to a short seller to complete a short sale would appear to lose his status as a partner with respect to those units for federal income tax purposes. Please read “— Tax Consequences of Unit Ownership — Treatment of Short Sales.”</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Flow-through of Taxable Income. </w:t>
      </w:r>
      <w:r>
        <w:rPr>
          <w:rFonts w:ascii="Arial" w:cs="Arial" w:eastAsia="Arial" w:hAnsi="Arial"/>
          <w:sz w:val="18"/>
          <w:szCs w:val="18"/>
          <w:color w:val="auto"/>
        </w:rPr>
        <w:t>We will not pay any federal income tax. Instead, each unitholder will be required to report on his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w:t>
      </w:r>
    </w:p>
    <w:p>
      <w:pPr>
        <w:spacing w:after="0" w:line="94"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Treatment of Distributions. </w:t>
      </w:r>
      <w:r>
        <w:rPr>
          <w:rFonts w:ascii="Arial" w:cs="Arial" w:eastAsia="Arial" w:hAnsi="Arial"/>
          <w:sz w:val="16"/>
          <w:szCs w:val="16"/>
          <w:color w:val="auto"/>
        </w:rPr>
        <w:t>Distributions by us to a unitholder generally will not be taxable to the unitholder for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 Limitations on Deductibility of Losses.”</w:t>
      </w:r>
    </w:p>
    <w:p>
      <w:pPr>
        <w:spacing w:after="0" w:line="73"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3" w:lineRule="auto"/>
        <w:rPr>
          <w:sz w:val="20"/>
          <w:szCs w:val="20"/>
          <w:color w:val="auto"/>
        </w:rPr>
      </w:pPr>
      <w:r>
        <w:rPr>
          <w:rFonts w:ascii="Arial" w:cs="Arial" w:eastAsia="Arial" w:hAnsi="Arial"/>
          <w:sz w:val="17"/>
          <w:szCs w:val="17"/>
          <w:color w:val="auto"/>
        </w:rPr>
        <w:t>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the common units plus</w:t>
      </w:r>
      <w:r>
        <w:rPr>
          <w:rFonts w:ascii="Arial" w:cs="Arial" w:eastAsia="Arial" w:hAnsi="Arial"/>
          <w:sz w:val="18"/>
          <w:szCs w:val="18"/>
          <w:i w:val="1"/>
          <w:iCs w:val="1"/>
          <w:color w:val="auto"/>
        </w:rPr>
        <w:t xml:space="preserve"> </w:t>
      </w:r>
      <w:r>
        <w:rPr>
          <w:rFonts w:ascii="Arial" w:cs="Arial" w:eastAsia="Arial" w:hAnsi="Arial"/>
          <w:sz w:val="18"/>
          <w:szCs w:val="18"/>
          <w:color w:val="auto"/>
        </w:rPr>
        <w:t>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 Disposition of Common Units — Recognition of Gain or Loss.”</w:t>
      </w:r>
    </w:p>
    <w:p>
      <w:pPr>
        <w:spacing w:after="0" w:line="9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w:t>
      </w:r>
    </w:p>
    <w:p>
      <w:pPr>
        <w:spacing w:after="0" w:line="72"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78"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87"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7"/>
          <w:szCs w:val="17"/>
          <w:color w:val="auto"/>
        </w:rPr>
        <w:t>A unitholder’s share of our net income may be offset by any suspended passive losses, but it may not be offset by any other current or carryover losses from other passive activities, including those attributable to other publicly-traded partnerships.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amount of that taxpayer’s “net investment income.” Investment interest expense includes:</w:t>
      </w:r>
    </w:p>
    <w:p>
      <w:pPr>
        <w:spacing w:after="0" w:line="76" w:lineRule="exact"/>
        <w:rPr>
          <w:sz w:val="20"/>
          <w:szCs w:val="20"/>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w:t>
      </w:r>
    </w:p>
    <w:p>
      <w:pPr>
        <w:spacing w:after="0" w:line="9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i w:val="1"/>
          <w:iCs w:val="1"/>
          <w:color w:val="auto"/>
        </w:rPr>
        <w:t xml:space="preserve">Entity-Level Collections. </w:t>
      </w:r>
      <w:r>
        <w:rPr>
          <w:rFonts w:ascii="Arial" w:cs="Arial" w:eastAsia="Arial" w:hAnsi="Arial"/>
          <w:sz w:val="18"/>
          <w:szCs w:val="18"/>
          <w:color w:val="auto"/>
        </w:rPr>
        <w:t>If we are required or elect under applicable law to pay any federal, state or local income tax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03"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Allocation of Income, Gain, Loss and Deduction. </w:t>
      </w:r>
      <w:r>
        <w:rPr>
          <w:rFonts w:ascii="Arial" w:cs="Arial" w:eastAsia="Arial" w:hAnsi="Arial"/>
          <w:sz w:val="16"/>
          <w:szCs w:val="16"/>
          <w:color w:val="auto"/>
        </w:rPr>
        <w:t>In general, if we have a net profit, our items of income, gain, loss and deduction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w:t>
      </w:r>
    </w:p>
    <w:p>
      <w:pPr>
        <w:spacing w:after="0" w:line="64"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87"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77"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Counsel is of the opinion that, with the exception of the issues described in “— Tax Consequences of Unit Ownership — Section 754 Election” and “— Disposition of Common Units — Allocations Between Transferors and Transferees,” respectively, allocations under our partnership agreement will be given effect for federal income tax purposes in determining a partner’s share of an item of income, gain, loss or deduction.</w:t>
      </w:r>
    </w:p>
    <w:p>
      <w:pPr>
        <w:spacing w:after="0" w:line="9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units are loaned to a “short seller” to cover a short sale of units may be considered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disposed of those units. If so, he would no longer be a partner with respect to those units during the period of the loan and may recognize gain or loss from the disposition. As a result, during this period:</w:t>
      </w:r>
    </w:p>
    <w:p>
      <w:pPr>
        <w:spacing w:after="0" w:line="87"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for those units would be fully taxable;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 Disposition of Common Units — Recognition of Gain or Loss.”</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Although it is not expected that we will generate significant tax preference items or adjustments, each</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w:t>
      </w:r>
    </w:p>
    <w:p>
      <w:pPr>
        <w:spacing w:after="0" w:line="99"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Tax Rates. </w:t>
      </w:r>
      <w:r>
        <w:rPr>
          <w:rFonts w:ascii="Arial" w:cs="Arial" w:eastAsia="Arial" w:hAnsi="Arial"/>
          <w:sz w:val="18"/>
          <w:szCs w:val="18"/>
          <w:color w:val="auto"/>
        </w:rPr>
        <w:t>In general the highest effective United States federal income tax rate for individuals currently is 35% and the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federal income tax rate for net capital gains of an individual currently is 15% if the asset disposed of was held for more than 12 months at the time of disposition.</w:t>
      </w:r>
    </w:p>
    <w:p>
      <w:pPr>
        <w:spacing w:after="0" w:line="87"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i w:val="1"/>
          <w:iCs w:val="1"/>
          <w:color w:val="auto"/>
        </w:rPr>
        <w:t xml:space="preserve">Section 754 Election. </w:t>
      </w:r>
      <w:r>
        <w:rPr>
          <w:rFonts w:ascii="Arial" w:cs="Arial" w:eastAsia="Arial" w:hAnsi="Arial"/>
          <w:sz w:val="17"/>
          <w:szCs w:val="17"/>
          <w:color w:val="auto"/>
        </w:rPr>
        <w:t>We have made the election permitted by Section 754 of the Internal Revenue Code. That election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position to preserve the uniformity of units even if that position is not consistent with these Treasury Regulations. Please read “— Tax Treatment of Operations” and “— Uniformity of Units.”</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7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w:t>
      </w:r>
    </w:p>
    <w:p>
      <w:pPr>
        <w:spacing w:after="0" w:line="99"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Operations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 Disposition of Common Units — Allocations Between Transferors and Transferees.”</w:t>
      </w:r>
    </w:p>
    <w:p>
      <w:pPr>
        <w:spacing w:after="0" w:line="83"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 prior to this offering. Please read “— Tax Consequences of Unit Ownership — Allocation of Income, Gain, Loss and Deduction.”</w:t>
      </w:r>
    </w:p>
    <w:p>
      <w:pPr>
        <w:spacing w:after="0" w:line="142" w:lineRule="exact"/>
        <w:rPr>
          <w:sz w:val="20"/>
          <w:szCs w:val="20"/>
          <w:color w:val="auto"/>
        </w:rPr>
      </w:pPr>
    </w:p>
    <w:p>
      <w:pPr>
        <w:jc w:val="both"/>
        <w:ind w:left="700" w:right="240" w:firstLine="397"/>
        <w:spacing w:after="0" w:line="259" w:lineRule="auto"/>
        <w:rPr>
          <w:sz w:val="20"/>
          <w:szCs w:val="20"/>
          <w:color w:val="auto"/>
        </w:rPr>
      </w:pPr>
      <w:r>
        <w:rPr>
          <w:rFonts w:ascii="Arial" w:cs="Arial" w:eastAsia="Arial" w:hAnsi="Arial"/>
          <w:sz w:val="18"/>
          <w:szCs w:val="18"/>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9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 Tax Consequences of Unit Ownership — Allocation of Income, Gain, Loss and Deduction” and “— Disposition of Common Units — Recognition of Gain or Loss.”</w:t>
      </w:r>
    </w:p>
    <w:p>
      <w:pPr>
        <w:spacing w:after="0" w:line="9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9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Valuation and Tax Basis of Our Properties. </w:t>
      </w:r>
      <w:r>
        <w:rPr>
          <w:rFonts w:ascii="Arial" w:cs="Arial" w:eastAsia="Arial" w:hAnsi="Arial"/>
          <w:sz w:val="18"/>
          <w:szCs w:val="18"/>
          <w:color w:val="auto"/>
        </w:rPr>
        <w:t>The federal income tax consequences of the ownership and disposition of units will</w:t>
      </w:r>
      <w:r>
        <w:rPr>
          <w:rFonts w:ascii="Arial" w:cs="Arial" w:eastAsia="Arial" w:hAnsi="Arial"/>
          <w:sz w:val="18"/>
          <w:szCs w:val="18"/>
          <w:i w:val="1"/>
          <w:iCs w:val="1"/>
          <w:color w:val="auto"/>
        </w:rPr>
        <w:t xml:space="preserve"> </w:t>
      </w:r>
      <w:r>
        <w:rPr>
          <w:rFonts w:ascii="Arial" w:cs="Arial" w:eastAsia="Arial" w:hAnsi="Arial"/>
          <w:sz w:val="18"/>
          <w:szCs w:val="18"/>
          <w:color w:val="auto"/>
        </w:rPr>
        <w:t>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Common Units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9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w:t>
      </w:r>
    </w:p>
    <w:p>
      <w:pPr>
        <w:spacing w:after="0" w:line="8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income and a capital loss upon a sale of units. Capital losses may offset capital gains and no more than $3,000 of ordinary income in the case of individuals, and may only be used to offset capital gains in the case of corporations.</w:t>
      </w:r>
    </w:p>
    <w:p>
      <w:pPr>
        <w:spacing w:after="0" w:line="7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w:t>
      </w:r>
    </w:p>
    <w:p>
      <w:pPr>
        <w:spacing w:after="0" w:line="8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87" w:lineRule="exact"/>
        <w:rPr>
          <w:sz w:val="20"/>
          <w:szCs w:val="20"/>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9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i w:val="1"/>
          <w:iCs w:val="1"/>
          <w:color w:val="auto"/>
        </w:rPr>
        <w:t xml:space="preserve">Allocations Between Transferors and Transferees. </w:t>
      </w:r>
      <w:r>
        <w:rPr>
          <w:rFonts w:ascii="Arial" w:cs="Arial" w:eastAsia="Arial" w:hAnsi="Arial"/>
          <w:sz w:val="17"/>
          <w:szCs w:val="17"/>
          <w:color w:val="auto"/>
        </w:rPr>
        <w:t>In general, our taxable income and losses will be determined annually,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8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w:t>
      </w:r>
    </w:p>
    <w:p>
      <w:pPr>
        <w:spacing w:after="0" w:line="94"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or exchanges units, other than through a broker, generally is required to notify us</w:t>
      </w:r>
      <w:r>
        <w:rPr>
          <w:rFonts w:ascii="Arial" w:cs="Arial" w:eastAsia="Arial" w:hAnsi="Arial"/>
          <w:sz w:val="18"/>
          <w:szCs w:val="18"/>
          <w:i w:val="1"/>
          <w:iCs w:val="1"/>
          <w:color w:val="auto"/>
        </w:rPr>
        <w:t xml:space="preserve"> </w:t>
      </w:r>
      <w:r>
        <w:rPr>
          <w:rFonts w:ascii="Arial" w:cs="Arial" w:eastAsia="Arial" w:hAnsi="Arial"/>
          <w:sz w:val="18"/>
          <w:szCs w:val="18"/>
          <w:color w:val="auto"/>
        </w:rPr>
        <w:t>in writing of that sale or exchange within 30 days after the sale or exchange (or, if earlier, January 15 of the year following the sale). A unitholder who acquires units generally is required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w:t>
      </w:r>
    </w:p>
    <w:p>
      <w:pPr>
        <w:spacing w:after="0" w:line="87"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i w:val="1"/>
          <w:iCs w:val="1"/>
          <w:color w:val="auto"/>
        </w:rPr>
        <w:t xml:space="preserve">Constructive Termination. </w:t>
      </w:r>
      <w:r>
        <w:rPr>
          <w:rFonts w:ascii="Arial" w:cs="Arial" w:eastAsia="Arial" w:hAnsi="Arial"/>
          <w:sz w:val="16"/>
          <w:szCs w:val="16"/>
          <w:color w:val="auto"/>
        </w:rPr>
        <w:t>We will be considered to have been terminated for tax purposes if there is a sale or exchange of 50%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Uniformity of Units</w:t>
      </w:r>
    </w:p>
    <w:p>
      <w:pPr>
        <w:spacing w:after="0" w:line="135" w:lineRule="exact"/>
        <w:rPr>
          <w:sz w:val="20"/>
          <w:szCs w:val="20"/>
          <w:color w:val="auto"/>
        </w:rPr>
      </w:pPr>
    </w:p>
    <w:p>
      <w:pPr>
        <w:jc w:val="both"/>
        <w:ind w:left="700" w:right="40" w:firstLine="397"/>
        <w:spacing w:after="0" w:line="257" w:lineRule="auto"/>
        <w:rPr>
          <w:sz w:val="20"/>
          <w:szCs w:val="20"/>
          <w:color w:val="auto"/>
        </w:rPr>
      </w:pPr>
      <w:r>
        <w:rPr>
          <w:rFonts w:ascii="Arial" w:cs="Arial" w:eastAsia="Arial" w:hAnsi="Arial"/>
          <w:sz w:val="18"/>
          <w:szCs w:val="18"/>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 Tax Consequences of Unit Ownership — Section 754 Election.”</w:t>
      </w:r>
    </w:p>
    <w:p>
      <w:pPr>
        <w:spacing w:after="0" w:line="94"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 Disposition of Common Units — Recognition of Gain or Loss.”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35"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6" w:lineRule="auto"/>
        <w:rPr>
          <w:sz w:val="20"/>
          <w:szCs w:val="20"/>
          <w:color w:val="auto"/>
        </w:rPr>
      </w:pPr>
      <w:r>
        <w:rPr>
          <w:rFonts w:ascii="Arial" w:cs="Arial" w:eastAsia="Arial" w:hAnsi="Arial"/>
          <w:sz w:val="17"/>
          <w:szCs w:val="17"/>
          <w:color w:val="auto"/>
        </w:rPr>
        <w:t>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For tax years beginning on or prior to October 22, 2004, a regulated investment company or “mutual fund” is required to derive</w:t>
      </w:r>
    </w:p>
    <w:p>
      <w:pPr>
        <w:spacing w:after="0" w:line="35" w:lineRule="exact"/>
        <w:rPr>
          <w:sz w:val="20"/>
          <w:szCs w:val="20"/>
          <w:color w:val="auto"/>
        </w:rPr>
      </w:pPr>
    </w:p>
    <w:p>
      <w:pPr>
        <w:ind w:left="700" w:right="160"/>
        <w:spacing w:after="0" w:line="271" w:lineRule="auto"/>
        <w:rPr>
          <w:sz w:val="20"/>
          <w:szCs w:val="20"/>
          <w:color w:val="auto"/>
        </w:rPr>
      </w:pPr>
      <w:r>
        <w:rPr>
          <w:rFonts w:ascii="Arial" w:cs="Arial" w:eastAsia="Arial" w:hAnsi="Arial"/>
          <w:sz w:val="17"/>
          <w:szCs w:val="17"/>
          <w:color w:val="auto"/>
        </w:rPr>
        <w:t>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w:t>
      </w:r>
    </w:p>
    <w:p>
      <w:pPr>
        <w:spacing w:after="0" w:line="84"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w:t>
      </w:r>
    </w:p>
    <w:p>
      <w:pPr>
        <w:spacing w:after="0" w:line="70"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84"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Administrative Matters</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We intend to furnish to each unitholder, within 90 days after the close of each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w:t>
      </w:r>
    </w:p>
    <w:p>
      <w:pPr>
        <w:spacing w:after="0" w:line="73" w:lineRule="exact"/>
        <w:rPr>
          <w:sz w:val="20"/>
          <w:szCs w:val="20"/>
          <w:color w:val="auto"/>
        </w:rPr>
      </w:pPr>
    </w:p>
    <w:p>
      <w:pPr>
        <w:jc w:val="both"/>
        <w:ind w:left="700" w:right="700" w:firstLine="397"/>
        <w:spacing w:after="0" w:line="286" w:lineRule="auto"/>
        <w:rPr>
          <w:sz w:val="20"/>
          <w:szCs w:val="20"/>
          <w:color w:val="auto"/>
        </w:rPr>
      </w:pPr>
      <w:r>
        <w:rPr>
          <w:rFonts w:ascii="Arial" w:cs="Arial" w:eastAsia="Arial" w:hAnsi="Arial"/>
          <w:sz w:val="17"/>
          <w:szCs w:val="17"/>
          <w:color w:val="auto"/>
        </w:rPr>
        <w:t>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w:t>
      </w:r>
    </w:p>
    <w:p>
      <w:pPr>
        <w:spacing w:after="0" w:line="9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Nominee Reporting. </w:t>
      </w:r>
      <w:r>
        <w:rPr>
          <w:rFonts w:ascii="Arial" w:cs="Arial" w:eastAsia="Arial" w:hAnsi="Arial"/>
          <w:sz w:val="18"/>
          <w:szCs w:val="18"/>
          <w:color w:val="auto"/>
        </w:rPr>
        <w:t>Persons who hold an interest in us as a nominee for another person are required to furnish to us:</w:t>
      </w:r>
    </w:p>
    <w:p>
      <w:pPr>
        <w:spacing w:after="0" w:line="131" w:lineRule="exact"/>
        <w:rPr>
          <w:sz w:val="20"/>
          <w:szCs w:val="20"/>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beneficial owner is a person that is not a United States person,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foreign government, an international organization or any wholly owned agency or instrumentality of either of the foregoing, or</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9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9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 taxable year or $5,000.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amount of any understatement subject to penalty generally is reduced if any portion is attributable to a position adopted on the return:</w:t>
      </w:r>
    </w:p>
    <w:p>
      <w:pPr>
        <w:spacing w:after="0" w:line="154"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31" w:lineRule="exact"/>
        <w:rPr>
          <w:sz w:val="20"/>
          <w:szCs w:val="20"/>
          <w:color w:val="auto"/>
        </w:rPr>
      </w:pPr>
    </w:p>
    <w:p>
      <w:pPr>
        <w:ind w:left="700" w:right="260" w:firstLine="397"/>
        <w:spacing w:after="0" w:line="279" w:lineRule="auto"/>
        <w:rPr>
          <w:sz w:val="20"/>
          <w:szCs w:val="20"/>
          <w:color w:val="auto"/>
        </w:rPr>
      </w:pPr>
      <w:r>
        <w:rPr>
          <w:rFonts w:ascii="Arial" w:cs="Arial" w:eastAsia="Arial" w:hAnsi="Arial"/>
          <w:sz w:val="17"/>
          <w:szCs w:val="17"/>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w:t>
      </w:r>
    </w:p>
    <w:p>
      <w:pPr>
        <w:spacing w:after="0" w:line="77"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w:t>
      </w:r>
    </w:p>
    <w:p>
      <w:pPr>
        <w:spacing w:after="0" w:line="7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 Information Returns and Audit Procedures” above.</w:t>
      </w:r>
    </w:p>
    <w:p>
      <w:pPr>
        <w:spacing w:after="0" w:line="99"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76" w:lineRule="exact"/>
        <w:rPr>
          <w:sz w:val="20"/>
          <w:szCs w:val="20"/>
          <w:color w:val="auto"/>
        </w:rPr>
      </w:pPr>
    </w:p>
    <w:p>
      <w:pPr>
        <w:ind w:left="1300" w:right="68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those persons otherwise entitled to deduct interest on federal tax deficiencies, nondeductibility of interest on any resulting tax liability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135"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40"/>
        <w:spacing w:after="0" w:line="277" w:lineRule="auto"/>
        <w:rPr>
          <w:sz w:val="20"/>
          <w:szCs w:val="20"/>
          <w:color w:val="auto"/>
        </w:rPr>
      </w:pPr>
      <w:r>
        <w:rPr>
          <w:rFonts w:ascii="Arial" w:cs="Arial" w:eastAsia="Arial" w:hAnsi="Arial"/>
          <w:sz w:val="18"/>
          <w:szCs w:val="18"/>
          <w:color w:val="auto"/>
        </w:rPr>
        <w:t>purposes of determining the amount distributed by us. Please read “— Tax Consequences of Unit Ownership.” We may also own additional property or do business in other states in the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7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b w:val="1"/>
          <w:b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131" w:lineRule="exact"/>
        <w:rPr>
          <w:sz w:val="20"/>
          <w:szCs w:val="20"/>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fix a price or prices of our securities at:</w:t>
      </w:r>
    </w:p>
    <w:p>
      <w:pPr>
        <w:spacing w:after="0" w:line="131" w:lineRule="exact"/>
        <w:rPr>
          <w:sz w:val="20"/>
          <w:szCs w:val="20"/>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market prices prevailing at the time of any sale under this registration statement;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31" w:lineRule="exact"/>
        <w:rPr>
          <w:sz w:val="20"/>
          <w:szCs w:val="20"/>
          <w:color w:val="auto"/>
        </w:rPr>
      </w:pPr>
    </w:p>
    <w:p>
      <w:pPr>
        <w:ind w:left="700" w:right="240" w:firstLine="397"/>
        <w:spacing w:after="0" w:line="342" w:lineRule="auto"/>
        <w:rPr>
          <w:sz w:val="20"/>
          <w:szCs w:val="20"/>
          <w:color w:val="auto"/>
        </w:rPr>
      </w:pPr>
      <w:r>
        <w:rPr>
          <w:rFonts w:ascii="Arial" w:cs="Arial" w:eastAsia="Arial" w:hAnsi="Arial"/>
          <w:sz w:val="16"/>
          <w:szCs w:val="16"/>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29"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31"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60"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342" w:lineRule="auto"/>
        <w:rPr>
          <w:sz w:val="20"/>
          <w:szCs w:val="20"/>
          <w:color w:val="auto"/>
        </w:rPr>
      </w:pPr>
      <w:r>
        <w:rPr>
          <w:rFonts w:ascii="Arial" w:cs="Arial" w:eastAsia="Arial" w:hAnsi="Arial"/>
          <w:sz w:val="16"/>
          <w:szCs w:val="16"/>
          <w:color w:val="auto"/>
        </w:rPr>
        <w:t>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29" w:lineRule="exact"/>
        <w:rPr>
          <w:sz w:val="20"/>
          <w:szCs w:val="20"/>
          <w:color w:val="auto"/>
        </w:rPr>
      </w:pPr>
    </w:p>
    <w:p>
      <w:pPr>
        <w:ind w:left="700" w:right="840" w:firstLine="397"/>
        <w:spacing w:after="0" w:line="277"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9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Vinson &amp; Elkins L.L.P., Houston, Texas, will pass upon the validity of the securities offered in this registration statement.</w:t>
      </w:r>
    </w:p>
    <w:p>
      <w:pPr>
        <w:spacing w:after="0" w:line="34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sectPr>
      <w:pgSz w:w="11900" w:h="16838" w:orient="portrait"/>
      <w:cols w:equalWidth="0" w:num="1">
        <w:col w:w="10600"/>
      </w:cols>
      <w:pgMar w:left="240" w:top="419"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lowerLetter"/>
      <w:start w:val="1"/>
    </w:lvl>
    <w:lvl w:ilvl="1">
      <w:lvlJc w:val="left"/>
      <w:lvlText w:val="(%2)"/>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2020-02-10T04:45:10Z</dcterms:created>
  <dcterms:modified xsi:type="dcterms:W3CDTF">2020-02-10T04:45:10Z</dcterms:modified>
</cp:coreProperties>
</file>