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2, 2024</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August 2, 2024, the Registrant issued a press release reporting its second-quarter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August 2, 2024</w:t>
            </w:r>
          </w:p>
        </w:tc>
        <w:tc>
          <w:tcPr>
            <w:tcW w:w="4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Second-Quarter 2024 Results &amp; Raises 2024 Guidance</w:t>
      </w:r>
    </w:p>
    <w:p>
      <w:pPr>
        <w:spacing w:after="0" w:line="200" w:lineRule="exact"/>
        <w:rPr>
          <w:sz w:val="20"/>
          <w:szCs w:val="20"/>
          <w:color w:val="auto"/>
        </w:rPr>
      </w:pPr>
    </w:p>
    <w:p>
      <w:pPr>
        <w:spacing w:after="0" w:line="2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Houston, TX – August 2, 2024 – Plains All American Pipeline, L.P. (Nasdaq: </w:t>
      </w:r>
      <w:r>
        <w:rPr>
          <w:rFonts w:ascii="Times New Roman" w:cs="Times New Roman" w:eastAsia="Times New Roman" w:hAnsi="Times New Roman"/>
          <w:sz w:val="18"/>
          <w:szCs w:val="18"/>
          <w:color w:val="0000FF"/>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color w:val="0000FF"/>
        </w:rPr>
        <w:t>PAGP</w:t>
      </w:r>
      <w:r>
        <w:rPr>
          <w:rFonts w:ascii="Times New Roman" w:cs="Times New Roman" w:eastAsia="Times New Roman" w:hAnsi="Times New Roman"/>
          <w:sz w:val="18"/>
          <w:szCs w:val="18"/>
          <w:color w:val="auto"/>
        </w:rPr>
        <w:t>) today reported strong second-quarter 2024 results and raised full-year 2024 Adjusted EBITDA guidance.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Results</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$250 million and net cash provided by operating activities of $653 million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Adjusted EBITDA attributable to PAA of $674 million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Adjusted Free Cash Flow of $421 million (excluding changes in Assets &amp; Liabilities; including bolt-on acquisition capital)</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priced public offering of $650 million of unsecured senior notes at 5.7% due 2034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Guidance Update</w:t>
      </w:r>
    </w:p>
    <w:p>
      <w:pPr>
        <w:spacing w:after="0" w:line="243" w:lineRule="exact"/>
        <w:rPr>
          <w:sz w:val="20"/>
          <w:szCs w:val="20"/>
          <w:color w:val="auto"/>
        </w:rPr>
      </w:pPr>
    </w:p>
    <w:p>
      <w:pPr>
        <w:ind w:left="660" w:right="38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Raising the mid-point of guidance for full-year 2024 Adjusted EBITDA attributable to PAA by $75 million to a new range of $2.725 - $2.775 billion</w:t>
      </w:r>
    </w:p>
    <w:p>
      <w:pPr>
        <w:spacing w:after="0" w:line="189" w:lineRule="exact"/>
        <w:rPr>
          <w:rFonts w:ascii="Arial" w:cs="Arial" w:eastAsia="Arial" w:hAnsi="Arial"/>
          <w:sz w:val="18"/>
          <w:szCs w:val="18"/>
          <w:color w:val="auto"/>
        </w:rPr>
      </w:pPr>
    </w:p>
    <w:p>
      <w:pPr>
        <w:ind w:left="660" w:right="5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Reiterating full-year 2024 Adjusted Free Cash Flow guidance of $1.55 billion (excluding changes in Assets &amp; Liabilities; including bolt-on acquisition capital)</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“Today’s announcements reflect another solid quarter with results exceeding expectations in both the Crude Oil and NGL segments. Based on our performance to-date and outlook for the remainder of the year, we are increasing our annual EBITDA guidance for 2024. This underscores the resilience of our business model and highlights the flexibility of our asset base to capture opportunities in a dynamic and evolving market,” said Willie Chiang, Chairman &amp; CEO of Plains. “We remain focused on maximizing long-term value for investors, through our consistent strategy of capital discipline, generating meaningful Free Cash Flow and increasing return of capital to equity holders while maintaining financial flexibility.”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19 %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608"/>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5"/>
        </w:trPr>
        <w:tc>
          <w:tcPr>
            <w:tcW w:w="51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&amp;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4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8" w:lineRule="exact"/>
        <w:rPr>
          <w:rFonts w:ascii="Times New Roman" w:cs="Times New Roman" w:eastAsia="Times New Roman" w:hAnsi="Times New Roman"/>
          <w:sz w:val="22"/>
          <w:szCs w:val="22"/>
          <w:color w:val="auto"/>
          <w:vertAlign w:val="superscript"/>
        </w:rPr>
      </w:pPr>
    </w:p>
    <w:p>
      <w:pPr>
        <w:ind w:left="340" w:right="14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June 30, 2023</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7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9 %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52 %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Six Months Ended June 30, 2023</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254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Second-quarter 2024 Crude Oil Segment Adjusted EBITDA increased 9% versus comparable 2023 results primarily due to higher tariff volumes on our pipelines, tariff escalations and contributions from acquisitions. These items were partially offset by fewer market based opportunities.</w:t>
      </w:r>
    </w:p>
    <w:p>
      <w:pPr>
        <w:spacing w:after="0" w:line="18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Second-quarter 2024 NGL Segment Adjusted EBITDA increased 52% versus comparable 2023 results primarily due to turnarounds impacting sales volumes in the second quarter of 2023 and incremental margins from iso-to-normal butane spread benefits in the second quarter of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August 2, 2024 to discuss second-quarter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https://edge.media-server.com/mmc/p/za3n6iir/</w:t>
      </w:r>
    </w:p>
    <w:p>
      <w:pPr>
        <w:spacing w:after="0" w:line="25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13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gains or losses on investments in unconsolidated entities and interest income on promissory notes between and amongst PAA and related entities, adjusted for certain selected items impacting comparability. Adjusted EBITDA attributable to PAA excludes the portion of Adjusted EBITDA that is attributable to noncontrolling interests.</w:t>
      </w:r>
    </w:p>
    <w:p>
      <w:pPr>
        <w:spacing w:after="0" w:line="1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23,943</w:t>
            </w: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w:t>
            </w:r>
          </w:p>
        </w:tc>
      </w:tr>
      <w:tr>
        <w:trPr>
          <w:trHeight w:val="256"/>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56"/>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6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6"/>
        </w:trPr>
        <w:tc>
          <w:tcPr>
            <w:tcW w:w="38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38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4"/>
        </w:trPr>
        <w:tc>
          <w:tcPr>
            <w:tcW w:w="6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30" w:lineRule="exact"/>
        <w:rPr>
          <w:sz w:val="20"/>
          <w:szCs w:val="20"/>
          <w:color w:val="auto"/>
        </w:rPr>
      </w:pPr>
    </w:p>
    <w:p>
      <w:pPr>
        <w:ind w:left="340" w:right="180" w:hanging="332"/>
        <w:spacing w:after="0" w:line="235"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and “Other income, net” each include $15 million for the three and six months ended June 30, 2024 related to interest on promissory notes between and amongst PAA and related entities. These amounts offset and do not impact Net Income or Non-GAAP metrics such as Adjusted EBITDA, Implied DCF and Adjusted Free Cash Flow.</w:t>
      </w:r>
    </w:p>
    <w:p>
      <w:pPr>
        <w:spacing w:after="0" w:line="159"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and cash equivalents of $553 and $450, respectively)</w:t>
            </w: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18,252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 more -</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8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 w:type="dxa"/>
            <w:vAlign w:val="bottom"/>
          </w:tcPr>
          <w:p>
            <w:pPr>
              <w:spacing w:after="0"/>
              <w:rPr>
                <w:sz w:val="18"/>
                <w:szCs w:val="18"/>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60" w:type="dxa"/>
            <w:vAlign w:val="bottom"/>
          </w:tcPr>
          <w:p>
            <w:pPr>
              <w:spacing w:after="0"/>
              <w:rPr>
                <w:sz w:val="19"/>
                <w:szCs w:val="19"/>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0" w:type="dxa"/>
            <w:vAlign w:val="bottom"/>
          </w:tcPr>
          <w:p>
            <w:pPr>
              <w:spacing w:after="0"/>
              <w:rPr>
                <w:sz w:val="19"/>
                <w:szCs w:val="19"/>
                <w:color w:val="auto"/>
              </w:rPr>
            </w:pPr>
          </w:p>
        </w:tc>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(2) (3)</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7"/>
        </w:trPr>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4"/>
        </w:trPr>
        <w:tc>
          <w:tcPr>
            <w:tcW w:w="6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30" w:lineRule="exact"/>
        <w:rPr>
          <w:sz w:val="20"/>
          <w:szCs w:val="20"/>
          <w:color w:val="auto"/>
        </w:rPr>
      </w:pPr>
    </w:p>
    <w:p>
      <w:pPr>
        <w:ind w:left="340" w:right="16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4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each of the three and six months ended June 30, 2024 and 2023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24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9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CAPITAL EXPENDITURES</w:t>
            </w:r>
          </w:p>
        </w:tc>
        <w:tc>
          <w:tcPr>
            <w:tcW w:w="12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2260" w:type="dxa"/>
            <w:vAlign w:val="bottom"/>
            <w:tcBorders>
              <w:bottom w:val="single" w:sz="8" w:color="auto"/>
            </w:tcBorders>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gridSpan w:val="6"/>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5"/>
          </w:tcPr>
          <w:p>
            <w:pPr>
              <w:spacing w:after="0"/>
              <w:rPr>
                <w:sz w:val="2"/>
                <w:szCs w:val="2"/>
                <w:color w:val="auto"/>
              </w:rPr>
            </w:pPr>
          </w:p>
        </w:tc>
        <w:tc>
          <w:tcPr>
            <w:tcW w:w="1800" w:type="dxa"/>
            <w:vAlign w:val="bottom"/>
            <w:gridSpan w:val="6"/>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920" w:type="dxa"/>
            <w:vAlign w:val="bottom"/>
            <w:tcBorders>
              <w:top w:val="single" w:sz="8" w:color="auto"/>
            </w:tcBorders>
            <w:gridSpan w:val="7"/>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tcBorders>
              <w:top w:val="single" w:sz="8" w:color="auto"/>
            </w:tcBorders>
            <w:gridSpan w:val="6"/>
          </w:tcPr>
          <w:p>
            <w:pPr>
              <w:jc w:val="right"/>
              <w:ind w:right="231"/>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9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9"/>
        </w:trPr>
        <w:tc>
          <w:tcPr>
            <w:tcW w:w="64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70"/>
        </w:trPr>
        <w:tc>
          <w:tcPr>
            <w:tcW w:w="38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4"/>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35" w:lineRule="exact"/>
        <w:rPr>
          <w:sz w:val="20"/>
          <w:szCs w:val="20"/>
          <w:color w:val="auto"/>
        </w:rPr>
      </w:pPr>
    </w:p>
    <w:p>
      <w:pPr>
        <w:ind w:left="340" w:right="420" w:hanging="332"/>
        <w:spacing w:after="0" w:line="239"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50" w:lineRule="exact"/>
        <w:rPr>
          <w:rFonts w:ascii="Times New Roman" w:cs="Times New Roman" w:eastAsia="Times New Roman" w:hAnsi="Times New Roman"/>
          <w:sz w:val="21"/>
          <w:szCs w:val="21"/>
          <w:color w:val="auto"/>
          <w:vertAlign w:val="superscript"/>
        </w:rPr>
      </w:pPr>
    </w:p>
    <w:p>
      <w:pPr>
        <w:ind w:left="340" w:right="60" w:hanging="332"/>
        <w:spacing w:after="0" w:line="21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and six months ended June 30, 2024 and 2023 as the effect was antidilutive.</w:t>
      </w:r>
    </w:p>
    <w:p>
      <w:pPr>
        <w:spacing w:after="0" w:line="46" w:lineRule="exact"/>
        <w:rPr>
          <w:rFonts w:ascii="Times New Roman" w:cs="Times New Roman" w:eastAsia="Times New Roman" w:hAnsi="Times New Roman"/>
          <w:sz w:val="21"/>
          <w:szCs w:val="21"/>
          <w:color w:val="auto"/>
          <w:vertAlign w:val="superscript"/>
        </w:rPr>
      </w:pPr>
    </w:p>
    <w:p>
      <w:pPr>
        <w:ind w:left="340" w:right="140" w:hanging="332"/>
        <w:spacing w:after="0" w:line="239"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Adjusted Net Income Per Common Unit Reconciliation: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5"/>
              </w:rPr>
              <w:t>0.84</w:t>
            </w:r>
          </w:p>
        </w:tc>
      </w:tr>
      <w:tr>
        <w:trPr>
          <w:trHeight w:val="230"/>
        </w:trPr>
        <w:tc>
          <w:tcPr>
            <w:tcW w:w="6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w w:val="96"/>
              </w:rPr>
              <w:t>(0.07)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rPr>
              <w:t>(0.18)</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5"/>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135" w:lineRule="exact"/>
        <w:rPr>
          <w:sz w:val="20"/>
          <w:szCs w:val="20"/>
          <w:color w:val="auto"/>
        </w:rPr>
      </w:pPr>
    </w:p>
    <w:p>
      <w:pPr>
        <w:ind w:left="340" w:right="72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items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6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and other items </w:t>
            </w:r>
            <w:r>
              <w:rPr>
                <w:rFonts w:ascii="Times New Roman" w:cs="Times New Roman" w:eastAsia="Times New Roman" w:hAnsi="Times New Roman"/>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Maintenance capital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Distributions from unconsolidated entities in excess of/(less than) adjusted equity</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earnings </w:t>
            </w:r>
            <w:r>
              <w:rPr>
                <w:rFonts w:ascii="Times New Roman" w:cs="Times New Roman" w:eastAsia="Times New Roman" w:hAnsi="Times New Roman"/>
                <w:sz w:val="22"/>
                <w:szCs w:val="22"/>
                <w:color w:val="auto"/>
                <w:vertAlign w:val="superscript"/>
              </w:rPr>
              <w:t>(6)</w:t>
            </w: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distributions paid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0.5350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1.81x</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1.98x</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1.96x</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2.18x</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7" w:lineRule="exact"/>
        <w:rPr>
          <w:sz w:val="20"/>
          <w:szCs w:val="20"/>
          <w:color w:val="auto"/>
        </w:rPr>
      </w:pPr>
    </w:p>
    <w:p>
      <w:pPr>
        <w:ind w:left="340" w:right="60" w:hanging="332"/>
        <w:spacing w:after="0" w:line="226" w:lineRule="auto"/>
        <w:tabs>
          <w:tab w:leader="none" w:pos="33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between and amongst PAA and related entities.</w:t>
      </w:r>
    </w:p>
    <w:p>
      <w:pPr>
        <w:ind w:left="320" w:hanging="312"/>
        <w:spacing w:after="0" w:line="187" w:lineRule="auto"/>
        <w:tabs>
          <w:tab w:leader="none" w:pos="3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2" w:lineRule="exact"/>
        <w:rPr>
          <w:rFonts w:ascii="Times New Roman" w:cs="Times New Roman" w:eastAsia="Times New Roman" w:hAnsi="Times New Roman"/>
          <w:sz w:val="18"/>
          <w:szCs w:val="18"/>
          <w:color w:val="auto"/>
          <w:vertAlign w:val="superscript"/>
        </w:rPr>
      </w:pPr>
    </w:p>
    <w:p>
      <w:pPr>
        <w:ind w:left="320" w:hanging="312"/>
        <w:spacing w:after="0" w:line="185" w:lineRule="auto"/>
        <w:tabs>
          <w:tab w:leader="none" w:pos="3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29" w:lineRule="exact"/>
        <w:rPr>
          <w:rFonts w:ascii="Times New Roman" w:cs="Times New Roman" w:eastAsia="Times New Roman" w:hAnsi="Times New Roman"/>
          <w:sz w:val="18"/>
          <w:szCs w:val="18"/>
          <w:color w:val="auto"/>
          <w:vertAlign w:val="superscript"/>
        </w:rPr>
      </w:pPr>
    </w:p>
    <w:p>
      <w:pPr>
        <w:ind w:left="340" w:right="180" w:hanging="332"/>
        <w:spacing w:after="0" w:line="216" w:lineRule="auto"/>
        <w:tabs>
          <w:tab w:leader="none" w:pos="33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Excludes certain non-cash items impacting interest expense such as amortization of debt issuance costs and terminated interest rate swaps, as well as interest income associated with promissory notes between and amongst PAA and related entities.</w:t>
      </w:r>
    </w:p>
    <w:p>
      <w:pPr>
        <w:spacing w:after="0" w:line="1" w:lineRule="exact"/>
        <w:rPr>
          <w:rFonts w:ascii="Times New Roman" w:cs="Times New Roman" w:eastAsia="Times New Roman" w:hAnsi="Times New Roman"/>
          <w:sz w:val="18"/>
          <w:szCs w:val="18"/>
          <w:color w:val="auto"/>
          <w:vertAlign w:val="superscript"/>
        </w:rPr>
      </w:pPr>
    </w:p>
    <w:p>
      <w:pPr>
        <w:ind w:left="320" w:hanging="312"/>
        <w:spacing w:after="0" w:line="234" w:lineRule="auto"/>
        <w:tabs>
          <w:tab w:leader="none" w:pos="3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2" w:lineRule="exact"/>
        <w:rPr>
          <w:rFonts w:ascii="Times New Roman" w:cs="Times New Roman" w:eastAsia="Times New Roman" w:hAnsi="Times New Roman"/>
          <w:sz w:val="18"/>
          <w:szCs w:val="18"/>
          <w:color w:val="auto"/>
          <w:vertAlign w:val="superscript"/>
        </w:rPr>
      </w:pPr>
    </w:p>
    <w:p>
      <w:pPr>
        <w:ind w:left="340" w:right="220" w:hanging="332"/>
        <w:spacing w:after="0" w:line="216" w:lineRule="auto"/>
        <w:tabs>
          <w:tab w:leader="none" w:pos="33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8"/>
          <w:szCs w:val="18"/>
          <w:color w:val="auto"/>
          <w:vertAlign w:val="superscript"/>
        </w:rPr>
      </w:pPr>
    </w:p>
    <w:p>
      <w:pPr>
        <w:ind w:left="320" w:hanging="312"/>
        <w:spacing w:after="0" w:line="219" w:lineRule="auto"/>
        <w:tabs>
          <w:tab w:leader="none" w:pos="3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2" w:lineRule="exact"/>
        <w:rPr>
          <w:rFonts w:ascii="Times New Roman" w:cs="Times New Roman" w:eastAsia="Times New Roman" w:hAnsi="Times New Roman"/>
          <w:sz w:val="18"/>
          <w:szCs w:val="18"/>
          <w:color w:val="auto"/>
          <w:vertAlign w:val="superscript"/>
        </w:rPr>
      </w:pPr>
    </w:p>
    <w:p>
      <w:pPr>
        <w:ind w:left="320" w:hanging="312"/>
        <w:spacing w:after="0" w:line="185" w:lineRule="auto"/>
        <w:tabs>
          <w:tab w:leader="none" w:pos="3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42" w:lineRule="exact"/>
        <w:rPr>
          <w:rFonts w:ascii="Times New Roman" w:cs="Times New Roman" w:eastAsia="Times New Roman" w:hAnsi="Times New Roman"/>
          <w:sz w:val="18"/>
          <w:szCs w:val="18"/>
          <w:color w:val="auto"/>
          <w:vertAlign w:val="superscript"/>
        </w:rPr>
      </w:pPr>
    </w:p>
    <w:p>
      <w:pPr>
        <w:ind w:left="340" w:right="40" w:hanging="332"/>
        <w:spacing w:after="0" w:line="229" w:lineRule="auto"/>
        <w:tabs>
          <w:tab w:leader="none" w:pos="33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7" w:lineRule="exact"/>
        <w:rPr>
          <w:rFonts w:ascii="Times New Roman" w:cs="Times New Roman" w:eastAsia="Times New Roman" w:hAnsi="Times New Roman"/>
          <w:sz w:val="18"/>
          <w:szCs w:val="18"/>
          <w:color w:val="auto"/>
          <w:vertAlign w:val="superscript"/>
        </w:rPr>
      </w:pP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30"/>
        </w:trPr>
        <w:tc>
          <w:tcPr>
            <w:tcW w:w="6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0.32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8"/>
        </w:trPr>
        <w:tc>
          <w:tcPr>
            <w:tcW w:w="6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29"/>
        </w:trPr>
        <w:tc>
          <w:tcPr>
            <w:tcW w:w="6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0.32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8"/>
        </w:trPr>
        <w:tc>
          <w:tcPr>
            <w:tcW w:w="6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130" w:lineRule="exact"/>
        <w:rPr>
          <w:sz w:val="20"/>
          <w:szCs w:val="20"/>
          <w:color w:val="auto"/>
        </w:rPr>
      </w:pPr>
    </w:p>
    <w:p>
      <w:pPr>
        <w:ind w:left="340" w:right="38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701 million, 698 million, 701 million and 698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20"/>
          </w:cols>
          <w:pgMar w:left="320" w:top="364"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2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(2) (4)</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2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(6)</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40" w:type="dxa"/>
            <w:vAlign w:val="bottom"/>
            <w:vMerge w:val="restart"/>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(6)</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20" w:hanging="332"/>
        <w:spacing w:after="0" w:line="22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40" w:right="160" w:hanging="332"/>
        <w:spacing w:after="0" w:line="224"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00" w:hanging="332"/>
        <w:spacing w:after="0" w:line="229"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 w:type="dxa"/>
            <w:vAlign w:val="bottom"/>
          </w:tcPr>
          <w:p>
            <w:pPr>
              <w:spacing w:after="0"/>
              <w:rPr>
                <w:sz w:val="18"/>
                <w:szCs w:val="18"/>
                <w:color w:val="auto"/>
              </w:rPr>
            </w:pPr>
          </w:p>
        </w:tc>
        <w:tc>
          <w:tcPr>
            <w:tcW w:w="6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(2)</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0"/>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(6)</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60" w:type="dxa"/>
            <w:vAlign w:val="bottom"/>
          </w:tcPr>
          <w:p>
            <w:pPr>
              <w:spacing w:after="0"/>
              <w:rPr>
                <w:sz w:val="19"/>
                <w:szCs w:val="19"/>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0"/>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6"/>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2"/>
        </w:trPr>
        <w:tc>
          <w:tcPr>
            <w:tcW w:w="60" w:type="dxa"/>
            <w:vAlign w:val="bottom"/>
          </w:tcPr>
          <w:p>
            <w:pPr>
              <w:spacing w:after="0"/>
              <w:rPr>
                <w:sz w:val="21"/>
                <w:szCs w:val="21"/>
                <w:color w:val="auto"/>
              </w:rPr>
            </w:pPr>
          </w:p>
        </w:tc>
        <w:tc>
          <w:tcPr>
            <w:tcW w:w="6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77" w:lineRule="exact"/>
        <w:rPr>
          <w:sz w:val="20"/>
          <w:szCs w:val="20"/>
          <w:color w:val="auto"/>
        </w:rPr>
      </w:pPr>
    </w:p>
    <w:p>
      <w:pPr>
        <w:ind w:left="340" w:right="40" w:hanging="332"/>
        <w:spacing w:after="0" w:line="234"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9" w:lineRule="exact"/>
        <w:rPr>
          <w:rFonts w:ascii="Times New Roman" w:cs="Times New Roman" w:eastAsia="Times New Roman" w:hAnsi="Times New Roman"/>
          <w:sz w:val="20"/>
          <w:szCs w:val="20"/>
          <w:color w:val="auto"/>
          <w:vertAlign w:val="superscript"/>
        </w:rPr>
      </w:pPr>
    </w:p>
    <w:p>
      <w:pPr>
        <w:ind w:left="340" w:right="20" w:hanging="332"/>
        <w:spacing w:after="0" w:line="248"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5" w:lineRule="exact"/>
        <w:rPr>
          <w:rFonts w:ascii="Times New Roman" w:cs="Times New Roman" w:eastAsia="Times New Roman" w:hAnsi="Times New Roman"/>
          <w:sz w:val="20"/>
          <w:szCs w:val="20"/>
          <w:color w:val="auto"/>
          <w:vertAlign w:val="superscript"/>
        </w:rPr>
      </w:pPr>
    </w:p>
    <w:p>
      <w:pPr>
        <w:ind w:left="340" w:right="80" w:hanging="332"/>
        <w:spacing w:after="0" w:line="246"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5" w:lineRule="exact"/>
        <w:rPr>
          <w:rFonts w:ascii="Times New Roman" w:cs="Times New Roman" w:eastAsia="Times New Roman" w:hAnsi="Times New Roman"/>
          <w:sz w:val="20"/>
          <w:szCs w:val="20"/>
          <w:color w:val="auto"/>
          <w:vertAlign w:val="superscript"/>
        </w:rPr>
      </w:pPr>
    </w:p>
    <w:p>
      <w:pPr>
        <w:ind w:left="340" w:hanging="332"/>
        <w:spacing w:after="0" w:line="249"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7" w:lineRule="exact"/>
        <w:rPr>
          <w:rFonts w:ascii="Times New Roman" w:cs="Times New Roman" w:eastAsia="Times New Roman" w:hAnsi="Times New Roman"/>
          <w:sz w:val="20"/>
          <w:szCs w:val="20"/>
          <w:color w:val="auto"/>
          <w:vertAlign w:val="superscript"/>
        </w:rPr>
      </w:pPr>
    </w:p>
    <w:p>
      <w:pPr>
        <w:ind w:left="340" w:right="100" w:hanging="332"/>
        <w:spacing w:after="0" w:line="241"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8" w:lineRule="exact"/>
        <w:rPr>
          <w:rFonts w:ascii="Times New Roman" w:cs="Times New Roman" w:eastAsia="Times New Roman" w:hAnsi="Times New Roman"/>
          <w:sz w:val="20"/>
          <w:szCs w:val="20"/>
          <w:color w:val="auto"/>
          <w:vertAlign w:val="superscript"/>
        </w:rPr>
      </w:pPr>
    </w:p>
    <w:p>
      <w:pPr>
        <w:jc w:val="both"/>
        <w:ind w:left="340" w:right="40" w:hanging="332"/>
        <w:spacing w:after="0" w:line="234" w:lineRule="auto"/>
        <w:tabs>
          <w:tab w:leader="none" w:pos="334"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67" w:lineRule="exact"/>
        <w:rPr>
          <w:rFonts w:ascii="Times New Roman" w:cs="Times New Roman" w:eastAsia="Times New Roman" w:hAnsi="Times New Roman"/>
          <w:sz w:val="20"/>
          <w:szCs w:val="20"/>
          <w:color w:val="auto"/>
          <w:vertAlign w:val="superscript"/>
        </w:rPr>
      </w:pP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80" w:type="dxa"/>
            <w:vAlign w:val="bottom"/>
            <w:tcBorders>
              <w:bottom w:val="single" w:sz="8" w:color="auto"/>
            </w:tcBorders>
          </w:tcPr>
          <w:p>
            <w:pPr>
              <w:spacing w:after="0"/>
              <w:rPr>
                <w:sz w:val="17"/>
                <w:szCs w:val="17"/>
                <w:color w:val="auto"/>
              </w:rPr>
            </w:pP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380" w:type="dxa"/>
            <w:vAlign w:val="bottom"/>
          </w:tcPr>
          <w:p>
            <w:pPr>
              <w:spacing w:after="0"/>
              <w:rPr>
                <w:sz w:val="17"/>
                <w:szCs w:val="17"/>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380" w:type="dxa"/>
            <w:vAlign w:val="bottom"/>
          </w:tcPr>
          <w:p>
            <w:pPr>
              <w:spacing w:after="0"/>
              <w:rPr>
                <w:sz w:val="17"/>
                <w:szCs w:val="17"/>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1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7" w:lineRule="exact"/>
        <w:rPr>
          <w:rFonts w:ascii="Times New Roman" w:cs="Times New Roman" w:eastAsia="Times New Roman" w:hAnsi="Times New Roman"/>
          <w:sz w:val="23"/>
          <w:szCs w:val="23"/>
          <w:color w:val="auto"/>
          <w:vertAlign w:val="superscript"/>
        </w:rPr>
      </w:pPr>
    </w:p>
    <w:p>
      <w:pPr>
        <w:ind w:left="340" w:right="62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80" w:type="dxa"/>
            <w:vAlign w:val="bottom"/>
            <w:tcBorders>
              <w:bottom w:val="single" w:sz="8" w:color="auto"/>
            </w:tcBorders>
          </w:tcPr>
          <w:p>
            <w:pPr>
              <w:spacing w:after="0"/>
              <w:rPr>
                <w:sz w:val="17"/>
                <w:szCs w:val="17"/>
                <w:color w:val="auto"/>
              </w:rPr>
            </w:pPr>
          </w:p>
        </w:tc>
      </w:tr>
      <w:tr>
        <w:trPr>
          <w:trHeight w:val="202"/>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00" w:type="dxa"/>
            <w:vAlign w:val="bottom"/>
          </w:tcPr>
          <w:p>
            <w:pPr>
              <w:spacing w:after="0"/>
              <w:rPr>
                <w:sz w:val="17"/>
                <w:szCs w:val="17"/>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00" w:type="dxa"/>
            <w:vAlign w:val="bottom"/>
          </w:tcPr>
          <w:p>
            <w:pPr>
              <w:spacing w:after="0"/>
              <w:rPr>
                <w:sz w:val="17"/>
                <w:szCs w:val="17"/>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1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Borders>
              <w:bottom w:val="single" w:sz="8" w:color="auto"/>
            </w:tcBorders>
            <w:gridSpan w:val="3"/>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auto"/>
            </w:tcBorders>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volumes (by region)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29"/>
        </w:trPr>
        <w:tc>
          <w:tcPr>
            <w:tcW w:w="40" w:type="dxa"/>
            <w:vAlign w:val="bottom"/>
          </w:tcPr>
          <w:p>
            <w:pPr>
              <w:spacing w:after="0"/>
              <w:rPr>
                <w:sz w:val="19"/>
                <w:szCs w:val="19"/>
                <w:color w:val="auto"/>
              </w:rPr>
            </w:pPr>
          </w:p>
        </w:tc>
        <w:tc>
          <w:tcPr>
            <w:tcW w:w="63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40" w:type="dxa"/>
            <w:vAlign w:val="bottom"/>
          </w:tcPr>
          <w:p>
            <w:pPr>
              <w:spacing w:after="0"/>
              <w:rPr>
                <w:sz w:val="19"/>
                <w:szCs w:val="19"/>
                <w:color w:val="auto"/>
              </w:rPr>
            </w:pPr>
          </w:p>
        </w:tc>
        <w:tc>
          <w:tcPr>
            <w:tcW w:w="63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40" w:type="dxa"/>
            <w:vAlign w:val="bottom"/>
          </w:tcPr>
          <w:p>
            <w:pPr>
              <w:spacing w:after="0"/>
              <w:rPr>
                <w:sz w:val="19"/>
                <w:szCs w:val="19"/>
                <w:color w:val="auto"/>
              </w:rPr>
            </w:pP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Western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40" w:type="dxa"/>
            <w:vAlign w:val="bottom"/>
          </w:tcPr>
          <w:p>
            <w:pPr>
              <w:spacing w:after="0"/>
              <w:rPr>
                <w:sz w:val="19"/>
                <w:szCs w:val="19"/>
                <w:color w:val="auto"/>
              </w:rPr>
            </w:pPr>
          </w:p>
        </w:tc>
        <w:tc>
          <w:tcPr>
            <w:tcW w:w="632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volumes </w:t>
            </w:r>
            <w:r>
              <w:rPr>
                <w:rFonts w:ascii="Times New Roman" w:cs="Times New Roman" w:eastAsia="Times New Roman" w:hAnsi="Times New Roman"/>
                <w:sz w:val="23"/>
                <w:szCs w:val="23"/>
                <w:color w:val="auto"/>
                <w:vertAlign w:val="superscript"/>
              </w:rPr>
              <w:t>(1)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257"/>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6"/>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56"/>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NGL pipeline tariff volumes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28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1"/>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between and amongst PAA and related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12,933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9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6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4"/>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3" w:lineRule="exact"/>
        <w:rPr>
          <w:sz w:val="20"/>
          <w:szCs w:val="20"/>
          <w:color w:val="auto"/>
        </w:rPr>
      </w:pPr>
    </w:p>
    <w:p>
      <w:pPr>
        <w:ind w:left="660" w:right="140" w:hanging="328"/>
        <w:spacing w:after="0" w:line="248"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5" w:lineRule="exact"/>
        <w:rPr>
          <w:rFonts w:ascii="Arial" w:cs="Arial" w:eastAsia="Arial" w:hAnsi="Arial"/>
          <w:sz w:val="22"/>
          <w:szCs w:val="22"/>
          <w:color w:val="auto"/>
        </w:rPr>
      </w:pPr>
    </w:p>
    <w:p>
      <w:pPr>
        <w:ind w:left="660" w:right="60" w:hanging="328"/>
        <w:spacing w:after="0" w:line="245"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9" w:lineRule="exact"/>
        <w:rPr>
          <w:rFonts w:ascii="Arial" w:cs="Arial" w:eastAsia="Arial" w:hAnsi="Arial"/>
          <w:sz w:val="22"/>
          <w:szCs w:val="22"/>
          <w:color w:val="auto"/>
        </w:rPr>
      </w:pPr>
    </w:p>
    <w:p>
      <w:pPr>
        <w:ind w:left="660" w:right="46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43"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30" w:lineRule="exact"/>
        <w:rPr>
          <w:rFonts w:ascii="Arial" w:cs="Arial" w:eastAsia="Arial" w:hAnsi="Arial"/>
          <w:sz w:val="22"/>
          <w:szCs w:val="22"/>
          <w:color w:val="auto"/>
        </w:rPr>
      </w:pPr>
    </w:p>
    <w:p>
      <w:pPr>
        <w:ind w:left="660" w:right="140" w:hanging="328"/>
        <w:spacing w:after="0" w:line="258" w:lineRule="auto"/>
        <w:tabs>
          <w:tab w:leader="none" w:pos="65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16" w:lineRule="exact"/>
        <w:rPr>
          <w:rFonts w:ascii="Arial" w:cs="Arial" w:eastAsia="Arial" w:hAnsi="Arial"/>
          <w:sz w:val="21"/>
          <w:szCs w:val="21"/>
          <w:color w:val="auto"/>
        </w:rPr>
      </w:pPr>
    </w:p>
    <w:p>
      <w:pPr>
        <w:ind w:left="660" w:right="240" w:hanging="328"/>
        <w:spacing w:after="0" w:line="246"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30"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43"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3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7"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30" w:lineRule="exact"/>
        <w:rPr>
          <w:rFonts w:ascii="Arial" w:cs="Arial" w:eastAsia="Arial" w:hAnsi="Arial"/>
          <w:sz w:val="22"/>
          <w:szCs w:val="22"/>
          <w:color w:val="auto"/>
        </w:rPr>
      </w:pPr>
    </w:p>
    <w:p>
      <w:pPr>
        <w:ind w:left="660" w:right="340" w:hanging="328"/>
        <w:spacing w:after="0" w:line="24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26"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130" w:lineRule="exact"/>
        <w:rPr>
          <w:rFonts w:ascii="Arial" w:cs="Arial" w:eastAsia="Arial" w:hAnsi="Arial"/>
          <w:sz w:val="22"/>
          <w:szCs w:val="22"/>
          <w:color w:val="auto"/>
        </w:rPr>
      </w:pPr>
    </w:p>
    <w:p>
      <w:pPr>
        <w:ind w:left="660" w:right="500" w:hanging="328"/>
        <w:spacing w:after="0" w:line="239"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80"/>
      </w:cols>
      <w:pgMar w:left="320" w:top="36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lvl w:ilvl="1">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1)"/>
      <w:numFmt w:val="decimal"/>
      <w:start w:val="1"/>
    </w:lvl>
    <w:lvl w:ilvl="1">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lvl w:ilvl="1">
      <w:lvlJc w:val="left"/>
      <w:lvlText w:val="-"/>
      <w:numFmt w:val="bullet"/>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2024-08-02T07:46:39Z</dcterms:created>
  <dcterms:modified xsi:type="dcterms:W3CDTF">2024-08-02T07:46:39Z</dcterms:modified>
</cp:coreProperties>
</file>