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6840" w:type="dxa"/>
            <w:vAlign w:val="bottom"/>
            <w:gridSpan w:val="2"/>
          </w:tcPr>
          <w:p>
            <w:pPr>
              <w:ind w:left="460"/>
              <w:spacing w:after="0"/>
              <w:rPr>
                <w:sz w:val="20"/>
                <w:szCs w:val="20"/>
                <w:color w:val="auto"/>
              </w:rPr>
            </w:pPr>
            <w:r>
              <w:rPr>
                <w:rFonts w:ascii="Arial" w:cs="Arial" w:eastAsia="Arial" w:hAnsi="Arial"/>
                <w:sz w:val="18"/>
                <w:szCs w:val="18"/>
                <w:b w:val="1"/>
                <w:bCs w:val="1"/>
                <w:color w:val="auto"/>
              </w:rPr>
              <w:t>Final Term Sheet</w:t>
            </w:r>
          </w:p>
        </w:tc>
      </w:tr>
      <w:tr>
        <w:trPr>
          <w:trHeight w:val="297"/>
        </w:trPr>
        <w:tc>
          <w:tcPr>
            <w:tcW w:w="20" w:type="dxa"/>
            <w:vAlign w:val="bottom"/>
          </w:tcPr>
          <w:p>
            <w:pPr>
              <w:spacing w:after="0"/>
              <w:rPr>
                <w:sz w:val="24"/>
                <w:szCs w:val="24"/>
                <w:color w:val="auto"/>
              </w:rPr>
            </w:pPr>
          </w:p>
        </w:tc>
        <w:tc>
          <w:tcPr>
            <w:tcW w:w="11420" w:type="dxa"/>
            <w:vAlign w:val="bottom"/>
            <w:gridSpan w:val="3"/>
          </w:tcPr>
          <w:p>
            <w:pPr>
              <w:jc w:val="right"/>
              <w:ind w:right="4120"/>
              <w:spacing w:after="0"/>
              <w:rPr>
                <w:sz w:val="20"/>
                <w:szCs w:val="20"/>
                <w:color w:val="auto"/>
              </w:rPr>
            </w:pPr>
            <w:r>
              <w:rPr>
                <w:rFonts w:ascii="Arial" w:cs="Arial" w:eastAsia="Arial" w:hAnsi="Arial"/>
                <w:sz w:val="18"/>
                <w:szCs w:val="18"/>
                <w:b w:val="1"/>
                <w:bCs w:val="1"/>
                <w:color w:val="auto"/>
              </w:rPr>
              <w:t>$750,000,000 3.60% Senior Notes due 2024</w:t>
            </w:r>
          </w:p>
        </w:tc>
      </w:tr>
      <w:tr>
        <w:trPr>
          <w:trHeight w:val="372"/>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840" w:type="dxa"/>
            <w:vAlign w:val="bottom"/>
            <w:gridSpan w:val="2"/>
          </w:tcPr>
          <w:p>
            <w:pPr>
              <w:jc w:val="right"/>
              <w:ind w:right="20"/>
              <w:spacing w:after="0"/>
              <w:rPr>
                <w:sz w:val="20"/>
                <w:szCs w:val="20"/>
                <w:color w:val="auto"/>
              </w:rPr>
            </w:pPr>
            <w:r>
              <w:rPr>
                <w:rFonts w:ascii="Arial" w:cs="Arial" w:eastAsia="Arial" w:hAnsi="Arial"/>
                <w:sz w:val="18"/>
                <w:szCs w:val="18"/>
                <w:color w:val="auto"/>
              </w:rPr>
              <w:t>Filed Pursuant to Rule 433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40" w:type="dxa"/>
            <w:vAlign w:val="bottom"/>
            <w:gridSpan w:val="2"/>
          </w:tcPr>
          <w:p>
            <w:pPr>
              <w:jc w:val="right"/>
              <w:ind w:right="20"/>
              <w:spacing w:after="0"/>
              <w:rPr>
                <w:sz w:val="20"/>
                <w:szCs w:val="20"/>
                <w:color w:val="auto"/>
              </w:rPr>
            </w:pPr>
            <w:r>
              <w:rPr>
                <w:rFonts w:ascii="Arial" w:cs="Arial" w:eastAsia="Arial" w:hAnsi="Arial"/>
                <w:sz w:val="18"/>
                <w:szCs w:val="18"/>
                <w:color w:val="auto"/>
              </w:rPr>
              <w:t>Registration No. 333-184137</w:t>
            </w: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6840" w:type="dxa"/>
            <w:vAlign w:val="bottom"/>
            <w:gridSpan w:val="2"/>
          </w:tcPr>
          <w:p>
            <w:pPr>
              <w:jc w:val="right"/>
              <w:ind w:right="20"/>
              <w:spacing w:after="0"/>
              <w:rPr>
                <w:sz w:val="20"/>
                <w:szCs w:val="20"/>
                <w:color w:val="auto"/>
              </w:rPr>
            </w:pPr>
            <w:r>
              <w:rPr>
                <w:rFonts w:ascii="Arial" w:cs="Arial" w:eastAsia="Arial" w:hAnsi="Arial"/>
                <w:sz w:val="18"/>
                <w:szCs w:val="18"/>
                <w:color w:val="auto"/>
              </w:rPr>
              <w:t>September 2, 2014</w:t>
            </w:r>
          </w:p>
        </w:tc>
      </w:tr>
      <w:tr>
        <w:trPr>
          <w:trHeight w:val="205"/>
        </w:trPr>
        <w:tc>
          <w:tcPr>
            <w:tcW w:w="4600" w:type="dxa"/>
            <w:vAlign w:val="bottom"/>
            <w:gridSpan w:val="2"/>
          </w:tcPr>
          <w:p>
            <w:pPr>
              <w:spacing w:after="0"/>
              <w:rPr>
                <w:sz w:val="17"/>
                <w:szCs w:val="17"/>
                <w:color w:val="auto"/>
              </w:rPr>
            </w:pPr>
          </w:p>
        </w:tc>
        <w:tc>
          <w:tcPr>
            <w:tcW w:w="6840" w:type="dxa"/>
            <w:vAlign w:val="bottom"/>
            <w:gridSpan w:val="2"/>
          </w:tcPr>
          <w:p>
            <w:pPr>
              <w:spacing w:after="0"/>
              <w:rPr>
                <w:sz w:val="17"/>
                <w:szCs w:val="17"/>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Issuers:</w:t>
            </w:r>
          </w:p>
        </w:tc>
        <w:tc>
          <w:tcPr>
            <w:tcW w:w="682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rPr>
              <w:t>Plains All American Pipeline, L.P. and PAA Finance Corp.</w:t>
            </w:r>
          </w:p>
        </w:tc>
        <w:tc>
          <w:tcPr>
            <w:tcW w:w="20" w:type="dxa"/>
            <w:vAlign w:val="bottom"/>
          </w:tcPr>
          <w:p>
            <w:pPr>
              <w:spacing w:after="0"/>
              <w:rPr>
                <w:sz w:val="18"/>
                <w:szCs w:val="18"/>
                <w:color w:val="auto"/>
              </w:rPr>
            </w:pPr>
          </w:p>
        </w:tc>
      </w:tr>
      <w:tr>
        <w:trPr>
          <w:trHeight w:val="303"/>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Security Type:</w:t>
            </w: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Senior Unsecured Notes</w:t>
            </w:r>
          </w:p>
        </w:tc>
        <w:tc>
          <w:tcPr>
            <w:tcW w:w="20" w:type="dxa"/>
            <w:vAlign w:val="bottom"/>
          </w:tcPr>
          <w:p>
            <w:pPr>
              <w:spacing w:after="0"/>
              <w:rPr>
                <w:sz w:val="24"/>
                <w:szCs w:val="24"/>
                <w:color w:val="auto"/>
              </w:rPr>
            </w:pPr>
          </w:p>
        </w:tc>
      </w:tr>
      <w:tr>
        <w:trPr>
          <w:trHeight w:val="304"/>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Legal Format:</w:t>
            </w: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SEC Registered</w:t>
            </w:r>
          </w:p>
        </w:tc>
        <w:tc>
          <w:tcPr>
            <w:tcW w:w="20" w:type="dxa"/>
            <w:vAlign w:val="bottom"/>
          </w:tcPr>
          <w:p>
            <w:pPr>
              <w:spacing w:after="0"/>
              <w:rPr>
                <w:sz w:val="24"/>
                <w:szCs w:val="24"/>
                <w:color w:val="auto"/>
              </w:rPr>
            </w:pPr>
          </w:p>
        </w:tc>
      </w:tr>
      <w:tr>
        <w:trPr>
          <w:trHeight w:val="304"/>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Ratings (Moody’s / S&amp;P)*:</w:t>
            </w: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Baa2/BBB</w:t>
            </w:r>
          </w:p>
        </w:tc>
        <w:tc>
          <w:tcPr>
            <w:tcW w:w="20" w:type="dxa"/>
            <w:vAlign w:val="bottom"/>
          </w:tcPr>
          <w:p>
            <w:pPr>
              <w:spacing w:after="0"/>
              <w:rPr>
                <w:sz w:val="24"/>
                <w:szCs w:val="24"/>
                <w:color w:val="auto"/>
              </w:rPr>
            </w:pPr>
          </w:p>
        </w:tc>
      </w:tr>
      <w:tr>
        <w:trPr>
          <w:trHeight w:val="304"/>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Pricing Date:</w:t>
            </w: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September 2, 2014</w:t>
            </w:r>
          </w:p>
        </w:tc>
        <w:tc>
          <w:tcPr>
            <w:tcW w:w="20" w:type="dxa"/>
            <w:vAlign w:val="bottom"/>
          </w:tcPr>
          <w:p>
            <w:pPr>
              <w:spacing w:after="0"/>
              <w:rPr>
                <w:sz w:val="24"/>
                <w:szCs w:val="24"/>
                <w:color w:val="auto"/>
              </w:rPr>
            </w:pPr>
          </w:p>
        </w:tc>
      </w:tr>
      <w:tr>
        <w:trPr>
          <w:trHeight w:val="304"/>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Settlement Date (T+5):</w:t>
            </w: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September 9, 2014</w:t>
            </w:r>
          </w:p>
        </w:tc>
        <w:tc>
          <w:tcPr>
            <w:tcW w:w="20" w:type="dxa"/>
            <w:vAlign w:val="bottom"/>
          </w:tcPr>
          <w:p>
            <w:pPr>
              <w:spacing w:after="0"/>
              <w:rPr>
                <w:sz w:val="24"/>
                <w:szCs w:val="24"/>
                <w:color w:val="auto"/>
              </w:rPr>
            </w:pPr>
          </w:p>
        </w:tc>
      </w:tr>
      <w:tr>
        <w:trPr>
          <w:trHeight w:val="304"/>
        </w:trPr>
        <w:tc>
          <w:tcPr>
            <w:tcW w:w="4600" w:type="dxa"/>
            <w:vAlign w:val="bottom"/>
            <w:gridSpan w:val="2"/>
          </w:tcPr>
          <w:p>
            <w:pPr>
              <w:spacing w:after="0"/>
              <w:rPr>
                <w:sz w:val="20"/>
                <w:szCs w:val="20"/>
                <w:color w:val="auto"/>
              </w:rPr>
            </w:pPr>
            <w:r>
              <w:rPr>
                <w:rFonts w:ascii="Arial" w:cs="Arial" w:eastAsia="Arial" w:hAnsi="Arial"/>
                <w:sz w:val="18"/>
                <w:szCs w:val="18"/>
                <w:color w:val="auto"/>
              </w:rPr>
              <w:t>Maturity Date:</w:t>
            </w: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November 1, 2024</w:t>
            </w:r>
          </w:p>
        </w:tc>
      </w:tr>
      <w:tr>
        <w:trPr>
          <w:trHeight w:val="304"/>
        </w:trPr>
        <w:tc>
          <w:tcPr>
            <w:tcW w:w="4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Principal Amount:</w:t>
            </w:r>
          </w:p>
        </w:tc>
        <w:tc>
          <w:tcPr>
            <w:tcW w:w="682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rPr>
              <w:t>$750,000,000</w:t>
            </w:r>
          </w:p>
        </w:tc>
        <w:tc>
          <w:tcPr>
            <w:tcW w:w="20" w:type="dxa"/>
            <w:vAlign w:val="bottom"/>
          </w:tcPr>
          <w:p>
            <w:pPr>
              <w:spacing w:after="0"/>
              <w:rPr>
                <w:sz w:val="24"/>
                <w:szCs w:val="24"/>
                <w:color w:val="auto"/>
              </w:rPr>
            </w:pPr>
          </w:p>
        </w:tc>
      </w:tr>
      <w:tr>
        <w:trPr>
          <w:trHeight w:val="304"/>
        </w:trPr>
        <w:tc>
          <w:tcPr>
            <w:tcW w:w="4600" w:type="dxa"/>
            <w:vAlign w:val="bottom"/>
            <w:gridSpan w:val="2"/>
          </w:tcPr>
          <w:p>
            <w:pPr>
              <w:spacing w:after="0"/>
              <w:rPr>
                <w:sz w:val="20"/>
                <w:szCs w:val="20"/>
                <w:color w:val="auto"/>
              </w:rPr>
            </w:pPr>
            <w:r>
              <w:rPr>
                <w:rFonts w:ascii="Arial" w:cs="Arial" w:eastAsia="Arial" w:hAnsi="Arial"/>
                <w:sz w:val="18"/>
                <w:szCs w:val="18"/>
                <w:color w:val="auto"/>
              </w:rPr>
              <w:t>Benchmark:</w:t>
            </w: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UST 2.375% due August 15, 2024</w:t>
            </w:r>
          </w:p>
        </w:tc>
      </w:tr>
      <w:tr>
        <w:trPr>
          <w:trHeight w:val="304"/>
        </w:trPr>
        <w:tc>
          <w:tcPr>
            <w:tcW w:w="4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Benchmark Yield:</w:t>
            </w:r>
          </w:p>
        </w:tc>
        <w:tc>
          <w:tcPr>
            <w:tcW w:w="682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rPr>
              <w:t>2.418%</w:t>
            </w:r>
          </w:p>
        </w:tc>
        <w:tc>
          <w:tcPr>
            <w:tcW w:w="20" w:type="dxa"/>
            <w:vAlign w:val="bottom"/>
          </w:tcPr>
          <w:p>
            <w:pPr>
              <w:spacing w:after="0"/>
              <w:rPr>
                <w:sz w:val="24"/>
                <w:szCs w:val="24"/>
                <w:color w:val="auto"/>
              </w:rPr>
            </w:pPr>
          </w:p>
        </w:tc>
      </w:tr>
      <w:tr>
        <w:trPr>
          <w:trHeight w:val="304"/>
        </w:trPr>
        <w:tc>
          <w:tcPr>
            <w:tcW w:w="4600" w:type="dxa"/>
            <w:vAlign w:val="bottom"/>
            <w:gridSpan w:val="2"/>
          </w:tcPr>
          <w:p>
            <w:pPr>
              <w:spacing w:after="0"/>
              <w:rPr>
                <w:sz w:val="20"/>
                <w:szCs w:val="20"/>
                <w:color w:val="auto"/>
              </w:rPr>
            </w:pPr>
            <w:r>
              <w:rPr>
                <w:rFonts w:ascii="Arial" w:cs="Arial" w:eastAsia="Arial" w:hAnsi="Arial"/>
                <w:sz w:val="18"/>
                <w:szCs w:val="18"/>
                <w:color w:val="auto"/>
              </w:rPr>
              <w:t>Spread to Benchmark:</w:t>
            </w: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+120 bps</w:t>
            </w:r>
          </w:p>
        </w:tc>
      </w:tr>
      <w:tr>
        <w:trPr>
          <w:trHeight w:val="304"/>
        </w:trPr>
        <w:tc>
          <w:tcPr>
            <w:tcW w:w="4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Yield to Maturity:</w:t>
            </w:r>
          </w:p>
        </w:tc>
        <w:tc>
          <w:tcPr>
            <w:tcW w:w="682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rPr>
              <w:t>3.618%</w:t>
            </w:r>
          </w:p>
        </w:tc>
        <w:tc>
          <w:tcPr>
            <w:tcW w:w="20" w:type="dxa"/>
            <w:vAlign w:val="bottom"/>
          </w:tcPr>
          <w:p>
            <w:pPr>
              <w:spacing w:after="0"/>
              <w:rPr>
                <w:sz w:val="24"/>
                <w:szCs w:val="24"/>
                <w:color w:val="auto"/>
              </w:rPr>
            </w:pPr>
          </w:p>
        </w:tc>
      </w:tr>
      <w:tr>
        <w:trPr>
          <w:trHeight w:val="304"/>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Coupon:</w:t>
            </w: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24"/>
                <w:szCs w:val="24"/>
                <w:color w:val="auto"/>
              </w:rPr>
            </w:pPr>
          </w:p>
        </w:tc>
      </w:tr>
      <w:tr>
        <w:trPr>
          <w:trHeight w:val="304"/>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Public Offering Price:</w:t>
            </w: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99.842%</w:t>
            </w:r>
          </w:p>
        </w:tc>
        <w:tc>
          <w:tcPr>
            <w:tcW w:w="20" w:type="dxa"/>
            <w:vAlign w:val="bottom"/>
          </w:tcPr>
          <w:p>
            <w:pPr>
              <w:spacing w:after="0"/>
              <w:rPr>
                <w:sz w:val="24"/>
                <w:szCs w:val="24"/>
                <w:color w:val="auto"/>
              </w:rPr>
            </w:pPr>
          </w:p>
        </w:tc>
      </w:tr>
      <w:tr>
        <w:trPr>
          <w:trHeight w:val="304"/>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Net Proceeds (after estimated expenses) to the Partnership:</w:t>
            </w: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$742.7 million</w:t>
            </w:r>
          </w:p>
        </w:tc>
        <w:tc>
          <w:tcPr>
            <w:tcW w:w="20" w:type="dxa"/>
            <w:vAlign w:val="bottom"/>
          </w:tcPr>
          <w:p>
            <w:pPr>
              <w:spacing w:after="0"/>
              <w:rPr>
                <w:sz w:val="24"/>
                <w:szCs w:val="24"/>
                <w:color w:val="auto"/>
              </w:rPr>
            </w:pPr>
          </w:p>
        </w:tc>
      </w:tr>
      <w:tr>
        <w:trPr>
          <w:trHeight w:val="304"/>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Make-Whole Call:</w:t>
            </w: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T+20 bps</w:t>
            </w:r>
          </w:p>
        </w:tc>
        <w:tc>
          <w:tcPr>
            <w:tcW w:w="20" w:type="dxa"/>
            <w:vAlign w:val="bottom"/>
          </w:tcPr>
          <w:p>
            <w:pPr>
              <w:spacing w:after="0"/>
              <w:rPr>
                <w:sz w:val="24"/>
                <w:szCs w:val="24"/>
                <w:color w:val="auto"/>
              </w:rPr>
            </w:pPr>
          </w:p>
        </w:tc>
      </w:tr>
      <w:tr>
        <w:trPr>
          <w:trHeight w:val="304"/>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Call at Par:</w:t>
            </w: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On or after August 1, 2024</w:t>
            </w:r>
          </w:p>
        </w:tc>
        <w:tc>
          <w:tcPr>
            <w:tcW w:w="20" w:type="dxa"/>
            <w:vAlign w:val="bottom"/>
          </w:tcPr>
          <w:p>
            <w:pPr>
              <w:spacing w:after="0"/>
              <w:rPr>
                <w:sz w:val="24"/>
                <w:szCs w:val="24"/>
                <w:color w:val="auto"/>
              </w:rPr>
            </w:pPr>
          </w:p>
        </w:tc>
      </w:tr>
      <w:tr>
        <w:trPr>
          <w:trHeight w:val="304"/>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Payment Dates:</w:t>
            </w: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May 1 and November 1, beginning on May 1, 2015</w:t>
            </w:r>
          </w:p>
        </w:tc>
        <w:tc>
          <w:tcPr>
            <w:tcW w:w="20" w:type="dxa"/>
            <w:vAlign w:val="bottom"/>
          </w:tcPr>
          <w:p>
            <w:pPr>
              <w:spacing w:after="0"/>
              <w:rPr>
                <w:sz w:val="24"/>
                <w:szCs w:val="24"/>
                <w:color w:val="auto"/>
              </w:rPr>
            </w:pPr>
          </w:p>
        </w:tc>
      </w:tr>
      <w:tr>
        <w:trPr>
          <w:trHeight w:val="304"/>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CUSIP / ISIN:</w:t>
            </w: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72650R BF8 / US72650RBF82</w:t>
            </w:r>
          </w:p>
        </w:tc>
        <w:tc>
          <w:tcPr>
            <w:tcW w:w="20" w:type="dxa"/>
            <w:vAlign w:val="bottom"/>
          </w:tcPr>
          <w:p>
            <w:pPr>
              <w:spacing w:after="0"/>
              <w:rPr>
                <w:sz w:val="24"/>
                <w:szCs w:val="24"/>
                <w:color w:val="auto"/>
              </w:rPr>
            </w:pPr>
          </w:p>
        </w:tc>
      </w:tr>
      <w:tr>
        <w:trPr>
          <w:trHeight w:val="297"/>
        </w:trPr>
        <w:tc>
          <w:tcPr>
            <w:tcW w:w="4600" w:type="dxa"/>
            <w:vAlign w:val="bottom"/>
            <w:gridSpan w:val="2"/>
          </w:tcPr>
          <w:p>
            <w:pPr>
              <w:spacing w:after="0"/>
              <w:rPr>
                <w:sz w:val="20"/>
                <w:szCs w:val="20"/>
                <w:color w:val="auto"/>
              </w:rPr>
            </w:pPr>
            <w:r>
              <w:rPr>
                <w:rFonts w:ascii="Arial" w:cs="Arial" w:eastAsia="Arial" w:hAnsi="Arial"/>
                <w:sz w:val="18"/>
                <w:szCs w:val="18"/>
                <w:color w:val="auto"/>
              </w:rPr>
              <w:t>Joint Book-Running Managers:</w:t>
            </w: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J.P. Morgan Securities LLC</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Barclays Capital Inc.</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40" w:type="dxa"/>
            <w:vAlign w:val="bottom"/>
            <w:gridSpan w:val="2"/>
          </w:tcPr>
          <w:p>
            <w:pPr>
              <w:ind w:left="2380"/>
              <w:spacing w:after="0"/>
              <w:rPr>
                <w:sz w:val="20"/>
                <w:szCs w:val="20"/>
                <w:color w:val="auto"/>
              </w:rPr>
            </w:pPr>
            <w:r>
              <w:rPr>
                <w:rFonts w:ascii="Arial" w:cs="Arial" w:eastAsia="Arial" w:hAnsi="Arial"/>
                <w:sz w:val="18"/>
                <w:szCs w:val="18"/>
                <w:color w:val="auto"/>
              </w:rPr>
              <w:t>Incorporated</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DNB Markets, Inc.</w:t>
            </w:r>
          </w:p>
        </w:tc>
      </w:tr>
      <w:tr>
        <w:trPr>
          <w:trHeight w:val="231"/>
        </w:trPr>
        <w:tc>
          <w:tcPr>
            <w:tcW w:w="2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6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Mizuho Securities USA Inc.</w:t>
            </w:r>
          </w:p>
        </w:tc>
        <w:tc>
          <w:tcPr>
            <w:tcW w:w="20" w:type="dxa"/>
            <w:vAlign w:val="bottom"/>
          </w:tcPr>
          <w:p>
            <w:pPr>
              <w:spacing w:after="0"/>
              <w:rPr>
                <w:sz w:val="20"/>
                <w:szCs w:val="20"/>
                <w:color w:val="auto"/>
              </w:rPr>
            </w:pPr>
          </w:p>
        </w:tc>
      </w:tr>
      <w:tr>
        <w:trPr>
          <w:trHeight w:val="302"/>
        </w:trPr>
        <w:tc>
          <w:tcPr>
            <w:tcW w:w="4600" w:type="dxa"/>
            <w:vAlign w:val="bottom"/>
            <w:gridSpan w:val="2"/>
          </w:tcPr>
          <w:p>
            <w:pPr>
              <w:spacing w:after="0"/>
              <w:rPr>
                <w:sz w:val="20"/>
                <w:szCs w:val="20"/>
                <w:color w:val="auto"/>
              </w:rPr>
            </w:pPr>
            <w:r>
              <w:rPr>
                <w:rFonts w:ascii="Arial" w:cs="Arial" w:eastAsia="Arial" w:hAnsi="Arial"/>
                <w:sz w:val="18"/>
                <w:szCs w:val="18"/>
                <w:color w:val="auto"/>
              </w:rPr>
              <w:t>Co-Managers:</w:t>
            </w: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BBVA Securities Inc.</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SMBC Nikko Securities America, Inc.</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BMO Capital Markets Corp.</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CIBC World Markets Corp.</w:t>
            </w: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6840" w:type="dxa"/>
            <w:vAlign w:val="bottom"/>
            <w:gridSpan w:val="2"/>
          </w:tcPr>
          <w:p>
            <w:pPr>
              <w:ind w:left="1460"/>
              <w:spacing w:after="0"/>
              <w:rPr>
                <w:sz w:val="20"/>
                <w:szCs w:val="20"/>
                <w:color w:val="auto"/>
              </w:rPr>
            </w:pPr>
            <w:r>
              <w:rPr>
                <w:rFonts w:ascii="Arial" w:cs="Arial" w:eastAsia="Arial" w:hAnsi="Arial"/>
                <w:sz w:val="18"/>
                <w:szCs w:val="18"/>
                <w:color w:val="auto"/>
              </w:rPr>
              <w:t>Fifth Third Securities, Inc.</w:t>
            </w:r>
          </w:p>
        </w:tc>
      </w:tr>
    </w:tbl>
    <w:p>
      <w:pPr>
        <w:ind w:left="6060"/>
        <w:spacing w:after="0"/>
        <w:rPr>
          <w:sz w:val="20"/>
          <w:szCs w:val="20"/>
          <w:color w:val="auto"/>
        </w:rPr>
      </w:pPr>
      <w:r>
        <w:rPr>
          <w:rFonts w:ascii="Arial" w:cs="Arial" w:eastAsia="Arial" w:hAnsi="Arial"/>
          <w:sz w:val="18"/>
          <w:szCs w:val="18"/>
          <w:color w:val="auto"/>
        </w:rPr>
        <w:t>ING Financial Markets LLC</w:t>
      </w:r>
    </w:p>
    <w:p>
      <w:pPr>
        <w:spacing w:after="0" w:line="9"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Regions Securities LLC</w:t>
      </w:r>
    </w:p>
    <w:p>
      <w:pPr>
        <w:spacing w:after="0" w:line="9"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U.S. Bancorp Investments,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revised or withdrawn at any time.</w:t>
      </w:r>
    </w:p>
    <w:p>
      <w:pPr>
        <w:sectPr>
          <w:pgSz w:w="11900" w:h="16838" w:orient="portrait"/>
          <w:cols w:equalWidth="0" w:num="1">
            <w:col w:w="11420"/>
          </w:cols>
          <w:pgMar w:left="240" w:top="233" w:right="239" w:bottom="1440" w:gutter="0" w:footer="0" w:header="0"/>
        </w:sectPr>
      </w:pPr>
    </w:p>
    <w:bookmarkStart w:id="1" w:name="page2"/>
    <w:bookmarkEnd w:id="1"/>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of the notes is expected to be made against payment therefor on or about September 9, 2014, which is the 5th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J.P. Morgan Securities LLC at 1-212-834-4533 (collect), Barclays Capital Inc. at 1-888-603-5847, BNP Paribas Securities Corp. at 1-800-854-5674 or Merrill Lynch, Pierce, Fenner &amp; Smith Incorporated at 1-800-294-1322.</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2020-01-28T13:52:39Z</dcterms:created>
  <dcterms:modified xsi:type="dcterms:W3CDTF">2020-01-28T13:52:39Z</dcterms:modified>
</cp:coreProperties>
</file>