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4779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779010"/>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McGee Richard K.</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333 CLAY STREET</w:t>
            </w:r>
          </w:p>
        </w:tc>
        <w:tc>
          <w:tcPr>
            <w:tcW w:w="880" w:type="dxa"/>
            <w:vAlign w:val="bottom"/>
          </w:tcPr>
          <w:p>
            <w:pPr>
              <w:spacing w:after="0"/>
              <w:rPr>
                <w:sz w:val="22"/>
                <w:szCs w:val="22"/>
                <w:color w:val="auto"/>
              </w:rPr>
            </w:pPr>
          </w:p>
        </w:tc>
      </w:tr>
      <w:tr>
        <w:trPr>
          <w:trHeight w:val="24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5"/>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452"/>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2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EVP, General Counsel &amp; Sec.</w:t>
            </w:r>
          </w:p>
        </w:tc>
        <w:tc>
          <w:tcPr>
            <w:tcW w:w="0" w:type="dxa"/>
            <w:vAlign w:val="bottom"/>
          </w:tcPr>
          <w:p>
            <w:pPr>
              <w:spacing w:after="0"/>
              <w:rPr>
                <w:sz w:val="1"/>
                <w:szCs w:val="1"/>
                <w:color w:val="auto"/>
              </w:rPr>
            </w:pPr>
          </w:p>
        </w:tc>
      </w:tr>
      <w:tr>
        <w:trPr>
          <w:trHeight w:val="85"/>
        </w:trPr>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840" w:type="dxa"/>
            <w:vAlign w:val="bottom"/>
            <w:gridSpan w:val="3"/>
            <w:vMerge w:val="continue"/>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28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44"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176,731</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675,897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69,544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17.78</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606,353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176,731</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176,731</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122,650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122,650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122,650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56,325 phantom units, will vest on the August 2028 distribution date assuming continued service through such date; (b) Tranche 2, consisting of 28,162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28,163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0"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Richard K. McGee</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08/18/2025</w:t>
            </w: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0023"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2025-08-18T16:53:12Z</dcterms:created>
  <dcterms:modified xsi:type="dcterms:W3CDTF">2025-08-18T16:53:12Z</dcterms:modified>
</cp:coreProperties>
</file>