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[Company Letterhead]</w:t>
      </w: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October 4, 2013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Timothy Levenberg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Special Counsel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United States 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100 F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Washington, D.C. 20549-3561</w:t>
      </w:r>
    </w:p>
    <w:p>
      <w:pPr>
        <w:sectPr>
          <w:pgSz w:w="11900" w:h="16838" w:orient="portrait"/>
          <w:cols w:equalWidth="0" w:num="1">
            <w:col w:w="11420"/>
          </w:cols>
          <w:pgMar w:left="240" w:top="449" w:right="239" w:bottom="1440" w:gutter="0" w:footer="0" w:header="0"/>
        </w:sect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Plains GP Holdings, L.P.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Registration Statement on Form S-1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Filed July 29, 2013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File No. 333-190227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80" w:space="380"/>
            <w:col w:w="10760"/>
          </w:cols>
          <w:pgMar w:left="240" w:top="449" w:right="239" w:bottom="1440" w:gutter="0" w:footer="0" w:header="0"/>
          <w:type w:val="continuous"/>
        </w:sectPr>
      </w:pP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Ladies and Gentlemen: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Pursuant to discussions with the staff of the Division of Corporation Finance (the “</w:t>
      </w:r>
      <w:r>
        <w:rPr>
          <w:rFonts w:ascii="Arial" w:cs="Arial" w:eastAsia="Arial" w:hAnsi="Arial"/>
          <w:sz w:val="17"/>
          <w:szCs w:val="17"/>
          <w:b w:val="1"/>
          <w:bCs w:val="1"/>
          <w:i w:val="1"/>
          <w:iCs w:val="1"/>
          <w:color w:val="auto"/>
        </w:rPr>
        <w:t>Staff</w:t>
      </w:r>
      <w:r>
        <w:rPr>
          <w:rFonts w:ascii="Arial" w:cs="Arial" w:eastAsia="Arial" w:hAnsi="Arial"/>
          <w:sz w:val="17"/>
          <w:szCs w:val="17"/>
          <w:color w:val="auto"/>
        </w:rPr>
        <w:t>”) of the Securities and Exchange Commission (the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“</w:t>
      </w:r>
      <w:r>
        <w:rPr>
          <w:rFonts w:ascii="Arial" w:cs="Arial" w:eastAsia="Arial" w:hAnsi="Arial"/>
          <w:sz w:val="16"/>
          <w:szCs w:val="16"/>
          <w:b w:val="1"/>
          <w:bCs w:val="1"/>
          <w:i w:val="1"/>
          <w:iCs w:val="1"/>
          <w:color w:val="auto"/>
        </w:rPr>
        <w:t>Commission</w:t>
      </w:r>
      <w:r>
        <w:rPr>
          <w:rFonts w:ascii="Arial" w:cs="Arial" w:eastAsia="Arial" w:hAnsi="Arial"/>
          <w:sz w:val="16"/>
          <w:szCs w:val="16"/>
          <w:color w:val="auto"/>
        </w:rPr>
        <w:t>”), Plains GP Holdings, L.P. (the “</w:t>
      </w:r>
      <w:r>
        <w:rPr>
          <w:rFonts w:ascii="Arial" w:cs="Arial" w:eastAsia="Arial" w:hAnsi="Arial"/>
          <w:sz w:val="16"/>
          <w:szCs w:val="16"/>
          <w:b w:val="1"/>
          <w:bCs w:val="1"/>
          <w:i w:val="1"/>
          <w:iCs w:val="1"/>
          <w:color w:val="auto"/>
        </w:rPr>
        <w:t>Partnership</w:t>
      </w:r>
      <w:r>
        <w:rPr>
          <w:rFonts w:ascii="Arial" w:cs="Arial" w:eastAsia="Arial" w:hAnsi="Arial"/>
          <w:sz w:val="16"/>
          <w:szCs w:val="16"/>
          <w:color w:val="auto"/>
        </w:rPr>
        <w:t>,” “</w:t>
      </w:r>
      <w:r>
        <w:rPr>
          <w:rFonts w:ascii="Arial" w:cs="Arial" w:eastAsia="Arial" w:hAnsi="Arial"/>
          <w:sz w:val="16"/>
          <w:szCs w:val="16"/>
          <w:b w:val="1"/>
          <w:bCs w:val="1"/>
          <w:i w:val="1"/>
          <w:iCs w:val="1"/>
          <w:color w:val="auto"/>
        </w:rPr>
        <w:t>we</w:t>
      </w:r>
      <w:r>
        <w:rPr>
          <w:rFonts w:ascii="Arial" w:cs="Arial" w:eastAsia="Arial" w:hAnsi="Arial"/>
          <w:sz w:val="16"/>
          <w:szCs w:val="16"/>
          <w:color w:val="auto"/>
        </w:rPr>
        <w:t>,” “</w:t>
      </w:r>
      <w:r>
        <w:rPr>
          <w:rFonts w:ascii="Arial" w:cs="Arial" w:eastAsia="Arial" w:hAnsi="Arial"/>
          <w:sz w:val="16"/>
          <w:szCs w:val="16"/>
          <w:b w:val="1"/>
          <w:bCs w:val="1"/>
          <w:i w:val="1"/>
          <w:iCs w:val="1"/>
          <w:color w:val="auto"/>
        </w:rPr>
        <w:t>us</w:t>
      </w:r>
      <w:r>
        <w:rPr>
          <w:rFonts w:ascii="Arial" w:cs="Arial" w:eastAsia="Arial" w:hAnsi="Arial"/>
          <w:sz w:val="16"/>
          <w:szCs w:val="16"/>
          <w:color w:val="auto"/>
        </w:rPr>
        <w:t>” or “</w:t>
      </w:r>
      <w:r>
        <w:rPr>
          <w:rFonts w:ascii="Arial" w:cs="Arial" w:eastAsia="Arial" w:hAnsi="Arial"/>
          <w:sz w:val="16"/>
          <w:szCs w:val="16"/>
          <w:b w:val="1"/>
          <w:bCs w:val="1"/>
          <w:i w:val="1"/>
          <w:iCs w:val="1"/>
          <w:color w:val="auto"/>
        </w:rPr>
        <w:t>our</w:t>
      </w:r>
      <w:r>
        <w:rPr>
          <w:rFonts w:ascii="Arial" w:cs="Arial" w:eastAsia="Arial" w:hAnsi="Arial"/>
          <w:sz w:val="16"/>
          <w:szCs w:val="16"/>
          <w:color w:val="auto"/>
        </w:rPr>
        <w:t>”) hereby submits its proposed revisions to the Registration Statement on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Form S-1, File No. 333-190227 (the “</w:t>
      </w:r>
      <w:r>
        <w:rPr>
          <w:rFonts w:ascii="Arial" w:cs="Arial" w:eastAsia="Arial" w:hAnsi="Arial"/>
          <w:sz w:val="17"/>
          <w:szCs w:val="17"/>
          <w:b w:val="1"/>
          <w:bCs w:val="1"/>
          <w:i w:val="1"/>
          <w:iCs w:val="1"/>
          <w:color w:val="auto"/>
        </w:rPr>
        <w:t>Registration Statement</w:t>
      </w:r>
      <w:r>
        <w:rPr>
          <w:rFonts w:ascii="Arial" w:cs="Arial" w:eastAsia="Arial" w:hAnsi="Arial"/>
          <w:sz w:val="17"/>
          <w:szCs w:val="17"/>
          <w:color w:val="auto"/>
        </w:rPr>
        <w:t>”) in response to the oral comments provided in such discussions. The Partnership is also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supplementally providing additional disclosure it expects to include in the next amendment to the Registration Statement.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4380"/>
        <w:spacing w:after="0"/>
        <w:tabs>
          <w:tab w:leader="none" w:pos="5000" w:val="left"/>
          <w:tab w:leader="none" w:pos="5640" w:val="left"/>
          <w:tab w:leader="none" w:pos="6300" w:val="left"/>
          <w:tab w:leader="none" w:pos="69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*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*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*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*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*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218440</wp:posOffset>
            </wp:positionV>
            <wp:extent cx="7267575" cy="298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Securities and Exchange Commission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October 4, 2013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Page 2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right="140" w:firstLine="648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Please direct any questions that you have with respect to the foregoing or if any additional supplemental information is required by the Staff, please contact Alan Beck of Vinson &amp; Elkins L.L.P. at (713) 758-3638.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ind w:left="5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Very truly yours,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5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PLAINS GP HOLDINGS, L.P.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5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By: PAA GP HOLDINGS LLC, its general partner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tbl>
      <w:tblPr>
        <w:tblLayout w:type="fixed"/>
        <w:tblInd w:w="57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By:</w:t>
            </w:r>
          </w:p>
        </w:tc>
        <w:tc>
          <w:tcPr>
            <w:tcW w:w="4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/s/ Richard K. McGee</w:t>
            </w:r>
          </w:p>
        </w:tc>
      </w:tr>
      <w:tr>
        <w:trPr>
          <w:trHeight w:val="195"/>
        </w:trPr>
        <w:tc>
          <w:tcPr>
            <w:tcW w:w="740" w:type="dxa"/>
            <w:vAlign w:val="bottom"/>
          </w:tcPr>
          <w:p>
            <w:pPr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Name:</w:t>
            </w:r>
          </w:p>
        </w:tc>
        <w:tc>
          <w:tcPr>
            <w:tcW w:w="4960" w:type="dxa"/>
            <w:vAlign w:val="bottom"/>
          </w:tcPr>
          <w:p>
            <w:pPr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Richard K. McGee</w:t>
            </w:r>
          </w:p>
        </w:tc>
      </w:tr>
      <w:tr>
        <w:trPr>
          <w:trHeight w:val="216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Title:</w:t>
            </w:r>
          </w:p>
        </w:tc>
        <w:tc>
          <w:tcPr>
            <w:tcW w:w="4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Executive Vice President,</w:t>
            </w:r>
          </w:p>
        </w:tc>
      </w:tr>
      <w:tr>
        <w:trPr>
          <w:trHeight w:val="230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General Counsel and Secretary</w:t>
            </w:r>
          </w:p>
        </w:tc>
      </w:tr>
    </w:tbl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Enclosures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660" w:right="9480" w:hanging="652"/>
        <w:spacing w:after="0" w:line="284" w:lineRule="auto"/>
        <w:tabs>
          <w:tab w:leader="none" w:pos="654" w:val="left"/>
        </w:tabs>
        <w:numPr>
          <w:ilvl w:val="0"/>
          <w:numId w:val="1"/>
        </w:numPr>
        <w:rPr>
          <w:rFonts w:ascii="Arial" w:cs="Arial" w:eastAsia="Arial" w:hAnsi="Arial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H. Roger Schwall Paul Monsour David P. Oelman Alan Beck Joshua Davidson Jason Rocha</w:t>
      </w:r>
    </w:p>
    <w:p>
      <w:pPr>
        <w:spacing w:after="0" w:line="4" w:lineRule="exact"/>
        <w:rPr>
          <w:rFonts w:ascii="Arial" w:cs="Arial" w:eastAsia="Arial" w:hAnsi="Arial"/>
          <w:sz w:val="16"/>
          <w:szCs w:val="16"/>
          <w:color w:val="auto"/>
        </w:rPr>
      </w:pPr>
    </w:p>
    <w:p>
      <w:pPr>
        <w:ind w:left="660"/>
        <w:spacing w:after="0"/>
        <w:rPr>
          <w:rFonts w:ascii="Arial" w:cs="Arial" w:eastAsia="Arial" w:hAnsi="Arial"/>
          <w:sz w:val="16"/>
          <w:szCs w:val="16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Al Swanson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209550</wp:posOffset>
            </wp:positionV>
            <wp:extent cx="7267575" cy="29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420"/>
      </w:cols>
      <w:pgMar w:left="240" w:top="449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2020-01-30T06:35:41Z</dcterms:created>
  <dcterms:modified xsi:type="dcterms:W3CDTF">2020-01-30T06:35:41Z</dcterms:modified>
</cp:coreProperties>
</file>