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39"/>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hanging="519"/>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80" w:right="260" w:hanging="580"/>
        <w:spacing w:after="0" w:line="26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615315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683895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2, 2016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60" w:top="441" w:right="279" w:bottom="0" w:gutter="0" w:footer="0" w:header="0"/>
        </w:sectPr>
      </w:pPr>
    </w:p>
    <w:bookmarkStart w:id="1" w:name="page2"/>
    <w:bookmarkEnd w:id="1"/>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0"/>
          <w:szCs w:val="20"/>
          <w:color w:val="auto"/>
        </w:rPr>
      </w:pPr>
      <w:r>
        <w:rPr>
          <w:sz w:val="20"/>
          <w:szCs w:val="20"/>
          <w:color w:val="auto"/>
        </w:rPr>
        <w:br w:type="column"/>
      </w: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0"/>
          <w:szCs w:val="20"/>
          <w:color w:val="auto"/>
        </w:rPr>
      </w:pPr>
    </w:p>
    <w:p>
      <w:pPr>
        <w:sectPr>
          <w:pgSz w:w="11900" w:h="16838" w:orient="portrait"/>
          <w:cols w:equalWidth="0" w:num="3">
            <w:col w:w="4020" w:space="720"/>
            <w:col w:w="2900" w:space="720"/>
            <w:col w:w="3040"/>
          </w:cols>
          <w:pgMar w:left="240" w:top="121" w:right="259" w:bottom="0" w:gutter="0" w:footer="0" w:header="0"/>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400"/>
          </w:cols>
          <w:pgMar w:left="240" w:top="121" w:right="259" w:bottom="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 99.1 — Press Release dated August 2,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Plains All American Pipeline, L.P. (the “Partnership”,”PAA”) today issued a press release reporting its second-quarter 2016 results. We are furnishing the press release, attached as Exhibit 99.1, pursuant to Item 2.02 and Item 7.01 of Form 8-K. Pursuant to Item 7.01, we are also providing detailed guidance of financial performance for the third and fourth quarters and full year of 2016.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the Third and Fourth Quarter 2016 Guidance; Update of Full-Year 2016 Guidance</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based our guidance for the three-month period ending September 30, 2016 and three and twelve-month periods ending December 31, 2016 on assumptions and estimates that we believe are reasonable, given our assessment of historical trends (modified for changes in market conditions, including an assumption that U.S. onshore oil production continues to decline in 2016 as well as a continuation of a competitive crude oil market), business cycles and other reasonably available information. Projections covering multi-quarter periods contemplate inter-period changes in future performance resulting from new expansion projects, seasonal operational changes (such as NGL sales) and acquisition synergies. Such guidance is also based on the assumption that the simplification transaction announced on July 11, 2016 by PAA and PAGP closes during the fourth quarter of 2016, and that PAA reduces its quarterly distribution payable in November 2016 to $0.55 per common unit. Our assumptions and future performance, however, are both subject to a wide range of business risks and uncertainties, so we can provide no assurance that assumed events or outcomes will actually take place as assumed or that actual performance will fall within the guidance ranges. Please refer to information under the caption “Forward-Looking Statements” included in this document. These risks and uncertainties, as well as other unforeseeable risks and uncertainties, could cause our actual results to differ materially from those in the following table. The operating and financial guidance provided in the following pages is given as of the date hereof, based on information known to us as of August 1, 2016. We undertake no obligation to publicly update or revise any forward-looking statements.</w:t>
      </w:r>
    </w:p>
    <w:p>
      <w:pPr>
        <w:spacing w:after="0" w:line="169"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47"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basic and diluted adjusted net income per common unit and adjusted segment profit,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w:t>
      </w:r>
    </w:p>
    <w:p>
      <w:pPr>
        <w:spacing w:after="0" w:line="6" w:lineRule="exact"/>
        <w:rPr>
          <w:sz w:val="20"/>
          <w:szCs w:val="20"/>
          <w:color w:val="auto"/>
        </w:rPr>
      </w:pPr>
    </w:p>
    <w:p>
      <w:pPr>
        <w:ind w:right="20" w:firstLine="8"/>
        <w:spacing w:after="0" w:line="290" w:lineRule="auto"/>
        <w:tabs>
          <w:tab w:leader="none" w:pos="305" w:val="left"/>
        </w:tabs>
        <w:numPr>
          <w:ilvl w:val="0"/>
          <w:numId w:val="7"/>
        </w:numPr>
        <w:rPr>
          <w:rFonts w:ascii="Arial" w:cs="Arial" w:eastAsia="Arial" w:hAnsi="Arial"/>
          <w:sz w:val="16"/>
          <w:szCs w:val="16"/>
          <w:color w:val="auto"/>
        </w:rPr>
      </w:pPr>
      <w:r>
        <w:rPr>
          <w:rFonts w:ascii="Arial" w:cs="Arial" w:eastAsia="Arial" w:hAnsi="Arial"/>
          <w:sz w:val="16"/>
          <w:szCs w:val="16"/>
          <w:color w:val="auto"/>
        </w:rPr>
        <w:t>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(“MVC’s”)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w:t>
      </w:r>
    </w:p>
    <w:p>
      <w:pPr>
        <w:sectPr>
          <w:pgSz w:w="11900" w:h="16838" w:orient="portrait"/>
          <w:cols w:equalWidth="0" w:num="1">
            <w:col w:w="11400"/>
          </w:cols>
          <w:pgMar w:left="240" w:top="121" w:right="259" w:bottom="0" w:gutter="0" w:footer="0" w:header="0"/>
          <w:type w:val="continuous"/>
        </w:sectPr>
      </w:pPr>
    </w:p>
    <w:bookmarkStart w:id="2" w:name="page3"/>
    <w:bookmarkEnd w:id="2"/>
    <w:p>
      <w:pPr>
        <w:jc w:val="both"/>
        <w:ind w:right="680"/>
        <w:spacing w:after="0" w:line="264" w:lineRule="auto"/>
        <w:rPr>
          <w:sz w:val="20"/>
          <w:szCs w:val="20"/>
          <w:color w:val="auto"/>
        </w:rPr>
      </w:pPr>
      <w:r>
        <w:rPr>
          <w:rFonts w:ascii="Arial" w:cs="Arial" w:eastAsia="Arial" w:hAnsi="Arial"/>
          <w:sz w:val="18"/>
          <w:szCs w:val="18"/>
          <w:color w:val="auto"/>
        </w:rPr>
        <w:t>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Our definition and calculation of certain non-GAAP financial measures may not be comparable to similarly-titled measures of other companies. Net income represents the most directly comparable GAAP measure to EBITDA. In Note 9, we reconcile net income to EBITDA, adjusted EBITDA and Implied DCF for the periods presented. In addition, we encourage you to visit our website at </w:t>
      </w:r>
      <w:r>
        <w:rPr>
          <w:rFonts w:ascii="Arial" w:cs="Arial" w:eastAsia="Arial" w:hAnsi="Arial"/>
          <w:sz w:val="17"/>
          <w:szCs w:val="17"/>
          <w:i w:val="1"/>
          <w:iCs w:val="1"/>
          <w:color w:val="auto"/>
        </w:rPr>
        <w:t>www.plainsallamerican.com</w:t>
      </w:r>
      <w:r>
        <w:rPr>
          <w:rFonts w:ascii="Arial" w:cs="Arial" w:eastAsia="Arial" w:hAnsi="Arial"/>
          <w:sz w:val="17"/>
          <w:szCs w:val="17"/>
          <w:color w:val="auto"/>
        </w:rPr>
        <w:t xml:space="preserve"> (in particular the section under “Financial Information” entitled “Non-GAAP Reconciliations” within the “Investor Relations” tab), which presents a reconciliation of EBITDA as well as certain other commonly used non-GAAP and supplemental financial measures.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per unit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Actual</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 xml:space="preserve">Guidance </w:t>
            </w:r>
            <w:r>
              <w:rPr>
                <w:rFonts w:ascii="Arial" w:cs="Arial" w:eastAsia="Arial" w:hAnsi="Arial"/>
                <w:sz w:val="17"/>
                <w:szCs w:val="17"/>
                <w:b w:val="1"/>
                <w:bCs w:val="1"/>
                <w:color w:val="auto"/>
                <w:vertAlign w:val="superscript"/>
              </w:rPr>
              <w:t>(a)</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68"/>
              <w:spacing w:after="0" w:line="119" w:lineRule="exact"/>
              <w:rPr>
                <w:sz w:val="20"/>
                <w:szCs w:val="20"/>
                <w:color w:val="auto"/>
              </w:rPr>
            </w:pPr>
            <w:r>
              <w:rPr>
                <w:rFonts w:ascii="Arial" w:cs="Arial" w:eastAsia="Arial" w:hAnsi="Arial"/>
                <w:sz w:val="13"/>
                <w:szCs w:val="13"/>
                <w:b w:val="1"/>
                <w:bCs w:val="1"/>
                <w:color w:val="auto"/>
              </w:rPr>
              <w:t>6 Months</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6"/>
          </w:tcPr>
          <w:p>
            <w:pPr>
              <w:jc w:val="right"/>
              <w:ind w:right="500"/>
              <w:spacing w:after="0" w:line="119" w:lineRule="exact"/>
              <w:rPr>
                <w:sz w:val="20"/>
                <w:szCs w:val="20"/>
                <w:color w:val="auto"/>
              </w:rPr>
            </w:pPr>
            <w:r>
              <w:rPr>
                <w:rFonts w:ascii="Arial" w:cs="Arial" w:eastAsia="Arial" w:hAnsi="Arial"/>
                <w:sz w:val="13"/>
                <w:szCs w:val="13"/>
                <w:b w:val="1"/>
                <w:bCs w:val="1"/>
                <w:color w:val="auto"/>
              </w:rPr>
              <w:t>3 Months Ending</w:t>
            </w:r>
          </w:p>
        </w:tc>
        <w:tc>
          <w:tcPr>
            <w:tcW w:w="14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5"/>
          </w:tcPr>
          <w:p>
            <w:pPr>
              <w:jc w:val="right"/>
              <w:ind w:right="460"/>
              <w:spacing w:after="0" w:line="119" w:lineRule="exact"/>
              <w:rPr>
                <w:sz w:val="20"/>
                <w:szCs w:val="20"/>
                <w:color w:val="auto"/>
              </w:rPr>
            </w:pPr>
            <w:r>
              <w:rPr>
                <w:rFonts w:ascii="Arial" w:cs="Arial" w:eastAsia="Arial" w:hAnsi="Arial"/>
                <w:sz w:val="13"/>
                <w:szCs w:val="13"/>
                <w:b w:val="1"/>
                <w:bCs w:val="1"/>
                <w:color w:val="auto"/>
              </w:rPr>
              <w:t>3 Months Ending</w:t>
            </w:r>
          </w:p>
        </w:tc>
        <w:tc>
          <w:tcPr>
            <w:tcW w:w="1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5"/>
          </w:tcPr>
          <w:p>
            <w:pPr>
              <w:jc w:val="right"/>
              <w:ind w:right="148"/>
              <w:spacing w:after="0" w:line="119" w:lineRule="exact"/>
              <w:rPr>
                <w:sz w:val="20"/>
                <w:szCs w:val="20"/>
                <w:color w:val="auto"/>
              </w:rPr>
            </w:pPr>
            <w:r>
              <w:rPr>
                <w:rFonts w:ascii="Arial" w:cs="Arial" w:eastAsia="Arial" w:hAnsi="Arial"/>
                <w:sz w:val="13"/>
                <w:szCs w:val="13"/>
                <w:b w:val="1"/>
                <w:bCs w:val="1"/>
                <w:color w:val="auto"/>
              </w:rPr>
              <w:t>12 Months Ending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17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 30, 2016</w:t>
            </w:r>
          </w:p>
        </w:tc>
        <w:tc>
          <w:tcPr>
            <w:tcW w:w="140" w:type="dxa"/>
            <w:vAlign w:val="bottom"/>
          </w:tcPr>
          <w:p>
            <w:pPr>
              <w:spacing w:after="0"/>
              <w:rPr>
                <w:sz w:val="14"/>
                <w:szCs w:val="14"/>
                <w:color w:val="auto"/>
              </w:rPr>
            </w:pPr>
          </w:p>
        </w:tc>
        <w:tc>
          <w:tcPr>
            <w:tcW w:w="16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 31, 2016</w:t>
            </w:r>
          </w:p>
        </w:tc>
        <w:tc>
          <w:tcPr>
            <w:tcW w:w="140" w:type="dxa"/>
            <w:vAlign w:val="bottom"/>
          </w:tcPr>
          <w:p>
            <w:pPr>
              <w:spacing w:after="0"/>
              <w:rPr>
                <w:sz w:val="14"/>
                <w:szCs w:val="14"/>
                <w:color w:val="auto"/>
              </w:rPr>
            </w:pPr>
          </w:p>
        </w:tc>
        <w:tc>
          <w:tcPr>
            <w:tcW w:w="15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3"/>
              </w:rPr>
              <w:t>Jun 30, 2016</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Low</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Low</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Segment Profit</w:t>
            </w: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Net revenues (including equity earnings in unconsolidated entities)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1,576</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802</w:t>
            </w:r>
          </w:p>
        </w:tc>
        <w:tc>
          <w:tcPr>
            <w:tcW w:w="140" w:type="dxa"/>
            <w:vAlign w:val="bottom"/>
          </w:tcPr>
          <w:p>
            <w:pPr>
              <w:spacing w:after="0"/>
              <w:rPr>
                <w:sz w:val="12"/>
                <w:szCs w:val="12"/>
                <w:color w:val="auto"/>
              </w:rPr>
            </w:pP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3,350</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Field operating costs</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(603)</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(315)</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(307)</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General and administrative expenses</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(140)</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833</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459</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590</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640</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 expense</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(319)</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(115)</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(227)</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 (expense), net</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304</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259</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306</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368</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income attributable to noncontrolling interests</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Income Attributable to PAA</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302</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196</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258</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305</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367</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803</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927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 xml:space="preserve">Net income/(loss) attributable to common unitholders </w:t>
            </w:r>
            <w:r>
              <w:rPr>
                <w:rFonts w:ascii="Arial" w:cs="Arial" w:eastAsia="Arial" w:hAnsi="Arial"/>
                <w:sz w:val="17"/>
                <w:szCs w:val="17"/>
                <w:color w:val="auto"/>
                <w:vertAlign w:val="superscript"/>
              </w:rPr>
              <w:t>(b)</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332</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285</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 xml:space="preserve">Basic net income/(loss) per common unit </w:t>
            </w:r>
            <w:r>
              <w:rPr>
                <w:rFonts w:ascii="Arial" w:cs="Arial" w:eastAsia="Arial" w:hAnsi="Arial"/>
                <w:sz w:val="17"/>
                <w:szCs w:val="17"/>
                <w:color w:val="auto"/>
                <w:vertAlign w:val="superscript"/>
              </w:rPr>
              <w:t>(b)</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 xml:space="preserve">Weighted average common units outstanding </w:t>
            </w:r>
            <w:r>
              <w:rPr>
                <w:rFonts w:ascii="Arial" w:cs="Arial" w:eastAsia="Arial" w:hAnsi="Arial"/>
                <w:sz w:val="17"/>
                <w:szCs w:val="17"/>
                <w:color w:val="auto"/>
                <w:vertAlign w:val="superscript"/>
              </w:rPr>
              <w:t>(c)</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652</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Net income/(loss) per common unit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0.17</w:t>
            </w: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0.62</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Diluted net income/(loss) per common unit</w:t>
            </w:r>
            <w:r>
              <w:rPr>
                <w:rFonts w:ascii="Arial" w:cs="Arial" w:eastAsia="Arial" w:hAnsi="Arial"/>
                <w:sz w:val="17"/>
                <w:szCs w:val="17"/>
                <w:color w:val="auto"/>
                <w:vertAlign w:val="superscript"/>
              </w:rPr>
              <w:t>(b)</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 xml:space="preserve">Weighted average common units outstanding </w:t>
            </w:r>
            <w:r>
              <w:rPr>
                <w:rFonts w:ascii="Arial" w:cs="Arial" w:eastAsia="Arial" w:hAnsi="Arial"/>
                <w:sz w:val="17"/>
                <w:szCs w:val="17"/>
                <w:color w:val="auto"/>
                <w:vertAlign w:val="superscript"/>
              </w:rPr>
              <w:t>(c)</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Net income/(loss) per common unit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0.17</w:t>
            </w: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0.62</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EBITDA</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863</w:t>
            </w:r>
          </w:p>
        </w:tc>
        <w:tc>
          <w:tcPr>
            <w:tcW w:w="220" w:type="dxa"/>
            <w:vAlign w:val="bottom"/>
          </w:tcPr>
          <w:p>
            <w:pPr>
              <w:spacing w:after="0"/>
              <w:rPr>
                <w:sz w:val="16"/>
                <w:szCs w:val="16"/>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409</w:t>
            </w:r>
          </w:p>
        </w:tc>
        <w:tc>
          <w:tcPr>
            <w:tcW w:w="140" w:type="dxa"/>
            <w:vAlign w:val="bottom"/>
          </w:tcPr>
          <w:p>
            <w:pPr>
              <w:spacing w:after="0"/>
              <w:rPr>
                <w:sz w:val="16"/>
                <w:szCs w:val="16"/>
                <w:color w:val="auto"/>
              </w:rPr>
            </w:pP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640</w:t>
            </w:r>
          </w:p>
        </w:tc>
        <w:tc>
          <w:tcPr>
            <w:tcW w:w="220" w:type="dxa"/>
            <w:vAlign w:val="bottom"/>
          </w:tcPr>
          <w:p>
            <w:pPr>
              <w:spacing w:after="0"/>
              <w:rPr>
                <w:sz w:val="16"/>
                <w:szCs w:val="16"/>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1,862</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Selected items impacting comparability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Losses from derivative activities net of inventory valuation adjustments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(216)</w:t>
            </w: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Long-term inventory costing adjustments</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Deficiencies under minimum volume commitments, net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Equity-indexed compensation expense</w:t>
            </w:r>
          </w:p>
        </w:tc>
        <w:tc>
          <w:tcPr>
            <w:tcW w:w="12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w:t>
            </w:r>
          </w:p>
        </w:tc>
        <w:tc>
          <w:tcPr>
            <w:tcW w:w="14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gain/(loss) on foreign currency revaluation</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360"/>
              <w:spacing w:after="0"/>
              <w:rPr>
                <w:sz w:val="20"/>
                <w:szCs w:val="20"/>
                <w:color w:val="auto"/>
              </w:rPr>
            </w:pPr>
            <w:r>
              <w:rPr>
                <w:rFonts w:ascii="Arial" w:cs="Arial" w:eastAsia="Arial" w:hAnsi="Arial"/>
                <w:sz w:val="14"/>
                <w:szCs w:val="14"/>
                <w:color w:val="auto"/>
              </w:rPr>
              <w:t>Selected items impacting comparability of EBITDA</w:t>
            </w: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vMerge w:val="continue"/>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(219)</w:t>
            </w:r>
          </w:p>
        </w:tc>
        <w:tc>
          <w:tcPr>
            <w:tcW w:w="220" w:type="dxa"/>
            <w:vAlign w:val="bottom"/>
            <w:vMerge w:val="continue"/>
          </w:tcPr>
          <w:p>
            <w:pPr>
              <w:spacing w:after="0"/>
              <w:rPr>
                <w:sz w:val="15"/>
                <w:szCs w:val="15"/>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(41)</w:t>
            </w:r>
          </w:p>
        </w:tc>
        <w:tc>
          <w:tcPr>
            <w:tcW w:w="1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(41)</w:t>
            </w:r>
          </w:p>
        </w:tc>
        <w:tc>
          <w:tcPr>
            <w:tcW w:w="220" w:type="dxa"/>
            <w:vAlign w:val="bottom"/>
            <w:vMerge w:val="continue"/>
          </w:tcPr>
          <w:p>
            <w:pPr>
              <w:spacing w:after="0"/>
              <w:rPr>
                <w:sz w:val="15"/>
                <w:szCs w:val="15"/>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(3)</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(263)</w:t>
            </w:r>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(263)</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Borders>
              <w:top w:val="single" w:sz="8" w:color="CCEEFF"/>
            </w:tcBorders>
            <w:shd w:val="clear" w:color="auto" w:fill="CCEEFF"/>
          </w:tcPr>
          <w:p>
            <w:pPr>
              <w:ind w:left="180"/>
              <w:spacing w:after="0" w:line="129" w:lineRule="exact"/>
              <w:rPr>
                <w:sz w:val="20"/>
                <w:szCs w:val="20"/>
                <w:color w:val="auto"/>
              </w:rPr>
            </w:pPr>
            <w:r>
              <w:rPr>
                <w:rFonts w:ascii="Arial" w:cs="Arial" w:eastAsia="Arial" w:hAnsi="Arial"/>
                <w:sz w:val="14"/>
                <w:szCs w:val="14"/>
                <w:color w:val="auto"/>
              </w:rPr>
              <w:t>Tax effect on selected items impacting comparability</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80" w:type="dxa"/>
            <w:vAlign w:val="bottom"/>
          </w:tcPr>
          <w:p>
            <w:pPr>
              <w:ind w:left="360"/>
              <w:spacing w:after="0" w:line="110" w:lineRule="exact"/>
              <w:rPr>
                <w:sz w:val="20"/>
                <w:szCs w:val="20"/>
                <w:color w:val="auto"/>
              </w:rPr>
            </w:pPr>
            <w:r>
              <w:rPr>
                <w:rFonts w:ascii="Arial" w:cs="Arial" w:eastAsia="Arial" w:hAnsi="Arial"/>
                <w:sz w:val="12"/>
                <w:szCs w:val="12"/>
                <w:color w:val="auto"/>
              </w:rPr>
              <w:t>Selected items impacting comparability of net income attributable to</w:t>
            </w:r>
          </w:p>
        </w:tc>
        <w:tc>
          <w:tcPr>
            <w:tcW w:w="120" w:type="dxa"/>
            <w:vAlign w:val="bottom"/>
            <w:vMerge w:val="restart"/>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(189)</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(41)</w:t>
            </w:r>
          </w:p>
        </w:tc>
        <w:tc>
          <w:tcPr>
            <w:tcW w:w="24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(41)</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(3)</w:t>
            </w:r>
          </w:p>
        </w:tc>
        <w:tc>
          <w:tcPr>
            <w:tcW w:w="120" w:type="dxa"/>
            <w:vAlign w:val="bottom"/>
            <w:vMerge w:val="restart"/>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(233)</w:t>
            </w:r>
          </w:p>
        </w:tc>
        <w:tc>
          <w:tcPr>
            <w:tcW w:w="20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ind w:left="540"/>
              <w:spacing w:after="0" w:line="154" w:lineRule="exact"/>
              <w:rPr>
                <w:sz w:val="20"/>
                <w:szCs w:val="20"/>
                <w:color w:val="auto"/>
              </w:rPr>
            </w:pPr>
            <w:r>
              <w:rPr>
                <w:rFonts w:ascii="Arial" w:cs="Arial" w:eastAsia="Arial" w:hAnsi="Arial"/>
                <w:sz w:val="14"/>
                <w:szCs w:val="14"/>
                <w:color w:val="auto"/>
              </w:rPr>
              <w:t>PAA</w:t>
            </w:r>
          </w:p>
        </w:tc>
        <w:tc>
          <w:tcPr>
            <w:tcW w:w="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b w:val="1"/>
                <w:bCs w:val="1"/>
                <w:color w:val="auto"/>
              </w:rPr>
              <w:t>Excluding selected items impacting comparability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segment profit</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Transportation</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530</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283</w:t>
            </w:r>
          </w:p>
        </w:tc>
        <w:tc>
          <w:tcPr>
            <w:tcW w:w="140" w:type="dxa"/>
            <w:vAlign w:val="bottom"/>
          </w:tcPr>
          <w:p>
            <w:pPr>
              <w:spacing w:after="0"/>
              <w:rPr>
                <w:sz w:val="12"/>
                <w:szCs w:val="12"/>
                <w:color w:val="auto"/>
              </w:rPr>
            </w:pPr>
          </w:p>
        </w:tc>
        <w:tc>
          <w:tcPr>
            <w:tcW w:w="2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2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1,099</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Facilities</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152</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80"/>
              <w:spacing w:after="0" w:line="149" w:lineRule="exact"/>
              <w:rPr>
                <w:sz w:val="20"/>
                <w:szCs w:val="20"/>
                <w:color w:val="auto"/>
              </w:rPr>
            </w:pPr>
            <w:r>
              <w:rPr>
                <w:rFonts w:ascii="Arial" w:cs="Arial" w:eastAsia="Arial" w:hAnsi="Arial"/>
                <w:sz w:val="14"/>
                <w:szCs w:val="14"/>
                <w:color w:val="auto"/>
              </w:rPr>
              <w:t>Supply and Logistics</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income / (expense), net</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Adjusted EBITDA</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1,082</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500</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593</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643</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2,125</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2,225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Adjusted net income attributable to PAA</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491</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237</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299</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308</w:t>
            </w:r>
          </w:p>
        </w:tc>
        <w:tc>
          <w:tcPr>
            <w:tcW w:w="2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370</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1,036</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1,160</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spacing w:after="0" w:line="169" w:lineRule="exact"/>
              <w:rPr>
                <w:sz w:val="20"/>
                <w:szCs w:val="20"/>
                <w:color w:val="auto"/>
              </w:rPr>
            </w:pPr>
            <w:r>
              <w:rPr>
                <w:rFonts w:ascii="Arial" w:cs="Arial" w:eastAsia="Arial" w:hAnsi="Arial"/>
                <w:sz w:val="14"/>
                <w:szCs w:val="14"/>
                <w:color w:val="auto"/>
              </w:rPr>
              <w:t xml:space="preserve">Basic adjusted net income/(loss) per common unit </w:t>
            </w:r>
            <w:r>
              <w:rPr>
                <w:rFonts w:ascii="Arial" w:cs="Arial" w:eastAsia="Arial" w:hAnsi="Arial"/>
                <w:sz w:val="17"/>
                <w:szCs w:val="17"/>
                <w:color w:val="auto"/>
                <w:vertAlign w:val="superscript"/>
              </w:rPr>
              <w:t>(b)</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6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0.33</w:t>
            </w:r>
          </w:p>
        </w:tc>
        <w:tc>
          <w:tcPr>
            <w:tcW w:w="2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0.27</w:t>
            </w:r>
          </w:p>
        </w:tc>
        <w:tc>
          <w:tcPr>
            <w:tcW w:w="1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0.42</w:t>
            </w:r>
          </w:p>
        </w:tc>
        <w:tc>
          <w:tcPr>
            <w:tcW w:w="2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0.42</w:t>
            </w:r>
          </w:p>
        </w:tc>
        <w:tc>
          <w:tcPr>
            <w:tcW w:w="2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0.51</w:t>
            </w:r>
          </w:p>
        </w:tc>
        <w:tc>
          <w:tcPr>
            <w:tcW w:w="2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1.11</w:t>
            </w: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 xml:space="preserve">Diluted adjusted net income/(loss) per common unit </w:t>
            </w:r>
            <w:r>
              <w:rPr>
                <w:rFonts w:ascii="Arial" w:cs="Arial" w:eastAsia="Arial" w:hAnsi="Arial"/>
                <w:sz w:val="14"/>
                <w:szCs w:val="14"/>
                <w:color w:val="auto"/>
                <w:vertAlign w:val="superscript"/>
              </w:rPr>
              <w:t>(b)(c)</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0.33</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0.27</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0.42</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0.42</w:t>
            </w:r>
          </w:p>
        </w:tc>
        <w:tc>
          <w:tcPr>
            <w:tcW w:w="2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0.51</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1.11</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40" w:hanging="652"/>
        <w:spacing w:after="0" w:line="217" w:lineRule="auto"/>
        <w:tabs>
          <w:tab w:leader="none" w:pos="665"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The assumed average foreign exchange rate is $1.30 Canadian dollar (CAD) to $1.00 U.S. dollar (USD) for the three-month periods ending September 30, 2016 and December 31, 2016. The rate as of July 29, 2016 was $1.30 CAD to $1.00 USD. We do not anticipate that fluctuations in the foreign exchange rate will have significant impact on aggregate reported financial results, but such fluctuations will result in variations between segments.</w:t>
      </w:r>
    </w:p>
    <w:p>
      <w:pPr>
        <w:spacing w:after="0" w:line="115" w:lineRule="exact"/>
        <w:rPr>
          <w:rFonts w:ascii="Arial" w:cs="Arial" w:eastAsia="Arial" w:hAnsi="Arial"/>
          <w:sz w:val="18"/>
          <w:szCs w:val="18"/>
          <w:color w:val="auto"/>
          <w:vertAlign w:val="superscript"/>
        </w:rPr>
      </w:pPr>
    </w:p>
    <w:p>
      <w:pPr>
        <w:ind w:left="660" w:right="200" w:hanging="652"/>
        <w:spacing w:after="0" w:line="219" w:lineRule="auto"/>
        <w:tabs>
          <w:tab w:leader="none" w:pos="657"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For purposes of determining net income per common unit, Net Income Attributable to PAA is allocated among our Series A Preferred Unitholders, Common Unitholders and General Partner interest as prescribed by applicable authoritative accounting guidance for calculating earnings per unit including application of the two-class method for Master Limited Partnerships. Under the two-class method, we allocate Net Income Attributable to PAA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as applicable, in accordance with the contractual terms of the partnership agreement and as further prescribed under the two-class method. See Note 5 for additional information regarding our assumed capital structure for three month period ending December 31, 2016.</w:t>
      </w:r>
    </w:p>
    <w:p>
      <w:pPr>
        <w:spacing w:after="0" w:line="116" w:lineRule="exact"/>
        <w:rPr>
          <w:rFonts w:ascii="Arial" w:cs="Arial" w:eastAsia="Arial" w:hAnsi="Arial"/>
          <w:sz w:val="18"/>
          <w:szCs w:val="18"/>
          <w:color w:val="auto"/>
          <w:vertAlign w:val="superscript"/>
        </w:rPr>
      </w:pPr>
    </w:p>
    <w:p>
      <w:pPr>
        <w:ind w:left="660" w:right="20" w:hanging="652"/>
        <w:spacing w:after="0" w:line="218" w:lineRule="auto"/>
        <w:tabs>
          <w:tab w:leader="none" w:pos="665"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Basic and diluted weighted average common units outstanding for the three- and twelve-month periods ending December 31, 2016 are calculated giving effect to the Simplification Transactions and assume the associated units are outstanding for the fourth quarter of 2016. See Note 5 for additional information regarding our assumed capital structure for three month period ending December 31, 2016. Furthermore, diluted weighted average common units outstanding are computed based on the weighted average number of common units outstanding plus the effect of dilutive potential units outstanding during the period, unless the effects of such units are antidilutive.</w:t>
      </w:r>
    </w:p>
    <w:p>
      <w:pPr>
        <w:sectPr>
          <w:pgSz w:w="11900" w:h="16838" w:orient="portrait"/>
          <w:cols w:equalWidth="0" w:num="1">
            <w:col w:w="11420"/>
          </w:cols>
          <w:pgMar w:left="240" w:top="125" w:right="239" w:bottom="125"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5"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auto"/>
        </w:rPr>
        <w:t>Notes and Significant Assumptions:</w:t>
      </w:r>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Definitions.</w:t>
      </w:r>
    </w:p>
    <w:p>
      <w:pPr>
        <w:sectPr>
          <w:pgSz w:w="11900" w:h="16838" w:orient="portrait"/>
          <w:cols w:equalWidth="0" w:num="1">
            <w:col w:w="11400"/>
          </w:cols>
          <w:pgMar w:left="240" w:top="341" w:right="25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Segment Profit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DCF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Bbls/d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Bcf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LTIP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NGL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G&amp;A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(GP)</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taxes and depreciation and amortization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(including equity earnings in unconsolidated entities, as applicable) less segment field operating costs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Distributable cash flow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Barrels per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 cubic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cubic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Natural gas liquids, including ethane and natural gasoline products as well as propane and butane, which are often referred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liquefied petroleum gas (LPG). When used in this document NGL refers to all NGL products including LPG.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As the context requires, “general partner” or “GP” refers to any or all of (i) PAA GP LLC, the owner of our 2% general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partner interest, (ii) Plains AAP, L.P., the sole member of PAA GP LLC and owner of our incentive distribution rights and</w:t>
      </w:r>
    </w:p>
    <w:p>
      <w:pPr>
        <w:spacing w:after="0" w:line="32" w:lineRule="exact"/>
        <w:rPr>
          <w:sz w:val="20"/>
          <w:szCs w:val="20"/>
          <w:color w:val="auto"/>
        </w:rPr>
      </w:pPr>
    </w:p>
    <w:p>
      <w:pPr>
        <w:sectPr>
          <w:pgSz w:w="11900" w:h="16838" w:orient="portrait"/>
          <w:cols w:equalWidth="0" w:num="2">
            <w:col w:w="1580" w:space="720"/>
            <w:col w:w="9100"/>
          </w:cols>
          <w:pgMar w:left="240" w:top="341" w:right="259" w:bottom="0" w:gutter="0" w:footer="0" w:header="0"/>
          <w:type w:val="continuous"/>
        </w:sectPr>
      </w:pPr>
    </w:p>
    <w:p>
      <w:pPr>
        <w:ind w:left="2600" w:hanging="310"/>
        <w:spacing w:after="0"/>
        <w:tabs>
          <w:tab w:leader="none" w:pos="2600" w:val="left"/>
        </w:tabs>
        <w:numPr>
          <w:ilvl w:val="2"/>
          <w:numId w:val="9"/>
        </w:numPr>
        <w:rPr>
          <w:rFonts w:ascii="Arial" w:cs="Arial" w:eastAsia="Arial" w:hAnsi="Arial"/>
          <w:sz w:val="18"/>
          <w:szCs w:val="18"/>
          <w:color w:val="auto"/>
        </w:rPr>
      </w:pPr>
      <w:r>
        <w:rPr>
          <w:rFonts w:ascii="Arial" w:cs="Arial" w:eastAsia="Arial" w:hAnsi="Arial"/>
          <w:sz w:val="18"/>
          <w:szCs w:val="18"/>
          <w:color w:val="auto"/>
        </w:rPr>
        <w:t>Plains All American GP LLC, the general partner of Plains AAP, L.P.</w:t>
      </w:r>
    </w:p>
    <w:p>
      <w:pPr>
        <w:spacing w:after="0" w:line="210"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Operating Segments</w:t>
      </w:r>
      <w:r>
        <w:rPr>
          <w:rFonts w:ascii="Arial" w:cs="Arial" w:eastAsia="Arial" w:hAnsi="Arial"/>
          <w:sz w:val="18"/>
          <w:szCs w:val="18"/>
          <w:color w:val="auto"/>
        </w:rPr>
        <w:t>. We manage our operations through three operating segments: Transportation, Facilities and Supply and Logistics. The following is</w:t>
      </w:r>
      <w:r>
        <w:rPr>
          <w:rFonts w:ascii="Arial" w:cs="Arial" w:eastAsia="Arial" w:hAnsi="Arial"/>
          <w:sz w:val="18"/>
          <w:szCs w:val="18"/>
          <w:i w:val="1"/>
          <w:iCs w:val="1"/>
          <w:color w:val="auto"/>
        </w:rPr>
        <w:t xml:space="preserve"> </w:t>
      </w:r>
      <w:r>
        <w:rPr>
          <w:rFonts w:ascii="Arial" w:cs="Arial" w:eastAsia="Arial" w:hAnsi="Arial"/>
          <w:sz w:val="18"/>
          <w:szCs w:val="18"/>
          <w:color w:val="auto"/>
        </w:rPr>
        <w:t>a brief explanation of the operating activities for each segment as well as key metrics.</w:t>
      </w:r>
    </w:p>
    <w:p>
      <w:pPr>
        <w:spacing w:after="0" w:line="170" w:lineRule="exact"/>
        <w:rPr>
          <w:rFonts w:ascii="Arial" w:cs="Arial" w:eastAsia="Arial" w:hAnsi="Arial"/>
          <w:sz w:val="18"/>
          <w:szCs w:val="18"/>
          <w:color w:val="auto"/>
        </w:rPr>
      </w:pPr>
    </w:p>
    <w:p>
      <w:pPr>
        <w:ind w:left="980" w:hanging="324"/>
        <w:spacing w:after="0" w:line="297" w:lineRule="auto"/>
        <w:tabs>
          <w:tab w:leader="none" w:pos="97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Transportation. </w:t>
      </w:r>
      <w:r>
        <w:rPr>
          <w:rFonts w:ascii="Arial" w:cs="Arial" w:eastAsia="Arial" w:hAnsi="Arial"/>
          <w:sz w:val="16"/>
          <w:szCs w:val="16"/>
          <w:color w:val="auto"/>
        </w:rPr>
        <w:t>Our Transportation segment operations generally consist of fee-based activities associated with transporting crude oil and NGL</w:t>
      </w:r>
      <w:r>
        <w:rPr>
          <w:rFonts w:ascii="Arial" w:cs="Arial" w:eastAsia="Arial" w:hAnsi="Arial"/>
          <w:sz w:val="16"/>
          <w:szCs w:val="16"/>
          <w:i w:val="1"/>
          <w:iCs w:val="1"/>
          <w:color w:val="auto"/>
        </w:rPr>
        <w:t xml:space="preserve"> </w:t>
      </w:r>
      <w:r>
        <w:rPr>
          <w:rFonts w:ascii="Arial" w:cs="Arial" w:eastAsia="Arial" w:hAnsi="Arial"/>
          <w:sz w:val="16"/>
          <w:szCs w:val="16"/>
          <w:color w:val="auto"/>
        </w:rPr>
        <w:t>on pipelines, gathering systems, trucks and barges. The Transportation segment generates revenue through a combination of tariffs, third-party pipeline capacity agreements and other transportation fees. Our transportation segment also includes equity earnings from our investments in the entities that own BridgeTex, Cheyenne, Eagle Ford, Frontier, Saddlehorn, White Cliffs, and Butte pipeline systems as well as Settoon Towing, in which we own interests ranging from 22% to 50%. We account for these investments under the equity method of accounting.</w:t>
      </w:r>
    </w:p>
    <w:p>
      <w:pPr>
        <w:spacing w:after="0" w:line="158" w:lineRule="exact"/>
        <w:rPr>
          <w:rFonts w:ascii="Arial" w:cs="Arial" w:eastAsia="Arial" w:hAnsi="Arial"/>
          <w:sz w:val="16"/>
          <w:szCs w:val="16"/>
          <w:color w:val="auto"/>
        </w:rPr>
      </w:pPr>
    </w:p>
    <w:p>
      <w:pPr>
        <w:ind w:left="980" w:right="40"/>
        <w:spacing w:after="0" w:line="290" w:lineRule="auto"/>
        <w:rPr>
          <w:rFonts w:ascii="Arial" w:cs="Arial" w:eastAsia="Arial" w:hAnsi="Arial"/>
          <w:sz w:val="16"/>
          <w:szCs w:val="16"/>
          <w:color w:val="auto"/>
        </w:rPr>
      </w:pPr>
      <w:r>
        <w:rPr>
          <w:rFonts w:ascii="Arial" w:cs="Arial" w:eastAsia="Arial" w:hAnsi="Arial"/>
          <w:sz w:val="16"/>
          <w:szCs w:val="16"/>
          <w:color w:val="auto"/>
        </w:rPr>
        <w:t>Pipeline volume estimates are based on historical trends, anticipated future operating performance and assumed completion of capital projects. Actual volumes will be influenced by maintenance schedules at refineries, drilling and completion activity levels, production trends, weather and other natural occurrences including hurricanes, changes in the quantity of inventory held in tanks, variations due to market structure and other external factors beyond our control. We forecast adjusted segment profit using the volume assumptions in the following table, priced at forecasted tariff rates, less estimated field operating costs and G&amp;A expenses. Field operating costs do not include depreciation. Actual adjusted segment profit could vary materially depending on the level and mix of volumes transported or expenses incurred during the period, as well as any differences between forecasted and actual recognition of minimum volume commitments. The following table summarizes our total transportation volumes and is broken down by crude oil geographic area as well as total NGL and trucking volumes.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Actual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Guidance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6 Months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3 Months</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3 Months</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33"/>
              <w:spacing w:after="0" w:line="119" w:lineRule="exact"/>
              <w:rPr>
                <w:sz w:val="20"/>
                <w:szCs w:val="20"/>
                <w:color w:val="auto"/>
              </w:rPr>
            </w:pPr>
            <w:r>
              <w:rPr>
                <w:rFonts w:ascii="Arial" w:cs="Arial" w:eastAsia="Arial" w:hAnsi="Arial"/>
                <w:sz w:val="13"/>
                <w:szCs w:val="13"/>
                <w:b w:val="1"/>
                <w:bCs w:val="1"/>
                <w:color w:val="auto"/>
              </w:rPr>
              <w:t>12 Months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Ending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Ending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Jun 30, 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Sep 30, 2016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 31, 2016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(MBbls/d)</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Volumes from tariff activities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Western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Gulf Coast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Central</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NGL pipelines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volumes from tariff activities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Trucking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Transportation segment volumes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Adjusted segment profit per barrel ($/Bbl)</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0.68</w:t>
            </w:r>
            <w:r>
              <w:rPr>
                <w:rFonts w:ascii="Arial" w:cs="Arial" w:eastAsia="Arial" w:hAnsi="Arial"/>
                <w:sz w:val="11"/>
                <w:szCs w:val="11"/>
                <w:color w:val="auto"/>
              </w:rPr>
              <w:t>(2)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0.66</w:t>
            </w:r>
            <w:r>
              <w:rPr>
                <w:rFonts w:ascii="Arial" w:cs="Arial" w:eastAsia="Arial" w:hAnsi="Arial"/>
                <w:sz w:val="11"/>
                <w:szCs w:val="11"/>
                <w:color w:val="auto"/>
              </w:rPr>
              <w:t>(2)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0.65</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Adjusted segment profit (excluding deficiencies under</w:t>
            </w:r>
          </w:p>
        </w:tc>
        <w:tc>
          <w:tcPr>
            <w:tcW w:w="3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0.61</w:t>
            </w:r>
            <w:r>
              <w:rPr>
                <w:rFonts w:ascii="Arial" w:cs="Arial" w:eastAsia="Arial" w:hAnsi="Arial"/>
                <w:sz w:val="23"/>
                <w:szCs w:val="23"/>
                <w:color w:val="auto"/>
                <w:vertAlign w:val="superscript"/>
              </w:rPr>
              <w:t>(2)</w:t>
            </w: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0.65</w:t>
            </w:r>
            <w:r>
              <w:rPr>
                <w:rFonts w:ascii="Arial" w:cs="Arial" w:eastAsia="Arial" w:hAnsi="Arial"/>
                <w:sz w:val="23"/>
                <w:szCs w:val="23"/>
                <w:color w:val="auto"/>
                <w:vertAlign w:val="superscript"/>
              </w:rPr>
              <w:t>(2)</w:t>
            </w: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0.61</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MVC’s, net) per barrel ($/Bbl)</w:t>
            </w:r>
          </w:p>
        </w:tc>
        <w:tc>
          <w:tcPr>
            <w:tcW w:w="38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1"/>
          <w:numId w:val="11"/>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1" w:lineRule="exact"/>
        <w:rPr>
          <w:rFonts w:ascii="Arial" w:cs="Arial" w:eastAsia="Arial" w:hAnsi="Arial"/>
          <w:sz w:val="23"/>
          <w:szCs w:val="23"/>
          <w:color w:val="auto"/>
          <w:vertAlign w:val="superscript"/>
        </w:rPr>
      </w:pPr>
    </w:p>
    <w:p>
      <w:pPr>
        <w:ind w:left="1300" w:hanging="320"/>
        <w:spacing w:after="0" w:line="194" w:lineRule="auto"/>
        <w:tabs>
          <w:tab w:leader="none" w:pos="1300" w:val="left"/>
        </w:tabs>
        <w:numPr>
          <w:ilvl w:val="1"/>
          <w:numId w:val="11"/>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2" w:lineRule="exact"/>
        <w:rPr>
          <w:rFonts w:ascii="Arial" w:cs="Arial" w:eastAsia="Arial" w:hAnsi="Arial"/>
          <w:sz w:val="23"/>
          <w:szCs w:val="23"/>
          <w:color w:val="auto"/>
          <w:vertAlign w:val="superscript"/>
        </w:rPr>
      </w:pPr>
    </w:p>
    <w:p>
      <w:pPr>
        <w:ind w:left="980" w:right="240" w:hanging="324"/>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Facilities</w:t>
      </w:r>
      <w:r>
        <w:rPr>
          <w:rFonts w:ascii="Arial" w:cs="Arial" w:eastAsia="Arial" w:hAnsi="Arial"/>
          <w:sz w:val="18"/>
          <w:szCs w:val="18"/>
          <w:color w:val="auto"/>
        </w:rPr>
        <w:t>. Our Facilities segment operations generally consist of fee-based activities associated with providing storage, terminalling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ectPr>
          <w:pgSz w:w="11900" w:h="16838" w:orient="portrait"/>
          <w:cols w:equalWidth="0" w:num="1">
            <w:col w:w="11400"/>
          </w:cols>
          <w:pgMar w:left="240" w:top="341" w:right="259" w:bottom="0" w:gutter="0" w:footer="0" w:header="0"/>
          <w:type w:val="continuous"/>
        </w:sectPr>
      </w:pPr>
    </w:p>
    <w:bookmarkStart w:id="4" w:name="page5"/>
    <w:bookmarkEnd w:id="4"/>
    <w:p>
      <w:pPr>
        <w:ind w:left="980"/>
        <w:spacing w:after="0" w:line="293" w:lineRule="auto"/>
        <w:rPr>
          <w:sz w:val="20"/>
          <w:szCs w:val="20"/>
          <w:color w:val="auto"/>
        </w:rPr>
      </w:pPr>
      <w:r>
        <w:rPr>
          <w:rFonts w:ascii="Arial" w:cs="Arial" w:eastAsia="Arial" w:hAnsi="Arial"/>
          <w:sz w:val="16"/>
          <w:szCs w:val="16"/>
          <w:color w:val="auto"/>
        </w:rPr>
        <w:t>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services, (v) fees from natural gas and condensate processing services and (vi) fees associated with natural gas park and loan activities, interruptible storage services and wheeling and balancing services. Adjusted segment profit is forecasted using the volume assumptions in the following table, priced at forecasted rates, less estimated field operating costs and G&amp;A expenses. Field operating costs do not include depreciation.</w:t>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Data</w:t>
      </w:r>
    </w:p>
    <w:p>
      <w:pPr>
        <w:spacing w:after="0" w:line="23" w:lineRule="exact"/>
        <w:rPr>
          <w:sz w:val="20"/>
          <w:szCs w:val="20"/>
          <w:color w:val="auto"/>
        </w:rPr>
      </w:pPr>
    </w:p>
    <w:p>
      <w:pPr>
        <w:jc w:val="both"/>
        <w:ind w:left="880" w:right="200" w:hanging="179"/>
        <w:spacing w:after="0" w:line="248" w:lineRule="auto"/>
        <w:rPr>
          <w:sz w:val="20"/>
          <w:szCs w:val="20"/>
          <w:color w:val="auto"/>
        </w:rPr>
      </w:pPr>
      <w:r>
        <w:rPr>
          <w:rFonts w:ascii="Arial" w:cs="Arial" w:eastAsia="Arial" w:hAnsi="Arial"/>
          <w:sz w:val="18"/>
          <w:szCs w:val="18"/>
          <w:color w:val="auto"/>
        </w:rPr>
        <w:t>Crude oil, refined products and NGL terminalling and storage capacity (MMBbls/Mo.)</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Actual</w:t>
            </w: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Guidance</w:t>
            </w:r>
          </w:p>
        </w:tc>
        <w:tc>
          <w:tcPr>
            <w:tcW w:w="1360" w:type="dxa"/>
            <w:vAlign w:val="bottom"/>
          </w:tcPr>
          <w:p>
            <w:pPr>
              <w:spacing w:after="0"/>
              <w:rPr>
                <w:sz w:val="14"/>
                <w:szCs w:val="14"/>
                <w:color w:val="auto"/>
              </w:rPr>
            </w:pPr>
          </w:p>
        </w:tc>
      </w:tr>
      <w:tr>
        <w:trPr>
          <w:trHeight w:val="119"/>
        </w:trPr>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6 Months</w:t>
            </w:r>
          </w:p>
        </w:tc>
        <w:tc>
          <w:tcPr>
            <w:tcW w:w="300" w:type="dxa"/>
            <w:vAlign w:val="bottom"/>
          </w:tcPr>
          <w:p>
            <w:pPr>
              <w:spacing w:after="0"/>
              <w:rPr>
                <w:sz w:val="10"/>
                <w:szCs w:val="10"/>
                <w:color w:val="auto"/>
              </w:rPr>
            </w:pPr>
          </w:p>
        </w:tc>
        <w:tc>
          <w:tcPr>
            <w:tcW w:w="162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3 Months</w:t>
            </w:r>
          </w:p>
        </w:tc>
        <w:tc>
          <w:tcPr>
            <w:tcW w:w="162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3 Months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12 Months</w:t>
            </w:r>
          </w:p>
        </w:tc>
      </w:tr>
      <w:tr>
        <w:trPr>
          <w:trHeight w:val="149"/>
        </w:trPr>
        <w:tc>
          <w:tcPr>
            <w:tcW w:w="1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Ending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Jun 30, 2016</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Sep 30, 2016</w:t>
            </w:r>
          </w:p>
        </w:tc>
        <w:tc>
          <w:tcPr>
            <w:tcW w:w="26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 31, 2016</w:t>
            </w:r>
          </w:p>
        </w:tc>
        <w:tc>
          <w:tcPr>
            <w:tcW w:w="26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 31,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-8255</wp:posOffset>
            </wp:positionV>
            <wp:extent cx="666369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ind w:left="1120"/>
        <w:spacing w:after="0"/>
        <w:tabs>
          <w:tab w:leader="none" w:pos="2740" w:val="left"/>
          <w:tab w:leader="none" w:pos="4360" w:val="left"/>
          <w:tab w:leader="none" w:pos="59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107</w:t>
      </w:r>
    </w:p>
    <w:p>
      <w:pPr>
        <w:spacing w:after="0" w:line="31" w:lineRule="exact"/>
        <w:rPr>
          <w:sz w:val="20"/>
          <w:szCs w:val="20"/>
          <w:color w:val="auto"/>
        </w:rPr>
      </w:pPr>
    </w:p>
    <w:p>
      <w:pPr>
        <w:sectPr>
          <w:pgSz w:w="11900" w:h="16838" w:orient="portrait"/>
          <w:cols w:equalWidth="0" w:num="2">
            <w:col w:w="3560" w:space="720"/>
            <w:col w:w="7140"/>
          </w:cols>
          <w:pgMar w:left="240" w:top="341" w:right="239" w:bottom="0" w:gutter="0" w:footer="0" w:header="0"/>
          <w:type w:val="continuous"/>
        </w:sectPr>
      </w:pPr>
    </w:p>
    <w:tbl>
      <w:tblPr>
        <w:tblLayout w:type="fixed"/>
        <w:tblInd w:w="340" w:type="dxa"/>
        <w:tblCellMar>
          <w:top w:w="0" w:type="dxa"/>
          <w:left w:w="0" w:type="dxa"/>
          <w:bottom w:w="0" w:type="dxa"/>
          <w:right w:w="0" w:type="dxa"/>
        </w:tblCellMar>
      </w:tblPr>
      <w:tr>
        <w:trPr>
          <w:trHeight w:val="230"/>
        </w:trPr>
        <w:tc>
          <w:tcPr>
            <w:tcW w:w="39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Rail load / unload volumes (MBbls/d)</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ind w:left="360"/>
              <w:spacing w:after="0"/>
              <w:rPr>
                <w:sz w:val="20"/>
                <w:szCs w:val="20"/>
                <w:color w:val="auto"/>
              </w:rPr>
            </w:pPr>
            <w:r>
              <w:rPr>
                <w:rFonts w:ascii="Arial" w:cs="Arial" w:eastAsia="Arial" w:hAnsi="Arial"/>
                <w:sz w:val="18"/>
                <w:szCs w:val="18"/>
                <w:color w:val="auto"/>
              </w:rPr>
              <w:t>Natural gas storage capacity (Bcf/Mo.)</w:t>
            </w: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30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6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4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NGL fractionation volumes (MBbls/d)</w:t>
            </w:r>
          </w:p>
        </w:tc>
        <w:tc>
          <w:tcPr>
            <w:tcW w:w="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3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ind w:left="180"/>
              <w:spacing w:after="0"/>
              <w:rPr>
                <w:sz w:val="20"/>
                <w:szCs w:val="20"/>
                <w:color w:val="auto"/>
              </w:rPr>
            </w:pPr>
            <w:r>
              <w:rPr>
                <w:rFonts w:ascii="Arial" w:cs="Arial" w:eastAsia="Arial" w:hAnsi="Arial"/>
                <w:sz w:val="18"/>
                <w:szCs w:val="18"/>
                <w:color w:val="auto"/>
              </w:rPr>
              <w:t>Total Facilities segment volumes</w:t>
            </w: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Avg. Capacity (MMBbls/Mo.) </w:t>
            </w:r>
            <w:r>
              <w:rPr>
                <w:rFonts w:ascii="Arial" w:cs="Arial" w:eastAsia="Arial" w:hAnsi="Arial"/>
                <w:sz w:val="23"/>
                <w:szCs w:val="23"/>
                <w:color w:val="auto"/>
                <w:vertAlign w:val="superscript"/>
              </w:rPr>
              <w:t>(1)</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segment profit per barrel ($/Bbl)</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0.43</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r>
              <w:rPr>
                <w:rFonts w:ascii="Arial" w:cs="Arial" w:eastAsia="Arial" w:hAnsi="Arial"/>
                <w:sz w:val="11"/>
                <w:szCs w:val="11"/>
                <w:color w:val="auto"/>
              </w:rPr>
              <w:t>(2)</w:t>
            </w:r>
          </w:p>
        </w:tc>
        <w:tc>
          <w:tcPr>
            <w:tcW w:w="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w:t>
            </w:r>
            <w:r>
              <w:rPr>
                <w:rFonts w:ascii="Arial" w:cs="Arial" w:eastAsia="Arial" w:hAnsi="Arial"/>
                <w:sz w:val="11"/>
                <w:szCs w:val="11"/>
                <w:color w:val="auto"/>
              </w:rPr>
              <w:t>(2)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segment profit (excluding deficiencies</w:t>
            </w: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0.41</w:t>
            </w:r>
          </w:p>
        </w:tc>
        <w:tc>
          <w:tcPr>
            <w:tcW w:w="560" w:type="dxa"/>
            <w:vAlign w:val="bottom"/>
            <w:vMerge w:val="restart"/>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0.37</w:t>
            </w:r>
            <w:r>
              <w:rPr>
                <w:rFonts w:ascii="Arial" w:cs="Arial" w:eastAsia="Arial" w:hAnsi="Arial"/>
                <w:sz w:val="23"/>
                <w:szCs w:val="23"/>
                <w:color w:val="auto"/>
                <w:vertAlign w:val="superscript"/>
              </w:rPr>
              <w:t>(2)</w:t>
            </w:r>
          </w:p>
        </w:tc>
        <w:tc>
          <w:tcPr>
            <w:tcW w:w="62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0.43</w:t>
            </w:r>
            <w:r>
              <w:rPr>
                <w:rFonts w:ascii="Arial" w:cs="Arial" w:eastAsia="Arial" w:hAnsi="Arial"/>
                <w:sz w:val="23"/>
                <w:szCs w:val="23"/>
                <w:color w:val="auto"/>
                <w:vertAlign w:val="superscript"/>
              </w:rPr>
              <w:t>(2)</w:t>
            </w: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0.40</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 MVC’s, net) per barrel ($/Bbl)</w:t>
            </w:r>
          </w:p>
        </w:tc>
        <w:tc>
          <w:tcPr>
            <w:tcW w:w="58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20" w:hanging="320"/>
        <w:spacing w:after="0"/>
        <w:tabs>
          <w:tab w:leader="none" w:pos="1287"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 w:lineRule="exact"/>
        <w:rPr>
          <w:rFonts w:ascii="Arial" w:cs="Arial" w:eastAsia="Arial" w:hAnsi="Arial"/>
          <w:sz w:val="23"/>
          <w:szCs w:val="23"/>
          <w:color w:val="auto"/>
          <w:vertAlign w:val="superscript"/>
        </w:rPr>
      </w:pPr>
    </w:p>
    <w:p>
      <w:pPr>
        <w:ind w:left="1300" w:hanging="320"/>
        <w:spacing w:after="0" w:line="196" w:lineRule="auto"/>
        <w:tabs>
          <w:tab w:leader="none" w:pos="130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Supply and Logistics</w:t>
      </w:r>
      <w:r>
        <w:rPr>
          <w:rFonts w:ascii="Arial" w:cs="Arial" w:eastAsia="Arial" w:hAnsi="Arial"/>
          <w:sz w:val="18"/>
          <w:szCs w:val="18"/>
          <w:color w:val="auto"/>
        </w:rPr>
        <w:t>. Our Supply and Logistics segment operations generally consist of the following merchant-related activities:</w:t>
      </w:r>
    </w:p>
    <w:p>
      <w:pPr>
        <w:spacing w:after="0" w:line="225" w:lineRule="exact"/>
        <w:rPr>
          <w:rFonts w:ascii="Arial" w:cs="Arial" w:eastAsia="Arial" w:hAnsi="Arial"/>
          <w:sz w:val="18"/>
          <w:szCs w:val="18"/>
          <w:color w:val="auto"/>
        </w:rPr>
      </w:pPr>
    </w:p>
    <w:p>
      <w:pPr>
        <w:ind w:left="1220" w:right="380" w:hanging="321"/>
        <w:spacing w:after="0" w:line="277" w:lineRule="auto"/>
        <w:tabs>
          <w:tab w:leader="none" w:pos="118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1180" w:hanging="281"/>
        <w:spacing w:after="0"/>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or other resellers;</w:t>
      </w:r>
    </w:p>
    <w:p>
      <w:pPr>
        <w:spacing w:after="0" w:line="225" w:lineRule="exact"/>
        <w:rPr>
          <w:rFonts w:ascii="Arial" w:cs="Arial" w:eastAsia="Arial" w:hAnsi="Arial"/>
          <w:sz w:val="18"/>
          <w:szCs w:val="18"/>
          <w:color w:val="auto"/>
        </w:rPr>
      </w:pPr>
    </w:p>
    <w:p>
      <w:pPr>
        <w:ind w:left="1220" w:right="280" w:hanging="321"/>
        <w:spacing w:after="0" w:line="277" w:lineRule="auto"/>
        <w:tabs>
          <w:tab w:leader="none" w:pos="118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170" w:lineRule="exact"/>
        <w:rPr>
          <w:rFonts w:ascii="Arial" w:cs="Arial" w:eastAsia="Arial" w:hAnsi="Arial"/>
          <w:sz w:val="18"/>
          <w:szCs w:val="18"/>
          <w:color w:val="auto"/>
        </w:rPr>
      </w:pPr>
    </w:p>
    <w:p>
      <w:pPr>
        <w:ind w:left="1180" w:hanging="281"/>
        <w:spacing w:after="0"/>
        <w:tabs>
          <w:tab w:leader="none" w:pos="1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purchase and sale of natural gas.</w:t>
      </w:r>
    </w:p>
    <w:p>
      <w:pPr>
        <w:spacing w:after="0" w:line="225" w:lineRule="exact"/>
        <w:rPr>
          <w:sz w:val="20"/>
          <w:szCs w:val="20"/>
          <w:color w:val="auto"/>
        </w:rPr>
      </w:pPr>
    </w:p>
    <w:p>
      <w:pPr>
        <w:ind w:left="980" w:right="60"/>
        <w:spacing w:after="0" w:line="270" w:lineRule="auto"/>
        <w:rPr>
          <w:sz w:val="20"/>
          <w:szCs w:val="20"/>
          <w:color w:val="auto"/>
        </w:rPr>
      </w:pPr>
      <w:r>
        <w:rPr>
          <w:rFonts w:ascii="Arial" w:cs="Arial" w:eastAsia="Arial" w:hAnsi="Arial"/>
          <w:sz w:val="17"/>
          <w:szCs w:val="17"/>
          <w:color w:val="auto"/>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and carrying costs for hedged inventory as well as any operating and G&amp;A expenses. The level of profit associated with a portion of the other activities we conduct in the Supply and Logistics segment is influenced by overall market structure and the degree of market volatility as well as variable operating expenses. Forecasted operating results for the three-month period ending September 30, 2016 and for the twelve-month period ending December 31, 2016 reflect current market structure as well as seasonal, weather-related and other anticipated variations in crude oil, NGL and natural gas sales. Variations in weather, market structure or volatility could cause actual results to differ materially from forecasted results.</w:t>
      </w:r>
    </w:p>
    <w:p>
      <w:pPr>
        <w:spacing w:after="0" w:line="182" w:lineRule="exact"/>
        <w:rPr>
          <w:sz w:val="20"/>
          <w:szCs w:val="20"/>
          <w:color w:val="auto"/>
        </w:rPr>
      </w:pPr>
    </w:p>
    <w:p>
      <w:pPr>
        <w:ind w:left="980" w:right="20"/>
        <w:spacing w:after="0" w:line="293" w:lineRule="auto"/>
        <w:rPr>
          <w:sz w:val="20"/>
          <w:szCs w:val="20"/>
          <w:color w:val="auto"/>
        </w:rPr>
      </w:pPr>
      <w:r>
        <w:rPr>
          <w:rFonts w:ascii="Arial" w:cs="Arial" w:eastAsia="Arial" w:hAnsi="Arial"/>
          <w:sz w:val="16"/>
          <w:szCs w:val="16"/>
          <w:color w:val="auto"/>
        </w:rPr>
        <w:t>We forecast adjusted segment profit using the volume assumptions stated below, as well as estimates of unit margins, field operating costs, G&amp;A expenses and carrying costs for hedged inventory, based on current and anticipated market conditions. Actual volumes are influenced by temporary market-driven storage and withdrawal of crude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adjusted segment profit per barrel can vary significantly even if aggregate volumes are in line with the forecasted levels.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Actual</w:t>
            </w: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Guidance</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19"/>
        </w:trPr>
        <w:tc>
          <w:tcPr>
            <w:tcW w:w="476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6 Months</w:t>
            </w:r>
          </w:p>
        </w:tc>
        <w:tc>
          <w:tcPr>
            <w:tcW w:w="30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3 Months</w:t>
            </w:r>
          </w:p>
        </w:tc>
        <w:tc>
          <w:tcPr>
            <w:tcW w:w="164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3 Months</w:t>
            </w:r>
          </w:p>
        </w:tc>
        <w:tc>
          <w:tcPr>
            <w:tcW w:w="13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12 Months</w:t>
            </w:r>
          </w:p>
        </w:tc>
        <w:tc>
          <w:tcPr>
            <w:tcW w:w="340" w:type="dxa"/>
            <w:vAlign w:val="bottom"/>
          </w:tcPr>
          <w:p>
            <w:pPr>
              <w:spacing w:after="0"/>
              <w:rPr>
                <w:sz w:val="10"/>
                <w:szCs w:val="10"/>
                <w:color w:val="auto"/>
              </w:rPr>
            </w:pPr>
          </w:p>
        </w:tc>
      </w:tr>
      <w:tr>
        <w:trPr>
          <w:trHeight w:val="149"/>
        </w:trPr>
        <w:tc>
          <w:tcPr>
            <w:tcW w:w="476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Ending</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Ending</w:t>
            </w:r>
          </w:p>
        </w:tc>
        <w:tc>
          <w:tcPr>
            <w:tcW w:w="16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Ending</w:t>
            </w:r>
          </w:p>
        </w:tc>
      </w:tr>
      <w:tr>
        <w:trPr>
          <w:trHeight w:val="171"/>
        </w:trPr>
        <w:tc>
          <w:tcPr>
            <w:tcW w:w="476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Jun 30, 2016</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Sep 30, 2016</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 31, 2016</w:t>
            </w: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 31, 2016</w:t>
            </w:r>
          </w:p>
        </w:tc>
      </w:tr>
      <w:tr>
        <w:trPr>
          <w:trHeight w:val="196"/>
        </w:trPr>
        <w:tc>
          <w:tcPr>
            <w:tcW w:w="476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Average daily volumes (MBbls/d)</w:t>
            </w:r>
          </w:p>
        </w:tc>
        <w:tc>
          <w:tcPr>
            <w:tcW w:w="1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r>
    </w:tbl>
    <w:p>
      <w:pPr>
        <w:sectPr>
          <w:pgSz w:w="11900" w:h="16838" w:orient="portrait"/>
          <w:cols w:equalWidth="0" w:num="1">
            <w:col w:w="11420"/>
          </w:cols>
          <w:pgMar w:left="240" w:top="341" w:right="23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Crude oil lease gathering purchases</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899</w:t>
            </w:r>
          </w:p>
        </w:tc>
        <w:tc>
          <w:tcPr>
            <w:tcW w:w="5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NGL sales</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Waterborne cargos</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Supply and Logistics segment volumes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Adjusted segment profit per barrel ($/Bbl)</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r>
              <w:rPr>
                <w:rFonts w:ascii="Arial" w:cs="Arial" w:eastAsia="Arial" w:hAnsi="Arial"/>
                <w:sz w:val="11"/>
                <w:szCs w:val="11"/>
                <w:color w:val="auto"/>
              </w:rPr>
              <w:t>(1)</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r>
              <w:rPr>
                <w:rFonts w:ascii="Arial" w:cs="Arial" w:eastAsia="Arial" w:hAnsi="Arial"/>
                <w:sz w:val="11"/>
                <w:szCs w:val="11"/>
                <w:color w:val="auto"/>
              </w:rPr>
              <w:t>(1)</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300" w:hanging="320"/>
        <w:spacing w:after="0"/>
        <w:tabs>
          <w:tab w:leader="none" w:pos="1300" w:val="left"/>
        </w:tabs>
        <w:numPr>
          <w:ilvl w:val="1"/>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1" w:lineRule="exact"/>
        <w:rPr>
          <w:rFonts w:ascii="Arial" w:cs="Arial" w:eastAsia="Arial" w:hAnsi="Arial"/>
          <w:sz w:val="23"/>
          <w:szCs w:val="23"/>
          <w:color w:val="auto"/>
          <w:vertAlign w:val="superscript"/>
        </w:rPr>
      </w:pPr>
    </w:p>
    <w:p>
      <w:pPr>
        <w:ind w:left="340" w:right="16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We forecast depreciation and amortization based on our existing depreciable assets, forecasted capital expenditures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in-service dates. Depreciation may also vary due to gains and losses on intermittent sales of assets, asset retirement obligations, asset impairments, and acceleration of depreciation or foreign exchange rates.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80" w:hanging="332"/>
        <w:spacing w:after="0" w:line="273"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and Acquisitions. </w:t>
      </w:r>
      <w:r>
        <w:rPr>
          <w:rFonts w:ascii="Arial" w:cs="Arial" w:eastAsia="Arial" w:hAnsi="Arial"/>
          <w:sz w:val="17"/>
          <w:szCs w:val="17"/>
          <w:color w:val="auto"/>
        </w:rPr>
        <w:t>Although acquisitions constitute a key element of our growth strategy, the forecasted results and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do not include any forecasts for acquisitions that we may commit to after the date hereof (guidance includes the announced Empress Acquisition from Spectra Energy, which is expected to close in early August). We forecast capital expenditures during calendar year 2016 to be approximately $1.425 billion for expansion projects with an additional $180 million to $200 million for maintenance capital projects. During the first six months of 2016, we invested $709 million and $81 million for expansion and maintenance projects, respectively. The following are some of the more notable projects and forecasted expenditures for the year ending December 31, 2016:</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Calendar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2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Expansion Capital</w:t>
            </w: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Red River Pipeline (Cushing to Longview)</w:t>
            </w: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89"/>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 Fort Saskatchewan Facility Projects</w:t>
            </w: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910"/>
              <w:spacing w:after="0"/>
              <w:rPr>
                <w:sz w:val="20"/>
                <w:szCs w:val="20"/>
                <w:color w:val="auto"/>
              </w:rPr>
            </w:pPr>
            <w:r>
              <w:rPr>
                <w:rFonts w:ascii="Arial" w:cs="Arial" w:eastAsia="Arial" w:hAnsi="Arial"/>
                <w:sz w:val="18"/>
                <w:szCs w:val="18"/>
                <w:color w:val="auto"/>
                <w:w w:val="93"/>
              </w:rPr>
              <w:t>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Permian Basin Area Pipeline Projects</w:t>
            </w:r>
          </w:p>
        </w:tc>
        <w:tc>
          <w:tcPr>
            <w:tcW w:w="1000" w:type="dxa"/>
            <w:vAlign w:val="bottom"/>
          </w:tcPr>
          <w:p>
            <w:pPr>
              <w:spacing w:after="0"/>
              <w:rPr>
                <w:sz w:val="18"/>
                <w:szCs w:val="18"/>
                <w:color w:val="auto"/>
              </w:rPr>
            </w:pPr>
          </w:p>
        </w:tc>
        <w:tc>
          <w:tcPr>
            <w:tcW w:w="1280" w:type="dxa"/>
            <w:vAlign w:val="bottom"/>
          </w:tcPr>
          <w:p>
            <w:pPr>
              <w:jc w:val="center"/>
              <w:ind w:right="910"/>
              <w:spacing w:after="0"/>
              <w:rPr>
                <w:sz w:val="20"/>
                <w:szCs w:val="20"/>
                <w:color w:val="auto"/>
              </w:rPr>
            </w:pPr>
            <w:r>
              <w:rPr>
                <w:rFonts w:ascii="Arial" w:cs="Arial" w:eastAsia="Arial" w:hAnsi="Arial"/>
                <w:sz w:val="18"/>
                <w:szCs w:val="18"/>
                <w:color w:val="auto"/>
                <w:w w:val="93"/>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 Diamond Pipeline</w:t>
            </w: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910"/>
              <w:spacing w:after="0"/>
              <w:rPr>
                <w:sz w:val="20"/>
                <w:szCs w:val="20"/>
                <w:color w:val="auto"/>
              </w:rPr>
            </w:pPr>
            <w:r>
              <w:rPr>
                <w:rFonts w:ascii="Arial" w:cs="Arial" w:eastAsia="Arial" w:hAnsi="Arial"/>
                <w:sz w:val="18"/>
                <w:szCs w:val="18"/>
                <w:color w:val="auto"/>
                <w:w w:val="93"/>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Saddlehorn Pipeline</w:t>
            </w:r>
          </w:p>
        </w:tc>
        <w:tc>
          <w:tcPr>
            <w:tcW w:w="1000" w:type="dxa"/>
            <w:vAlign w:val="bottom"/>
          </w:tcPr>
          <w:p>
            <w:pPr>
              <w:spacing w:after="0"/>
              <w:rPr>
                <w:sz w:val="18"/>
                <w:szCs w:val="18"/>
                <w:color w:val="auto"/>
              </w:rPr>
            </w:pPr>
          </w:p>
        </w:tc>
        <w:tc>
          <w:tcPr>
            <w:tcW w:w="1280" w:type="dxa"/>
            <w:vAlign w:val="bottom"/>
          </w:tcPr>
          <w:p>
            <w:pPr>
              <w:jc w:val="center"/>
              <w:ind w:right="910"/>
              <w:spacing w:after="0"/>
              <w:rPr>
                <w:sz w:val="20"/>
                <w:szCs w:val="20"/>
                <w:color w:val="auto"/>
              </w:rPr>
            </w:pPr>
            <w:r>
              <w:rPr>
                <w:rFonts w:ascii="Arial" w:cs="Arial" w:eastAsia="Arial" w:hAnsi="Arial"/>
                <w:sz w:val="18"/>
                <w:szCs w:val="18"/>
                <w:color w:val="auto"/>
                <w:w w:val="93"/>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 Cushing Terminal Expansions</w:t>
            </w: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890"/>
              <w:spacing w:after="0"/>
              <w:rPr>
                <w:sz w:val="20"/>
                <w:szCs w:val="20"/>
                <w:color w:val="auto"/>
              </w:rPr>
            </w:pPr>
            <w:r>
              <w:rPr>
                <w:rFonts w:ascii="Arial" w:cs="Arial" w:eastAsia="Arial" w:hAnsi="Arial"/>
                <w:sz w:val="18"/>
                <w:szCs w:val="18"/>
                <w:color w:val="auto"/>
                <w:w w:val="89"/>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St. James Terminal Expansions</w:t>
            </w:r>
          </w:p>
        </w:tc>
        <w:tc>
          <w:tcPr>
            <w:tcW w:w="1000" w:type="dxa"/>
            <w:vAlign w:val="bottom"/>
          </w:tcPr>
          <w:p>
            <w:pPr>
              <w:spacing w:after="0"/>
              <w:rPr>
                <w:sz w:val="18"/>
                <w:szCs w:val="18"/>
                <w:color w:val="auto"/>
              </w:rPr>
            </w:pPr>
          </w:p>
        </w:tc>
        <w:tc>
          <w:tcPr>
            <w:tcW w:w="1280" w:type="dxa"/>
            <w:vAlign w:val="bottom"/>
          </w:tcPr>
          <w:p>
            <w:pPr>
              <w:jc w:val="center"/>
              <w:ind w:right="890"/>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 Caddo Pipeline</w:t>
            </w: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890"/>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Cactus Pipeline</w:t>
            </w:r>
          </w:p>
        </w:tc>
        <w:tc>
          <w:tcPr>
            <w:tcW w:w="1000" w:type="dxa"/>
            <w:vAlign w:val="bottom"/>
          </w:tcPr>
          <w:p>
            <w:pPr>
              <w:spacing w:after="0"/>
              <w:rPr>
                <w:sz w:val="18"/>
                <w:szCs w:val="18"/>
                <w:color w:val="auto"/>
              </w:rPr>
            </w:pPr>
          </w:p>
        </w:tc>
        <w:tc>
          <w:tcPr>
            <w:tcW w:w="1280" w:type="dxa"/>
            <w:vAlign w:val="bottom"/>
          </w:tcPr>
          <w:p>
            <w:pPr>
              <w:jc w:val="center"/>
              <w:ind w:right="890"/>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 Eagle Ford JV Project</w:t>
            </w:r>
          </w:p>
        </w:tc>
        <w:tc>
          <w:tcPr>
            <w:tcW w:w="10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890"/>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Other Projects</w:t>
            </w:r>
          </w:p>
        </w:tc>
        <w:tc>
          <w:tcPr>
            <w:tcW w:w="10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10"/>
              <w:spacing w:after="0"/>
              <w:rPr>
                <w:sz w:val="20"/>
                <w:szCs w:val="20"/>
                <w:color w:val="auto"/>
              </w:rPr>
            </w:pPr>
            <w:r>
              <w:rPr>
                <w:rFonts w:ascii="Arial" w:cs="Arial" w:eastAsia="Arial" w:hAnsi="Arial"/>
                <w:sz w:val="18"/>
                <w:szCs w:val="18"/>
                <w:color w:val="auto"/>
                <w:w w:val="93"/>
              </w:rPr>
              <w:t>270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$75</w:t>
            </w: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 $75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Projected Expansion Capital Expenditures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 $1,500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300" w:hanging="320"/>
        <w:spacing w:after="0"/>
        <w:tabs>
          <w:tab w:leader="none" w:pos="1300" w:val="left"/>
        </w:tabs>
        <w:numPr>
          <w:ilvl w:val="2"/>
          <w:numId w:val="18"/>
        </w:numPr>
        <w:rPr>
          <w:rFonts w:ascii="Arial" w:cs="Arial" w:eastAsia="Arial" w:hAnsi="Arial"/>
          <w:sz w:val="21"/>
          <w:szCs w:val="21"/>
          <w:color w:val="auto"/>
          <w:vertAlign w:val="superscript"/>
        </w:rPr>
      </w:pPr>
      <w:r>
        <w:rPr>
          <w:rFonts w:ascii="Arial" w:cs="Arial" w:eastAsia="Arial" w:hAnsi="Arial"/>
          <w:sz w:val="16"/>
          <w:szCs w:val="16"/>
          <w:color w:val="auto"/>
        </w:rPr>
        <w:t>Potential variation to current capital costs estimates may result from (i) changes to project design, (ii) final cost of materials and labor and</w:t>
      </w:r>
    </w:p>
    <w:p>
      <w:pPr>
        <w:spacing w:after="0" w:line="1" w:lineRule="exact"/>
        <w:rPr>
          <w:rFonts w:ascii="Arial" w:cs="Arial" w:eastAsia="Arial" w:hAnsi="Arial"/>
          <w:sz w:val="21"/>
          <w:szCs w:val="21"/>
          <w:color w:val="auto"/>
          <w:vertAlign w:val="superscript"/>
        </w:rPr>
      </w:pPr>
    </w:p>
    <w:p>
      <w:pPr>
        <w:ind w:left="1620" w:hanging="315"/>
        <w:spacing w:after="0"/>
        <w:tabs>
          <w:tab w:leader="none" w:pos="1620" w:val="left"/>
        </w:tabs>
        <w:numPr>
          <w:ilvl w:val="3"/>
          <w:numId w:val="18"/>
        </w:numPr>
        <w:rPr>
          <w:rFonts w:ascii="Arial" w:cs="Arial" w:eastAsia="Arial" w:hAnsi="Arial"/>
          <w:sz w:val="18"/>
          <w:szCs w:val="18"/>
          <w:color w:val="auto"/>
        </w:rPr>
      </w:pPr>
      <w:r>
        <w:rPr>
          <w:rFonts w:ascii="Arial" w:cs="Arial" w:eastAsia="Arial" w:hAnsi="Arial"/>
          <w:sz w:val="18"/>
          <w:szCs w:val="18"/>
          <w:color w:val="auto"/>
        </w:rPr>
        <w:t>timing of incurrence of costs due to uncontrollable factors such as receipt of permits, or regulatory approvals and weather.</w:t>
      </w:r>
    </w:p>
    <w:p>
      <w:pPr>
        <w:spacing w:after="0" w:line="209"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Capital Structure. </w:t>
      </w:r>
      <w:r>
        <w:rPr>
          <w:rFonts w:ascii="Arial" w:cs="Arial" w:eastAsia="Arial" w:hAnsi="Arial"/>
          <w:sz w:val="18"/>
          <w:szCs w:val="18"/>
          <w:color w:val="auto"/>
        </w:rPr>
        <w:t>This guidance is based on our capital structure as of June 30, 2016, adjusted for estimated potential equity issuances and senior note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 to fund our capital program. This guidance further assumes that the simplification transaction announced by PAA and PAGP on July 11, 2016 closes during the fourth quarter of 2016, and in connection with such closing PAA issues 245.5 million common units to AAP in exchange for (a) the cancellation of the incentive distribution rights in PAA that are owned by AAP and the conversion of the 2% general partner interest in PAA indirectly held by AAP into a non-economic general partner interest in PAA and (b) the assumption by PAA of AAP’s outstanding third party bank debt (the “AAP Debt Assumption”).</w:t>
      </w:r>
    </w:p>
    <w:p>
      <w:pPr>
        <w:spacing w:after="0" w:line="193" w:lineRule="exact"/>
        <w:rPr>
          <w:rFonts w:ascii="Arial" w:cs="Arial" w:eastAsia="Arial" w:hAnsi="Arial"/>
          <w:sz w:val="18"/>
          <w:szCs w:val="18"/>
          <w:color w:val="auto"/>
        </w:rPr>
      </w:pPr>
    </w:p>
    <w:p>
      <w:pPr>
        <w:ind w:left="340" w:right="80" w:hanging="332"/>
        <w:spacing w:after="0" w:line="25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Debt balances, which assume the AAP Debt Assumption takes place in connection with the closing of the simplification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fourth quarter of 2016 as described in Note 5, are projected based on estimated cash flows, estimated distribution rates, estimated capital expenditures for maintenance 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July 2016.</w:t>
      </w:r>
    </w:p>
    <w:p>
      <w:pPr>
        <w:spacing w:after="0" w:line="188" w:lineRule="exact"/>
        <w:rPr>
          <w:rFonts w:ascii="Arial" w:cs="Arial" w:eastAsia="Arial" w:hAnsi="Arial"/>
          <w:sz w:val="18"/>
          <w:szCs w:val="18"/>
          <w:color w:val="auto"/>
        </w:rPr>
      </w:pPr>
    </w:p>
    <w:p>
      <w:pPr>
        <w:ind w:left="340" w:right="220"/>
        <w:spacing w:after="0" w:line="342" w:lineRule="auto"/>
        <w:rPr>
          <w:rFonts w:ascii="Arial" w:cs="Arial" w:eastAsia="Arial" w:hAnsi="Arial"/>
          <w:sz w:val="18"/>
          <w:szCs w:val="18"/>
          <w:color w:val="auto"/>
        </w:rPr>
      </w:pPr>
      <w:r>
        <w:rPr>
          <w:rFonts w:ascii="Arial" w:cs="Arial" w:eastAsia="Arial" w:hAnsi="Arial"/>
          <w:sz w:val="16"/>
          <w:szCs w:val="16"/>
          <w:color w:val="auto"/>
        </w:rPr>
        <w:t>Interest expense is net of amounts capitalized for expansion capital projects and does not include interest on borrowings for hedged inventory. We treat interest on hedged inventory borrowings as carrying costs of crude oil, NGL, and natural gas and include it in purchases and related costs.</w:t>
      </w:r>
    </w:p>
    <w:p>
      <w:pPr>
        <w:spacing w:after="0" w:line="123" w:lineRule="exact"/>
        <w:rPr>
          <w:rFonts w:ascii="Arial" w:cs="Arial" w:eastAsia="Arial" w:hAnsi="Arial"/>
          <w:sz w:val="18"/>
          <w:szCs w:val="18"/>
          <w:color w:val="auto"/>
        </w:rPr>
      </w:pPr>
    </w:p>
    <w:p>
      <w:pPr>
        <w:ind w:left="340" w:right="60" w:hanging="314"/>
        <w:spacing w:after="0" w:line="279" w:lineRule="auto"/>
        <w:tabs>
          <w:tab w:leader="none" w:pos="344" w:val="left"/>
        </w:tabs>
        <w:numPr>
          <w:ilvl w:val="1"/>
          <w:numId w:val="19"/>
        </w:numPr>
        <w:rPr>
          <w:rFonts w:ascii="Arial" w:cs="Arial" w:eastAsia="Arial" w:hAnsi="Arial"/>
          <w:sz w:val="17"/>
          <w:szCs w:val="17"/>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expect our Canadian income tax expense to be approximately $13 million and $67 million for the three-month period ending</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2016 and twelve-month period ending December 31, 2016, respectively, of which approximately $8 million and $74 million, respectively, is classified as a current income tax expense. For the twelve-month period ending December 31, 2016 we expect to have a deferred tax benefit of $7 million. All or part of the annual income tax expense of $67 million may result in a tax credit to our equity 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80" w:gutter="0" w:footer="0" w:header="0"/>
        </w:sectPr>
      </w:pPr>
    </w:p>
    <w:bookmarkStart w:id="6" w:name="page7"/>
    <w:bookmarkEnd w:id="6"/>
    <w:p>
      <w:pPr>
        <w:ind w:left="340" w:right="26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Equity-Indexed Compensation Plans. </w:t>
      </w:r>
      <w:r>
        <w:rPr>
          <w:rFonts w:ascii="Arial" w:cs="Arial" w:eastAsia="Arial" w:hAnsi="Arial"/>
          <w:sz w:val="18"/>
          <w:szCs w:val="18"/>
          <w:color w:val="auto"/>
        </w:rPr>
        <w:t>The majority of grants outstanding under our various equity-indexed compensation plans contain vesting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based on a combination of performance benchmarks and service periods. The grants will vest in various percentages, typically on the later to occur of specified vesting dates and the dates on which minimum distribution levels are reached.</w:t>
      </w:r>
    </w:p>
    <w:p>
      <w:pPr>
        <w:spacing w:after="0" w:line="181" w:lineRule="exact"/>
        <w:rPr>
          <w:rFonts w:ascii="Arial" w:cs="Arial" w:eastAsia="Arial" w:hAnsi="Arial"/>
          <w:sz w:val="18"/>
          <w:szCs w:val="18"/>
          <w:color w:val="auto"/>
        </w:rPr>
      </w:pPr>
    </w:p>
    <w:p>
      <w:pPr>
        <w:ind w:left="340"/>
        <w:spacing w:after="0" w:line="264" w:lineRule="auto"/>
        <w:rPr>
          <w:rFonts w:ascii="Arial" w:cs="Arial" w:eastAsia="Arial" w:hAnsi="Arial"/>
          <w:sz w:val="18"/>
          <w:szCs w:val="18"/>
          <w:color w:val="auto"/>
        </w:rPr>
      </w:pPr>
      <w:r>
        <w:rPr>
          <w:rFonts w:ascii="Arial" w:cs="Arial" w:eastAsia="Arial" w:hAnsi="Arial"/>
          <w:sz w:val="18"/>
          <w:szCs w:val="18"/>
          <w:color w:val="auto"/>
        </w:rPr>
        <w:t>Guidance assumes a market price of $27 per unit as well as an accrual associated with awards that will vest on a certain date. A $2 change in the unit price would change the third-quarter and full year equity-indexed compensation expense by approximately $4 million. Therefore, actual net income could differ from our projections.</w:t>
      </w:r>
    </w:p>
    <w:p>
      <w:pPr>
        <w:spacing w:after="0" w:line="181" w:lineRule="exact"/>
        <w:rPr>
          <w:rFonts w:ascii="Arial" w:cs="Arial" w:eastAsia="Arial" w:hAnsi="Arial"/>
          <w:sz w:val="18"/>
          <w:szCs w:val="18"/>
          <w:color w:val="auto"/>
        </w:rPr>
      </w:pPr>
    </w:p>
    <w:p>
      <w:pPr>
        <w:ind w:left="340" w:right="6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Reconciliation of Net Income to EBITDA, Adjusted EBITDA, and Implied DCF. </w:t>
      </w:r>
      <w:r>
        <w:rPr>
          <w:rFonts w:ascii="Arial" w:cs="Arial" w:eastAsia="Arial" w:hAnsi="Arial"/>
          <w:sz w:val="18"/>
          <w:szCs w:val="18"/>
          <w:color w:val="auto"/>
        </w:rPr>
        <w:t>The following table reconciles net income to EBITDA,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and Implied DCF for the indicated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Actual</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Guidance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6 Months</w:t>
            </w:r>
          </w:p>
        </w:tc>
        <w:tc>
          <w:tcPr>
            <w:tcW w:w="2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gridSpan w:val="5"/>
          </w:tcPr>
          <w:p>
            <w:pPr>
              <w:jc w:val="right"/>
              <w:ind w:right="600"/>
              <w:spacing w:after="0" w:line="119" w:lineRule="exact"/>
              <w:rPr>
                <w:sz w:val="20"/>
                <w:szCs w:val="20"/>
                <w:color w:val="auto"/>
              </w:rPr>
            </w:pPr>
            <w:r>
              <w:rPr>
                <w:rFonts w:ascii="Arial" w:cs="Arial" w:eastAsia="Arial" w:hAnsi="Arial"/>
                <w:sz w:val="13"/>
                <w:szCs w:val="13"/>
                <w:b w:val="1"/>
                <w:bCs w:val="1"/>
                <w:color w:val="auto"/>
              </w:rPr>
              <w:t>3 Months Ending</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gridSpan w:val="5"/>
          </w:tcPr>
          <w:p>
            <w:pPr>
              <w:jc w:val="right"/>
              <w:ind w:right="680"/>
              <w:spacing w:after="0" w:line="119" w:lineRule="exact"/>
              <w:rPr>
                <w:sz w:val="20"/>
                <w:szCs w:val="20"/>
                <w:color w:val="auto"/>
              </w:rPr>
            </w:pPr>
            <w:r>
              <w:rPr>
                <w:rFonts w:ascii="Arial" w:cs="Arial" w:eastAsia="Arial" w:hAnsi="Arial"/>
                <w:sz w:val="13"/>
                <w:szCs w:val="13"/>
                <w:b w:val="1"/>
                <w:bCs w:val="1"/>
                <w:color w:val="auto"/>
              </w:rPr>
              <w:t>3 Months Ending</w:t>
            </w:r>
          </w:p>
        </w:tc>
        <w:tc>
          <w:tcPr>
            <w:tcW w:w="18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5"/>
          </w:tcPr>
          <w:p>
            <w:pPr>
              <w:jc w:val="right"/>
              <w:ind w:right="291"/>
              <w:spacing w:after="0" w:line="119" w:lineRule="exact"/>
              <w:rPr>
                <w:sz w:val="20"/>
                <w:szCs w:val="20"/>
                <w:color w:val="auto"/>
              </w:rPr>
            </w:pPr>
            <w:r>
              <w:rPr>
                <w:rFonts w:ascii="Arial" w:cs="Arial" w:eastAsia="Arial" w:hAnsi="Arial"/>
                <w:sz w:val="13"/>
                <w:szCs w:val="13"/>
                <w:b w:val="1"/>
                <w:bCs w:val="1"/>
                <w:color w:val="auto"/>
              </w:rPr>
              <w:t>12 Months Ending</w:t>
            </w:r>
          </w:p>
        </w:tc>
        <w:tc>
          <w:tcPr>
            <w:tcW w:w="100" w:type="dxa"/>
            <w:vAlign w:val="bottom"/>
          </w:tcPr>
          <w:p>
            <w:pPr>
              <w:spacing w:after="0"/>
              <w:rPr>
                <w:sz w:val="10"/>
                <w:szCs w:val="10"/>
                <w:color w:val="auto"/>
              </w:rPr>
            </w:pPr>
          </w:p>
        </w:tc>
      </w:tr>
      <w:tr>
        <w:trPr>
          <w:trHeight w:val="17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 30, 2016</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 2016</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 31, 2016</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bottom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Jun 30, 2016</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Low</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96"/>
              </w:rPr>
              <w:t>High</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Low</w:t>
            </w: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89"/>
              </w:rPr>
              <w:t>High</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89"/>
              </w:rPr>
              <w:t>High</w:t>
            </w:r>
          </w:p>
        </w:tc>
        <w:tc>
          <w:tcPr>
            <w:tcW w:w="100" w:type="dxa"/>
            <w:vAlign w:val="bottom"/>
          </w:tcPr>
          <w:p>
            <w:pPr>
              <w:spacing w:after="0"/>
              <w:rPr>
                <w:sz w:val="12"/>
                <w:szCs w:val="12"/>
                <w:color w:val="auto"/>
              </w:rPr>
            </w:pPr>
          </w:p>
        </w:tc>
      </w:tr>
      <w:tr>
        <w:trPr>
          <w:trHeight w:val="142"/>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8"/>
        </w:trPr>
        <w:tc>
          <w:tcPr>
            <w:tcW w:w="3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Reconciliation to EBITDA, Adjusted EBITDA</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and Implied DCF</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368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807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r>
      <w:tr>
        <w:trPr>
          <w:trHeight w:val="250"/>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2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tcPr>
          <w:p>
            <w:pPr>
              <w:spacing w:after="0"/>
              <w:rPr>
                <w:sz w:val="21"/>
                <w:szCs w:val="21"/>
                <w:color w:val="auto"/>
              </w:rPr>
            </w:pPr>
          </w:p>
        </w:tc>
      </w:tr>
      <w:tr>
        <w:trPr>
          <w:trHeight w:val="197"/>
        </w:trPr>
        <w:tc>
          <w:tcPr>
            <w:tcW w:w="3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3700" w:type="dxa"/>
            <w:vAlign w:val="bottom"/>
          </w:tcPr>
          <w:p>
            <w:pPr>
              <w:ind w:left="18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00" w:type="dxa"/>
            <w:vAlign w:val="bottom"/>
          </w:tcPr>
          <w:p>
            <w:pPr>
              <w:ind w:left="360"/>
              <w:spacing w:after="0"/>
              <w:rPr>
                <w:sz w:val="20"/>
                <w:szCs w:val="20"/>
                <w:color w:val="auto"/>
              </w:rPr>
            </w:pPr>
            <w:r>
              <w:rPr>
                <w:rFonts w:ascii="Arial" w:cs="Arial" w:eastAsia="Arial" w:hAnsi="Arial"/>
                <w:sz w:val="18"/>
                <w:szCs w:val="18"/>
                <w:color w:val="auto"/>
              </w:rPr>
              <w:t>EBITDA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1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0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0"/>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60" w:right="160" w:hanging="4680"/>
        <w:spacing w:after="0" w:line="461" w:lineRule="auto"/>
        <w:tabs>
          <w:tab w:leader="none" w:pos="1283"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Excludes certain non-cash items impacting interest expense such as amortization of debt issuance costs and terminated interest rate swaps.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285"/>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jc w:val="both"/>
        <w:ind w:left="340" w:right="120" w:hanging="332"/>
        <w:spacing w:after="0" w:line="286" w:lineRule="auto"/>
        <w:tabs>
          <w:tab w:leader="none" w:pos="3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65" w:lineRule="exact"/>
        <w:rPr>
          <w:rFonts w:ascii="Arial" w:cs="Arial" w:eastAsia="Arial" w:hAnsi="Arial"/>
          <w:sz w:val="17"/>
          <w:szCs w:val="17"/>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340" w:right="280" w:hanging="332"/>
        <w:spacing w:after="0" w:line="277" w:lineRule="auto"/>
        <w:tabs>
          <w:tab w:leader="none" w:pos="3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or other event, including attacks on our electronic and computer systems;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340" w:right="340" w:hanging="332"/>
        <w:spacing w:after="0" w:line="308" w:lineRule="auto"/>
        <w:tabs>
          <w:tab w:leader="none" w:pos="30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46" w:lineRule="exact"/>
        <w:rPr>
          <w:rFonts w:ascii="Arial" w:cs="Arial" w:eastAsia="Arial" w:hAnsi="Arial"/>
          <w:sz w:val="17"/>
          <w:szCs w:val="17"/>
          <w:color w:val="auto"/>
        </w:rPr>
      </w:pPr>
    </w:p>
    <w:p>
      <w:pPr>
        <w:ind w:left="300" w:hanging="29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continued creditworthiness of, and performance by, our counterparties, including financial institutions and trading companies with which we do business;</w:t>
      </w:r>
    </w:p>
    <w:p>
      <w:pPr>
        <w:sectPr>
          <w:pgSz w:w="11900" w:h="16838" w:orient="portrait"/>
          <w:cols w:equalWidth="0" w:num="1">
            <w:col w:w="11420"/>
          </w:cols>
          <w:pgMar w:left="240" w:top="125" w:right="239" w:bottom="28" w:gutter="0" w:footer="0" w:header="0"/>
        </w:sectPr>
      </w:pPr>
    </w:p>
    <w:bookmarkStart w:id="7" w:name="page8"/>
    <w:bookmarkEnd w:id="7"/>
    <w:p>
      <w:pPr>
        <w:spacing w:after="0" w:line="32" w:lineRule="exact"/>
        <w:rPr>
          <w:sz w:val="20"/>
          <w:szCs w:val="20"/>
          <w:color w:val="auto"/>
        </w:rPr>
      </w:pPr>
    </w:p>
    <w:p>
      <w:pPr>
        <w:ind w:left="340" w:right="740" w:hanging="332"/>
        <w:spacing w:after="0" w:line="277" w:lineRule="auto"/>
        <w:tabs>
          <w:tab w:leader="none" w:pos="3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340" w:right="440" w:hanging="332"/>
        <w:spacing w:after="0" w:line="277" w:lineRule="auto"/>
        <w:tabs>
          <w:tab w:leader="none" w:pos="3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including our ability to satisfy our contractual obligations to our customers;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340" w:right="760" w:hanging="332"/>
        <w:spacing w:after="0" w:line="277" w:lineRule="auto"/>
        <w:tabs>
          <w:tab w:leader="none" w:pos="3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340" w:right="560" w:hanging="332"/>
        <w:spacing w:after="0" w:line="277" w:lineRule="auto"/>
        <w:tabs>
          <w:tab w:leader="none" w:pos="3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80" w:firstLine="28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660" w:type="dxa"/>
            <w:vAlign w:val="bottom"/>
          </w:tcPr>
          <w:p>
            <w:pPr>
              <w:ind w:left="2140"/>
              <w:spacing w:after="0"/>
              <w:rPr>
                <w:sz w:val="20"/>
                <w:szCs w:val="20"/>
                <w:color w:val="auto"/>
              </w:rPr>
            </w:pPr>
            <w:r>
              <w:rPr>
                <w:rFonts w:ascii="Arial" w:cs="Arial" w:eastAsia="Arial" w:hAnsi="Arial"/>
                <w:sz w:val="18"/>
                <w:szCs w:val="18"/>
                <w:color w:val="auto"/>
              </w:rPr>
              <w:t>By:</w:t>
            </w:r>
          </w:p>
        </w:tc>
        <w:tc>
          <w:tcPr>
            <w:tcW w:w="518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580" w:type="dxa"/>
            <w:vAlign w:val="bottom"/>
          </w:tcPr>
          <w:p>
            <w:pPr>
              <w:spacing w:after="0"/>
              <w:rPr>
                <w:sz w:val="24"/>
                <w:szCs w:val="24"/>
                <w:color w:val="auto"/>
              </w:rPr>
            </w:pPr>
          </w:p>
        </w:tc>
        <w:tc>
          <w:tcPr>
            <w:tcW w:w="2660" w:type="dxa"/>
            <w:vAlign w:val="bottom"/>
          </w:tcPr>
          <w:p>
            <w:pPr>
              <w:ind w:left="2140"/>
              <w:spacing w:after="0"/>
              <w:rPr>
                <w:sz w:val="20"/>
                <w:szCs w:val="20"/>
                <w:color w:val="auto"/>
              </w:rPr>
            </w:pPr>
            <w:r>
              <w:rPr>
                <w:rFonts w:ascii="Arial" w:cs="Arial" w:eastAsia="Arial" w:hAnsi="Arial"/>
                <w:sz w:val="18"/>
                <w:szCs w:val="18"/>
                <w:color w:val="auto"/>
              </w:rPr>
              <w:t>By:</w:t>
            </w:r>
          </w:p>
        </w:tc>
        <w:tc>
          <w:tcPr>
            <w:tcW w:w="5180" w:type="dxa"/>
            <w:vAlign w:val="bottom"/>
          </w:tcPr>
          <w:p>
            <w:pPr>
              <w:spacing w:after="0"/>
              <w:rPr>
                <w:sz w:val="20"/>
                <w:szCs w:val="20"/>
                <w:color w:val="auto"/>
              </w:rPr>
            </w:pPr>
            <w:r>
              <w:rPr>
                <w:rFonts w:ascii="Arial" w:cs="Arial" w:eastAsia="Arial" w:hAnsi="Arial"/>
                <w:sz w:val="18"/>
                <w:szCs w:val="18"/>
                <w:color w:val="auto"/>
              </w:rPr>
              <w:t>PLAINS AAP, L. P., its sole member</w:t>
            </w:r>
          </w:p>
        </w:tc>
        <w:tc>
          <w:tcPr>
            <w:tcW w:w="40" w:type="dxa"/>
            <w:vAlign w:val="bottom"/>
          </w:tcPr>
          <w:p>
            <w:pPr>
              <w:spacing w:after="0"/>
              <w:rPr>
                <w:sz w:val="24"/>
                <w:szCs w:val="24"/>
                <w:color w:val="auto"/>
              </w:rPr>
            </w:pPr>
          </w:p>
        </w:tc>
      </w:tr>
      <w:tr>
        <w:trPr>
          <w:trHeight w:val="432"/>
        </w:trPr>
        <w:tc>
          <w:tcPr>
            <w:tcW w:w="3580" w:type="dxa"/>
            <w:vAlign w:val="bottom"/>
          </w:tcPr>
          <w:p>
            <w:pPr>
              <w:spacing w:after="0"/>
              <w:rPr>
                <w:sz w:val="24"/>
                <w:szCs w:val="24"/>
                <w:color w:val="auto"/>
              </w:rPr>
            </w:pPr>
          </w:p>
        </w:tc>
        <w:tc>
          <w:tcPr>
            <w:tcW w:w="2660" w:type="dxa"/>
            <w:vAlign w:val="bottom"/>
          </w:tcPr>
          <w:p>
            <w:pPr>
              <w:ind w:left="2140"/>
              <w:spacing w:after="0"/>
              <w:rPr>
                <w:sz w:val="20"/>
                <w:szCs w:val="20"/>
                <w:color w:val="auto"/>
              </w:rPr>
            </w:pPr>
            <w:r>
              <w:rPr>
                <w:rFonts w:ascii="Arial" w:cs="Arial" w:eastAsia="Arial" w:hAnsi="Arial"/>
                <w:sz w:val="18"/>
                <w:szCs w:val="18"/>
                <w:color w:val="auto"/>
              </w:rPr>
              <w:t>By:</w:t>
            </w:r>
          </w:p>
        </w:tc>
        <w:tc>
          <w:tcPr>
            <w:tcW w:w="518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2, 2016</w:t>
            </w:r>
          </w:p>
        </w:tc>
        <w:tc>
          <w:tcPr>
            <w:tcW w:w="2660" w:type="dxa"/>
            <w:vAlign w:val="bottom"/>
          </w:tcPr>
          <w:p>
            <w:pPr>
              <w:ind w:left="21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Name:   Sharon Spurlin</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89"/>
              </w:rPr>
              <w:t>Title:</w:t>
            </w:r>
            <w:r>
              <w:rPr>
                <w:rFonts w:ascii="Arial" w:cs="Arial" w:eastAsia="Arial" w:hAnsi="Arial"/>
                <w:sz w:val="18"/>
                <w:szCs w:val="18"/>
                <w:i w:val="1"/>
                <w:iCs w:val="1"/>
                <w:color w:val="auto"/>
                <w:w w:val="89"/>
              </w:rPr>
              <w:t>Vice President and Treasurer</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660" w:type="dxa"/>
            <w:vAlign w:val="bottom"/>
          </w:tcPr>
          <w:p>
            <w:pPr>
              <w:ind w:left="2040"/>
              <w:spacing w:after="0"/>
              <w:rPr>
                <w:sz w:val="20"/>
                <w:szCs w:val="20"/>
                <w:color w:val="auto"/>
              </w:rPr>
            </w:pPr>
            <w:r>
              <w:rPr>
                <w:rFonts w:ascii="Arial" w:cs="Arial" w:eastAsia="Arial" w:hAnsi="Arial"/>
                <w:sz w:val="18"/>
                <w:szCs w:val="18"/>
                <w:color w:val="auto"/>
              </w:rPr>
              <w:t>12</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74740" cy="909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474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Pipeline, L.P. and Plains GP Holdings Report Second-Quarter 2016 Results</w:t>
      </w:r>
    </w:p>
    <w:p>
      <w:pPr>
        <w:sectPr>
          <w:pgSz w:w="11900" w:h="16870" w:orient="portrait"/>
          <w:cols w:equalWidth="0" w:num="1">
            <w:col w:w="11460"/>
          </w:cols>
          <w:pgMar w:left="240" w:top="125" w:right="199" w:bottom="0" w:gutter="0" w:footer="0" w:header="0"/>
        </w:sectPr>
      </w:pPr>
    </w:p>
    <w:bookmarkStart w:id="8" w:name="page9"/>
    <w:bookmarkEnd w:id="8"/>
    <w:p>
      <w:pPr>
        <w:spacing w:after="0" w:line="62" w:lineRule="exact"/>
        <w:rPr>
          <w:sz w:val="20"/>
          <w:szCs w:val="20"/>
          <w:color w:val="auto"/>
        </w:rPr>
      </w:pPr>
    </w:p>
    <w:p>
      <w:pPr>
        <w:ind w:right="380" w:firstLine="689"/>
        <w:spacing w:after="0" w:line="277" w:lineRule="auto"/>
        <w:rPr>
          <w:sz w:val="20"/>
          <w:szCs w:val="20"/>
          <w:color w:val="auto"/>
        </w:rPr>
      </w:pPr>
      <w:r>
        <w:rPr>
          <w:rFonts w:ascii="Arial" w:cs="Arial" w:eastAsia="Arial" w:hAnsi="Arial"/>
          <w:sz w:val="18"/>
          <w:szCs w:val="18"/>
          <w:color w:val="auto"/>
        </w:rPr>
        <w:t>(Houston — August 2, 2016) Plains All American Pipeline, L.P. (NYSE: PAA) and Plains GP Holdings (NYSE: PAGP) today reported second-quarter 2016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200" w:type="dxa"/>
            <w:vAlign w:val="bottom"/>
            <w:gridSpan w:val="2"/>
          </w:tcPr>
          <w:p>
            <w:pPr>
              <w:jc w:val="center"/>
              <w:ind w:right="290"/>
              <w:spacing w:after="0" w:line="142" w:lineRule="exact"/>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060" w:type="dxa"/>
            <w:vAlign w:val="bottom"/>
            <w:gridSpan w:val="2"/>
          </w:tcPr>
          <w:p>
            <w:pPr>
              <w:jc w:val="center"/>
              <w:ind w:right="19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top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Diluted net income/(loss)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common units outstanding</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2"/>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200" w:type="dxa"/>
            <w:vAlign w:val="bottom"/>
            <w:gridSpan w:val="2"/>
          </w:tcPr>
          <w:p>
            <w:pPr>
              <w:jc w:val="center"/>
              <w:ind w:right="290"/>
              <w:spacing w:after="0" w:line="142" w:lineRule="exact"/>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060" w:type="dxa"/>
            <w:vAlign w:val="bottom"/>
            <w:gridSpan w:val="2"/>
          </w:tcPr>
          <w:p>
            <w:pPr>
              <w:jc w:val="center"/>
              <w:ind w:right="19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top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Diluted adjusted net income/(loss) per common unit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0.83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461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120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1,082</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1,108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per common unit declared for the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0.695</w:t>
            </w:r>
          </w:p>
        </w:tc>
        <w:tc>
          <w:tcPr>
            <w:tcW w:w="1200" w:type="dxa"/>
            <w:vAlign w:val="bottom"/>
            <w:tcBorders>
              <w:right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tabs>
          <w:tab w:leader="none" w:pos="32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ind w:right="40" w:firstLine="689"/>
        <w:spacing w:after="0" w:line="342" w:lineRule="auto"/>
        <w:rPr>
          <w:sz w:val="20"/>
          <w:szCs w:val="20"/>
          <w:color w:val="auto"/>
        </w:rPr>
      </w:pPr>
      <w:r>
        <w:rPr>
          <w:rFonts w:ascii="Arial" w:cs="Arial" w:eastAsia="Arial" w:hAnsi="Arial"/>
          <w:sz w:val="16"/>
          <w:szCs w:val="16"/>
          <w:color w:val="auto"/>
        </w:rPr>
        <w:t>“PAA continues to execute well during a challenging environment,” said Greg Armstrong, Chairman and CEO of Plains All American. “We reported second-quarter adjusted EBITDA of $461 million, which was approximately $21 million or 5% above the midpoint of our second-quarter guidance.”</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“Although we remain cautious over the near term and have left our full year 2016 adjusted EBITDA guidance midpoint unchanged at $2.175 billion, we believe PAA is well positioned to manage through near term industry challenges and to prosper over the intermediate to long term. Importantly, based on PAA’s 2016 guidance and accounting for our recently announced simplification transaction and intended distribution reset, PAA’s pro forma distribution coverage for the full year of 2016 is expected to be approximately 1.05 times.”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Armstrong added, “PAA has $2.9 billion of liquidity and our performance is expected to benefit from increases in minimum volume commitments on existing assets as well as numerous capital projects scheduled to come on line over the next 18 months. Additionally, PAA has a large interconnected crude midstream platform that has significant leverage to a sustained increase in U.S. crude oil production with no-to-low incremental capital investment.”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second quarter and first half of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ectPr>
          <w:pgSz w:w="11900" w:h="16900"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Reported segment profit/(loss)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Selected items impacting</w:t>
      </w:r>
    </w:p>
    <w:p>
      <w:pPr>
        <w:spacing w:after="0" w:line="23" w:lineRule="exact"/>
        <w:rPr>
          <w:sz w:val="20"/>
          <w:szCs w:val="20"/>
          <w:color w:val="auto"/>
        </w:rPr>
      </w:pPr>
    </w:p>
    <w:p>
      <w:pPr>
        <w:ind w:left="380" w:right="400"/>
        <w:spacing w:after="0" w:line="220" w:lineRule="auto"/>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Adjusted segment profit</w:t>
      </w:r>
    </w:p>
    <w:p>
      <w:pPr>
        <w:spacing w:after="0" w:line="20" w:lineRule="exact"/>
        <w:rPr>
          <w:sz w:val="20"/>
          <w:szCs w:val="20"/>
          <w:color w:val="auto"/>
        </w:rPr>
      </w:pPr>
    </w:p>
    <w:p>
      <w:pPr>
        <w:ind w:left="180" w:hanging="181"/>
        <w:spacing w:after="0" w:line="271" w:lineRule="auto"/>
        <w:rPr>
          <w:sz w:val="20"/>
          <w:szCs w:val="20"/>
          <w:color w:val="auto"/>
        </w:rPr>
      </w:pPr>
      <w:r>
        <w:rPr>
          <w:rFonts w:ascii="Arial" w:cs="Arial" w:eastAsia="Arial" w:hAnsi="Arial"/>
          <w:sz w:val="17"/>
          <w:szCs w:val="17"/>
          <w:b w:val="1"/>
          <w:bCs w:val="1"/>
          <w:i w:val="1"/>
          <w:iCs w:val="1"/>
          <w:color w:val="auto"/>
        </w:rPr>
        <w:t>Percentage change in reported segment profit/(loss) versus 2015 period</w:t>
      </w:r>
    </w:p>
    <w:p>
      <w:pPr>
        <w:ind w:left="180" w:right="340" w:hanging="181"/>
        <w:spacing w:after="0" w:line="255" w:lineRule="auto"/>
        <w:rPr>
          <w:sz w:val="20"/>
          <w:szCs w:val="20"/>
          <w:color w:val="auto"/>
        </w:rPr>
      </w:pPr>
      <w:r>
        <w:rPr>
          <w:rFonts w:ascii="Arial" w:cs="Arial" w:eastAsia="Arial" w:hAnsi="Arial"/>
          <w:sz w:val="18"/>
          <w:szCs w:val="18"/>
          <w:b w:val="1"/>
          <w:bCs w:val="1"/>
          <w:i w:val="1"/>
          <w:iCs w:val="1"/>
          <w:color w:val="auto"/>
        </w:rPr>
        <w:t>Percentage change in adjusted segment profit versus 2015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right="620" w:hanging="181"/>
        <w:spacing w:after="0" w:line="360" w:lineRule="auto"/>
        <w:rPr>
          <w:sz w:val="20"/>
          <w:szCs w:val="20"/>
          <w:color w:val="auto"/>
        </w:rPr>
      </w:pPr>
      <w:r>
        <w:rPr>
          <w:rFonts w:ascii="Arial" w:cs="Arial" w:eastAsia="Arial" w:hAnsi="Arial"/>
          <w:sz w:val="16"/>
          <w:szCs w:val="16"/>
          <w:color w:val="auto"/>
        </w:rPr>
        <w:t>Reported segment profit Selected items impacting</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2016</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130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7"/>
              </w:rPr>
              <w:t>Transportation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00" w:type="dxa"/>
            <w:vAlign w:val="bottom"/>
            <w:tcBorders>
              <w:right w:val="single" w:sz="8" w:color="auto"/>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9"/>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24"/>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right w:val="single" w:sz="8" w:color="auto"/>
            </w:tcBorders>
            <w:gridSpan w:val="2"/>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120" w:type="dxa"/>
            <w:vAlign w:val="bottom"/>
          </w:tcPr>
          <w:p>
            <w:pPr>
              <w:spacing w:after="0"/>
              <w:rPr>
                <w:sz w:val="24"/>
                <w:szCs w:val="24"/>
                <w:color w:val="auto"/>
              </w:rPr>
            </w:pPr>
          </w:p>
        </w:tc>
        <w:tc>
          <w:tcPr>
            <w:tcW w:w="1300" w:type="dxa"/>
            <w:vAlign w:val="bottom"/>
            <w:gridSpan w:val="2"/>
          </w:tcPr>
          <w:p>
            <w:pPr>
              <w:jc w:val="right"/>
              <w:ind w:right="88"/>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2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35%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i w:val="1"/>
                <w:iCs w:val="1"/>
                <w:color w:val="auto"/>
              </w:rPr>
              <w:t>(144)%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i w:val="1"/>
                <w:iCs w:val="1"/>
                <w:color w:val="auto"/>
              </w:rPr>
              <w:t>10%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i w:val="1"/>
                <w:iCs w:val="1"/>
                <w:color w:val="auto"/>
              </w:rPr>
              <w:t>(54)%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2016</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130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w w:val="97"/>
              </w:rPr>
              <w:t>Transportation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00" w:type="dxa"/>
            <w:vAlign w:val="bottom"/>
            <w:tcBorders>
              <w:right w:val="single" w:sz="8" w:color="auto"/>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9"/>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right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87"/>
              </w:rPr>
              <w:t>Logistics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195"/>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315</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2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-2453640</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-1896110</wp:posOffset>
            </wp:positionV>
            <wp:extent cx="72466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-1330325</wp:posOffset>
            </wp:positionV>
            <wp:extent cx="724662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-378460</wp:posOffset>
            </wp:positionV>
            <wp:extent cx="72466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900" w:orient="portrait"/>
          <w:cols w:equalWidth="0" w:num="2">
            <w:col w:w="2620" w:space="260"/>
            <w:col w:w="8540"/>
          </w:cols>
          <w:pgMar w:left="240" w:top="341" w:right="2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880" w:type="dxa"/>
            <w:vAlign w:val="bottom"/>
          </w:tcPr>
          <w:p>
            <w:pPr>
              <w:ind w:left="380"/>
              <w:spacing w:after="0"/>
              <w:rPr>
                <w:sz w:val="20"/>
                <w:szCs w:val="20"/>
                <w:color w:val="auto"/>
              </w:rPr>
            </w:pPr>
            <w:r>
              <w:rPr>
                <w:rFonts w:ascii="Arial" w:cs="Arial" w:eastAsia="Arial" w:hAnsi="Arial"/>
                <w:sz w:val="18"/>
                <w:szCs w:val="18"/>
                <w:color w:val="auto"/>
              </w:rPr>
              <w:t>comparability of segment</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380"/>
              <w:spacing w:after="0" w:line="231" w:lineRule="exact"/>
              <w:rPr>
                <w:sz w:val="20"/>
                <w:szCs w:val="20"/>
                <w:color w:val="auto"/>
              </w:rPr>
            </w:pPr>
            <w:r>
              <w:rPr>
                <w:rFonts w:ascii="Arial" w:cs="Arial" w:eastAsia="Arial" w:hAnsi="Arial"/>
                <w:sz w:val="18"/>
                <w:szCs w:val="18"/>
                <w:color w:val="auto"/>
              </w:rPr>
              <w:t xml:space="preserve">profit </w:t>
            </w:r>
            <w:r>
              <w:rPr>
                <w:rFonts w:ascii="Arial" w:cs="Arial" w:eastAsia="Arial" w:hAnsi="Arial"/>
                <w:sz w:val="23"/>
                <w:szCs w:val="23"/>
                <w:color w:val="auto"/>
                <w:vertAlign w:val="superscript"/>
              </w:rPr>
              <w:t>(2)</w:t>
            </w:r>
          </w:p>
        </w:tc>
        <w:tc>
          <w:tcPr>
            <w:tcW w:w="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CCEEFF"/>
              <w:right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segment profit</w:t>
            </w: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00" w:type="dxa"/>
            <w:vAlign w:val="bottom"/>
            <w:tcBorders>
              <w:bottom w:val="single" w:sz="8" w:color="CCEEFF"/>
              <w:right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reported</w:t>
            </w: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8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segment profit versus 2015</w:t>
            </w:r>
          </w:p>
        </w:tc>
        <w:tc>
          <w:tcPr>
            <w:tcW w:w="540" w:type="dxa"/>
            <w:vAlign w:val="bottom"/>
          </w:tcPr>
          <w:p>
            <w:pPr>
              <w:spacing w:after="0"/>
              <w:rPr>
                <w:sz w:val="18"/>
                <w:szCs w:val="18"/>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i w:val="1"/>
                <w:iCs w:val="1"/>
                <w:color w:val="auto"/>
              </w:rPr>
              <w:t>17%</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i w:val="1"/>
                <w:iCs w:val="1"/>
                <w:color w:val="auto"/>
              </w:rPr>
              <w:t>11%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Borders>
              <w:right w:val="single" w:sz="8" w:color="auto"/>
            </w:tcBorders>
            <w:gridSpan w:val="2"/>
            <w:vMerge w:val="restart"/>
          </w:tcPr>
          <w:p>
            <w:pPr>
              <w:jc w:val="right"/>
              <w:ind w:right="80"/>
              <w:spacing w:after="0"/>
              <w:rPr>
                <w:sz w:val="20"/>
                <w:szCs w:val="20"/>
                <w:color w:val="auto"/>
              </w:rPr>
            </w:pPr>
            <w:r>
              <w:rPr>
                <w:rFonts w:ascii="Arial" w:cs="Arial" w:eastAsia="Arial" w:hAnsi="Arial"/>
                <w:sz w:val="18"/>
                <w:szCs w:val="18"/>
                <w:b w:val="1"/>
                <w:bCs w:val="1"/>
                <w:i w:val="1"/>
                <w:iCs w:val="1"/>
                <w:color w:val="auto"/>
              </w:rPr>
              <w:t>(89)%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period</w:t>
            </w:r>
          </w:p>
        </w:tc>
        <w:tc>
          <w:tcPr>
            <w:tcW w:w="540" w:type="dxa"/>
            <w:vAlign w:val="bottom"/>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Borders>
              <w:right w:val="single" w:sz="8" w:color="auto"/>
            </w:tcBorders>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8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Percentage change in adjusted</w:t>
            </w:r>
          </w:p>
        </w:tc>
        <w:tc>
          <w:tcPr>
            <w:tcW w:w="5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right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segment profit versus 2015</w:t>
            </w:r>
          </w:p>
        </w:tc>
        <w:tc>
          <w:tcPr>
            <w:tcW w:w="54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6%</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13%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(29)%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period</w:t>
            </w:r>
          </w:p>
        </w:tc>
        <w:tc>
          <w:tcPr>
            <w:tcW w:w="5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60" w:hanging="332"/>
        <w:spacing w:after="0" w:line="238"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ind w:left="320" w:hanging="312"/>
        <w:spacing w:after="0" w:line="196" w:lineRule="auto"/>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336"/>
              <w:spacing w:after="0"/>
              <w:rPr>
                <w:sz w:val="20"/>
                <w:szCs w:val="20"/>
                <w:color w:val="auto"/>
              </w:rPr>
            </w:pPr>
            <w:r>
              <w:rPr>
                <w:rFonts w:ascii="Arial" w:cs="Arial" w:eastAsia="Arial" w:hAnsi="Arial"/>
                <w:sz w:val="14"/>
                <w:szCs w:val="14"/>
                <w:b w:val="1"/>
                <w:bCs w:val="1"/>
                <w:color w:val="auto"/>
              </w:rPr>
              <w:t>Q2 2016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Q1 2016</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Q2 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1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Arial" w:cs="Arial" w:eastAsia="Arial" w:hAnsi="Arial"/>
                <w:sz w:val="18"/>
                <w:szCs w:val="18"/>
                <w:b w:val="1"/>
                <w:bCs w:val="1"/>
                <w:color w:val="auto"/>
                <w:w w:val="93"/>
              </w:rPr>
              <w:t>Q2 2016 distribution percentage growth from prior periods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160" w:type="dxa"/>
            <w:vAlign w:val="bottom"/>
            <w:gridSpan w:val="2"/>
            <w:vMerge w:val="restart"/>
          </w:tcPr>
          <w:p>
            <w:pPr>
              <w:jc w:val="right"/>
              <w:ind w:right="725"/>
              <w:spacing w:after="0"/>
              <w:rPr>
                <w:sz w:val="20"/>
                <w:szCs w:val="20"/>
                <w:color w:val="auto"/>
              </w:rPr>
            </w:pPr>
            <w:r>
              <w:rPr>
                <w:rFonts w:ascii="Arial" w:cs="Arial" w:eastAsia="Arial" w:hAnsi="Arial"/>
                <w:sz w:val="18"/>
                <w:szCs w:val="18"/>
                <w:color w:val="auto"/>
              </w:rPr>
              <w:t>– more –</w:t>
            </w: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2160" w:type="dxa"/>
            <w:vAlign w:val="bottom"/>
            <w:gridSpan w:val="2"/>
          </w:tcPr>
          <w:p>
            <w:pPr>
              <w:jc w:val="right"/>
              <w:ind w:right="285"/>
              <w:spacing w:after="0"/>
              <w:rPr>
                <w:sz w:val="20"/>
                <w:szCs w:val="20"/>
                <w:color w:val="auto"/>
              </w:rPr>
            </w:pPr>
            <w:r>
              <w:rPr>
                <w:rFonts w:ascii="Arial" w:cs="Arial" w:eastAsia="Arial" w:hAnsi="Arial"/>
                <w:sz w:val="18"/>
                <w:szCs w:val="18"/>
                <w:b w:val="1"/>
                <w:bCs w:val="1"/>
                <w:color w:val="auto"/>
                <w:w w:val="94"/>
              </w:rPr>
              <w:t>Houston, Texas 77002</w:t>
            </w:r>
          </w:p>
        </w:tc>
        <w:tc>
          <w:tcPr>
            <w:tcW w:w="2780" w:type="dxa"/>
            <w:vAlign w:val="bottom"/>
            <w:gridSpan w:val="4"/>
          </w:tcPr>
          <w:p>
            <w:pPr>
              <w:jc w:val="right"/>
              <w:ind w:right="416"/>
              <w:spacing w:after="0"/>
              <w:rPr>
                <w:sz w:val="20"/>
                <w:szCs w:val="20"/>
                <w:color w:val="auto"/>
              </w:rPr>
            </w:pPr>
            <w:r>
              <w:rPr>
                <w:rFonts w:ascii="Arial" w:cs="Arial" w:eastAsia="Arial" w:hAnsi="Arial"/>
                <w:sz w:val="18"/>
                <w:szCs w:val="18"/>
                <w:b w:val="1"/>
                <w:bCs w:val="1"/>
                <w:color w:val="auto"/>
                <w:w w:val="94"/>
              </w:rPr>
              <w:t>713-646-4100 / 866-809-1291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46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PAA and PAGP will hold a conference call on August 3, 2016 (see details below). Prior to this conference call, PAA will furnish a current report on Form 8-K, which will include material in this news release as well as PAA’s financial and operational guidance for the third quarter and full year of 2016.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ET on Wednesday, August 3, 2016 to discuss the following items:</w:t>
      </w:r>
    </w:p>
    <w:p>
      <w:pPr>
        <w:spacing w:after="0" w:line="225"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PAA’s second-quarter 2016 performance;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and operating guidance for the third quarter and full year of 2016;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To access the Internet webcast of the conference call, please go to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47"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basic and diluted adjusted net income per common unit and adjusted segment profit,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210"/>
                    </a:xfrm>
                    <a:prstGeom prst="rect">
                      <a:avLst/>
                    </a:prstGeom>
                    <a:noFill/>
                  </pic:spPr>
                </pic:pic>
              </a:graphicData>
            </a:graphic>
          </wp:anchor>
        </w:drawing>
      </w:r>
    </w:p>
    <w:p>
      <w:pPr>
        <w:sectPr>
          <w:pgSz w:w="11900" w:h="16838" w:orient="portrait"/>
          <w:cols w:equalWidth="0" w:num="1">
            <w:col w:w="11460"/>
          </w:cols>
          <w:pgMar w:left="240" w:top="134" w:right="199" w:bottom="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4</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97"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measures are reconciled to the most comparable measures as reported in accordance with GAAP for the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EBITDA as well as certain other commonly used non-GAAP and supplemental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 the effects of competition; failure to implement or capitalize, or delays in implementing or capitalizing, on expansion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maintenance of our credit rating and ability to receive open credit from our suppliers and trade counterparties;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8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657"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6</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ind w:left="20"/>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6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4,950</w:t>
            </w: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6,663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9,060</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4,224</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5,848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5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4,804</w:t>
            </w: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6,452</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expense, net</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Net income/(loss) allocated to common unitholders — Basic</w:t>
            </w:r>
          </w:p>
        </w:tc>
        <w:tc>
          <w:tcPr>
            <w:tcW w:w="136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Basic net income/(loss) per common unit</w:t>
            </w:r>
          </w:p>
        </w:tc>
        <w:tc>
          <w:tcPr>
            <w:tcW w:w="136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Net income/(loss) allocated to common unitholders — Diluted</w:t>
            </w:r>
          </w:p>
        </w:tc>
        <w:tc>
          <w:tcPr>
            <w:tcW w:w="136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Diluted net income/(loss) per common unit</w:t>
            </w:r>
          </w:p>
        </w:tc>
        <w:tc>
          <w:tcPr>
            <w:tcW w:w="136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40" w:hanging="332"/>
        <w:spacing w:after="0" w:line="267" w:lineRule="auto"/>
        <w:tabs>
          <w:tab w:leader="none" w:pos="32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The 2015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20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income/(loss) per common unit</w:t>
            </w:r>
          </w:p>
        </w:tc>
        <w:tc>
          <w:tcPr>
            <w:tcW w:w="20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(0.12)</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8"/>
                <w:szCs w:val="18"/>
                <w:color w:val="auto"/>
              </w:rPr>
              <w:t>– more –</w:t>
            </w: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ind w:left="2280"/>
              <w:spacing w:after="0"/>
              <w:rPr>
                <w:sz w:val="20"/>
                <w:szCs w:val="20"/>
                <w:color w:val="auto"/>
              </w:rPr>
            </w:pPr>
            <w:r>
              <w:rPr>
                <w:rFonts w:ascii="Arial" w:cs="Arial" w:eastAsia="Arial" w:hAnsi="Arial"/>
                <w:sz w:val="18"/>
                <w:szCs w:val="18"/>
                <w:b w:val="1"/>
                <w:bCs w:val="1"/>
                <w:color w:val="auto"/>
                <w:w w:val="99"/>
              </w:rPr>
              <w:t>333 Clay Street, Suite 1600</w:t>
            </w:r>
          </w:p>
        </w:tc>
        <w:tc>
          <w:tcPr>
            <w:tcW w:w="204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w w:val="98"/>
              </w:rPr>
              <w:t>Houston, Texas 77002</w:t>
            </w:r>
          </w:p>
        </w:tc>
        <w:tc>
          <w:tcPr>
            <w:tcW w:w="2500" w:type="dxa"/>
            <w:vAlign w:val="bottom"/>
            <w:gridSpan w:val="6"/>
          </w:tcPr>
          <w:p>
            <w:pPr>
              <w:jc w:val="right"/>
              <w:spacing w:after="0"/>
              <w:rPr>
                <w:sz w:val="20"/>
                <w:szCs w:val="20"/>
                <w:color w:val="auto"/>
              </w:rPr>
            </w:pPr>
            <w:r>
              <w:rPr>
                <w:rFonts w:ascii="Arial" w:cs="Arial" w:eastAsia="Arial" w:hAnsi="Arial"/>
                <w:sz w:val="18"/>
                <w:szCs w:val="18"/>
                <w:b w:val="1"/>
                <w:bCs w:val="1"/>
                <w:color w:val="auto"/>
              </w:rPr>
              <w:t>713-646-4100 / 866-809-1291</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377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60"/>
          </w:cols>
          <w:pgMar w:left="240" w:top="125" w:right="19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920" w:type="dxa"/>
            <w:vAlign w:val="bottom"/>
          </w:tcPr>
          <w:p>
            <w:pPr>
              <w:spacing w:after="0"/>
              <w:rPr>
                <w:sz w:val="18"/>
                <w:szCs w:val="18"/>
                <w:color w:val="auto"/>
              </w:rPr>
            </w:pPr>
          </w:p>
        </w:tc>
        <w:tc>
          <w:tcPr>
            <w:tcW w:w="20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3,603</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13,598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2,396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2,405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2,161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902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long-term assets, net</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920" w:type="dxa"/>
            <w:vAlign w:val="bottom"/>
          </w:tcPr>
          <w:p>
            <w:pPr>
              <w:spacing w:after="0"/>
              <w:rPr>
                <w:sz w:val="18"/>
                <w:szCs w:val="18"/>
                <w:color w:val="auto"/>
              </w:rPr>
            </w:pPr>
          </w:p>
        </w:tc>
        <w:tc>
          <w:tcPr>
            <w:tcW w:w="20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4,029</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Senior notes, net of unamortized discounts and debt issuance costs</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9,128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358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14,193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14,349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8,912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7,881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partners’ capital</w:t>
            </w:r>
          </w:p>
        </w:tc>
        <w:tc>
          <w:tcPr>
            <w:tcW w:w="192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8,970</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19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0" w:type="dxa"/>
            <w:vAlign w:val="bottom"/>
            <w:gridSpan w:val="3"/>
            <w:vMerge w:val="continue"/>
          </w:tcPr>
          <w:p>
            <w:pPr>
              <w:spacing w:after="0"/>
              <w:rPr>
                <w:sz w:val="24"/>
                <w:szCs w:val="24"/>
                <w:color w:val="auto"/>
              </w:rPr>
            </w:pPr>
          </w:p>
        </w:tc>
        <w:tc>
          <w:tcPr>
            <w:tcW w:w="1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9,486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2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9,486</w:t>
            </w:r>
          </w:p>
        </w:tc>
        <w:tc>
          <w:tcPr>
            <w:tcW w:w="1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8,970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book capitalization</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1920" w:type="dxa"/>
            <w:vAlign w:val="bottom"/>
          </w:tcPr>
          <w:p>
            <w:pPr>
              <w:spacing w:after="0" w:line="20" w:lineRule="exact"/>
              <w:rPr>
                <w:sz w:val="1"/>
                <w:szCs w:val="1"/>
                <w:color w:val="auto"/>
              </w:rPr>
            </w:pPr>
          </w:p>
        </w:tc>
        <w:tc>
          <w:tcPr>
            <w:tcW w:w="1840" w:type="dxa"/>
            <w:vAlign w:val="bottom"/>
            <w:vMerge w:val="restart"/>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Borders>
              <w:bottom w:val="single" w:sz="8" w:color="CCEEFF"/>
            </w:tcBorders>
            <w:gridSpan w:val="2"/>
            <w:vMerge w:val="continue"/>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19,758</w:t>
            </w:r>
          </w:p>
        </w:tc>
        <w:tc>
          <w:tcPr>
            <w:tcW w:w="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19,313</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Total debt-to-total book capitalization, including short-term debt</w:t>
            </w:r>
          </w:p>
        </w:tc>
        <w:tc>
          <w:tcPr>
            <w:tcW w:w="19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20" w:type="dxa"/>
            <w:vAlign w:val="bottom"/>
          </w:tcPr>
          <w:p>
            <w:pPr>
              <w:ind w:left="600"/>
              <w:spacing w:after="0"/>
              <w:rPr>
                <w:sz w:val="20"/>
                <w:szCs w:val="20"/>
                <w:color w:val="auto"/>
              </w:rPr>
            </w:pPr>
            <w:r>
              <w:rPr>
                <w:rFonts w:ascii="Arial" w:cs="Arial" w:eastAsia="Arial" w:hAnsi="Arial"/>
                <w:sz w:val="18"/>
                <w:szCs w:val="18"/>
                <w:color w:val="auto"/>
              </w:rPr>
              <w:t>– more –</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gridSpan w:val="2"/>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w w:val="99"/>
              </w:rPr>
              <w:t>Houston, Texas 77002</w:t>
            </w:r>
          </w:p>
        </w:tc>
        <w:tc>
          <w:tcPr>
            <w:tcW w:w="3080" w:type="dxa"/>
            <w:vAlign w:val="bottom"/>
            <w:gridSpan w:val="4"/>
          </w:tcPr>
          <w:p>
            <w:pPr>
              <w:jc w:val="right"/>
              <w:ind w:right="592"/>
              <w:spacing w:after="0"/>
              <w:rPr>
                <w:sz w:val="20"/>
                <w:szCs w:val="20"/>
                <w:color w:val="auto"/>
              </w:rPr>
            </w:pPr>
            <w:r>
              <w:rPr>
                <w:rFonts w:ascii="Arial" w:cs="Arial" w:eastAsia="Arial" w:hAnsi="Arial"/>
                <w:sz w:val="18"/>
                <w:szCs w:val="18"/>
                <w:b w:val="1"/>
                <w:bCs w:val="1"/>
                <w:color w:val="auto"/>
                <w:w w:val="99"/>
              </w:rPr>
              <w:t>713-646-4100 / 866-809-1291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100" w:type="dxa"/>
            <w:vAlign w:val="bottom"/>
            <w:gridSpan w:val="4"/>
          </w:tcPr>
          <w:p>
            <w:pPr>
              <w:jc w:val="center"/>
              <w:ind w:left="32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774"/>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gridSpan w:val="2"/>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38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segment (average daily volumes in thousands of barrels per</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day):</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Volumes from tariff activities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2,178</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1,886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2,112</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Western</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Gulf Coast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613</w:t>
            </w: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Central</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Canada</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4,484</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4,227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volumes from tariff activities</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4,666</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4,420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rPr>
              <w:t>Trucking</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4,529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0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20" w:right="199" w:bottom="0" w:gutter="0" w:footer="0" w:header="0"/>
        </w:sectPr>
      </w:pPr>
    </w:p>
    <w:bookmarkStart w:id="13" w:name="page14"/>
    <w:bookmarkEnd w:id="13"/>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105</w:t>
            </w: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99</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105</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monthly capacity in millions of barrels)</w:t>
            </w:r>
          </w:p>
        </w:tc>
        <w:tc>
          <w:tcPr>
            <w:tcW w:w="136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w w:val="95"/>
              </w:rPr>
              <w:t>Rail load / unload volumes (average volumes in thousands of barrels per day)</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160"/>
              <w:spacing w:after="0" w:line="195" w:lineRule="exact"/>
              <w:rPr>
                <w:sz w:val="20"/>
                <w:szCs w:val="20"/>
                <w:color w:val="auto"/>
              </w:rPr>
            </w:pPr>
            <w:r>
              <w:rPr>
                <w:rFonts w:ascii="Arial" w:cs="Arial" w:eastAsia="Arial" w:hAnsi="Arial"/>
                <w:sz w:val="18"/>
                <w:szCs w:val="18"/>
                <w:color w:val="auto"/>
              </w:rPr>
              <w:t>Natural gas storage (average monthly working capacity in billions of cubic</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3"/>
                <w:szCs w:val="13"/>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97</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97</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feet)</w:t>
            </w:r>
          </w:p>
        </w:tc>
        <w:tc>
          <w:tcPr>
            <w:tcW w:w="11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NGL fractionation (average volumes in thousands of barrels per day)</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160"/>
              <w:spacing w:after="0" w:line="195" w:lineRule="exact"/>
              <w:rPr>
                <w:sz w:val="20"/>
                <w:szCs w:val="20"/>
                <w:color w:val="auto"/>
              </w:rPr>
            </w:pPr>
            <w:r>
              <w:rPr>
                <w:rFonts w:ascii="Arial" w:cs="Arial" w:eastAsia="Arial" w:hAnsi="Arial"/>
                <w:sz w:val="18"/>
                <w:szCs w:val="18"/>
                <w:color w:val="auto"/>
              </w:rPr>
              <w:t>Facilities segment total volumes (average monthly volumes in millions of</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128</w:t>
            </w: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126</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128</w:t>
            </w: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(3)</w:t>
            </w:r>
          </w:p>
        </w:tc>
        <w:tc>
          <w:tcPr>
            <w:tcW w:w="136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06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Supply and Logistics segment (average daily volumes in thousands of barrels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per day):</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NGL sales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Supply and Logistics segment total volumes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2"/>
          <w:szCs w:val="22"/>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320" w:hanging="332"/>
        <w:spacing w:after="0" w:line="267" w:lineRule="auto"/>
        <w:tabs>
          <w:tab w:leader="none" w:pos="32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COMMON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Income/(Loss) per Common Unit</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6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Net income/(loss) allocated to common unitholders in accordance with</w:t>
            </w:r>
          </w:p>
        </w:tc>
        <w:tc>
          <w:tcPr>
            <w:tcW w:w="3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vMerge w:val="continue"/>
            <w:shd w:val="clear" w:color="auto" w:fill="CCEEFF"/>
          </w:tcPr>
          <w:p>
            <w:pPr>
              <w:spacing w:after="0"/>
              <w:rPr>
                <w:sz w:val="15"/>
                <w:szCs w:val="15"/>
                <w:color w:val="auto"/>
              </w:rPr>
            </w:pPr>
          </w:p>
        </w:tc>
        <w:tc>
          <w:tcPr>
            <w:tcW w:w="36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800" w:type="dxa"/>
            <w:vAlign w:val="bottom"/>
            <w:vMerge w:val="restart"/>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3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income/(loss) per common unit</w:t>
            </w:r>
          </w:p>
        </w:tc>
        <w:tc>
          <w:tcPr>
            <w:tcW w:w="1160" w:type="dxa"/>
            <w:vAlign w:val="bottom"/>
            <w:gridSpan w:val="2"/>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(0.20)</w:t>
            </w:r>
          </w:p>
        </w:tc>
        <w:tc>
          <w:tcPr>
            <w:tcW w:w="8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(0.06)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Income/(Loss) per Common Unit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6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(1)</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Net income/(loss) allocated to common unitholders in accordance with</w:t>
            </w:r>
          </w:p>
        </w:tc>
        <w:tc>
          <w:tcPr>
            <w:tcW w:w="3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vMerge w:val="continue"/>
            <w:shd w:val="clear" w:color="auto" w:fill="CCEEFF"/>
          </w:tcPr>
          <w:p>
            <w:pPr>
              <w:spacing w:after="0"/>
              <w:rPr>
                <w:sz w:val="15"/>
                <w:szCs w:val="15"/>
                <w:color w:val="auto"/>
              </w:rPr>
            </w:pPr>
          </w:p>
        </w:tc>
        <w:tc>
          <w:tcPr>
            <w:tcW w:w="36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800" w:type="dxa"/>
            <w:vAlign w:val="bottom"/>
            <w:vMerge w:val="restart"/>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3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460" w:type="dxa"/>
            <w:vAlign w:val="bottom"/>
            <w:shd w:val="clear" w:color="auto" w:fill="CCEEFF"/>
          </w:tcPr>
          <w:p>
            <w:pPr>
              <w:spacing w:after="0" w:line="162" w:lineRule="exact"/>
              <w:rPr>
                <w:sz w:val="20"/>
                <w:szCs w:val="20"/>
                <w:color w:val="auto"/>
              </w:rPr>
            </w:pPr>
            <w:r>
              <w:rPr>
                <w:rFonts w:ascii="Arial" w:cs="Arial" w:eastAsia="Arial" w:hAnsi="Arial"/>
                <w:sz w:val="14"/>
                <w:szCs w:val="14"/>
                <w:color w:val="auto"/>
              </w:rPr>
              <w:t xml:space="preserve">Diluted net income/(loss) per common unit </w:t>
            </w:r>
            <w:r>
              <w:rPr>
                <w:rFonts w:ascii="Arial" w:cs="Arial" w:eastAsia="Arial" w:hAnsi="Arial"/>
                <w:sz w:val="18"/>
                <w:szCs w:val="18"/>
                <w:color w:val="auto"/>
                <w:vertAlign w:val="superscript"/>
              </w:rPr>
              <w:t>(3)</w:t>
            </w:r>
          </w:p>
        </w:tc>
        <w:tc>
          <w:tcPr>
            <w:tcW w:w="1160" w:type="dxa"/>
            <w:vAlign w:val="bottom"/>
            <w:gridSpan w:val="2"/>
            <w:vMerge w:val="restart"/>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8"/>
                <w:szCs w:val="18"/>
                <w:color w:val="auto"/>
              </w:rPr>
              <w:t>)</w:t>
            </w: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460" w:type="dxa"/>
            <w:vAlign w:val="bottom"/>
            <w:shd w:val="clear" w:color="auto" w:fill="CCEEFF"/>
          </w:tcPr>
          <w:p>
            <w:pPr>
              <w:spacing w:after="0"/>
              <w:rPr>
                <w:sz w:val="7"/>
                <w:szCs w:val="7"/>
                <w:color w:val="auto"/>
              </w:rPr>
            </w:pPr>
          </w:p>
        </w:tc>
        <w:tc>
          <w:tcPr>
            <w:tcW w:w="1160" w:type="dxa"/>
            <w:vAlign w:val="bottom"/>
            <w:gridSpan w:val="2"/>
            <w:vMerge w:val="continue"/>
            <w:shd w:val="clear" w:color="auto" w:fill="CCEEFF"/>
          </w:tcPr>
          <w:p>
            <w:pPr>
              <w:spacing w:after="0"/>
              <w:rPr>
                <w:sz w:val="7"/>
                <w:szCs w:val="7"/>
                <w:color w:val="auto"/>
              </w:rPr>
            </w:pPr>
          </w:p>
        </w:tc>
        <w:tc>
          <w:tcPr>
            <w:tcW w:w="640" w:type="dxa"/>
            <w:vAlign w:val="bottom"/>
            <w:gridSpan w:val="2"/>
            <w:shd w:val="clear" w:color="auto" w:fill="CCEEFF"/>
          </w:tcPr>
          <w:p>
            <w:pPr>
              <w:jc w:val="right"/>
              <w:ind w:right="220"/>
              <w:spacing w:after="0" w:line="81" w:lineRule="exact"/>
              <w:rPr>
                <w:sz w:val="20"/>
                <w:szCs w:val="20"/>
                <w:color w:val="auto"/>
              </w:rPr>
            </w:pPr>
            <w:r>
              <w:rPr>
                <w:rFonts w:ascii="Arial" w:cs="Arial" w:eastAsia="Arial" w:hAnsi="Arial"/>
                <w:sz w:val="9"/>
                <w:szCs w:val="9"/>
                <w:color w:val="auto"/>
              </w:rPr>
              <w:t>(0.20</w:t>
            </w:r>
          </w:p>
        </w:tc>
        <w:tc>
          <w:tcPr>
            <w:tcW w:w="800" w:type="dxa"/>
            <w:vAlign w:val="bottom"/>
            <w:vMerge w:val="continue"/>
            <w:shd w:val="clear" w:color="auto" w:fill="CCEEFF"/>
          </w:tcPr>
          <w:p>
            <w:pPr>
              <w:spacing w:after="0"/>
              <w:rPr>
                <w:sz w:val="7"/>
                <w:szCs w:val="7"/>
                <w:color w:val="auto"/>
              </w:rPr>
            </w:pPr>
          </w:p>
        </w:tc>
        <w:tc>
          <w:tcPr>
            <w:tcW w:w="640" w:type="dxa"/>
            <w:vAlign w:val="bottom"/>
            <w:gridSpan w:val="2"/>
            <w:shd w:val="clear" w:color="auto" w:fill="CCEEFF"/>
          </w:tcPr>
          <w:p>
            <w:pPr>
              <w:jc w:val="right"/>
              <w:ind w:right="220"/>
              <w:spacing w:after="0" w:line="81" w:lineRule="exact"/>
              <w:rPr>
                <w:sz w:val="20"/>
                <w:szCs w:val="20"/>
                <w:color w:val="auto"/>
              </w:rPr>
            </w:pPr>
            <w:r>
              <w:rPr>
                <w:rFonts w:ascii="Arial" w:cs="Arial" w:eastAsia="Arial" w:hAnsi="Arial"/>
                <w:sz w:val="9"/>
                <w:szCs w:val="9"/>
                <w:color w:val="auto"/>
              </w:rPr>
              <w:t>(0.06</w:t>
            </w:r>
          </w:p>
        </w:tc>
        <w:tc>
          <w:tcPr>
            <w:tcW w:w="260" w:type="dxa"/>
            <w:vAlign w:val="bottom"/>
            <w:vMerge w:val="continue"/>
            <w:shd w:val="clear" w:color="auto" w:fill="CCEEFF"/>
          </w:tcPr>
          <w:p>
            <w:pPr>
              <w:spacing w:after="0"/>
              <w:rPr>
                <w:sz w:val="7"/>
                <w:szCs w:val="7"/>
                <w:color w:val="auto"/>
              </w:rPr>
            </w:pPr>
          </w:p>
        </w:tc>
        <w:tc>
          <w:tcPr>
            <w:tcW w:w="1060" w:type="dxa"/>
            <w:vAlign w:val="bottom"/>
            <w:gridSpan w:val="2"/>
            <w:shd w:val="clear" w:color="auto" w:fill="CCEEFF"/>
          </w:tcPr>
          <w:p>
            <w:pPr>
              <w:jc w:val="right"/>
              <w:ind w:right="140"/>
              <w:spacing w:after="0" w:line="81" w:lineRule="exact"/>
              <w:rPr>
                <w:sz w:val="20"/>
                <w:szCs w:val="20"/>
                <w:color w:val="auto"/>
              </w:rPr>
            </w:pPr>
            <w:r>
              <w:rPr>
                <w:rFonts w:ascii="Arial" w:cs="Arial" w:eastAsia="Arial" w:hAnsi="Arial"/>
                <w:sz w:val="9"/>
                <w:szCs w:val="9"/>
                <w:color w:val="auto"/>
              </w:rPr>
              <w:t>(0.13</w:t>
            </w:r>
          </w:p>
        </w:tc>
        <w:tc>
          <w:tcPr>
            <w:tcW w:w="380" w:type="dxa"/>
            <w:vAlign w:val="bottom"/>
            <w:gridSpan w:val="2"/>
            <w:vMerge w:val="continue"/>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00" w:hanging="332"/>
        <w:spacing w:after="0" w:line="238" w:lineRule="auto"/>
        <w:tabs>
          <w:tab w:leader="none" w:pos="32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Net income/(loss) allocated to common unitholders is calculated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sectPr>
          <w:pgSz w:w="11900" w:h="16910" w:orient="portrait"/>
          <w:cols w:equalWidth="0" w:num="1">
            <w:col w:w="11420"/>
          </w:cols>
          <w:pgMar w:left="240" w:top="140" w:right="239" w:bottom="0" w:gutter="0" w:footer="0" w:header="0"/>
        </w:sectPr>
      </w:pPr>
    </w:p>
    <w:bookmarkStart w:id="14" w:name="page15"/>
    <w:bookmarkEnd w:id="14"/>
    <w:p>
      <w:pPr>
        <w:ind w:left="340" w:right="20" w:hanging="332"/>
        <w:spacing w:after="0" w:line="253" w:lineRule="auto"/>
        <w:tabs>
          <w:tab w:leader="none" w:pos="328" w:val="left"/>
        </w:tabs>
        <w:numPr>
          <w:ilvl w:val="0"/>
          <w:numId w:val="31"/>
        </w:numPr>
        <w:rPr>
          <w:rFonts w:ascii="Arial" w:cs="Arial" w:eastAsia="Arial" w:hAnsi="Arial"/>
          <w:sz w:val="22"/>
          <w:szCs w:val="22"/>
          <w:color w:val="auto"/>
          <w:vertAlign w:val="superscript"/>
        </w:rPr>
      </w:pPr>
      <w:r>
        <w:rPr>
          <w:rFonts w:ascii="Arial" w:cs="Arial" w:eastAsia="Arial" w:hAnsi="Arial"/>
          <w:sz w:val="17"/>
          <w:szCs w:val="17"/>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Such LTIP awards were excluded from the calculation of diluted net income/(loss) per common unit for the three and six months ended June 30, 2016 and the three months ended June 30, 2015 as the effect was antidilutive.</w:t>
      </w:r>
    </w:p>
    <w:p>
      <w:pPr>
        <w:spacing w:after="0" w:line="3" w:lineRule="exact"/>
        <w:rPr>
          <w:rFonts w:ascii="Arial" w:cs="Arial" w:eastAsia="Arial" w:hAnsi="Arial"/>
          <w:sz w:val="22"/>
          <w:szCs w:val="22"/>
          <w:color w:val="auto"/>
          <w:vertAlign w:val="superscript"/>
        </w:rPr>
      </w:pPr>
    </w:p>
    <w:p>
      <w:pPr>
        <w:ind w:left="340" w:right="80" w:hanging="332"/>
        <w:spacing w:after="0" w:line="219" w:lineRule="auto"/>
        <w:tabs>
          <w:tab w:leader="none" w:pos="328"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income/(loss) per common unit for the three and six months ended June 30, 2016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line="216" w:lineRule="exact"/>
              <w:rPr>
                <w:sz w:val="20"/>
                <w:szCs w:val="20"/>
                <w:color w:val="auto"/>
              </w:rPr>
            </w:pPr>
            <w:r>
              <w:rPr>
                <w:rFonts w:ascii="Arial" w:cs="Arial" w:eastAsia="Arial" w:hAnsi="Arial"/>
                <w:sz w:val="18"/>
                <w:szCs w:val="18"/>
                <w:color w:val="auto"/>
                <w:w w:val="96"/>
              </w:rPr>
              <w:t xml:space="preserve">Losses from derivative activities net of inventory valuation adjustments </w:t>
            </w:r>
            <w:r>
              <w:rPr>
                <w:rFonts w:ascii="Arial" w:cs="Arial" w:eastAsia="Arial" w:hAnsi="Arial"/>
                <w:sz w:val="23"/>
                <w:szCs w:val="23"/>
                <w:color w:val="auto"/>
                <w:w w:val="96"/>
                <w:vertAlign w:val="superscript"/>
              </w:rPr>
              <w:t>(2)</w:t>
            </w:r>
          </w:p>
        </w:tc>
        <w:tc>
          <w:tcPr>
            <w:tcW w:w="960" w:type="dxa"/>
            <w:vAlign w:val="bottom"/>
            <w:gridSpan w:val="2"/>
          </w:tcPr>
          <w:p>
            <w:pPr>
              <w:jc w:val="right"/>
              <w:ind w:right="61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line="216"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Selected items impacting comparability of EBITDA</w:t>
            </w:r>
          </w:p>
        </w:tc>
        <w:tc>
          <w:tcPr>
            <w:tcW w:w="1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w:t>
            </w:r>
          </w:p>
        </w:tc>
        <w:tc>
          <w:tcPr>
            <w:tcW w:w="2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shd w:val="clear" w:color="auto" w:fill="CCEEFF"/>
          </w:tcPr>
          <w:p>
            <w:pPr>
              <w:spacing w:after="0" w:line="197" w:lineRule="exact"/>
              <w:rPr>
                <w:sz w:val="20"/>
                <w:szCs w:val="20"/>
                <w:color w:val="auto"/>
              </w:rPr>
            </w:pPr>
            <w:r>
              <w:rPr>
                <w:rFonts w:ascii="Arial" w:cs="Arial" w:eastAsia="Arial" w:hAnsi="Arial"/>
                <w:sz w:val="17"/>
                <w:szCs w:val="17"/>
                <w:color w:val="auto"/>
              </w:rPr>
              <w:t xml:space="preserve">Deferred income tax expense </w:t>
            </w:r>
            <w:r>
              <w:rPr>
                <w:rFonts w:ascii="Arial" w:cs="Arial" w:eastAsia="Arial" w:hAnsi="Arial"/>
                <w:sz w:val="22"/>
                <w:szCs w:val="22"/>
                <w:color w:val="auto"/>
                <w:vertAlign w:val="superscript"/>
              </w:rPr>
              <w:t>(8)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Selected items impacting comparability of net income attributable to PAA</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common unit</w:t>
            </w:r>
          </w:p>
        </w:tc>
        <w:tc>
          <w:tcPr>
            <w:tcW w:w="960" w:type="dxa"/>
            <w:vAlign w:val="bottom"/>
            <w:gridSpan w:val="2"/>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(0.08)</w:t>
            </w:r>
          </w:p>
        </w:tc>
        <w:tc>
          <w:tcPr>
            <w:tcW w:w="8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(0.33)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(0.46)</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common unit</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0" w:type="dxa"/>
            <w:vAlign w:val="bottom"/>
          </w:tcPr>
          <w:p>
            <w:pPr>
              <w:jc w:val="right"/>
              <w:ind w:right="617"/>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7"/>
              </w:rPr>
              <w:t>(0.08</w:t>
            </w:r>
          </w:p>
        </w:tc>
        <w:tc>
          <w:tcPr>
            <w:tcW w:w="220" w:type="dxa"/>
            <w:vAlign w:val="bottom"/>
            <w:vMerge w:val="continue"/>
          </w:tcPr>
          <w:p>
            <w:pPr>
              <w:spacing w:after="0"/>
              <w:rPr>
                <w:sz w:val="17"/>
                <w:szCs w:val="17"/>
                <w:color w:val="auto"/>
              </w:rPr>
            </w:pPr>
          </w:p>
        </w:tc>
        <w:tc>
          <w:tcPr>
            <w:tcW w:w="800" w:type="dxa"/>
            <w:vAlign w:val="bottom"/>
          </w:tcPr>
          <w:p>
            <w:pPr>
              <w:jc w:val="right"/>
              <w:ind w:right="613"/>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97"/>
              </w:rPr>
              <w:t>(0.33</w:t>
            </w:r>
          </w:p>
        </w:tc>
        <w:tc>
          <w:tcPr>
            <w:tcW w:w="220" w:type="dxa"/>
            <w:vAlign w:val="bottom"/>
            <w:vMerge w:val="continue"/>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(0.46</w:t>
            </w: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(0.54</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32"/>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80" w:hanging="332"/>
        <w:spacing w:after="0" w:line="239" w:lineRule="auto"/>
        <w:tabs>
          <w:tab w:leader="none" w:pos="32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We carry approximately 5 million barrels of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 w:lineRule="exact"/>
        <w:rPr>
          <w:rFonts w:ascii="Arial" w:cs="Arial" w:eastAsia="Arial" w:hAnsi="Arial"/>
          <w:sz w:val="23"/>
          <w:szCs w:val="23"/>
          <w:color w:val="auto"/>
          <w:vertAlign w:val="superscript"/>
        </w:rPr>
      </w:pPr>
    </w:p>
    <w:p>
      <w:pPr>
        <w:ind w:left="340" w:right="20" w:hanging="332"/>
        <w:spacing w:after="0" w:line="273" w:lineRule="auto"/>
        <w:tabs>
          <w:tab w:leader="none" w:pos="328"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1"/>
          <w:szCs w:val="21"/>
          <w:color w:val="auto"/>
          <w:vertAlign w:val="superscript"/>
        </w:rPr>
      </w:pPr>
    </w:p>
    <w:p>
      <w:pPr>
        <w:ind w:left="340" w:right="140" w:hanging="332"/>
        <w:spacing w:after="0" w:line="239" w:lineRule="auto"/>
        <w:tabs>
          <w:tab w:leader="none" w:pos="32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hanging="332"/>
        <w:spacing w:after="0" w:line="219" w:lineRule="auto"/>
        <w:tabs>
          <w:tab w:leader="none" w:pos="328"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During the periods presented, there were fluctuations in the value of CAD to USD, resulting in gains and losses that were not related to our core operating results for the period and were thus classified as a selected item impacting comparability.</w:t>
      </w:r>
    </w:p>
    <w:p>
      <w:pPr>
        <w:spacing w:after="0" w:line="1" w:lineRule="exact"/>
        <w:rPr>
          <w:rFonts w:ascii="Arial" w:cs="Arial" w:eastAsia="Arial" w:hAnsi="Arial"/>
          <w:sz w:val="23"/>
          <w:szCs w:val="23"/>
          <w:color w:val="auto"/>
          <w:vertAlign w:val="superscript"/>
        </w:rPr>
      </w:pPr>
    </w:p>
    <w:p>
      <w:pPr>
        <w:ind w:left="320" w:hanging="312"/>
        <w:spacing w:after="0" w:line="205" w:lineRule="auto"/>
        <w:tabs>
          <w:tab w:leader="none" w:pos="320" w:val="left"/>
        </w:tabs>
        <w:numPr>
          <w:ilvl w:val="0"/>
          <w:numId w:val="32"/>
        </w:numPr>
        <w:rPr>
          <w:rFonts w:ascii="Arial" w:cs="Arial" w:eastAsia="Arial" w:hAnsi="Arial"/>
          <w:sz w:val="22"/>
          <w:szCs w:val="22"/>
          <w:color w:val="auto"/>
          <w:vertAlign w:val="superscript"/>
        </w:rPr>
      </w:pPr>
      <w:r>
        <w:rPr>
          <w:rFonts w:ascii="Arial" w:cs="Arial" w:eastAsia="Arial" w:hAnsi="Arial"/>
          <w:sz w:val="17"/>
          <w:szCs w:val="17"/>
          <w:color w:val="auto"/>
        </w:rPr>
        <w:t>Includes costs related to the Line 901 incident that occurred in May 2015, net of amounts we believe are probable of recovery from insurance.</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Includes the initial cumulative effect of a change in Canadian tax legislation impacting the period.</w:t>
      </w:r>
    </w:p>
    <w:p>
      <w:pPr>
        <w:sectPr>
          <w:pgSz w:w="11900" w:h="16838" w:orient="portrait"/>
          <w:cols w:equalWidth="0" w:num="1">
            <w:col w:w="11420"/>
          </w:cols>
          <w:pgMar w:left="240" w:top="125" w:right="239" w:bottom="0" w:gutter="0" w:footer="0" w:header="0"/>
        </w:sectPr>
      </w:pPr>
    </w:p>
    <w:bookmarkStart w:id="15" w:name="page16"/>
    <w:bookmarkEnd w:id="15"/>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2016</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 2015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(4,566)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w w:val="97"/>
              </w:rPr>
              <w:t>Segment general and administrative expenses</w:t>
            </w: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(2) (3)</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tcBorders>
              <w:right w:val="single" w:sz="8" w:color="auto"/>
            </w:tcBorders>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w w:val="93"/>
              </w:rPr>
              <w:t>Equity-indexed compensation expense - general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and administrative</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Reported segment profit/(loss)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28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segment profit: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(Gains)/losses from derivative activities net of</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inventory valuation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on foreign currency revaluation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70</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28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3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33</w:t>
            </w:r>
          </w:p>
        </w:tc>
        <w:tc>
          <w:tcPr>
            <w:tcW w:w="3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2016</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2"/>
              </w:rPr>
              <w:t>June 30, 2015</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 expense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w w:val="97"/>
              </w:rPr>
              <w:t>Segment general and administrative expenses</w:t>
            </w: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(2) (3)</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tcBorders>
              <w:right w:val="single" w:sz="8" w:color="auto"/>
            </w:tcBorders>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w w:val="93"/>
              </w:rPr>
              <w:t>Equity-indexed compensation expense - general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and administrative</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Reported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28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segment profit: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(Gains)/losses from derivative activities net of</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inventory valuation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Deficiencies under minimum volume</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Net (gain)/loss on foreign currency</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Selected items impacting comparability of</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74</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Adjusted 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28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3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66</w:t>
            </w:r>
          </w:p>
        </w:tc>
        <w:tc>
          <w:tcPr>
            <w:tcW w:w="3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860" w:type="dxa"/>
            <w:vAlign w:val="bottom"/>
            <w:tcBorders>
              <w:bottom w:val="single" w:sz="8" w:color="808080"/>
            </w:tcBorders>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ectPr>
          <w:pgSz w:w="11900" w:h="16870" w:orient="portrait"/>
          <w:cols w:equalWidth="0" w:num="1">
            <w:col w:w="11420"/>
          </w:cols>
          <w:pgMar w:left="240" w:top="341" w:right="239" w:bottom="0" w:gutter="0" w:footer="0" w:header="0"/>
        </w:sectPr>
      </w:pPr>
    </w:p>
    <w:bookmarkStart w:id="16" w:name="page17"/>
    <w:bookmarkEnd w:id="16"/>
    <w:p>
      <w:pPr>
        <w:spacing w:after="0" w:line="59" w:lineRule="exact"/>
        <w:rPr>
          <w:sz w:val="20"/>
          <w:szCs w:val="20"/>
          <w:color w:val="auto"/>
        </w:rPr>
      </w:pPr>
    </w:p>
    <w:p>
      <w:pPr>
        <w:ind w:left="340" w:right="280" w:hanging="332"/>
        <w:spacing w:after="0" w:line="251" w:lineRule="auto"/>
        <w:tabs>
          <w:tab w:leader="none" w:pos="328"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0"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78"/>
        </w:trPr>
        <w:tc>
          <w:tcPr>
            <w:tcW w:w="572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to Earnings Before Interest, Taxes, Depreciation and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Amortization (“EBITDA”), Excluding Selected Items Impacting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Comparability (“Adjusted EBITDA”) and Implied Distributable Cash</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Flow (“DCF”) Reconciliations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Income tax (benefit)/expense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Equity earnings in unconsolidated entities, net of distributions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5720" w:type="dxa"/>
            <w:vAlign w:val="bottom"/>
          </w:tcPr>
          <w:p>
            <w:pPr>
              <w:spacing w:after="0" w:line="21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(4)</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2" w:lineRule="exact"/>
        <w:rPr>
          <w:rFonts w:ascii="Arial" w:cs="Arial" w:eastAsia="Arial" w:hAnsi="Arial"/>
          <w:sz w:val="23"/>
          <w:szCs w:val="23"/>
          <w:color w:val="auto"/>
          <w:vertAlign w:val="superscript"/>
        </w:rPr>
      </w:pPr>
    </w:p>
    <w:p>
      <w:pPr>
        <w:ind w:left="340" w:right="20" w:hanging="332"/>
        <w:spacing w:after="0" w:line="219" w:lineRule="auto"/>
        <w:tabs>
          <w:tab w:leader="none" w:pos="328"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Including costs recognized during the period related to the Line 901 incident that occurred during May 2015, Implied DCF would have been $242 million and $687 million for the three and six months ended June 30, 2015,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31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NET INCOME/(LOSS) PER COMMON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Income/(Loss) per Common Unit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96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w w:val="94"/>
              </w:rPr>
              <w:t>Selected items impacting comparability of net income attributable to PAA</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82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8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Adjusted net income/(loss) allocated to common unitholders in accordance</w:t>
            </w: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ind w:right="622"/>
              <w:spacing w:after="0"/>
              <w:rPr>
                <w:sz w:val="20"/>
                <w:szCs w:val="20"/>
                <w:color w:val="auto"/>
              </w:rPr>
            </w:pPr>
            <w:r>
              <w:rPr>
                <w:rFonts w:ascii="Arial" w:cs="Arial" w:eastAsia="Arial" w:hAnsi="Arial"/>
                <w:sz w:val="18"/>
                <w:szCs w:val="18"/>
                <w:color w:val="auto"/>
                <w:w w:val="79"/>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820" w:type="dxa"/>
            <w:vAlign w:val="bottom"/>
            <w:vMerge w:val="restart"/>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application of the two-class method for MLPs</w:t>
            </w:r>
          </w:p>
        </w:tc>
        <w:tc>
          <w:tcPr>
            <w:tcW w:w="1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income/(loss) per common unit</w:t>
            </w:r>
          </w:p>
        </w:tc>
        <w:tc>
          <w:tcPr>
            <w:tcW w:w="960" w:type="dxa"/>
            <w:vAlign w:val="bottom"/>
            <w:gridSpan w:val="2"/>
            <w:shd w:val="clear" w:color="auto" w:fill="CCEEFF"/>
          </w:tcPr>
          <w:p>
            <w:pPr>
              <w:jc w:val="right"/>
              <w:ind w:right="62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(0.12)</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20"/>
          </w:cols>
          <w:pgMar w:left="240" w:top="125" w:right="239" w:bottom="0" w:gutter="0" w:footer="0" w:header="0"/>
        </w:sectPr>
      </w:pPr>
    </w:p>
    <w:bookmarkStart w:id="17" w:name="page18"/>
    <w:bookmarkEnd w:id="1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Income/(Loss) per Common Unit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6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60" w:type="dxa"/>
            <w:vAlign w:val="bottom"/>
            <w:shd w:val="clear" w:color="auto" w:fill="CCEEFF"/>
          </w:tcPr>
          <w:p>
            <w:pPr>
              <w:ind w:left="180"/>
              <w:spacing w:after="0" w:line="162" w:lineRule="exact"/>
              <w:rPr>
                <w:sz w:val="20"/>
                <w:szCs w:val="20"/>
                <w:color w:val="auto"/>
              </w:rPr>
            </w:pPr>
            <w:r>
              <w:rPr>
                <w:rFonts w:ascii="Arial" w:cs="Arial" w:eastAsia="Arial" w:hAnsi="Arial"/>
                <w:sz w:val="18"/>
                <w:szCs w:val="18"/>
                <w:color w:val="auto"/>
                <w:w w:val="94"/>
              </w:rPr>
              <w:t>Selected items impacting comparability of net income attributable to PAA</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4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4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Adjusted net income/(loss) allocated to common unitholders in accordance</w:t>
            </w: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480" w:type="dxa"/>
            <w:vAlign w:val="bottom"/>
            <w:vMerge w:val="restart"/>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5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application of the two-class method for MLPs</w:t>
            </w:r>
          </w:p>
        </w:tc>
        <w:tc>
          <w:tcPr>
            <w:tcW w:w="16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60" w:type="dxa"/>
            <w:vAlign w:val="bottom"/>
            <w:shd w:val="clear" w:color="auto" w:fill="CCEEFF"/>
          </w:tcPr>
          <w:p>
            <w:pPr>
              <w:spacing w:after="0" w:line="162" w:lineRule="exact"/>
              <w:rPr>
                <w:sz w:val="20"/>
                <w:szCs w:val="20"/>
                <w:color w:val="auto"/>
              </w:rPr>
            </w:pPr>
            <w:r>
              <w:rPr>
                <w:rFonts w:ascii="Arial" w:cs="Arial" w:eastAsia="Arial" w:hAnsi="Arial"/>
                <w:sz w:val="14"/>
                <w:szCs w:val="14"/>
                <w:color w:val="auto"/>
              </w:rPr>
              <w:t xml:space="preserve">Diluted adjusted net income/(loss) per common unit </w:t>
            </w:r>
            <w:r>
              <w:rPr>
                <w:rFonts w:ascii="Arial" w:cs="Arial" w:eastAsia="Arial" w:hAnsi="Arial"/>
                <w:sz w:val="18"/>
                <w:szCs w:val="18"/>
                <w:color w:val="auto"/>
                <w:vertAlign w:val="superscript"/>
              </w:rPr>
              <w:t>(4)</w:t>
            </w:r>
          </w:p>
        </w:tc>
        <w:tc>
          <w:tcPr>
            <w:tcW w:w="620" w:type="dxa"/>
            <w:vAlign w:val="bottom"/>
            <w:gridSpan w:val="2"/>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480" w:type="dxa"/>
            <w:vAlign w:val="bottom"/>
            <w:vMerge w:val="restart"/>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5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660" w:type="dxa"/>
            <w:vAlign w:val="bottom"/>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980" w:type="dxa"/>
            <w:vAlign w:val="bottom"/>
            <w:gridSpan w:val="2"/>
            <w:shd w:val="clear" w:color="auto" w:fill="CCEEFF"/>
          </w:tcPr>
          <w:p>
            <w:pPr>
              <w:jc w:val="right"/>
              <w:ind w:right="220"/>
              <w:spacing w:after="0" w:line="81" w:lineRule="exact"/>
              <w:rPr>
                <w:sz w:val="20"/>
                <w:szCs w:val="20"/>
                <w:color w:val="auto"/>
              </w:rPr>
            </w:pPr>
            <w:r>
              <w:rPr>
                <w:rFonts w:ascii="Arial" w:cs="Arial" w:eastAsia="Arial" w:hAnsi="Arial"/>
                <w:sz w:val="9"/>
                <w:szCs w:val="9"/>
                <w:color w:val="auto"/>
              </w:rPr>
              <w:t>(0.12</w:t>
            </w:r>
          </w:p>
        </w:tc>
        <w:tc>
          <w:tcPr>
            <w:tcW w:w="500" w:type="dxa"/>
            <w:vAlign w:val="bottom"/>
            <w:vMerge w:val="continue"/>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560" w:type="dxa"/>
            <w:vAlign w:val="bottom"/>
            <w:gridSpan w:val="2"/>
            <w:vMerge w:val="continue"/>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20" w:hanging="332"/>
        <w:spacing w:after="0" w:line="233" w:lineRule="auto"/>
        <w:tabs>
          <w:tab w:leader="none" w:pos="328"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Adjusted net income allocated to common unitholders is calculated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spacing w:after="0" w:line="3" w:lineRule="exact"/>
        <w:rPr>
          <w:rFonts w:ascii="Arial" w:cs="Arial" w:eastAsia="Arial" w:hAnsi="Arial"/>
          <w:sz w:val="23"/>
          <w:szCs w:val="23"/>
          <w:color w:val="auto"/>
          <w:vertAlign w:val="superscript"/>
        </w:rPr>
      </w:pPr>
    </w:p>
    <w:p>
      <w:pPr>
        <w:ind w:left="340" w:right="20" w:hanging="332"/>
        <w:spacing w:after="0" w:line="237" w:lineRule="auto"/>
        <w:tabs>
          <w:tab w:leader="none" w:pos="328"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Such LTIP awards were excluded from the calculation of diluted net income/(loss) per common unit for the three months ended June 30, 2016 as the effect was antidilutive.</w:t>
      </w:r>
    </w:p>
    <w:p>
      <w:pPr>
        <w:spacing w:after="0" w:line="1" w:lineRule="exact"/>
        <w:rPr>
          <w:rFonts w:ascii="Arial" w:cs="Arial" w:eastAsia="Arial" w:hAnsi="Arial"/>
          <w:sz w:val="23"/>
          <w:szCs w:val="23"/>
          <w:color w:val="auto"/>
          <w:vertAlign w:val="superscript"/>
        </w:rPr>
      </w:pPr>
    </w:p>
    <w:p>
      <w:pPr>
        <w:ind w:left="340" w:right="140" w:hanging="332"/>
        <w:spacing w:after="0" w:line="219" w:lineRule="auto"/>
        <w:tabs>
          <w:tab w:leader="none" w:pos="328"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income/(loss) per common unit for the three and six months ended June 30, 2016 as the effect was antidilutive.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92"/>
              </w:rPr>
              <w:t>June 30, 2016</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92"/>
              </w:rPr>
              <w:t>June 30, 2015</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102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5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102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50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4,224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4,224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4,805</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10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right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10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56"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INCOME ATTRIBUTABLE TO PAGP  </w:t>
            </w: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NET INCOME PER CLASS A</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 PER CLASS A</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8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 CLASS A</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SHARES OUTSTANDING</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780" w:hanging="332"/>
        <w:spacing w:after="0" w:line="251" w:lineRule="auto"/>
        <w:tabs>
          <w:tab w:leader="none" w:pos="328"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The 2015 period has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2015</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1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line="172" w:lineRule="exact"/>
              <w:rPr>
                <w:sz w:val="20"/>
                <w:szCs w:val="20"/>
                <w:color w:val="auto"/>
              </w:rPr>
            </w:pPr>
            <w:r>
              <w:rPr>
                <w:rFonts w:ascii="Arial" w:cs="Arial" w:eastAsia="Arial" w:hAnsi="Arial"/>
                <w:sz w:val="14"/>
                <w:szCs w:val="14"/>
                <w:b w:val="1"/>
                <w:bCs w:val="1"/>
                <w:color w:val="auto"/>
                <w:w w:val="91"/>
              </w:rPr>
              <w:t xml:space="preserve">Adjustments </w:t>
            </w:r>
            <w:r>
              <w:rPr>
                <w:rFonts w:ascii="Arial" w:cs="Arial" w:eastAsia="Arial" w:hAnsi="Arial"/>
                <w:sz w:val="17"/>
                <w:szCs w:val="17"/>
                <w:b w:val="1"/>
                <w:bCs w:val="1"/>
                <w:color w:val="auto"/>
                <w:w w:val="91"/>
                <w:vertAlign w:val="superscript"/>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right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7,571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10,890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8,635</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12,022</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vMerge w:val="continue"/>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vMerge w:val="restart"/>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407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c>
          <w:tcPr>
            <w:tcW w:w="28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0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NET INCOME PER CLASS 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NET INCOME PER CLASS 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WEIGHTED AVERAGE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652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CLASS A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9" w:name="page20"/>
    <w:bookmarkEnd w:id="19"/>
    <w:p>
      <w:pPr>
        <w:spacing w:after="0" w:line="62" w:lineRule="exact"/>
        <w:rPr>
          <w:sz w:val="20"/>
          <w:szCs w:val="20"/>
          <w:color w:val="auto"/>
        </w:rPr>
      </w:pPr>
    </w:p>
    <w:p>
      <w:pPr>
        <w:ind w:left="340" w:right="780" w:hanging="332"/>
        <w:spacing w:after="0" w:line="251" w:lineRule="auto"/>
        <w:tabs>
          <w:tab w:leader="none" w:pos="328" w:val="left"/>
        </w:tabs>
        <w:numPr>
          <w:ilvl w:val="0"/>
          <w:numId w:val="38"/>
        </w:numPr>
        <w:rPr>
          <w:rFonts w:ascii="Arial" w:cs="Arial" w:eastAsia="Arial" w:hAnsi="Arial"/>
          <w:sz w:val="21"/>
          <w:szCs w:val="21"/>
          <w:color w:val="auto"/>
          <w:vertAlign w:val="superscript"/>
        </w:rPr>
      </w:pPr>
      <w:r>
        <w:rPr>
          <w:rFonts w:ascii="Arial" w:cs="Arial" w:eastAsia="Arial" w:hAnsi="Arial"/>
          <w:sz w:val="16"/>
          <w:szCs w:val="16"/>
          <w:color w:val="auto"/>
        </w:rPr>
        <w:t>The 2015 period has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Borders>
              <w:right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line="172" w:lineRule="exact"/>
              <w:rPr>
                <w:sz w:val="20"/>
                <w:szCs w:val="20"/>
                <w:color w:val="auto"/>
              </w:rPr>
            </w:pPr>
            <w:r>
              <w:rPr>
                <w:rFonts w:ascii="Arial" w:cs="Arial" w:eastAsia="Arial" w:hAnsi="Arial"/>
                <w:sz w:val="14"/>
                <w:szCs w:val="14"/>
                <w:b w:val="1"/>
                <w:bCs w:val="1"/>
                <w:color w:val="auto"/>
                <w:w w:val="91"/>
              </w:rPr>
              <w:t xml:space="preserve">Adjustments </w:t>
            </w:r>
            <w:r>
              <w:rPr>
                <w:rFonts w:ascii="Arial" w:cs="Arial" w:eastAsia="Arial" w:hAnsi="Arial"/>
                <w:sz w:val="17"/>
                <w:szCs w:val="17"/>
                <w:b w:val="1"/>
                <w:bCs w:val="1"/>
                <w:color w:val="auto"/>
                <w:w w:val="91"/>
                <w:vertAlign w:val="superscript"/>
              </w:rPr>
              <w:t>(1)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right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3,605</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2,396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Long-term inventory</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25,075</w:t>
            </w:r>
          </w:p>
        </w:tc>
        <w:tc>
          <w:tcPr>
            <w:tcW w:w="240" w:type="dxa"/>
            <w:vAlign w:val="bottom"/>
            <w:tcBorders>
              <w:bottom w:val="single" w:sz="8" w:color="CCEEFF"/>
              <w:right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 PARTNERS’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b w:val="1"/>
                <w:bCs w:val="1"/>
                <w:color w:val="auto"/>
              </w:rPr>
              <w:t>CAPITAL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Senior notes, net of unamortized discounts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and debt issuance costs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9,128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long-term debt, net of unamortized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Other long-term liabilities and deferred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credits</w:t>
            </w: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14,786</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1,802</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(6,119)</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8,429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8,487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25,075</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Q2 2016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Q2 2016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Distribution/Common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Distribution/Common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Common Units Outstanding at 7/29/16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9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1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Debt Service</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G&amp;A Expense</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Available for Distribution by AAP</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Distributions to AAP Partners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AAP Owners &amp; AAP Management (59% economic interest)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PAGP (41% economic interest)</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to AAP Partners</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PAGP Investors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PAGP Class A Shares Outstanding at 7/29/16</w:t>
            </w: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Distribution/Class A Share</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jc w:val="right"/>
              <w:ind w:right="42"/>
              <w:spacing w:after="0"/>
              <w:rPr>
                <w:sz w:val="20"/>
                <w:szCs w:val="20"/>
                <w:color w:val="auto"/>
              </w:rPr>
            </w:pPr>
            <w:r>
              <w:rPr>
                <w:rFonts w:ascii="Arial" w:cs="Arial" w:eastAsia="Arial" w:hAnsi="Arial"/>
                <w:sz w:val="12"/>
                <w:szCs w:val="12"/>
                <w:color w:val="auto"/>
                <w:w w:val="81"/>
              </w:rPr>
              <w:t>(1)</w:t>
            </w:r>
          </w:p>
        </w:tc>
        <w:tc>
          <w:tcPr>
            <w:tcW w:w="4140" w:type="dxa"/>
            <w:vAlign w:val="bottom"/>
          </w:tcPr>
          <w:p>
            <w:pPr>
              <w:ind w:left="80"/>
              <w:spacing w:after="0"/>
              <w:rPr>
                <w:sz w:val="20"/>
                <w:szCs w:val="20"/>
                <w:color w:val="auto"/>
              </w:rPr>
            </w:pPr>
            <w:r>
              <w:rPr>
                <w:rFonts w:ascii="Arial" w:cs="Arial" w:eastAsia="Arial" w:hAnsi="Arial"/>
                <w:sz w:val="18"/>
                <w:szCs w:val="18"/>
                <w:color w:val="auto"/>
              </w:rPr>
              <w:t>Amounts may not recalculate due to rounding.</w:t>
            </w:r>
          </w:p>
        </w:tc>
      </w:tr>
      <w:tr>
        <w:trPr>
          <w:trHeight w:val="230"/>
        </w:trPr>
        <w:tc>
          <w:tcPr>
            <w:tcW w:w="240" w:type="dxa"/>
            <w:vAlign w:val="bottom"/>
          </w:tcPr>
          <w:p>
            <w:pPr>
              <w:jc w:val="right"/>
              <w:ind w:right="42"/>
              <w:spacing w:after="0"/>
              <w:rPr>
                <w:sz w:val="20"/>
                <w:szCs w:val="20"/>
                <w:color w:val="auto"/>
              </w:rPr>
            </w:pPr>
            <w:r>
              <w:rPr>
                <w:rFonts w:ascii="Arial" w:cs="Arial" w:eastAsia="Arial" w:hAnsi="Arial"/>
                <w:sz w:val="12"/>
                <w:szCs w:val="12"/>
                <w:color w:val="auto"/>
                <w:w w:val="81"/>
              </w:rPr>
              <w:t>(2)</w:t>
            </w:r>
          </w:p>
        </w:tc>
        <w:tc>
          <w:tcPr>
            <w:tcW w:w="4140" w:type="dxa"/>
            <w:vAlign w:val="bottom"/>
          </w:tcPr>
          <w:p>
            <w:pPr>
              <w:ind w:left="80"/>
              <w:spacing w:after="0"/>
              <w:rPr>
                <w:sz w:val="20"/>
                <w:szCs w:val="20"/>
                <w:color w:val="auto"/>
              </w:rPr>
            </w:pPr>
            <w:r>
              <w:rPr>
                <w:rFonts w:ascii="Arial" w:cs="Arial" w:eastAsia="Arial" w:hAnsi="Arial"/>
                <w:sz w:val="18"/>
                <w:szCs w:val="18"/>
                <w:color w:val="auto"/>
                <w:w w:val="92"/>
              </w:rPr>
              <w:t>Plains AAP, L.P. (“AAP”) is the general partner of PAA.</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Class A Share</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PAGP</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02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net income per Class A share</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10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PAGP</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02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Incremental net income allocated to PAGP resulting from</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assumed exchange of AAP units and AAP Management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Units</w:t>
            </w: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0" w:type="dxa"/>
            <w:vAlign w:val="bottom"/>
            <w:gridSpan w:val="2"/>
          </w:tcPr>
          <w:p>
            <w:pPr>
              <w:ind w:left="160"/>
              <w:spacing w:after="0" w:line="182" w:lineRule="exact"/>
              <w:rPr>
                <w:sz w:val="20"/>
                <w:szCs w:val="20"/>
                <w:color w:val="auto"/>
              </w:rPr>
            </w:pPr>
            <w:r>
              <w:rPr>
                <w:rFonts w:ascii="Arial" w:cs="Arial" w:eastAsia="Arial" w:hAnsi="Arial"/>
                <w:sz w:val="18"/>
                <w:szCs w:val="18"/>
                <w:color w:val="auto"/>
                <w:w w:val="98"/>
              </w:rPr>
              <w:t>Net income allocated to PAGP including incremental net</w:t>
            </w:r>
          </w:p>
        </w:tc>
        <w:tc>
          <w:tcPr>
            <w:tcW w:w="3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w w:val="96"/>
              </w:rPr>
              <w:t>income from assumed exchange of AAP units and AAP</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020" w:type="dxa"/>
            <w:vAlign w:val="bottom"/>
            <w:gridSpan w:val="2"/>
            <w:vMerge w:val="restart"/>
          </w:tcPr>
          <w:p>
            <w:pPr>
              <w:jc w:val="right"/>
              <w:ind w:right="708"/>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189</w:t>
            </w: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Management Units</w:t>
            </w:r>
          </w:p>
        </w:tc>
        <w:tc>
          <w:tcPr>
            <w:tcW w:w="68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760" w:type="dxa"/>
            <w:vAlign w:val="bottom"/>
            <w:gridSpan w:val="2"/>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Basic weighted average Class A shares outstanding</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260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Dilutive shares resulting from assumed exchange of AAP</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units and AAP Management Units</w:t>
            </w: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w:t>
            </w: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Diluted weighted average Class A shares outstanding</w:t>
            </w:r>
          </w:p>
        </w:tc>
        <w:tc>
          <w:tcPr>
            <w:tcW w:w="3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Diluted net income per Class A share</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0.15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102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0.29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Contacts:</w:t>
            </w: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620" w:type="dxa"/>
            <w:vAlign w:val="bottom"/>
            <w:gridSpan w:val="3"/>
          </w:tcPr>
          <w:p>
            <w:pPr>
              <w:spacing w:after="0"/>
              <w:rPr>
                <w:sz w:val="20"/>
                <w:szCs w:val="20"/>
                <w:color w:val="auto"/>
              </w:rPr>
            </w:pPr>
            <w:r>
              <w:rPr>
                <w:rFonts w:ascii="Arial" w:cs="Arial" w:eastAsia="Arial" w:hAnsi="Arial"/>
                <w:sz w:val="18"/>
                <w:szCs w:val="18"/>
                <w:color w:val="auto"/>
              </w:rPr>
              <w:t>Ryan Smith</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w w:val="92"/>
              </w:rPr>
              <w:t>Al Swanson</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Director, Investor Relations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5"/>
          </w:tcPr>
          <w:p>
            <w:pPr>
              <w:ind w:left="460"/>
              <w:spacing w:after="0"/>
              <w:rPr>
                <w:sz w:val="20"/>
                <w:szCs w:val="20"/>
                <w:color w:val="auto"/>
              </w:rPr>
            </w:pPr>
            <w:r>
              <w:rPr>
                <w:rFonts w:ascii="Arial" w:cs="Arial" w:eastAsia="Arial" w:hAnsi="Arial"/>
                <w:sz w:val="18"/>
                <w:szCs w:val="18"/>
                <w:color w:val="auto"/>
                <w:w w:val="97"/>
              </w:rPr>
              <w:t>Executive Vice President, CFO</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3"/>
          </w:tcPr>
          <w:p>
            <w:pPr>
              <w:spacing w:after="0"/>
              <w:rPr>
                <w:sz w:val="20"/>
                <w:szCs w:val="20"/>
                <w:color w:val="auto"/>
              </w:rPr>
            </w:pPr>
            <w:r>
              <w:rPr>
                <w:rFonts w:ascii="Arial" w:cs="Arial" w:eastAsia="Arial" w:hAnsi="Arial"/>
                <w:sz w:val="18"/>
                <w:szCs w:val="18"/>
                <w:color w:val="auto"/>
              </w:rPr>
              <w:t>(866) 809-1291</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3"/>
          </w:tcPr>
          <w:p>
            <w:pPr>
              <w:ind w:left="460"/>
              <w:spacing w:after="0"/>
              <w:rPr>
                <w:sz w:val="20"/>
                <w:szCs w:val="20"/>
                <w:color w:val="auto"/>
              </w:rPr>
            </w:pPr>
            <w:r>
              <w:rPr>
                <w:rFonts w:ascii="Arial" w:cs="Arial" w:eastAsia="Arial" w:hAnsi="Arial"/>
                <w:sz w:val="18"/>
                <w:szCs w:val="18"/>
                <w:color w:val="auto"/>
                <w:w w:val="92"/>
              </w:rPr>
              <w:t>(800) 564-3036</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80" w:type="dxa"/>
            <w:vAlign w:val="bottom"/>
          </w:tcPr>
          <w:p>
            <w:pPr>
              <w:ind w:left="1660"/>
              <w:spacing w:after="0"/>
              <w:rPr>
                <w:sz w:val="20"/>
                <w:szCs w:val="20"/>
                <w:color w:val="auto"/>
              </w:rPr>
            </w:pPr>
            <w:r>
              <w:rPr>
                <w:rFonts w:ascii="Arial" w:cs="Arial" w:eastAsia="Arial" w:hAnsi="Arial"/>
                <w:sz w:val="18"/>
                <w:szCs w:val="18"/>
                <w:b w:val="1"/>
                <w:bCs w:val="1"/>
                <w:color w:val="auto"/>
              </w:rPr>
              <w:t>333 Clay Street, Suite 1600</w:t>
            </w:r>
          </w:p>
        </w:tc>
        <w:tc>
          <w:tcPr>
            <w:tcW w:w="20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7"/>
              </w:rPr>
              <w:t>Houston, Texas 77002</w:t>
            </w:r>
          </w:p>
        </w:tc>
        <w:tc>
          <w:tcPr>
            <w:tcW w:w="260" w:type="dxa"/>
            <w:vAlign w:val="bottom"/>
          </w:tcPr>
          <w:p>
            <w:pPr>
              <w:spacing w:after="0"/>
              <w:rPr>
                <w:sz w:val="19"/>
                <w:szCs w:val="19"/>
                <w:color w:val="auto"/>
              </w:rPr>
            </w:pPr>
          </w:p>
        </w:tc>
        <w:tc>
          <w:tcPr>
            <w:tcW w:w="2280" w:type="dxa"/>
            <w:vAlign w:val="bottom"/>
            <w:gridSpan w:val="4"/>
          </w:tcPr>
          <w:p>
            <w:pPr>
              <w:jc w:val="right"/>
              <w:ind w:right="8"/>
              <w:spacing w:after="0"/>
              <w:rPr>
                <w:sz w:val="20"/>
                <w:szCs w:val="20"/>
                <w:color w:val="auto"/>
              </w:rPr>
            </w:pPr>
            <w:r>
              <w:rPr>
                <w:rFonts w:ascii="Arial" w:cs="Arial" w:eastAsia="Arial" w:hAnsi="Arial"/>
                <w:sz w:val="18"/>
                <w:szCs w:val="18"/>
                <w:b w:val="1"/>
                <w:bCs w:val="1"/>
                <w:color w:val="auto"/>
                <w:w w:val="91"/>
              </w:rPr>
              <w:t>713-646-4100 / 866-809-1291</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Simplification Transaction will be submitted to the shareholders of PAGP for their consideration, and PAGP will file with the SEC a proxy statement to be used by PAGP to solicit the required approval of its shareholders in connection with the Simplification Transaction. PAGP also plans to file other documents with the SEC regarding the proposed Simplification Transaction. INVESTORS AND SECURITY HOLDERS OF PAGP ARE URGED TO</w:t>
      </w:r>
    </w:p>
    <w:p>
      <w:pPr>
        <w:sectPr>
          <w:pgSz w:w="11900" w:h="16838" w:orient="portrait"/>
          <w:cols w:equalWidth="0" w:num="1">
            <w:col w:w="11460"/>
          </w:cols>
          <w:pgMar w:left="240" w:top="91" w:right="199" w:bottom="0" w:gutter="0" w:footer="0" w:header="0"/>
        </w:sectPr>
      </w:pPr>
    </w:p>
    <w:bookmarkStart w:id="21" w:name="page22"/>
    <w:bookmarkEnd w:id="21"/>
    <w:p>
      <w:pPr>
        <w:spacing w:after="0" w:line="297" w:lineRule="auto"/>
        <w:rPr>
          <w:sz w:val="20"/>
          <w:szCs w:val="20"/>
          <w:color w:val="auto"/>
        </w:rPr>
      </w:pPr>
      <w:r>
        <w:rPr>
          <w:rFonts w:ascii="Arial" w:cs="Arial" w:eastAsia="Arial" w:hAnsi="Arial"/>
          <w:sz w:val="16"/>
          <w:szCs w:val="16"/>
          <w:color w:val="auto"/>
        </w:rPr>
        <w:t>READ THE PROXY STATEMENT AND OTHER RELEVANT DOCUMENTS THAT WILL BE FILED WITH THE SEC CAREFULLY AND IN THEIR ENTIRETY WHEN THEY BECOME AVAILABLE BECAUSE THEY WILL CONTAIN IMPORTANT INFORMATION ABOUT THE SIMPLIFICATION TRANSACTION. Security holders may obtain free copies of the proxy statement and other documents containing important information about PAGP, once such documents are filed with the SEC, through the website maintained by the SEC at http://www.sec.gov. Copies of the documents filed with the SEC by PAGP will be available free of charge on PAGP’s website at ir.pagp.com or by contacting PAGP’s Investor Relations Department at (866) 809-1291.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PAGP and the directors and executive officers of its general partner (“PAGP GP”), and Plains All American Pipeline, L.P. (“PAA”) and the directors and executive officers of the general partner of the sole member of its general partner, Plains All American GP LLC (“GP LLC”), may be deemed to be “participants” in the solicitation of proxies from PAGP’s shareholders in connection with the Simplification Transaction. Information about the directors and executive officers of PAGP GP is set forth in PAGP’s Annual Report on Form 10-K and information about the directors and executive officers of GP LLC is set forth in PAA’s Annual Report on Form 10-K, which were each filed with the SEC on February 25, 2016, and PAGP’s and PAA’s subsequent Quarterly Reports on Form 10-Q. These documents can be obtained free of charge from the sources indicated above. Other information regarding the participants in the proxy solicitation and a description of their direct and indirect interests, by security holdings or otherwise, will be contained in the proxy statement that PAGP intends to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x"/>
      <w:numFmt w:val="bullet"/>
      <w:start w:val="1"/>
    </w:lvl>
  </w:abstractNum>
  <w:abstractNum w:abstractNumId="2">
    <w:nsid w:val="628C895D"/>
    <w:multiLevelType w:val="hybridMultilevel"/>
    <w:lvl w:ilvl="0">
      <w:lvlJc w:val="left"/>
      <w:lvlText w:val="o"/>
      <w:numFmt w:val="bullet"/>
      <w:start w:val="1"/>
    </w:lvl>
  </w:abstractNum>
  <w:abstractNum w:abstractNumId="3">
    <w:nsid w:val="333AB105"/>
    <w:multiLevelType w:val="hybridMultilevel"/>
    <w:lvl w:ilvl="0">
      <w:lvlJc w:val="left"/>
      <w:lvlText w:val="x"/>
      <w:numFmt w:val="bullet"/>
      <w:start w:val="1"/>
    </w:lvl>
  </w:abstractNum>
  <w:abstractNum w:abstractNumId="4">
    <w:nsid w:val="721DA317"/>
    <w:multiLevelType w:val="hybridMultilevel"/>
    <w:lvl w:ilvl="0">
      <w:lvlJc w:val="left"/>
      <w:lvlText w:val="o"/>
      <w:numFmt w:val="bullet"/>
      <w:start w:val="1"/>
    </w:lvl>
    <w:lvl w:ilvl="1">
      <w:lvlJc w:val="left"/>
      <w:lvlText w:val="(%2)"/>
      <w:numFmt w:val="decimal"/>
      <w:start w:val="1"/>
    </w:lvl>
  </w:abstractNum>
  <w:abstractNum w:abstractNumId="5">
    <w:nsid w:val="2443A858"/>
    <w:multiLevelType w:val="hybridMultilevel"/>
    <w:lvl w:ilvl="0">
      <w:lvlJc w:val="left"/>
      <w:lvlText w:val="o"/>
      <w:numFmt w:val="bullet"/>
      <w:start w:val="1"/>
    </w:lvl>
  </w:abstractNum>
  <w:abstractNum w:abstractNumId="6">
    <w:nsid w:val="2D1D5AE9"/>
    <w:multiLevelType w:val="hybridMultilevel"/>
    <w:lvl w:ilvl="0">
      <w:lvlJc w:val="left"/>
      <w:lvlText w:val="(%1)"/>
      <w:numFmt w:val="lowerRoman"/>
      <w:start w:val="4"/>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9">
    <w:nsid w:val="8EDBDA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
    <w:nsid w:val="79838CB2"/>
    <w:multiLevelType w:val="hybridMultilevel"/>
    <w:lvl w:ilvl="0">
      <w:lvlJc w:val="left"/>
      <w:lvlText w:val="%1"/>
      <w:numFmt w:val="lowerLetter"/>
      <w:start w:val="1"/>
    </w:lvl>
    <w:lvl w:ilvl="1">
      <w:lvlJc w:val="left"/>
      <w:lvlText w:val="(%2)"/>
      <w:numFmt w:val="decimal"/>
      <w:start w:val="1"/>
    </w:lvl>
  </w:abstractNum>
  <w:abstractNum w:abstractNumId="11">
    <w:nsid w:val="4353D0CD"/>
    <w:multiLevelType w:val="hybridMultilevel"/>
    <w:lvl w:ilvl="0">
      <w:lvlJc w:val="left"/>
      <w:lvlText w:val="%1."/>
      <w:numFmt w:val="lowerLetter"/>
      <w:start w:val="2"/>
    </w:lvl>
    <w:lvl w:ilvl="1">
      <w:lvlJc w:val="left"/>
      <w:lvlText w:val="%2"/>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lowerLetter"/>
      <w:start w:val="3"/>
    </w:lvl>
    <w:lvl w:ilvl="1">
      <w:lvlJc w:val="left"/>
      <w:lvlText w:val="·"/>
      <w:numFmt w:val="bullet"/>
      <w:start w:val="1"/>
    </w:lvl>
  </w:abstractNum>
  <w:abstractNum w:abstractNumId="14">
    <w:nsid w:val="54E49EB4"/>
    <w:multiLevelType w:val="hybridMultilevel"/>
    <w:lvl w:ilvl="0">
      <w:lvlJc w:val="left"/>
      <w:lvlText w:val="%1"/>
      <w:numFmt w:val="decimal"/>
      <w:start w:val="1"/>
    </w:lvl>
    <w:lvl w:ilvl="1">
      <w:lvlJc w:val="left"/>
      <w:lvlText w:val="(%2)"/>
      <w:numFmt w:val="decimal"/>
      <w:start w:val="1"/>
    </w:lvl>
  </w:abstractNum>
  <w:abstractNum w:abstractNumId="15">
    <w:nsid w:val="71F32454"/>
    <w:multiLevelType w:val="hybridMultilevel"/>
    <w:lvl w:ilvl="0">
      <w:lvlJc w:val="left"/>
      <w:lvlText w:val="%1."/>
      <w:numFmt w:val="decimal"/>
      <w:start w:val="3"/>
    </w:lvl>
    <w:lvl w:ilvl="1">
      <w:lvlJc w:val="left"/>
      <w:lvlText w:val="%2"/>
      <w:numFmt w:val="decimal"/>
      <w:start w:val="1"/>
    </w:lvl>
  </w:abstractNum>
  <w:abstractNum w:abstractNumId="16">
    <w:nsid w:val="2CA88611"/>
    <w:multiLevelType w:val="hybridMultilevel"/>
    <w:lvl w:ilvl="0">
      <w:lvlJc w:val="left"/>
      <w:lvlText w:val="%1."/>
      <w:numFmt w:val="decimal"/>
      <w:start w:val="4"/>
    </w:lvl>
  </w:abstractNum>
  <w:abstractNum w:abstractNumId="17">
    <w:nsid w:val="836C40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Roman"/>
      <w:start w:val="3"/>
    </w:lvl>
  </w:abstractNum>
  <w:abstractNum w:abstractNumId="18">
    <w:nsid w:val="2901D82"/>
    <w:multiLevelType w:val="hybridMultilevel"/>
    <w:lvl w:ilvl="0">
      <w:lvlJc w:val="left"/>
      <w:lvlText w:val="%1."/>
      <w:numFmt w:val="decimal"/>
      <w:start w:val="5"/>
    </w:lvl>
    <w:lvl w:ilvl="1">
      <w:lvlJc w:val="left"/>
      <w:lvlText w:val="%2."/>
      <w:numFmt w:val="decimal"/>
      <w:start w:val="7"/>
    </w:lvl>
    <w:lvl w:ilvl="2">
      <w:lvlJc w:val="left"/>
      <w:lvlText w:val="%3"/>
      <w:numFmt w:val="decimal"/>
      <w:start w:val="1"/>
    </w:lvl>
    <w:lvl w:ilvl="3">
      <w:lvlJc w:val="left"/>
      <w:lvlText w:val="%4"/>
      <w:numFmt w:val="lowerRoman"/>
      <w:start w:val="1"/>
    </w:lvl>
  </w:abstractNum>
  <w:abstractNum w:abstractNumId="19">
    <w:nsid w:val="3A95F874"/>
    <w:multiLevelType w:val="hybridMultilevel"/>
    <w:lvl w:ilvl="0">
      <w:lvlJc w:val="left"/>
      <w:lvlText w:val="%1."/>
      <w:numFmt w:val="decimal"/>
      <w:start w:val="8"/>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2"/>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3"/>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2020-01-20T22:15:14Z</dcterms:created>
  <dcterms:modified xsi:type="dcterms:W3CDTF">2020-01-20T22:15:14Z</dcterms:modified>
</cp:coreProperties>
</file>