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OMB APPROVAL</w:t>
      </w:r>
    </w:p>
    <w:p>
      <w:pPr>
        <w:spacing w:after="0" w:line="36" w:lineRule="exact"/>
        <w:rPr>
          <w:sz w:val="24"/>
          <w:szCs w:val="24"/>
          <w:color w:val="auto"/>
        </w:rPr>
      </w:pPr>
    </w:p>
    <w:p>
      <w:pPr>
        <w:ind w:left="6860"/>
        <w:spacing w:after="0"/>
        <w:tabs>
          <w:tab w:leader="none" w:pos="8240" w:val="left"/>
        </w:tabs>
        <w:rPr>
          <w:sz w:val="20"/>
          <w:szCs w:val="20"/>
          <w:color w:val="auto"/>
        </w:rPr>
      </w:pPr>
      <w:r>
        <w:rPr>
          <w:rFonts w:ascii="Arial" w:cs="Arial" w:eastAsia="Arial" w:hAnsi="Arial"/>
          <w:sz w:val="18"/>
          <w:szCs w:val="18"/>
          <w:color w:val="auto"/>
        </w:rPr>
        <w:t>OMB Number:</w:t>
      </w:r>
      <w:r>
        <w:rPr>
          <w:sz w:val="20"/>
          <w:szCs w:val="20"/>
          <w:color w:val="auto"/>
        </w:rPr>
        <w:tab/>
      </w:r>
      <w:r>
        <w:rPr>
          <w:rFonts w:ascii="Arial" w:cs="Arial" w:eastAsia="Arial" w:hAnsi="Arial"/>
          <w:sz w:val="16"/>
          <w:szCs w:val="16"/>
          <w:color w:val="auto"/>
        </w:rPr>
        <w:t>3235-0145</w:t>
      </w:r>
    </w:p>
    <w:p>
      <w:pPr>
        <w:spacing w:after="0" w:line="36" w:lineRule="exact"/>
        <w:rPr>
          <w:sz w:val="24"/>
          <w:szCs w:val="24"/>
          <w:color w:val="auto"/>
        </w:rPr>
      </w:pPr>
    </w:p>
    <w:p>
      <w:pPr>
        <w:ind w:left="6860"/>
        <w:spacing w:after="0"/>
        <w:tabs>
          <w:tab w:leader="none" w:pos="7760" w:val="left"/>
        </w:tabs>
        <w:rPr>
          <w:sz w:val="20"/>
          <w:szCs w:val="20"/>
          <w:color w:val="auto"/>
        </w:rPr>
      </w:pPr>
      <w:r>
        <w:rPr>
          <w:rFonts w:ascii="Arial" w:cs="Arial" w:eastAsia="Arial" w:hAnsi="Arial"/>
          <w:sz w:val="18"/>
          <w:szCs w:val="18"/>
          <w:color w:val="auto"/>
        </w:rPr>
        <w:t>Expires:</w:t>
      </w:r>
      <w:r>
        <w:rPr>
          <w:sz w:val="20"/>
          <w:szCs w:val="20"/>
          <w:color w:val="auto"/>
        </w:rPr>
        <w:tab/>
      </w:r>
      <w:r>
        <w:rPr>
          <w:rFonts w:ascii="Arial" w:cs="Arial" w:eastAsia="Arial" w:hAnsi="Arial"/>
          <w:sz w:val="18"/>
          <w:szCs w:val="18"/>
          <w:color w:val="auto"/>
        </w:rPr>
        <w:t>October 31, 2002</w:t>
      </w:r>
    </w:p>
    <w:p>
      <w:pPr>
        <w:spacing w:after="0" w:line="36"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Estimated average burden</w:t>
      </w:r>
    </w:p>
    <w:p>
      <w:pPr>
        <w:spacing w:after="0" w:line="36" w:lineRule="exact"/>
        <w:rPr>
          <w:sz w:val="24"/>
          <w:szCs w:val="24"/>
          <w:color w:val="auto"/>
        </w:rPr>
      </w:pPr>
    </w:p>
    <w:p>
      <w:pPr>
        <w:ind w:left="6860"/>
        <w:spacing w:after="0"/>
        <w:tabs>
          <w:tab w:leader="none" w:pos="8500" w:val="left"/>
        </w:tabs>
        <w:rPr>
          <w:sz w:val="20"/>
          <w:szCs w:val="20"/>
          <w:color w:val="auto"/>
        </w:rPr>
      </w:pPr>
      <w:r>
        <w:rPr>
          <w:rFonts w:ascii="Arial" w:cs="Arial" w:eastAsia="Arial" w:hAnsi="Arial"/>
          <w:sz w:val="18"/>
          <w:szCs w:val="18"/>
          <w:color w:val="auto"/>
        </w:rPr>
        <w:t>Hours per response</w:t>
      </w:r>
      <w:r>
        <w:rPr>
          <w:sz w:val="20"/>
          <w:szCs w:val="20"/>
          <w:color w:val="auto"/>
        </w:rPr>
        <w:tab/>
      </w:r>
      <w:r>
        <w:rPr>
          <w:rFonts w:ascii="Arial" w:cs="Arial" w:eastAsia="Arial" w:hAnsi="Arial"/>
          <w:sz w:val="15"/>
          <w:szCs w:val="15"/>
          <w:color w:val="auto"/>
        </w:rPr>
        <w:t>14.90</w:t>
      </w:r>
    </w:p>
    <w:p>
      <w:pPr>
        <w:spacing w:after="0" w:line="317" w:lineRule="exact"/>
        <w:rPr>
          <w:sz w:val="24"/>
          <w:szCs w:val="24"/>
          <w:color w:val="auto"/>
        </w:rPr>
      </w:pPr>
    </w:p>
    <w:p>
      <w:pPr>
        <w:jc w:val="center"/>
        <w:ind w:right="-19"/>
        <w:spacing w:after="0"/>
        <w:rPr>
          <w:sz w:val="20"/>
          <w:szCs w:val="20"/>
          <w:color w:val="auto"/>
        </w:rPr>
      </w:pPr>
      <w:r>
        <w:rPr>
          <w:rFonts w:ascii="Arial" w:cs="Arial" w:eastAsia="Arial" w:hAnsi="Arial"/>
          <w:sz w:val="25"/>
          <w:szCs w:val="25"/>
          <w:color w:val="auto"/>
        </w:rPr>
        <w:t>SECURITIES AND EXCHANGE COMMISSION</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273" w:lineRule="exact"/>
        <w:rPr>
          <w:sz w:val="24"/>
          <w:szCs w:val="24"/>
          <w:color w:val="auto"/>
        </w:rPr>
      </w:pPr>
    </w:p>
    <w:p>
      <w:pPr>
        <w:jc w:val="center"/>
        <w:ind w:right="-19"/>
        <w:spacing w:after="0"/>
        <w:rPr>
          <w:sz w:val="20"/>
          <w:szCs w:val="20"/>
          <w:color w:val="auto"/>
        </w:rPr>
      </w:pPr>
      <w:r>
        <w:rPr>
          <w:rFonts w:ascii="Arial" w:cs="Arial" w:eastAsia="Arial" w:hAnsi="Arial"/>
          <w:sz w:val="32"/>
          <w:szCs w:val="32"/>
          <w:color w:val="auto"/>
        </w:rPr>
        <w:t>SCHEDULE 13D</w:t>
      </w:r>
    </w:p>
    <w:p>
      <w:pPr>
        <w:spacing w:after="0" w:line="29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NO.5)</w:t>
      </w:r>
    </w:p>
    <w:p>
      <w:pPr>
        <w:spacing w:after="0" w:line="275" w:lineRule="exact"/>
        <w:rPr>
          <w:sz w:val="24"/>
          <w:szCs w:val="24"/>
          <w:color w:val="auto"/>
        </w:rPr>
      </w:pPr>
    </w:p>
    <w:p>
      <w:pPr>
        <w:jc w:val="center"/>
        <w:ind w:right="40"/>
        <w:spacing w:after="0"/>
        <w:rPr>
          <w:sz w:val="20"/>
          <w:szCs w:val="20"/>
          <w:color w:val="auto"/>
        </w:rPr>
      </w:pPr>
      <w:r>
        <w:rPr>
          <w:rFonts w:ascii="Arial" w:cs="Arial" w:eastAsia="Arial" w:hAnsi="Arial"/>
          <w:sz w:val="43"/>
          <w:szCs w:val="43"/>
          <w:color w:val="auto"/>
        </w:rPr>
        <w:t>PLAINS ALL AMERICAN PIPELINE,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725170</wp:posOffset>
            </wp:positionH>
            <wp:positionV relativeFrom="paragraph">
              <wp:posOffset>100330</wp:posOffset>
            </wp:positionV>
            <wp:extent cx="58146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24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7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UNITS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725170</wp:posOffset>
            </wp:positionH>
            <wp:positionV relativeFrom="paragraph">
              <wp:posOffset>83185</wp:posOffset>
            </wp:positionV>
            <wp:extent cx="58146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32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726503105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725170</wp:posOffset>
            </wp:positionH>
            <wp:positionV relativeFrom="paragraph">
              <wp:posOffset>92075</wp:posOffset>
            </wp:positionV>
            <wp:extent cx="58146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7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DAVID J. SHLADOVSKY, C/O KAYNE ANDERSON CAPITAL ADVISORS, L.P.</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1800 AVENUE OF THE STARS, SECOND FLOOR, LOS ANGELES, CA 90067</w:t>
      </w:r>
    </w:p>
    <w:p>
      <w:pPr>
        <w:spacing w:after="0" w:line="35"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(310) 556-2721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725170</wp:posOffset>
            </wp:positionH>
            <wp:positionV relativeFrom="paragraph">
              <wp:posOffset>92075</wp:posOffset>
            </wp:positionV>
            <wp:extent cx="58146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Authorized to Receive Notices and Communications)</w:t>
      </w:r>
    </w:p>
    <w:p>
      <w:pPr>
        <w:spacing w:after="0" w:line="305"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12-15-06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725170</wp:posOffset>
            </wp:positionH>
            <wp:positionV relativeFrom="paragraph">
              <wp:posOffset>92075</wp:posOffset>
            </wp:positionV>
            <wp:extent cx="58146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79" w:lineRule="exact"/>
        <w:rPr>
          <w:sz w:val="24"/>
          <w:szCs w:val="24"/>
          <w:color w:val="auto"/>
        </w:rPr>
      </w:pPr>
    </w:p>
    <w:p>
      <w:pPr>
        <w:ind w:right="560"/>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Rule 13d-1(e), 13d-1(f) or 13d-1(g), check the following box o.</w:t>
      </w:r>
    </w:p>
    <w:p>
      <w:pPr>
        <w:spacing w:after="0" w:line="22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Rule 13d-7(b) for other parties to whom copies are to be sent.</w:t>
      </w:r>
    </w:p>
    <w:p>
      <w:pPr>
        <w:spacing w:after="0" w:line="224"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24" w:lineRule="exact"/>
        <w:rPr>
          <w:sz w:val="24"/>
          <w:szCs w:val="24"/>
          <w:color w:val="auto"/>
        </w:rPr>
      </w:pPr>
    </w:p>
    <w:p>
      <w:pPr>
        <w:ind w:right="100"/>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25400</wp:posOffset>
            </wp:positionV>
            <wp:extent cx="7250430" cy="450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14" w:right="2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2500" w:type="dxa"/>
            <w:vAlign w:val="bottom"/>
            <w:gridSpan w:val="2"/>
          </w:tcPr>
          <w:p>
            <w:pPr>
              <w:spacing w:after="0"/>
              <w:rPr>
                <w:sz w:val="20"/>
                <w:szCs w:val="20"/>
                <w:color w:val="auto"/>
              </w:rPr>
            </w:pPr>
            <w:r>
              <w:rPr>
                <w:rFonts w:ascii="Arial" w:cs="Arial" w:eastAsia="Arial" w:hAnsi="Arial"/>
                <w:sz w:val="18"/>
                <w:szCs w:val="18"/>
                <w:color w:val="auto"/>
              </w:rPr>
              <w:t>CUSIP NO. 726503105</w:t>
            </w:r>
          </w:p>
        </w:tc>
        <w:tc>
          <w:tcPr>
            <w:tcW w:w="6780" w:type="dxa"/>
            <w:vAlign w:val="bottom"/>
            <w:gridSpan w:val="2"/>
          </w:tcPr>
          <w:p>
            <w:pPr>
              <w:ind w:left="2580"/>
              <w:spacing w:after="0"/>
              <w:rPr>
                <w:sz w:val="20"/>
                <w:szCs w:val="20"/>
                <w:color w:val="auto"/>
              </w:rPr>
            </w:pPr>
            <w:r>
              <w:rPr>
                <w:rFonts w:ascii="Arial" w:cs="Arial" w:eastAsia="Arial" w:hAnsi="Arial"/>
                <w:sz w:val="18"/>
                <w:szCs w:val="18"/>
                <w:color w:val="auto"/>
              </w:rPr>
              <w:t>SCHEDULE 13D</w:t>
            </w:r>
          </w:p>
        </w:tc>
        <w:tc>
          <w:tcPr>
            <w:tcW w:w="2140" w:type="dxa"/>
            <w:vAlign w:val="bottom"/>
          </w:tcPr>
          <w:p>
            <w:pPr>
              <w:jc w:val="right"/>
              <w:spacing w:after="0"/>
              <w:rPr>
                <w:sz w:val="20"/>
                <w:szCs w:val="20"/>
                <w:color w:val="auto"/>
              </w:rPr>
            </w:pPr>
            <w:r>
              <w:rPr>
                <w:rFonts w:ascii="Arial" w:cs="Arial" w:eastAsia="Arial" w:hAnsi="Arial"/>
                <w:sz w:val="18"/>
                <w:szCs w:val="18"/>
                <w:color w:val="auto"/>
              </w:rPr>
              <w:t>PAGE 2 OF 7 PAGES</w:t>
            </w:r>
          </w:p>
        </w:tc>
        <w:tc>
          <w:tcPr>
            <w:tcW w:w="0" w:type="dxa"/>
            <w:vAlign w:val="bottom"/>
          </w:tcPr>
          <w:p>
            <w:pPr>
              <w:spacing w:after="0"/>
              <w:rPr>
                <w:sz w:val="1"/>
                <w:szCs w:val="1"/>
                <w:color w:val="auto"/>
              </w:rPr>
            </w:pPr>
          </w:p>
        </w:tc>
      </w:tr>
      <w:tr>
        <w:trPr>
          <w:trHeight w:val="280"/>
        </w:trPr>
        <w:tc>
          <w:tcPr>
            <w:tcW w:w="14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1.</w:t>
            </w:r>
          </w:p>
        </w:tc>
        <w:tc>
          <w:tcPr>
            <w:tcW w:w="4260" w:type="dxa"/>
            <w:vAlign w:val="bottom"/>
            <w:gridSpan w:val="2"/>
          </w:tcPr>
          <w:p>
            <w:pPr>
              <w:ind w:left="180"/>
              <w:spacing w:after="0"/>
              <w:rPr>
                <w:sz w:val="20"/>
                <w:szCs w:val="20"/>
                <w:color w:val="auto"/>
              </w:rPr>
            </w:pPr>
            <w:r>
              <w:rPr>
                <w:rFonts w:ascii="Arial" w:cs="Arial" w:eastAsia="Arial" w:hAnsi="Arial"/>
                <w:sz w:val="18"/>
                <w:szCs w:val="18"/>
                <w:color w:val="auto"/>
              </w:rPr>
              <w:t>NAMES OF REPORTING PERSONS</w:t>
            </w:r>
          </w:p>
        </w:tc>
        <w:tc>
          <w:tcPr>
            <w:tcW w:w="3620" w:type="dxa"/>
            <w:vAlign w:val="bottom"/>
          </w:tcPr>
          <w:p>
            <w:pPr>
              <w:spacing w:after="0"/>
              <w:rPr>
                <w:sz w:val="19"/>
                <w:szCs w:val="19"/>
                <w:color w:val="auto"/>
              </w:rPr>
            </w:pPr>
          </w:p>
        </w:tc>
        <w:tc>
          <w:tcPr>
            <w:tcW w:w="2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right w:val="single" w:sz="8" w:color="auto"/>
            </w:tcBorders>
          </w:tcPr>
          <w:p>
            <w:pPr>
              <w:spacing w:after="0"/>
              <w:rPr>
                <w:sz w:val="18"/>
                <w:szCs w:val="18"/>
                <w:color w:val="auto"/>
              </w:rPr>
            </w:pPr>
          </w:p>
        </w:tc>
        <w:tc>
          <w:tcPr>
            <w:tcW w:w="7880" w:type="dxa"/>
            <w:vAlign w:val="bottom"/>
            <w:gridSpan w:val="3"/>
          </w:tcPr>
          <w:p>
            <w:pPr>
              <w:ind w:left="180"/>
              <w:spacing w:after="0"/>
              <w:rPr>
                <w:sz w:val="20"/>
                <w:szCs w:val="20"/>
                <w:color w:val="auto"/>
              </w:rPr>
            </w:pPr>
            <w:r>
              <w:rPr>
                <w:rFonts w:ascii="Arial" w:cs="Arial" w:eastAsia="Arial" w:hAnsi="Arial"/>
                <w:sz w:val="18"/>
                <w:szCs w:val="18"/>
                <w:color w:val="auto"/>
              </w:rPr>
              <w:t>I.R.S. IDENTIFICATION NOS. OF ABOVE PERSONS (ENTITIES ONLY)</w:t>
            </w:r>
          </w:p>
        </w:tc>
        <w:tc>
          <w:tcPr>
            <w:tcW w:w="2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right w:val="single" w:sz="8" w:color="auto"/>
            </w:tcBorders>
          </w:tcPr>
          <w:p>
            <w:pPr>
              <w:spacing w:after="0"/>
              <w:rPr>
                <w:sz w:val="20"/>
                <w:szCs w:val="20"/>
                <w:color w:val="auto"/>
              </w:rPr>
            </w:pPr>
          </w:p>
        </w:tc>
        <w:tc>
          <w:tcPr>
            <w:tcW w:w="4260" w:type="dxa"/>
            <w:vAlign w:val="bottom"/>
            <w:gridSpan w:val="2"/>
          </w:tcPr>
          <w:p>
            <w:pPr>
              <w:ind w:left="180"/>
              <w:spacing w:after="0"/>
              <w:rPr>
                <w:sz w:val="20"/>
                <w:szCs w:val="20"/>
                <w:color w:val="auto"/>
              </w:rPr>
            </w:pPr>
            <w:r>
              <w:rPr>
                <w:rFonts w:ascii="Arial" w:cs="Arial" w:eastAsia="Arial" w:hAnsi="Arial"/>
                <w:sz w:val="18"/>
                <w:szCs w:val="18"/>
                <w:color w:val="auto"/>
              </w:rPr>
              <w:t>KAYNE ANDERSON CAPITAL ADVISORS, L.P.</w:t>
            </w:r>
          </w:p>
        </w:tc>
        <w:tc>
          <w:tcPr>
            <w:tcW w:w="3620" w:type="dxa"/>
            <w:vAlign w:val="bottom"/>
          </w:tcPr>
          <w:p>
            <w:pPr>
              <w:jc w:val="right"/>
              <w:ind w:right="2210"/>
              <w:spacing w:after="0"/>
              <w:rPr>
                <w:sz w:val="20"/>
                <w:szCs w:val="20"/>
                <w:color w:val="auto"/>
              </w:rPr>
            </w:pPr>
            <w:r>
              <w:rPr>
                <w:rFonts w:ascii="Arial" w:cs="Arial" w:eastAsia="Arial" w:hAnsi="Arial"/>
                <w:sz w:val="18"/>
                <w:szCs w:val="18"/>
                <w:color w:val="auto"/>
              </w:rPr>
              <w:t>- 95-4486379</w:t>
            </w:r>
          </w:p>
        </w:tc>
        <w:tc>
          <w:tcPr>
            <w:tcW w:w="2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1400" w:type="dxa"/>
            <w:vAlign w:val="bottom"/>
            <w:tcBorders>
              <w:left w:val="single" w:sz="8" w:color="auto"/>
              <w:bottom w:val="single" w:sz="8" w:color="auto"/>
              <w:right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6780" w:type="dxa"/>
            <w:vAlign w:val="bottom"/>
            <w:tcBorders>
              <w:bottom w:val="single" w:sz="8" w:color="auto"/>
            </w:tcBorders>
            <w:gridSpan w:val="2"/>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2.</w:t>
            </w:r>
          </w:p>
        </w:tc>
        <w:tc>
          <w:tcPr>
            <w:tcW w:w="7880" w:type="dxa"/>
            <w:vAlign w:val="bottom"/>
            <w:gridSpan w:val="3"/>
          </w:tcPr>
          <w:p>
            <w:pPr>
              <w:ind w:left="180"/>
              <w:spacing w:after="0"/>
              <w:rPr>
                <w:sz w:val="20"/>
                <w:szCs w:val="20"/>
                <w:color w:val="auto"/>
              </w:rPr>
            </w:pPr>
            <w:r>
              <w:rPr>
                <w:rFonts w:ascii="Arial" w:cs="Arial" w:eastAsia="Arial" w:hAnsi="Arial"/>
                <w:sz w:val="18"/>
                <w:szCs w:val="18"/>
                <w:color w:val="auto"/>
              </w:rPr>
              <w:t>CHECK THE APPROPRIATE BOX IF A MEMBER OF A GROUP</w:t>
            </w:r>
          </w:p>
        </w:tc>
        <w:tc>
          <w:tcPr>
            <w:tcW w:w="2140" w:type="dxa"/>
            <w:vAlign w:val="bottom"/>
            <w:tcBorders>
              <w:right w:val="single" w:sz="8" w:color="auto"/>
            </w:tcBorders>
            <w:vMerge w:val="restart"/>
          </w:tcPr>
          <w:p>
            <w:pPr>
              <w:jc w:val="right"/>
              <w:ind w:right="370"/>
              <w:spacing w:after="0"/>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02"/>
        </w:trPr>
        <w:tc>
          <w:tcPr>
            <w:tcW w:w="1400" w:type="dxa"/>
            <w:vAlign w:val="bottom"/>
            <w:tcBorders>
              <w:left w:val="single" w:sz="8" w:color="auto"/>
              <w:right w:val="single" w:sz="8" w:color="auto"/>
            </w:tcBorders>
          </w:tcPr>
          <w:p>
            <w:pPr>
              <w:spacing w:after="0"/>
              <w:rPr>
                <w:sz w:val="17"/>
                <w:szCs w:val="17"/>
                <w:color w:val="auto"/>
              </w:rPr>
            </w:pPr>
          </w:p>
        </w:tc>
        <w:tc>
          <w:tcPr>
            <w:tcW w:w="110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214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right w:val="single" w:sz="8" w:color="auto"/>
            </w:tcBorders>
          </w:tcPr>
          <w:p>
            <w:pPr>
              <w:spacing w:after="0"/>
              <w:rPr>
                <w:sz w:val="20"/>
                <w:szCs w:val="20"/>
                <w:color w:val="auto"/>
              </w:rPr>
            </w:pPr>
          </w:p>
        </w:tc>
        <w:tc>
          <w:tcPr>
            <w:tcW w:w="11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140" w:type="dxa"/>
            <w:vAlign w:val="bottom"/>
            <w:tcBorders>
              <w:right w:val="single" w:sz="8" w:color="auto"/>
            </w:tcBorders>
          </w:tcPr>
          <w:p>
            <w:pPr>
              <w:jc w:val="right"/>
              <w:ind w:right="370"/>
              <w:spacing w:after="0"/>
              <w:rPr>
                <w:sz w:val="20"/>
                <w:szCs w:val="20"/>
                <w:color w:val="auto"/>
              </w:rPr>
            </w:pPr>
            <w:r>
              <w:rPr>
                <w:rFonts w:ascii="Arial" w:cs="Arial" w:eastAsia="Arial" w:hAnsi="Arial"/>
                <w:sz w:val="18"/>
                <w:szCs w:val="18"/>
                <w:color w:val="auto"/>
              </w:rPr>
              <w:t>(b) o</w:t>
            </w:r>
          </w:p>
        </w:tc>
        <w:tc>
          <w:tcPr>
            <w:tcW w:w="0" w:type="dxa"/>
            <w:vAlign w:val="bottom"/>
          </w:tcPr>
          <w:p>
            <w:pPr>
              <w:spacing w:after="0"/>
              <w:rPr>
                <w:sz w:val="1"/>
                <w:szCs w:val="1"/>
                <w:color w:val="auto"/>
              </w:rPr>
            </w:pPr>
          </w:p>
        </w:tc>
      </w:tr>
      <w:tr>
        <w:trPr>
          <w:trHeight w:val="37"/>
        </w:trPr>
        <w:tc>
          <w:tcPr>
            <w:tcW w:w="1400" w:type="dxa"/>
            <w:vAlign w:val="bottom"/>
            <w:tcBorders>
              <w:left w:val="single" w:sz="8" w:color="auto"/>
              <w:bottom w:val="single" w:sz="8" w:color="auto"/>
              <w:right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160" w:type="dxa"/>
            <w:vAlign w:val="bottom"/>
            <w:tcBorders>
              <w:bottom w:val="single" w:sz="8" w:color="auto"/>
            </w:tcBorders>
          </w:tcPr>
          <w:p>
            <w:pPr>
              <w:spacing w:after="0"/>
              <w:rPr>
                <w:sz w:val="3"/>
                <w:szCs w:val="3"/>
                <w:color w:val="auto"/>
              </w:rPr>
            </w:pPr>
          </w:p>
        </w:tc>
        <w:tc>
          <w:tcPr>
            <w:tcW w:w="3620" w:type="dxa"/>
            <w:vAlign w:val="bottom"/>
            <w:tcBorders>
              <w:bottom w:val="single" w:sz="8" w:color="auto"/>
            </w:tcBorders>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3.</w:t>
            </w:r>
          </w:p>
        </w:tc>
        <w:tc>
          <w:tcPr>
            <w:tcW w:w="4260" w:type="dxa"/>
            <w:vAlign w:val="bottom"/>
            <w:gridSpan w:val="2"/>
          </w:tcPr>
          <w:p>
            <w:pPr>
              <w:ind w:left="180"/>
              <w:spacing w:after="0"/>
              <w:rPr>
                <w:sz w:val="20"/>
                <w:szCs w:val="20"/>
                <w:color w:val="auto"/>
              </w:rPr>
            </w:pPr>
            <w:r>
              <w:rPr>
                <w:rFonts w:ascii="Arial" w:cs="Arial" w:eastAsia="Arial" w:hAnsi="Arial"/>
                <w:sz w:val="18"/>
                <w:szCs w:val="18"/>
                <w:color w:val="auto"/>
              </w:rPr>
              <w:t>SEC USE ONLY</w:t>
            </w:r>
          </w:p>
        </w:tc>
        <w:tc>
          <w:tcPr>
            <w:tcW w:w="3620" w:type="dxa"/>
            <w:vAlign w:val="bottom"/>
          </w:tcPr>
          <w:p>
            <w:pPr>
              <w:spacing w:after="0"/>
              <w:rPr>
                <w:sz w:val="20"/>
                <w:szCs w:val="20"/>
                <w:color w:val="auto"/>
              </w:rPr>
            </w:pPr>
          </w:p>
        </w:tc>
        <w:tc>
          <w:tcPr>
            <w:tcW w:w="2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1400" w:type="dxa"/>
            <w:vAlign w:val="bottom"/>
            <w:tcBorders>
              <w:left w:val="single" w:sz="8" w:color="auto"/>
              <w:bottom w:val="single" w:sz="8" w:color="auto"/>
              <w:right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160" w:type="dxa"/>
            <w:vAlign w:val="bottom"/>
            <w:tcBorders>
              <w:bottom w:val="single" w:sz="8" w:color="auto"/>
            </w:tcBorders>
          </w:tcPr>
          <w:p>
            <w:pPr>
              <w:spacing w:after="0"/>
              <w:rPr>
                <w:sz w:val="3"/>
                <w:szCs w:val="3"/>
                <w:color w:val="auto"/>
              </w:rPr>
            </w:pPr>
          </w:p>
        </w:tc>
        <w:tc>
          <w:tcPr>
            <w:tcW w:w="3620" w:type="dxa"/>
            <w:vAlign w:val="bottom"/>
            <w:tcBorders>
              <w:bottom w:val="single" w:sz="8" w:color="auto"/>
            </w:tcBorders>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6"/>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4.</w:t>
            </w:r>
          </w:p>
        </w:tc>
        <w:tc>
          <w:tcPr>
            <w:tcW w:w="4260" w:type="dxa"/>
            <w:vAlign w:val="bottom"/>
            <w:gridSpan w:val="2"/>
          </w:tcPr>
          <w:p>
            <w:pPr>
              <w:ind w:left="180"/>
              <w:spacing w:after="0"/>
              <w:rPr>
                <w:sz w:val="20"/>
                <w:szCs w:val="20"/>
                <w:color w:val="auto"/>
              </w:rPr>
            </w:pPr>
            <w:r>
              <w:rPr>
                <w:rFonts w:ascii="Arial" w:cs="Arial" w:eastAsia="Arial" w:hAnsi="Arial"/>
                <w:sz w:val="18"/>
                <w:szCs w:val="18"/>
                <w:color w:val="auto"/>
              </w:rPr>
              <w:t>SOURCE OF FUNDS</w:t>
            </w:r>
          </w:p>
        </w:tc>
        <w:tc>
          <w:tcPr>
            <w:tcW w:w="3620" w:type="dxa"/>
            <w:vAlign w:val="bottom"/>
          </w:tcPr>
          <w:p>
            <w:pPr>
              <w:spacing w:after="0"/>
              <w:rPr>
                <w:sz w:val="19"/>
                <w:szCs w:val="19"/>
                <w:color w:val="auto"/>
              </w:rPr>
            </w:pPr>
          </w:p>
        </w:tc>
        <w:tc>
          <w:tcPr>
            <w:tcW w:w="2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right w:val="single" w:sz="8" w:color="auto"/>
            </w:tcBorders>
          </w:tcPr>
          <w:p>
            <w:pPr>
              <w:spacing w:after="0"/>
              <w:rPr>
                <w:sz w:val="20"/>
                <w:szCs w:val="20"/>
                <w:color w:val="auto"/>
              </w:rPr>
            </w:pPr>
          </w:p>
        </w:tc>
        <w:tc>
          <w:tcPr>
            <w:tcW w:w="1100" w:type="dxa"/>
            <w:vAlign w:val="bottom"/>
          </w:tcPr>
          <w:p>
            <w:pPr>
              <w:ind w:left="180"/>
              <w:spacing w:after="0"/>
              <w:rPr>
                <w:sz w:val="20"/>
                <w:szCs w:val="20"/>
                <w:color w:val="auto"/>
              </w:rPr>
            </w:pPr>
            <w:r>
              <w:rPr>
                <w:rFonts w:ascii="Arial" w:cs="Arial" w:eastAsia="Arial" w:hAnsi="Arial"/>
                <w:sz w:val="18"/>
                <w:szCs w:val="18"/>
                <w:color w:val="auto"/>
              </w:rPr>
              <w:t>AF PF</w:t>
            </w:r>
          </w:p>
        </w:tc>
        <w:tc>
          <w:tcPr>
            <w:tcW w:w="316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1400" w:type="dxa"/>
            <w:vAlign w:val="bottom"/>
            <w:tcBorders>
              <w:left w:val="single" w:sz="8" w:color="auto"/>
              <w:bottom w:val="single" w:sz="8" w:color="auto"/>
              <w:right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6780" w:type="dxa"/>
            <w:vAlign w:val="bottom"/>
            <w:tcBorders>
              <w:bottom w:val="single" w:sz="8" w:color="auto"/>
            </w:tcBorders>
            <w:gridSpan w:val="2"/>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6"/>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5.</w:t>
            </w:r>
          </w:p>
        </w:tc>
        <w:tc>
          <w:tcPr>
            <w:tcW w:w="7880" w:type="dxa"/>
            <w:vAlign w:val="bottom"/>
            <w:gridSpan w:val="3"/>
          </w:tcPr>
          <w:p>
            <w:pPr>
              <w:ind w:left="180"/>
              <w:spacing w:after="0"/>
              <w:rPr>
                <w:sz w:val="20"/>
                <w:szCs w:val="20"/>
                <w:color w:val="auto"/>
              </w:rPr>
            </w:pPr>
            <w:r>
              <w:rPr>
                <w:rFonts w:ascii="Arial" w:cs="Arial" w:eastAsia="Arial" w:hAnsi="Arial"/>
                <w:sz w:val="18"/>
                <w:szCs w:val="18"/>
                <w:color w:val="auto"/>
              </w:rPr>
              <w:t>CHECK BOX IF DISCLOSURE OF LEGAL PROCEEDINGS IS</w:t>
            </w:r>
          </w:p>
        </w:tc>
        <w:tc>
          <w:tcPr>
            <w:tcW w:w="2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right w:val="single" w:sz="8" w:color="auto"/>
            </w:tcBorders>
          </w:tcPr>
          <w:p>
            <w:pPr>
              <w:spacing w:after="0"/>
              <w:rPr>
                <w:sz w:val="20"/>
                <w:szCs w:val="20"/>
                <w:color w:val="auto"/>
              </w:rPr>
            </w:pPr>
          </w:p>
        </w:tc>
        <w:tc>
          <w:tcPr>
            <w:tcW w:w="4260" w:type="dxa"/>
            <w:vAlign w:val="bottom"/>
            <w:gridSpan w:val="2"/>
          </w:tcPr>
          <w:p>
            <w:pPr>
              <w:ind w:left="180"/>
              <w:spacing w:after="0"/>
              <w:rPr>
                <w:sz w:val="20"/>
                <w:szCs w:val="20"/>
                <w:color w:val="auto"/>
              </w:rPr>
            </w:pPr>
            <w:r>
              <w:rPr>
                <w:rFonts w:ascii="Arial" w:cs="Arial" w:eastAsia="Arial" w:hAnsi="Arial"/>
                <w:sz w:val="18"/>
                <w:szCs w:val="18"/>
                <w:color w:val="auto"/>
              </w:rPr>
              <w:t>REQUIRED PURSUANT TO ITEM 2(d) OR 2(e)</w:t>
            </w:r>
          </w:p>
        </w:tc>
        <w:tc>
          <w:tcPr>
            <w:tcW w:w="3620" w:type="dxa"/>
            <w:vAlign w:val="bottom"/>
          </w:tcPr>
          <w:p>
            <w:pPr>
              <w:spacing w:after="0"/>
              <w:rPr>
                <w:sz w:val="20"/>
                <w:szCs w:val="20"/>
                <w:color w:val="auto"/>
              </w:rPr>
            </w:pPr>
          </w:p>
        </w:tc>
        <w:tc>
          <w:tcPr>
            <w:tcW w:w="2140" w:type="dxa"/>
            <w:vAlign w:val="bottom"/>
            <w:tcBorders>
              <w:right w:val="single" w:sz="8" w:color="auto"/>
            </w:tcBorders>
            <w:vMerge w:val="restart"/>
          </w:tcPr>
          <w:p>
            <w:pPr>
              <w:jc w:val="right"/>
              <w:ind w:right="37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right w:val="single" w:sz="8" w:color="auto"/>
            </w:tcBorders>
          </w:tcPr>
          <w:p>
            <w:pPr>
              <w:spacing w:after="0"/>
              <w:rPr>
                <w:sz w:val="18"/>
                <w:szCs w:val="18"/>
                <w:color w:val="auto"/>
              </w:rPr>
            </w:pPr>
          </w:p>
        </w:tc>
        <w:tc>
          <w:tcPr>
            <w:tcW w:w="11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14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1400" w:type="dxa"/>
            <w:vAlign w:val="bottom"/>
            <w:tcBorders>
              <w:left w:val="single" w:sz="8" w:color="auto"/>
              <w:bottom w:val="single" w:sz="8" w:color="auto"/>
              <w:right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160" w:type="dxa"/>
            <w:vAlign w:val="bottom"/>
            <w:tcBorders>
              <w:bottom w:val="single" w:sz="8" w:color="auto"/>
            </w:tcBorders>
          </w:tcPr>
          <w:p>
            <w:pPr>
              <w:spacing w:after="0"/>
              <w:rPr>
                <w:sz w:val="3"/>
                <w:szCs w:val="3"/>
                <w:color w:val="auto"/>
              </w:rPr>
            </w:pPr>
          </w:p>
        </w:tc>
        <w:tc>
          <w:tcPr>
            <w:tcW w:w="3620" w:type="dxa"/>
            <w:vAlign w:val="bottom"/>
            <w:tcBorders>
              <w:bottom w:val="single" w:sz="8" w:color="auto"/>
            </w:tcBorders>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6"/>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6.</w:t>
            </w:r>
          </w:p>
        </w:tc>
        <w:tc>
          <w:tcPr>
            <w:tcW w:w="4260" w:type="dxa"/>
            <w:vAlign w:val="bottom"/>
            <w:gridSpan w:val="2"/>
          </w:tcPr>
          <w:p>
            <w:pPr>
              <w:ind w:left="180"/>
              <w:spacing w:after="0"/>
              <w:rPr>
                <w:sz w:val="20"/>
                <w:szCs w:val="20"/>
                <w:color w:val="auto"/>
              </w:rPr>
            </w:pPr>
            <w:r>
              <w:rPr>
                <w:rFonts w:ascii="Arial" w:cs="Arial" w:eastAsia="Arial" w:hAnsi="Arial"/>
                <w:sz w:val="18"/>
                <w:szCs w:val="18"/>
                <w:color w:val="auto"/>
              </w:rPr>
              <w:t>CITIZENSHIP OR PLACE OF ORGANIZATION</w:t>
            </w:r>
          </w:p>
        </w:tc>
        <w:tc>
          <w:tcPr>
            <w:tcW w:w="3620" w:type="dxa"/>
            <w:vAlign w:val="bottom"/>
          </w:tcPr>
          <w:p>
            <w:pPr>
              <w:spacing w:after="0"/>
              <w:rPr>
                <w:sz w:val="19"/>
                <w:szCs w:val="19"/>
                <w:color w:val="auto"/>
              </w:rPr>
            </w:pPr>
          </w:p>
        </w:tc>
        <w:tc>
          <w:tcPr>
            <w:tcW w:w="2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right w:val="single" w:sz="8" w:color="auto"/>
            </w:tcBorders>
          </w:tcPr>
          <w:p>
            <w:pPr>
              <w:spacing w:after="0"/>
              <w:rPr>
                <w:sz w:val="20"/>
                <w:szCs w:val="20"/>
                <w:color w:val="auto"/>
              </w:rPr>
            </w:pPr>
          </w:p>
        </w:tc>
        <w:tc>
          <w:tcPr>
            <w:tcW w:w="4260" w:type="dxa"/>
            <w:vAlign w:val="bottom"/>
            <w:gridSpan w:val="2"/>
          </w:tcPr>
          <w:p>
            <w:pPr>
              <w:ind w:left="180"/>
              <w:spacing w:after="0"/>
              <w:rPr>
                <w:sz w:val="20"/>
                <w:szCs w:val="20"/>
                <w:color w:val="auto"/>
              </w:rPr>
            </w:pPr>
            <w:r>
              <w:rPr>
                <w:rFonts w:ascii="Arial" w:cs="Arial" w:eastAsia="Arial" w:hAnsi="Arial"/>
                <w:sz w:val="18"/>
                <w:szCs w:val="18"/>
                <w:color w:val="auto"/>
              </w:rPr>
              <w:t>A CALIFORNIA LIMITED PARTNERSHIP</w:t>
            </w:r>
          </w:p>
        </w:tc>
        <w:tc>
          <w:tcPr>
            <w:tcW w:w="3620" w:type="dxa"/>
            <w:vAlign w:val="bottom"/>
          </w:tcPr>
          <w:p>
            <w:pPr>
              <w:spacing w:after="0"/>
              <w:rPr>
                <w:sz w:val="20"/>
                <w:szCs w:val="20"/>
                <w:color w:val="auto"/>
              </w:rPr>
            </w:pPr>
          </w:p>
        </w:tc>
        <w:tc>
          <w:tcPr>
            <w:tcW w:w="2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1400" w:type="dxa"/>
            <w:vAlign w:val="bottom"/>
            <w:tcBorders>
              <w:left w:val="single" w:sz="8" w:color="auto"/>
              <w:bottom w:val="single" w:sz="8" w:color="auto"/>
              <w:right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160" w:type="dxa"/>
            <w:vAlign w:val="bottom"/>
            <w:tcBorders>
              <w:bottom w:val="single" w:sz="8" w:color="auto"/>
            </w:tcBorders>
          </w:tcPr>
          <w:p>
            <w:pPr>
              <w:spacing w:after="0"/>
              <w:rPr>
                <w:sz w:val="3"/>
                <w:szCs w:val="3"/>
                <w:color w:val="auto"/>
              </w:rPr>
            </w:pPr>
          </w:p>
        </w:tc>
        <w:tc>
          <w:tcPr>
            <w:tcW w:w="3620" w:type="dxa"/>
            <w:vAlign w:val="bottom"/>
            <w:tcBorders>
              <w:bottom w:val="single" w:sz="8" w:color="auto"/>
            </w:tcBorders>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6"/>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7.</w:t>
            </w:r>
          </w:p>
        </w:tc>
        <w:tc>
          <w:tcPr>
            <w:tcW w:w="3160" w:type="dxa"/>
            <w:vAlign w:val="bottom"/>
          </w:tcPr>
          <w:p>
            <w:pPr>
              <w:ind w:left="200"/>
              <w:spacing w:after="0"/>
              <w:rPr>
                <w:sz w:val="20"/>
                <w:szCs w:val="20"/>
                <w:color w:val="auto"/>
              </w:rPr>
            </w:pPr>
            <w:r>
              <w:rPr>
                <w:rFonts w:ascii="Arial" w:cs="Arial" w:eastAsia="Arial" w:hAnsi="Arial"/>
                <w:sz w:val="18"/>
                <w:szCs w:val="18"/>
                <w:color w:val="auto"/>
              </w:rPr>
              <w:t>SOLE VOTING POWER</w:t>
            </w:r>
          </w:p>
        </w:tc>
        <w:tc>
          <w:tcPr>
            <w:tcW w:w="3620" w:type="dxa"/>
            <w:vAlign w:val="bottom"/>
          </w:tcPr>
          <w:p>
            <w:pPr>
              <w:spacing w:after="0"/>
              <w:rPr>
                <w:sz w:val="19"/>
                <w:szCs w:val="19"/>
                <w:color w:val="auto"/>
              </w:rPr>
            </w:pPr>
          </w:p>
        </w:tc>
        <w:tc>
          <w:tcPr>
            <w:tcW w:w="2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100" w:type="dxa"/>
            <w:vAlign w:val="bottom"/>
            <w:tcBorders>
              <w:right w:val="single" w:sz="8" w:color="auto"/>
            </w:tcBorders>
          </w:tcPr>
          <w:p>
            <w:pPr>
              <w:spacing w:after="0"/>
              <w:rPr>
                <w:sz w:val="18"/>
                <w:szCs w:val="18"/>
                <w:color w:val="auto"/>
              </w:rPr>
            </w:pPr>
          </w:p>
        </w:tc>
        <w:tc>
          <w:tcPr>
            <w:tcW w:w="3160" w:type="dxa"/>
            <w:vAlign w:val="bottom"/>
          </w:tcPr>
          <w:p>
            <w:pPr>
              <w:ind w:left="200"/>
              <w:spacing w:after="0"/>
              <w:rPr>
                <w:sz w:val="20"/>
                <w:szCs w:val="20"/>
                <w:color w:val="auto"/>
              </w:rPr>
            </w:pPr>
            <w:r>
              <w:rPr>
                <w:rFonts w:ascii="Arial" w:cs="Arial" w:eastAsia="Arial" w:hAnsi="Arial"/>
                <w:sz w:val="18"/>
                <w:szCs w:val="18"/>
                <w:color w:val="auto"/>
              </w:rPr>
              <w:t>0</w:t>
            </w:r>
          </w:p>
        </w:tc>
        <w:tc>
          <w:tcPr>
            <w:tcW w:w="3620" w:type="dxa"/>
            <w:vAlign w:val="bottom"/>
          </w:tcPr>
          <w:p>
            <w:pPr>
              <w:spacing w:after="0"/>
              <w:rPr>
                <w:sz w:val="18"/>
                <w:szCs w:val="18"/>
                <w:color w:val="auto"/>
              </w:rPr>
            </w:pPr>
          </w:p>
        </w:tc>
        <w:tc>
          <w:tcPr>
            <w:tcW w:w="2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rPr>
              <w:t>BENEFICIALLY</w:t>
            </w:r>
          </w:p>
        </w:tc>
        <w:tc>
          <w:tcPr>
            <w:tcW w:w="1100" w:type="dxa"/>
            <w:vAlign w:val="bottom"/>
            <w:tcBorders>
              <w:bottom w:val="single" w:sz="8" w:color="auto"/>
              <w:right w:val="single" w:sz="8" w:color="auto"/>
            </w:tcBorders>
          </w:tcPr>
          <w:p>
            <w:pPr>
              <w:spacing w:after="0"/>
              <w:rPr>
                <w:sz w:val="4"/>
                <w:szCs w:val="4"/>
                <w:color w:val="auto"/>
              </w:rPr>
            </w:pPr>
          </w:p>
        </w:tc>
        <w:tc>
          <w:tcPr>
            <w:tcW w:w="3160" w:type="dxa"/>
            <w:vAlign w:val="bottom"/>
            <w:tcBorders>
              <w:bottom w:val="single" w:sz="8" w:color="auto"/>
            </w:tcBorders>
          </w:tcPr>
          <w:p>
            <w:pPr>
              <w:spacing w:after="0"/>
              <w:rPr>
                <w:sz w:val="4"/>
                <w:szCs w:val="4"/>
                <w:color w:val="auto"/>
              </w:rPr>
            </w:pPr>
          </w:p>
        </w:tc>
        <w:tc>
          <w:tcPr>
            <w:tcW w:w="3620" w:type="dxa"/>
            <w:vAlign w:val="bottom"/>
            <w:tcBorders>
              <w:bottom w:val="single" w:sz="8" w:color="auto"/>
            </w:tcBorders>
          </w:tcPr>
          <w:p>
            <w:pPr>
              <w:spacing w:after="0"/>
              <w:rPr>
                <w:sz w:val="4"/>
                <w:szCs w:val="4"/>
                <w:color w:val="auto"/>
              </w:rPr>
            </w:pPr>
          </w:p>
        </w:tc>
        <w:tc>
          <w:tcPr>
            <w:tcW w:w="2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1400" w:type="dxa"/>
            <w:vAlign w:val="bottom"/>
            <w:tcBorders>
              <w:left w:val="single" w:sz="8" w:color="auto"/>
              <w:right w:val="single" w:sz="8" w:color="auto"/>
            </w:tcBorders>
            <w:vMerge w:val="continue"/>
          </w:tcPr>
          <w:p>
            <w:pPr>
              <w:spacing w:after="0"/>
              <w:rPr>
                <w:sz w:val="12"/>
                <w:szCs w:val="12"/>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79"/>
              </w:rPr>
              <w:t>8.</w:t>
            </w:r>
          </w:p>
        </w:tc>
        <w:tc>
          <w:tcPr>
            <w:tcW w:w="3160" w:type="dxa"/>
            <w:vAlign w:val="bottom"/>
            <w:vMerge w:val="restart"/>
          </w:tcPr>
          <w:p>
            <w:pPr>
              <w:ind w:left="200"/>
              <w:spacing w:after="0"/>
              <w:rPr>
                <w:sz w:val="20"/>
                <w:szCs w:val="20"/>
                <w:color w:val="auto"/>
              </w:rPr>
            </w:pPr>
            <w:r>
              <w:rPr>
                <w:rFonts w:ascii="Arial" w:cs="Arial" w:eastAsia="Arial" w:hAnsi="Arial"/>
                <w:sz w:val="18"/>
                <w:szCs w:val="18"/>
                <w:color w:val="auto"/>
              </w:rPr>
              <w:t>SHARED VOTING POWER</w:t>
            </w:r>
          </w:p>
        </w:tc>
        <w:tc>
          <w:tcPr>
            <w:tcW w:w="3620" w:type="dxa"/>
            <w:vAlign w:val="bottom"/>
          </w:tcPr>
          <w:p>
            <w:pPr>
              <w:spacing w:after="0"/>
              <w:rPr>
                <w:sz w:val="12"/>
                <w:szCs w:val="12"/>
                <w:color w:val="auto"/>
              </w:rPr>
            </w:pPr>
          </w:p>
        </w:tc>
        <w:tc>
          <w:tcPr>
            <w:tcW w:w="21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1100" w:type="dxa"/>
            <w:vAlign w:val="bottom"/>
            <w:tcBorders>
              <w:right w:val="single" w:sz="8" w:color="auto"/>
            </w:tcBorders>
            <w:vMerge w:val="continue"/>
          </w:tcPr>
          <w:p>
            <w:pPr>
              <w:spacing w:after="0"/>
              <w:rPr>
                <w:sz w:val="7"/>
                <w:szCs w:val="7"/>
                <w:color w:val="auto"/>
              </w:rPr>
            </w:pPr>
          </w:p>
        </w:tc>
        <w:tc>
          <w:tcPr>
            <w:tcW w:w="3160" w:type="dxa"/>
            <w:vAlign w:val="bottom"/>
            <w:vMerge w:val="continue"/>
          </w:tcPr>
          <w:p>
            <w:pPr>
              <w:spacing w:after="0"/>
              <w:rPr>
                <w:sz w:val="7"/>
                <w:szCs w:val="7"/>
                <w:color w:val="auto"/>
              </w:rPr>
            </w:pPr>
          </w:p>
        </w:tc>
        <w:tc>
          <w:tcPr>
            <w:tcW w:w="3620" w:type="dxa"/>
            <w:vAlign w:val="bottom"/>
          </w:tcPr>
          <w:p>
            <w:pPr>
              <w:spacing w:after="0"/>
              <w:rPr>
                <w:sz w:val="7"/>
                <w:szCs w:val="7"/>
                <w:color w:val="auto"/>
              </w:rPr>
            </w:pPr>
          </w:p>
        </w:tc>
        <w:tc>
          <w:tcPr>
            <w:tcW w:w="21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400" w:type="dxa"/>
            <w:vAlign w:val="bottom"/>
            <w:tcBorders>
              <w:left w:val="single" w:sz="8" w:color="auto"/>
              <w:right w:val="single" w:sz="8" w:color="auto"/>
            </w:tcBorders>
            <w:vMerge w:val="continue"/>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3160" w:type="dxa"/>
            <w:vAlign w:val="bottom"/>
            <w:vMerge w:val="restart"/>
          </w:tcPr>
          <w:p>
            <w:pPr>
              <w:ind w:left="200"/>
              <w:spacing w:after="0"/>
              <w:rPr>
                <w:sz w:val="20"/>
                <w:szCs w:val="20"/>
                <w:color w:val="auto"/>
              </w:rPr>
            </w:pPr>
            <w:r>
              <w:rPr>
                <w:rFonts w:ascii="Arial" w:cs="Arial" w:eastAsia="Arial" w:hAnsi="Arial"/>
                <w:sz w:val="18"/>
                <w:szCs w:val="18"/>
                <w:color w:val="auto"/>
              </w:rPr>
              <w:t>8,952,169</w:t>
            </w:r>
          </w:p>
        </w:tc>
        <w:tc>
          <w:tcPr>
            <w:tcW w:w="3620" w:type="dxa"/>
            <w:vAlign w:val="bottom"/>
          </w:tcPr>
          <w:p>
            <w:pPr>
              <w:spacing w:after="0"/>
              <w:rPr>
                <w:sz w:val="11"/>
                <w:szCs w:val="11"/>
                <w:color w:val="auto"/>
              </w:rPr>
            </w:pPr>
          </w:p>
        </w:tc>
        <w:tc>
          <w:tcPr>
            <w:tcW w:w="21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1100" w:type="dxa"/>
            <w:vAlign w:val="bottom"/>
            <w:tcBorders>
              <w:right w:val="single" w:sz="8" w:color="auto"/>
            </w:tcBorders>
          </w:tcPr>
          <w:p>
            <w:pPr>
              <w:spacing w:after="0"/>
              <w:rPr>
                <w:sz w:val="8"/>
                <w:szCs w:val="8"/>
                <w:color w:val="auto"/>
              </w:rPr>
            </w:pPr>
          </w:p>
        </w:tc>
        <w:tc>
          <w:tcPr>
            <w:tcW w:w="3160" w:type="dxa"/>
            <w:vAlign w:val="bottom"/>
            <w:vMerge w:val="continue"/>
          </w:tcPr>
          <w:p>
            <w:pPr>
              <w:spacing w:after="0"/>
              <w:rPr>
                <w:sz w:val="8"/>
                <w:szCs w:val="8"/>
                <w:color w:val="auto"/>
              </w:rPr>
            </w:pPr>
          </w:p>
        </w:tc>
        <w:tc>
          <w:tcPr>
            <w:tcW w:w="3620" w:type="dxa"/>
            <w:vAlign w:val="bottom"/>
          </w:tcPr>
          <w:p>
            <w:pPr>
              <w:spacing w:after="0"/>
              <w:rPr>
                <w:sz w:val="8"/>
                <w:szCs w:val="8"/>
                <w:color w:val="auto"/>
              </w:rPr>
            </w:pPr>
          </w:p>
        </w:tc>
        <w:tc>
          <w:tcPr>
            <w:tcW w:w="21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7"/>
        </w:trPr>
        <w:tc>
          <w:tcPr>
            <w:tcW w:w="1400" w:type="dxa"/>
            <w:vAlign w:val="bottom"/>
            <w:tcBorders>
              <w:left w:val="single" w:sz="8" w:color="auto"/>
              <w:right w:val="single" w:sz="8" w:color="auto"/>
            </w:tcBorders>
            <w:vMerge w:val="continue"/>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3160" w:type="dxa"/>
            <w:vAlign w:val="bottom"/>
            <w:tcBorders>
              <w:bottom w:val="single" w:sz="8" w:color="auto"/>
            </w:tcBorders>
          </w:tcPr>
          <w:p>
            <w:pPr>
              <w:spacing w:after="0"/>
              <w:rPr>
                <w:sz w:val="3"/>
                <w:szCs w:val="3"/>
                <w:color w:val="auto"/>
              </w:rPr>
            </w:pPr>
          </w:p>
        </w:tc>
        <w:tc>
          <w:tcPr>
            <w:tcW w:w="3620" w:type="dxa"/>
            <w:vAlign w:val="bottom"/>
            <w:tcBorders>
              <w:bottom w:val="single" w:sz="8" w:color="auto"/>
            </w:tcBorders>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63"/>
        </w:trPr>
        <w:tc>
          <w:tcPr>
            <w:tcW w:w="1400" w:type="dxa"/>
            <w:vAlign w:val="bottom"/>
            <w:tcBorders>
              <w:left w:val="single" w:sz="8" w:color="auto"/>
              <w:right w:val="single" w:sz="8" w:color="auto"/>
            </w:tcBorders>
            <w:vMerge w:val="continue"/>
          </w:tcPr>
          <w:p>
            <w:pPr>
              <w:spacing w:after="0"/>
              <w:rPr>
                <w:sz w:val="5"/>
                <w:szCs w:val="5"/>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79"/>
              </w:rPr>
              <w:t>9.</w:t>
            </w:r>
          </w:p>
        </w:tc>
        <w:tc>
          <w:tcPr>
            <w:tcW w:w="3160" w:type="dxa"/>
            <w:vAlign w:val="bottom"/>
            <w:vMerge w:val="restart"/>
          </w:tcPr>
          <w:p>
            <w:pPr>
              <w:ind w:left="200"/>
              <w:spacing w:after="0"/>
              <w:rPr>
                <w:sz w:val="20"/>
                <w:szCs w:val="20"/>
                <w:color w:val="auto"/>
              </w:rPr>
            </w:pPr>
            <w:r>
              <w:rPr>
                <w:rFonts w:ascii="Arial" w:cs="Arial" w:eastAsia="Arial" w:hAnsi="Arial"/>
                <w:sz w:val="18"/>
                <w:szCs w:val="18"/>
                <w:color w:val="auto"/>
              </w:rPr>
              <w:t>SOLE DISPOSITIVE POWER</w:t>
            </w:r>
          </w:p>
        </w:tc>
        <w:tc>
          <w:tcPr>
            <w:tcW w:w="3620" w:type="dxa"/>
            <w:vAlign w:val="bottom"/>
          </w:tcPr>
          <w:p>
            <w:pPr>
              <w:spacing w:after="0"/>
              <w:rPr>
                <w:sz w:val="5"/>
                <w:szCs w:val="5"/>
                <w:color w:val="auto"/>
              </w:rPr>
            </w:pPr>
          </w:p>
        </w:tc>
        <w:tc>
          <w:tcPr>
            <w:tcW w:w="21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400" w:type="dxa"/>
            <w:vAlign w:val="bottom"/>
            <w:tcBorders>
              <w:left w:val="single" w:sz="8" w:color="auto"/>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3"/>
              </w:rPr>
              <w:t>REPORTING</w:t>
            </w:r>
          </w:p>
        </w:tc>
        <w:tc>
          <w:tcPr>
            <w:tcW w:w="1100" w:type="dxa"/>
            <w:vAlign w:val="bottom"/>
            <w:tcBorders>
              <w:right w:val="single" w:sz="8" w:color="auto"/>
            </w:tcBorders>
            <w:vMerge w:val="continue"/>
          </w:tcPr>
          <w:p>
            <w:pPr>
              <w:spacing w:after="0"/>
              <w:rPr>
                <w:sz w:val="15"/>
                <w:szCs w:val="15"/>
                <w:color w:val="auto"/>
              </w:rPr>
            </w:pPr>
          </w:p>
        </w:tc>
        <w:tc>
          <w:tcPr>
            <w:tcW w:w="3160" w:type="dxa"/>
            <w:vAlign w:val="bottom"/>
            <w:vMerge w:val="continue"/>
          </w:tcPr>
          <w:p>
            <w:pPr>
              <w:spacing w:after="0"/>
              <w:rPr>
                <w:sz w:val="15"/>
                <w:szCs w:val="15"/>
                <w:color w:val="auto"/>
              </w:rPr>
            </w:pPr>
          </w:p>
        </w:tc>
        <w:tc>
          <w:tcPr>
            <w:tcW w:w="3620" w:type="dxa"/>
            <w:vAlign w:val="bottom"/>
          </w:tcPr>
          <w:p>
            <w:pPr>
              <w:spacing w:after="0"/>
              <w:rPr>
                <w:sz w:val="15"/>
                <w:szCs w:val="15"/>
                <w:color w:val="auto"/>
              </w:rPr>
            </w:pPr>
          </w:p>
        </w:tc>
        <w:tc>
          <w:tcPr>
            <w:tcW w:w="2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100" w:type="dxa"/>
            <w:vAlign w:val="bottom"/>
            <w:tcBorders>
              <w:bottom w:val="single" w:sz="8" w:color="auto"/>
              <w:right w:val="single" w:sz="8" w:color="auto"/>
            </w:tcBorders>
          </w:tcPr>
          <w:p>
            <w:pPr>
              <w:spacing w:after="0"/>
              <w:rPr>
                <w:sz w:val="22"/>
                <w:szCs w:val="22"/>
                <w:color w:val="auto"/>
              </w:rPr>
            </w:pPr>
          </w:p>
        </w:tc>
        <w:tc>
          <w:tcPr>
            <w:tcW w:w="31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0</w:t>
            </w:r>
          </w:p>
        </w:tc>
        <w:tc>
          <w:tcPr>
            <w:tcW w:w="3620" w:type="dxa"/>
            <w:vAlign w:val="bottom"/>
            <w:tcBorders>
              <w:bottom w:val="single" w:sz="8" w:color="auto"/>
            </w:tcBorders>
          </w:tcPr>
          <w:p>
            <w:pPr>
              <w:spacing w:after="0"/>
              <w:rPr>
                <w:sz w:val="22"/>
                <w:szCs w:val="22"/>
                <w:color w:val="auto"/>
              </w:rPr>
            </w:pPr>
          </w:p>
        </w:tc>
        <w:tc>
          <w:tcPr>
            <w:tcW w:w="21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FFFFFF"/>
                <w:w w:val="89"/>
              </w:rPr>
              <w:t>______________</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10.</w:t>
            </w:r>
          </w:p>
        </w:tc>
        <w:tc>
          <w:tcPr>
            <w:tcW w:w="3160" w:type="dxa"/>
            <w:vAlign w:val="bottom"/>
          </w:tcPr>
          <w:p>
            <w:pPr>
              <w:ind w:left="200"/>
              <w:spacing w:after="0"/>
              <w:rPr>
                <w:sz w:val="20"/>
                <w:szCs w:val="20"/>
                <w:color w:val="auto"/>
              </w:rPr>
            </w:pPr>
            <w:r>
              <w:rPr>
                <w:rFonts w:ascii="Arial" w:cs="Arial" w:eastAsia="Arial" w:hAnsi="Arial"/>
                <w:sz w:val="18"/>
                <w:szCs w:val="18"/>
                <w:color w:val="auto"/>
              </w:rPr>
              <w:t>SHARED DISPOSITIVE POWER</w:t>
            </w:r>
          </w:p>
        </w:tc>
        <w:tc>
          <w:tcPr>
            <w:tcW w:w="3620" w:type="dxa"/>
            <w:vAlign w:val="bottom"/>
          </w:tcPr>
          <w:p>
            <w:pPr>
              <w:spacing w:after="0"/>
              <w:rPr>
                <w:sz w:val="19"/>
                <w:szCs w:val="19"/>
                <w:color w:val="auto"/>
              </w:rPr>
            </w:pPr>
          </w:p>
        </w:tc>
        <w:tc>
          <w:tcPr>
            <w:tcW w:w="2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3160" w:type="dxa"/>
            <w:vAlign w:val="bottom"/>
          </w:tcPr>
          <w:p>
            <w:pPr>
              <w:ind w:left="200"/>
              <w:spacing w:after="0"/>
              <w:rPr>
                <w:sz w:val="20"/>
                <w:szCs w:val="20"/>
                <w:color w:val="auto"/>
              </w:rPr>
            </w:pPr>
            <w:r>
              <w:rPr>
                <w:rFonts w:ascii="Arial" w:cs="Arial" w:eastAsia="Arial" w:hAnsi="Arial"/>
                <w:sz w:val="18"/>
                <w:szCs w:val="18"/>
                <w:color w:val="auto"/>
              </w:rPr>
              <w:t>8,952,169</w:t>
            </w:r>
          </w:p>
        </w:tc>
        <w:tc>
          <w:tcPr>
            <w:tcW w:w="3620" w:type="dxa"/>
            <w:vAlign w:val="bottom"/>
          </w:tcPr>
          <w:p>
            <w:pPr>
              <w:spacing w:after="0"/>
              <w:rPr>
                <w:sz w:val="20"/>
                <w:szCs w:val="20"/>
                <w:color w:val="auto"/>
              </w:rPr>
            </w:pPr>
          </w:p>
        </w:tc>
        <w:tc>
          <w:tcPr>
            <w:tcW w:w="2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1400" w:type="dxa"/>
            <w:vAlign w:val="bottom"/>
            <w:tcBorders>
              <w:left w:val="single" w:sz="8" w:color="auto"/>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6780" w:type="dxa"/>
            <w:vAlign w:val="bottom"/>
            <w:tcBorders>
              <w:bottom w:val="single" w:sz="8" w:color="auto"/>
            </w:tcBorders>
            <w:gridSpan w:val="2"/>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6"/>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11.</w:t>
            </w:r>
          </w:p>
        </w:tc>
        <w:tc>
          <w:tcPr>
            <w:tcW w:w="7880" w:type="dxa"/>
            <w:vAlign w:val="bottom"/>
            <w:gridSpan w:val="3"/>
          </w:tcPr>
          <w:p>
            <w:pPr>
              <w:ind w:left="180"/>
              <w:spacing w:after="0"/>
              <w:rPr>
                <w:sz w:val="20"/>
                <w:szCs w:val="20"/>
                <w:color w:val="auto"/>
              </w:rPr>
            </w:pPr>
            <w:r>
              <w:rPr>
                <w:rFonts w:ascii="Arial" w:cs="Arial" w:eastAsia="Arial" w:hAnsi="Arial"/>
                <w:sz w:val="18"/>
                <w:szCs w:val="18"/>
                <w:color w:val="auto"/>
              </w:rPr>
              <w:t>AGGREGATE AMOUNT BENEFICIALLY OWNED BY EACH REPORTING PERSON</w:t>
            </w:r>
          </w:p>
        </w:tc>
        <w:tc>
          <w:tcPr>
            <w:tcW w:w="2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right w:val="single" w:sz="8" w:color="auto"/>
            </w:tcBorders>
          </w:tcPr>
          <w:p>
            <w:pPr>
              <w:spacing w:after="0"/>
              <w:rPr>
                <w:sz w:val="20"/>
                <w:szCs w:val="20"/>
                <w:color w:val="auto"/>
              </w:rPr>
            </w:pPr>
          </w:p>
        </w:tc>
        <w:tc>
          <w:tcPr>
            <w:tcW w:w="1100" w:type="dxa"/>
            <w:vAlign w:val="bottom"/>
          </w:tcPr>
          <w:p>
            <w:pPr>
              <w:ind w:left="180"/>
              <w:spacing w:after="0"/>
              <w:rPr>
                <w:sz w:val="20"/>
                <w:szCs w:val="20"/>
                <w:color w:val="auto"/>
              </w:rPr>
            </w:pPr>
            <w:r>
              <w:rPr>
                <w:rFonts w:ascii="Arial" w:cs="Arial" w:eastAsia="Arial" w:hAnsi="Arial"/>
                <w:sz w:val="18"/>
                <w:szCs w:val="18"/>
                <w:color w:val="auto"/>
              </w:rPr>
              <w:t>8,952,169</w:t>
            </w:r>
          </w:p>
        </w:tc>
        <w:tc>
          <w:tcPr>
            <w:tcW w:w="316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1400" w:type="dxa"/>
            <w:vAlign w:val="bottom"/>
            <w:tcBorders>
              <w:left w:val="single" w:sz="8" w:color="auto"/>
              <w:bottom w:val="single" w:sz="8" w:color="auto"/>
              <w:right w:val="single" w:sz="8" w:color="auto"/>
            </w:tcBorders>
          </w:tcPr>
          <w:p>
            <w:pPr>
              <w:spacing w:after="0"/>
              <w:rPr>
                <w:sz w:val="3"/>
                <w:szCs w:val="3"/>
                <w:color w:val="auto"/>
              </w:rPr>
            </w:pPr>
          </w:p>
        </w:tc>
        <w:tc>
          <w:tcPr>
            <w:tcW w:w="7880" w:type="dxa"/>
            <w:vAlign w:val="bottom"/>
            <w:tcBorders>
              <w:bottom w:val="single" w:sz="8" w:color="auto"/>
            </w:tcBorders>
            <w:gridSpan w:val="3"/>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12.</w:t>
            </w:r>
          </w:p>
        </w:tc>
        <w:tc>
          <w:tcPr>
            <w:tcW w:w="7880" w:type="dxa"/>
            <w:vAlign w:val="bottom"/>
            <w:gridSpan w:val="3"/>
          </w:tcPr>
          <w:p>
            <w:pPr>
              <w:ind w:left="18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2140" w:type="dxa"/>
            <w:vAlign w:val="bottom"/>
            <w:tcBorders>
              <w:right w:val="single" w:sz="8" w:color="auto"/>
            </w:tcBorders>
            <w:vMerge w:val="restart"/>
          </w:tcPr>
          <w:p>
            <w:pPr>
              <w:jc w:val="right"/>
              <w:ind w:right="37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right w:val="single" w:sz="8" w:color="auto"/>
            </w:tcBorders>
          </w:tcPr>
          <w:p>
            <w:pPr>
              <w:spacing w:after="0"/>
              <w:rPr>
                <w:sz w:val="18"/>
                <w:szCs w:val="18"/>
                <w:color w:val="auto"/>
              </w:rPr>
            </w:pPr>
          </w:p>
        </w:tc>
        <w:tc>
          <w:tcPr>
            <w:tcW w:w="11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14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1400" w:type="dxa"/>
            <w:vAlign w:val="bottom"/>
            <w:tcBorders>
              <w:left w:val="single" w:sz="8" w:color="auto"/>
              <w:bottom w:val="single" w:sz="8" w:color="auto"/>
              <w:right w:val="single" w:sz="8" w:color="auto"/>
            </w:tcBorders>
          </w:tcPr>
          <w:p>
            <w:pPr>
              <w:spacing w:after="0"/>
              <w:rPr>
                <w:sz w:val="3"/>
                <w:szCs w:val="3"/>
                <w:color w:val="auto"/>
              </w:rPr>
            </w:pPr>
          </w:p>
        </w:tc>
        <w:tc>
          <w:tcPr>
            <w:tcW w:w="7880" w:type="dxa"/>
            <w:vAlign w:val="bottom"/>
            <w:tcBorders>
              <w:bottom w:val="single" w:sz="8" w:color="auto"/>
            </w:tcBorders>
            <w:gridSpan w:val="3"/>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6"/>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13.</w:t>
            </w:r>
          </w:p>
        </w:tc>
        <w:tc>
          <w:tcPr>
            <w:tcW w:w="7880" w:type="dxa"/>
            <w:vAlign w:val="bottom"/>
            <w:gridSpan w:val="3"/>
          </w:tcPr>
          <w:p>
            <w:pPr>
              <w:ind w:left="180"/>
              <w:spacing w:after="0"/>
              <w:rPr>
                <w:sz w:val="20"/>
                <w:szCs w:val="20"/>
                <w:color w:val="auto"/>
              </w:rPr>
            </w:pPr>
            <w:r>
              <w:rPr>
                <w:rFonts w:ascii="Arial" w:cs="Arial" w:eastAsia="Arial" w:hAnsi="Arial"/>
                <w:sz w:val="18"/>
                <w:szCs w:val="18"/>
                <w:color w:val="auto"/>
              </w:rPr>
              <w:t>PERCENT OF CLASS REPRESENTED BY AMOUNT IN ROW (11)</w:t>
            </w:r>
          </w:p>
        </w:tc>
        <w:tc>
          <w:tcPr>
            <w:tcW w:w="2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right w:val="single" w:sz="8" w:color="auto"/>
            </w:tcBorders>
          </w:tcPr>
          <w:p>
            <w:pPr>
              <w:spacing w:after="0"/>
              <w:rPr>
                <w:sz w:val="20"/>
                <w:szCs w:val="20"/>
                <w:color w:val="auto"/>
              </w:rPr>
            </w:pPr>
          </w:p>
        </w:tc>
        <w:tc>
          <w:tcPr>
            <w:tcW w:w="1100" w:type="dxa"/>
            <w:vAlign w:val="bottom"/>
          </w:tcPr>
          <w:p>
            <w:pPr>
              <w:ind w:left="180"/>
              <w:spacing w:after="0"/>
              <w:rPr>
                <w:sz w:val="20"/>
                <w:szCs w:val="20"/>
                <w:color w:val="auto"/>
              </w:rPr>
            </w:pPr>
            <w:r>
              <w:rPr>
                <w:rFonts w:ascii="Arial" w:cs="Arial" w:eastAsia="Arial" w:hAnsi="Arial"/>
                <w:sz w:val="18"/>
                <w:szCs w:val="18"/>
                <w:color w:val="auto"/>
              </w:rPr>
              <w:t>8.18%</w:t>
            </w:r>
          </w:p>
        </w:tc>
        <w:tc>
          <w:tcPr>
            <w:tcW w:w="316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1400" w:type="dxa"/>
            <w:vAlign w:val="bottom"/>
            <w:tcBorders>
              <w:left w:val="single" w:sz="8" w:color="auto"/>
              <w:bottom w:val="single" w:sz="8" w:color="auto"/>
              <w:right w:val="single" w:sz="8" w:color="auto"/>
            </w:tcBorders>
          </w:tcPr>
          <w:p>
            <w:pPr>
              <w:spacing w:after="0"/>
              <w:rPr>
                <w:sz w:val="3"/>
                <w:szCs w:val="3"/>
                <w:color w:val="auto"/>
              </w:rPr>
            </w:pPr>
          </w:p>
        </w:tc>
        <w:tc>
          <w:tcPr>
            <w:tcW w:w="4260" w:type="dxa"/>
            <w:vAlign w:val="bottom"/>
            <w:tcBorders>
              <w:bottom w:val="single" w:sz="8" w:color="auto"/>
            </w:tcBorders>
            <w:gridSpan w:val="2"/>
          </w:tcPr>
          <w:p>
            <w:pPr>
              <w:spacing w:after="0"/>
              <w:rPr>
                <w:sz w:val="3"/>
                <w:szCs w:val="3"/>
                <w:color w:val="auto"/>
              </w:rPr>
            </w:pPr>
          </w:p>
        </w:tc>
        <w:tc>
          <w:tcPr>
            <w:tcW w:w="3620" w:type="dxa"/>
            <w:vAlign w:val="bottom"/>
            <w:tcBorders>
              <w:bottom w:val="single" w:sz="8" w:color="auto"/>
            </w:tcBorders>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6"/>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14.</w:t>
            </w:r>
          </w:p>
        </w:tc>
        <w:tc>
          <w:tcPr>
            <w:tcW w:w="4260" w:type="dxa"/>
            <w:vAlign w:val="bottom"/>
            <w:gridSpan w:val="2"/>
          </w:tcPr>
          <w:p>
            <w:pPr>
              <w:ind w:left="180"/>
              <w:spacing w:after="0"/>
              <w:rPr>
                <w:sz w:val="20"/>
                <w:szCs w:val="20"/>
                <w:color w:val="auto"/>
              </w:rPr>
            </w:pPr>
            <w:r>
              <w:rPr>
                <w:rFonts w:ascii="Arial" w:cs="Arial" w:eastAsia="Arial" w:hAnsi="Arial"/>
                <w:sz w:val="18"/>
                <w:szCs w:val="18"/>
                <w:color w:val="auto"/>
              </w:rPr>
              <w:t>TYPE OF REPORTING PERSON</w:t>
            </w:r>
          </w:p>
        </w:tc>
        <w:tc>
          <w:tcPr>
            <w:tcW w:w="3620" w:type="dxa"/>
            <w:vAlign w:val="bottom"/>
          </w:tcPr>
          <w:p>
            <w:pPr>
              <w:spacing w:after="0"/>
              <w:rPr>
                <w:sz w:val="19"/>
                <w:szCs w:val="19"/>
                <w:color w:val="auto"/>
              </w:rPr>
            </w:pPr>
          </w:p>
        </w:tc>
        <w:tc>
          <w:tcPr>
            <w:tcW w:w="2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right w:val="single" w:sz="8" w:color="auto"/>
            </w:tcBorders>
          </w:tcPr>
          <w:p>
            <w:pPr>
              <w:spacing w:after="0"/>
              <w:rPr>
                <w:sz w:val="20"/>
                <w:szCs w:val="20"/>
                <w:color w:val="auto"/>
              </w:rPr>
            </w:pPr>
          </w:p>
        </w:tc>
        <w:tc>
          <w:tcPr>
            <w:tcW w:w="1100" w:type="dxa"/>
            <w:vAlign w:val="bottom"/>
          </w:tcPr>
          <w:p>
            <w:pPr>
              <w:ind w:left="180"/>
              <w:spacing w:after="0"/>
              <w:rPr>
                <w:sz w:val="20"/>
                <w:szCs w:val="20"/>
                <w:color w:val="auto"/>
              </w:rPr>
            </w:pPr>
            <w:r>
              <w:rPr>
                <w:rFonts w:ascii="Arial" w:cs="Arial" w:eastAsia="Arial" w:hAnsi="Arial"/>
                <w:sz w:val="18"/>
                <w:szCs w:val="18"/>
                <w:color w:val="auto"/>
              </w:rPr>
              <w:t>IA</w:t>
            </w:r>
          </w:p>
        </w:tc>
        <w:tc>
          <w:tcPr>
            <w:tcW w:w="316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1400" w:type="dxa"/>
            <w:vAlign w:val="bottom"/>
            <w:tcBorders>
              <w:left w:val="single" w:sz="8" w:color="auto"/>
              <w:bottom w:val="single" w:sz="8" w:color="auto"/>
              <w:right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160" w:type="dxa"/>
            <w:vAlign w:val="bottom"/>
            <w:tcBorders>
              <w:bottom w:val="single" w:sz="8" w:color="auto"/>
            </w:tcBorders>
          </w:tcPr>
          <w:p>
            <w:pPr>
              <w:spacing w:after="0"/>
              <w:rPr>
                <w:sz w:val="3"/>
                <w:szCs w:val="3"/>
                <w:color w:val="auto"/>
              </w:rPr>
            </w:pPr>
          </w:p>
        </w:tc>
        <w:tc>
          <w:tcPr>
            <w:tcW w:w="3620" w:type="dxa"/>
            <w:vAlign w:val="bottom"/>
            <w:tcBorders>
              <w:bottom w:val="single" w:sz="8" w:color="auto"/>
            </w:tcBorders>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85"/>
        </w:trPr>
        <w:tc>
          <w:tcPr>
            <w:tcW w:w="140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3160" w:type="dxa"/>
            <w:vAlign w:val="bottom"/>
            <w:tcBorders>
              <w:bottom w:val="single" w:sz="8" w:color="808080"/>
            </w:tcBorders>
          </w:tcPr>
          <w:p>
            <w:pPr>
              <w:spacing w:after="0"/>
              <w:rPr>
                <w:sz w:val="24"/>
                <w:szCs w:val="24"/>
                <w:color w:val="auto"/>
              </w:rPr>
            </w:pPr>
          </w:p>
        </w:tc>
        <w:tc>
          <w:tcPr>
            <w:tcW w:w="3620" w:type="dxa"/>
            <w:vAlign w:val="bottom"/>
            <w:tcBorders>
              <w:bottom w:val="single" w:sz="8" w:color="808080"/>
            </w:tcBorders>
          </w:tcPr>
          <w:p>
            <w:pPr>
              <w:spacing w:after="0"/>
              <w:rPr>
                <w:sz w:val="24"/>
                <w:szCs w:val="24"/>
                <w:color w:val="auto"/>
              </w:rPr>
            </w:pPr>
          </w:p>
        </w:tc>
        <w:tc>
          <w:tcPr>
            <w:tcW w:w="21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0"/>
        </w:trPr>
        <w:tc>
          <w:tcPr>
            <w:tcW w:w="2500" w:type="dxa"/>
            <w:vAlign w:val="bottom"/>
            <w:gridSpan w:val="2"/>
          </w:tcPr>
          <w:p>
            <w:pPr>
              <w:spacing w:after="0"/>
              <w:rPr>
                <w:sz w:val="20"/>
                <w:szCs w:val="20"/>
                <w:color w:val="auto"/>
              </w:rPr>
            </w:pPr>
            <w:r>
              <w:rPr>
                <w:rFonts w:ascii="Arial" w:cs="Arial" w:eastAsia="Arial" w:hAnsi="Arial"/>
                <w:sz w:val="18"/>
                <w:szCs w:val="18"/>
                <w:color w:val="auto"/>
              </w:rPr>
              <w:t>CUSIP NO. 726503105</w:t>
            </w:r>
          </w:p>
        </w:tc>
        <w:tc>
          <w:tcPr>
            <w:tcW w:w="1180" w:type="dxa"/>
            <w:vAlign w:val="bottom"/>
          </w:tcPr>
          <w:p>
            <w:pPr>
              <w:spacing w:after="0"/>
              <w:rPr>
                <w:sz w:val="20"/>
                <w:szCs w:val="20"/>
                <w:color w:val="auto"/>
              </w:rPr>
            </w:pPr>
          </w:p>
        </w:tc>
        <w:tc>
          <w:tcPr>
            <w:tcW w:w="5600" w:type="dxa"/>
            <w:vAlign w:val="bottom"/>
          </w:tcPr>
          <w:p>
            <w:pPr>
              <w:jc w:val="right"/>
              <w:ind w:right="2830"/>
              <w:spacing w:after="0"/>
              <w:rPr>
                <w:sz w:val="20"/>
                <w:szCs w:val="20"/>
                <w:color w:val="auto"/>
              </w:rPr>
            </w:pPr>
            <w:r>
              <w:rPr>
                <w:rFonts w:ascii="Arial" w:cs="Arial" w:eastAsia="Arial" w:hAnsi="Arial"/>
                <w:sz w:val="18"/>
                <w:szCs w:val="18"/>
                <w:color w:val="auto"/>
              </w:rPr>
              <w:t>SCHEDULE 13D</w:t>
            </w:r>
          </w:p>
        </w:tc>
        <w:tc>
          <w:tcPr>
            <w:tcW w:w="2140" w:type="dxa"/>
            <w:vAlign w:val="bottom"/>
          </w:tcPr>
          <w:p>
            <w:pPr>
              <w:jc w:val="right"/>
              <w:spacing w:after="0"/>
              <w:rPr>
                <w:sz w:val="20"/>
                <w:szCs w:val="20"/>
                <w:color w:val="auto"/>
              </w:rPr>
            </w:pPr>
            <w:r>
              <w:rPr>
                <w:rFonts w:ascii="Arial" w:cs="Arial" w:eastAsia="Arial" w:hAnsi="Arial"/>
                <w:sz w:val="18"/>
                <w:szCs w:val="18"/>
                <w:color w:val="auto"/>
              </w:rPr>
              <w:t>PAGE 3 OF 7 PAGES</w:t>
            </w:r>
          </w:p>
        </w:tc>
        <w:tc>
          <w:tcPr>
            <w:tcW w:w="0" w:type="dxa"/>
            <w:vAlign w:val="bottom"/>
          </w:tcPr>
          <w:p>
            <w:pPr>
              <w:spacing w:after="0"/>
              <w:rPr>
                <w:sz w:val="1"/>
                <w:szCs w:val="1"/>
                <w:color w:val="auto"/>
              </w:rPr>
            </w:pPr>
          </w:p>
        </w:tc>
      </w:tr>
      <w:tr>
        <w:trPr>
          <w:trHeight w:val="280"/>
        </w:trPr>
        <w:tc>
          <w:tcPr>
            <w:tcW w:w="14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780" w:type="dxa"/>
            <w:vAlign w:val="bottom"/>
            <w:tcBorders>
              <w:bottom w:val="single" w:sz="8" w:color="auto"/>
            </w:tcBorders>
            <w:gridSpan w:val="2"/>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1.</w:t>
            </w:r>
          </w:p>
        </w:tc>
        <w:tc>
          <w:tcPr>
            <w:tcW w:w="7880" w:type="dxa"/>
            <w:vAlign w:val="bottom"/>
            <w:gridSpan w:val="3"/>
          </w:tcPr>
          <w:p>
            <w:pPr>
              <w:ind w:left="180"/>
              <w:spacing w:after="0"/>
              <w:rPr>
                <w:sz w:val="20"/>
                <w:szCs w:val="20"/>
                <w:color w:val="auto"/>
              </w:rPr>
            </w:pPr>
            <w:r>
              <w:rPr>
                <w:rFonts w:ascii="Arial" w:cs="Arial" w:eastAsia="Arial" w:hAnsi="Arial"/>
                <w:sz w:val="18"/>
                <w:szCs w:val="18"/>
                <w:color w:val="auto"/>
              </w:rPr>
              <w:t>NAMES OF REPORTING PERSONS</w:t>
            </w:r>
          </w:p>
        </w:tc>
        <w:tc>
          <w:tcPr>
            <w:tcW w:w="2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right w:val="single" w:sz="8" w:color="auto"/>
            </w:tcBorders>
          </w:tcPr>
          <w:p>
            <w:pPr>
              <w:spacing w:after="0"/>
              <w:rPr>
                <w:sz w:val="18"/>
                <w:szCs w:val="18"/>
                <w:color w:val="auto"/>
              </w:rPr>
            </w:pPr>
          </w:p>
        </w:tc>
        <w:tc>
          <w:tcPr>
            <w:tcW w:w="7880" w:type="dxa"/>
            <w:vAlign w:val="bottom"/>
            <w:gridSpan w:val="3"/>
          </w:tcPr>
          <w:p>
            <w:pPr>
              <w:ind w:left="180"/>
              <w:spacing w:after="0"/>
              <w:rPr>
                <w:sz w:val="20"/>
                <w:szCs w:val="20"/>
                <w:color w:val="auto"/>
              </w:rPr>
            </w:pPr>
            <w:r>
              <w:rPr>
                <w:rFonts w:ascii="Arial" w:cs="Arial" w:eastAsia="Arial" w:hAnsi="Arial"/>
                <w:sz w:val="18"/>
                <w:szCs w:val="18"/>
                <w:color w:val="auto"/>
              </w:rPr>
              <w:t>I.R.S. IDENTIFICATION NOS. OF ABOVE PERSONS (ENTITIES ONLY)</w:t>
            </w:r>
          </w:p>
        </w:tc>
        <w:tc>
          <w:tcPr>
            <w:tcW w:w="2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right w:val="single" w:sz="8" w:color="auto"/>
            </w:tcBorders>
          </w:tcPr>
          <w:p>
            <w:pPr>
              <w:spacing w:after="0"/>
              <w:rPr>
                <w:sz w:val="20"/>
                <w:szCs w:val="20"/>
                <w:color w:val="auto"/>
              </w:rPr>
            </w:pPr>
          </w:p>
        </w:tc>
        <w:tc>
          <w:tcPr>
            <w:tcW w:w="2280" w:type="dxa"/>
            <w:vAlign w:val="bottom"/>
            <w:gridSpan w:val="2"/>
          </w:tcPr>
          <w:p>
            <w:pPr>
              <w:ind w:left="180"/>
              <w:spacing w:after="0"/>
              <w:rPr>
                <w:sz w:val="20"/>
                <w:szCs w:val="20"/>
                <w:color w:val="auto"/>
              </w:rPr>
            </w:pPr>
            <w:r>
              <w:rPr>
                <w:rFonts w:ascii="Arial" w:cs="Arial" w:eastAsia="Arial" w:hAnsi="Arial"/>
                <w:sz w:val="18"/>
                <w:szCs w:val="18"/>
                <w:color w:val="auto"/>
              </w:rPr>
              <w:t>RICHARD A. KAYNE</w:t>
            </w:r>
          </w:p>
        </w:tc>
        <w:tc>
          <w:tcPr>
            <w:tcW w:w="5600" w:type="dxa"/>
            <w:vAlign w:val="bottom"/>
          </w:tcPr>
          <w:p>
            <w:pPr>
              <w:jc w:val="right"/>
              <w:ind w:right="5190"/>
              <w:spacing w:after="0"/>
              <w:rPr>
                <w:sz w:val="20"/>
                <w:szCs w:val="20"/>
                <w:color w:val="auto"/>
              </w:rPr>
            </w:pPr>
            <w:r>
              <w:rPr>
                <w:rFonts w:ascii="Arial" w:cs="Arial" w:eastAsia="Arial" w:hAnsi="Arial"/>
                <w:sz w:val="18"/>
                <w:szCs w:val="18"/>
                <w:color w:val="auto"/>
              </w:rPr>
              <w:t>-</w:t>
            </w:r>
          </w:p>
        </w:tc>
        <w:tc>
          <w:tcPr>
            <w:tcW w:w="2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1400" w:type="dxa"/>
            <w:vAlign w:val="bottom"/>
            <w:tcBorders>
              <w:left w:val="single" w:sz="8" w:color="auto"/>
              <w:bottom w:val="single" w:sz="8" w:color="auto"/>
              <w:right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6780" w:type="dxa"/>
            <w:vAlign w:val="bottom"/>
            <w:tcBorders>
              <w:bottom w:val="single" w:sz="8" w:color="auto"/>
            </w:tcBorders>
            <w:gridSpan w:val="2"/>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2.</w:t>
            </w:r>
          </w:p>
        </w:tc>
        <w:tc>
          <w:tcPr>
            <w:tcW w:w="7880" w:type="dxa"/>
            <w:vAlign w:val="bottom"/>
            <w:gridSpan w:val="3"/>
          </w:tcPr>
          <w:p>
            <w:pPr>
              <w:ind w:left="180"/>
              <w:spacing w:after="0"/>
              <w:rPr>
                <w:sz w:val="20"/>
                <w:szCs w:val="20"/>
                <w:color w:val="auto"/>
              </w:rPr>
            </w:pPr>
            <w:r>
              <w:rPr>
                <w:rFonts w:ascii="Arial" w:cs="Arial" w:eastAsia="Arial" w:hAnsi="Arial"/>
                <w:sz w:val="18"/>
                <w:szCs w:val="18"/>
                <w:color w:val="auto"/>
              </w:rPr>
              <w:t>CHECK THE APPROPRIATE BOX IF A MEMBER OF A GROUP</w:t>
            </w:r>
          </w:p>
        </w:tc>
        <w:tc>
          <w:tcPr>
            <w:tcW w:w="2140" w:type="dxa"/>
            <w:vAlign w:val="bottom"/>
            <w:tcBorders>
              <w:right w:val="single" w:sz="8" w:color="auto"/>
            </w:tcBorders>
            <w:vMerge w:val="restart"/>
          </w:tcPr>
          <w:p>
            <w:pPr>
              <w:jc w:val="right"/>
              <w:ind w:right="370"/>
              <w:spacing w:after="0"/>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02"/>
        </w:trPr>
        <w:tc>
          <w:tcPr>
            <w:tcW w:w="1400" w:type="dxa"/>
            <w:vAlign w:val="bottom"/>
            <w:tcBorders>
              <w:left w:val="single" w:sz="8" w:color="auto"/>
              <w:right w:val="single" w:sz="8" w:color="auto"/>
            </w:tcBorders>
          </w:tcPr>
          <w:p>
            <w:pPr>
              <w:spacing w:after="0"/>
              <w:rPr>
                <w:sz w:val="17"/>
                <w:szCs w:val="17"/>
                <w:color w:val="auto"/>
              </w:rPr>
            </w:pPr>
          </w:p>
        </w:tc>
        <w:tc>
          <w:tcPr>
            <w:tcW w:w="1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214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right w:val="single" w:sz="8" w:color="auto"/>
            </w:tcBorders>
          </w:tcPr>
          <w:p>
            <w:pPr>
              <w:spacing w:after="0"/>
              <w:rPr>
                <w:sz w:val="20"/>
                <w:szCs w:val="20"/>
                <w:color w:val="auto"/>
              </w:rPr>
            </w:pPr>
          </w:p>
        </w:tc>
        <w:tc>
          <w:tcPr>
            <w:tcW w:w="1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140" w:type="dxa"/>
            <w:vAlign w:val="bottom"/>
            <w:tcBorders>
              <w:right w:val="single" w:sz="8" w:color="auto"/>
            </w:tcBorders>
          </w:tcPr>
          <w:p>
            <w:pPr>
              <w:jc w:val="right"/>
              <w:ind w:right="370"/>
              <w:spacing w:after="0"/>
              <w:rPr>
                <w:sz w:val="20"/>
                <w:szCs w:val="20"/>
                <w:color w:val="auto"/>
              </w:rPr>
            </w:pPr>
            <w:r>
              <w:rPr>
                <w:rFonts w:ascii="Arial" w:cs="Arial" w:eastAsia="Arial" w:hAnsi="Arial"/>
                <w:sz w:val="18"/>
                <w:szCs w:val="18"/>
                <w:color w:val="auto"/>
              </w:rPr>
              <w:t>(b) o</w:t>
            </w:r>
          </w:p>
        </w:tc>
        <w:tc>
          <w:tcPr>
            <w:tcW w:w="0" w:type="dxa"/>
            <w:vAlign w:val="bottom"/>
          </w:tcPr>
          <w:p>
            <w:pPr>
              <w:spacing w:after="0"/>
              <w:rPr>
                <w:sz w:val="1"/>
                <w:szCs w:val="1"/>
                <w:color w:val="auto"/>
              </w:rPr>
            </w:pPr>
          </w:p>
        </w:tc>
      </w:tr>
      <w:tr>
        <w:trPr>
          <w:trHeight w:val="37"/>
        </w:trPr>
        <w:tc>
          <w:tcPr>
            <w:tcW w:w="1400" w:type="dxa"/>
            <w:vAlign w:val="bottom"/>
            <w:tcBorders>
              <w:left w:val="single" w:sz="8" w:color="auto"/>
              <w:bottom w:val="single" w:sz="8" w:color="auto"/>
              <w:right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5600" w:type="dxa"/>
            <w:vAlign w:val="bottom"/>
            <w:tcBorders>
              <w:bottom w:val="single" w:sz="8" w:color="auto"/>
            </w:tcBorders>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3.</w:t>
            </w:r>
          </w:p>
        </w:tc>
        <w:tc>
          <w:tcPr>
            <w:tcW w:w="2280" w:type="dxa"/>
            <w:vAlign w:val="bottom"/>
            <w:gridSpan w:val="2"/>
          </w:tcPr>
          <w:p>
            <w:pPr>
              <w:ind w:left="180"/>
              <w:spacing w:after="0"/>
              <w:rPr>
                <w:sz w:val="20"/>
                <w:szCs w:val="20"/>
                <w:color w:val="auto"/>
              </w:rPr>
            </w:pPr>
            <w:r>
              <w:rPr>
                <w:rFonts w:ascii="Arial" w:cs="Arial" w:eastAsia="Arial" w:hAnsi="Arial"/>
                <w:sz w:val="18"/>
                <w:szCs w:val="18"/>
                <w:color w:val="auto"/>
              </w:rPr>
              <w:t>SEC USE ONLY</w:t>
            </w:r>
          </w:p>
        </w:tc>
        <w:tc>
          <w:tcPr>
            <w:tcW w:w="5600" w:type="dxa"/>
            <w:vAlign w:val="bottom"/>
          </w:tcPr>
          <w:p>
            <w:pPr>
              <w:spacing w:after="0"/>
              <w:rPr>
                <w:sz w:val="20"/>
                <w:szCs w:val="20"/>
                <w:color w:val="auto"/>
              </w:rPr>
            </w:pPr>
          </w:p>
        </w:tc>
        <w:tc>
          <w:tcPr>
            <w:tcW w:w="2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1400" w:type="dxa"/>
            <w:vAlign w:val="bottom"/>
            <w:tcBorders>
              <w:left w:val="single" w:sz="8" w:color="auto"/>
              <w:bottom w:val="single" w:sz="8" w:color="auto"/>
              <w:right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5600" w:type="dxa"/>
            <w:vAlign w:val="bottom"/>
            <w:tcBorders>
              <w:bottom w:val="single" w:sz="8" w:color="auto"/>
            </w:tcBorders>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6"/>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4.</w:t>
            </w:r>
          </w:p>
        </w:tc>
        <w:tc>
          <w:tcPr>
            <w:tcW w:w="2280" w:type="dxa"/>
            <w:vAlign w:val="bottom"/>
            <w:gridSpan w:val="2"/>
          </w:tcPr>
          <w:p>
            <w:pPr>
              <w:ind w:left="180"/>
              <w:spacing w:after="0"/>
              <w:rPr>
                <w:sz w:val="20"/>
                <w:szCs w:val="20"/>
                <w:color w:val="auto"/>
              </w:rPr>
            </w:pPr>
            <w:r>
              <w:rPr>
                <w:rFonts w:ascii="Arial" w:cs="Arial" w:eastAsia="Arial" w:hAnsi="Arial"/>
                <w:sz w:val="18"/>
                <w:szCs w:val="18"/>
                <w:color w:val="auto"/>
              </w:rPr>
              <w:t>SOURCE OF FUNDS</w:t>
            </w:r>
          </w:p>
        </w:tc>
        <w:tc>
          <w:tcPr>
            <w:tcW w:w="5600" w:type="dxa"/>
            <w:vAlign w:val="bottom"/>
          </w:tcPr>
          <w:p>
            <w:pPr>
              <w:spacing w:after="0"/>
              <w:rPr>
                <w:sz w:val="19"/>
                <w:szCs w:val="19"/>
                <w:color w:val="auto"/>
              </w:rPr>
            </w:pPr>
          </w:p>
        </w:tc>
        <w:tc>
          <w:tcPr>
            <w:tcW w:w="2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right w:val="single" w:sz="8" w:color="auto"/>
            </w:tcBorders>
          </w:tcPr>
          <w:p>
            <w:pPr>
              <w:spacing w:after="0"/>
              <w:rPr>
                <w:sz w:val="20"/>
                <w:szCs w:val="20"/>
                <w:color w:val="auto"/>
              </w:rPr>
            </w:pPr>
          </w:p>
        </w:tc>
        <w:tc>
          <w:tcPr>
            <w:tcW w:w="1100" w:type="dxa"/>
            <w:vAlign w:val="bottom"/>
          </w:tcPr>
          <w:p>
            <w:pPr>
              <w:ind w:left="180"/>
              <w:spacing w:after="0"/>
              <w:rPr>
                <w:sz w:val="20"/>
                <w:szCs w:val="20"/>
                <w:color w:val="auto"/>
              </w:rPr>
            </w:pPr>
            <w:r>
              <w:rPr>
                <w:rFonts w:ascii="Arial" w:cs="Arial" w:eastAsia="Arial" w:hAnsi="Arial"/>
                <w:sz w:val="18"/>
                <w:szCs w:val="18"/>
                <w:color w:val="auto"/>
              </w:rPr>
              <w:t>AF PF</w:t>
            </w:r>
          </w:p>
        </w:tc>
        <w:tc>
          <w:tcPr>
            <w:tcW w:w="118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1400" w:type="dxa"/>
            <w:vAlign w:val="bottom"/>
            <w:tcBorders>
              <w:left w:val="single" w:sz="8" w:color="auto"/>
              <w:bottom w:val="single" w:sz="8" w:color="auto"/>
              <w:right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6780" w:type="dxa"/>
            <w:vAlign w:val="bottom"/>
            <w:tcBorders>
              <w:bottom w:val="single" w:sz="8" w:color="auto"/>
            </w:tcBorders>
            <w:gridSpan w:val="2"/>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6"/>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5.</w:t>
            </w:r>
          </w:p>
        </w:tc>
        <w:tc>
          <w:tcPr>
            <w:tcW w:w="7880" w:type="dxa"/>
            <w:vAlign w:val="bottom"/>
            <w:gridSpan w:val="3"/>
          </w:tcPr>
          <w:p>
            <w:pPr>
              <w:ind w:left="180"/>
              <w:spacing w:after="0"/>
              <w:rPr>
                <w:sz w:val="20"/>
                <w:szCs w:val="20"/>
                <w:color w:val="auto"/>
              </w:rPr>
            </w:pPr>
            <w:r>
              <w:rPr>
                <w:rFonts w:ascii="Arial" w:cs="Arial" w:eastAsia="Arial" w:hAnsi="Arial"/>
                <w:sz w:val="18"/>
                <w:szCs w:val="18"/>
                <w:color w:val="auto"/>
              </w:rPr>
              <w:t>CHECK BOX IF DISCLOSURE OF LEGAL PROCEEDINGS IS</w:t>
            </w:r>
          </w:p>
        </w:tc>
        <w:tc>
          <w:tcPr>
            <w:tcW w:w="2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right w:val="single" w:sz="8" w:color="auto"/>
            </w:tcBorders>
          </w:tcPr>
          <w:p>
            <w:pPr>
              <w:spacing w:after="0"/>
              <w:rPr>
                <w:sz w:val="20"/>
                <w:szCs w:val="20"/>
                <w:color w:val="auto"/>
              </w:rPr>
            </w:pPr>
          </w:p>
        </w:tc>
        <w:tc>
          <w:tcPr>
            <w:tcW w:w="7880" w:type="dxa"/>
            <w:vAlign w:val="bottom"/>
            <w:gridSpan w:val="3"/>
          </w:tcPr>
          <w:p>
            <w:pPr>
              <w:ind w:left="180"/>
              <w:spacing w:after="0"/>
              <w:rPr>
                <w:sz w:val="20"/>
                <w:szCs w:val="20"/>
                <w:color w:val="auto"/>
              </w:rPr>
            </w:pPr>
            <w:r>
              <w:rPr>
                <w:rFonts w:ascii="Arial" w:cs="Arial" w:eastAsia="Arial" w:hAnsi="Arial"/>
                <w:sz w:val="18"/>
                <w:szCs w:val="18"/>
                <w:color w:val="auto"/>
              </w:rPr>
              <w:t>REQUIRED PURSUANT TO ITEM 2(d) OR 2(e)</w:t>
            </w:r>
          </w:p>
        </w:tc>
        <w:tc>
          <w:tcPr>
            <w:tcW w:w="2140" w:type="dxa"/>
            <w:vAlign w:val="bottom"/>
            <w:tcBorders>
              <w:right w:val="single" w:sz="8" w:color="auto"/>
            </w:tcBorders>
            <w:vMerge w:val="restart"/>
          </w:tcPr>
          <w:p>
            <w:pPr>
              <w:jc w:val="right"/>
              <w:ind w:right="37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right w:val="single" w:sz="8" w:color="auto"/>
            </w:tcBorders>
          </w:tcPr>
          <w:p>
            <w:pPr>
              <w:spacing w:after="0"/>
              <w:rPr>
                <w:sz w:val="18"/>
                <w:szCs w:val="18"/>
                <w:color w:val="auto"/>
              </w:rPr>
            </w:pPr>
          </w:p>
        </w:tc>
        <w:tc>
          <w:tcPr>
            <w:tcW w:w="1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14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1400" w:type="dxa"/>
            <w:vAlign w:val="bottom"/>
            <w:tcBorders>
              <w:left w:val="single" w:sz="8" w:color="auto"/>
              <w:bottom w:val="single" w:sz="8" w:color="auto"/>
              <w:right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6780" w:type="dxa"/>
            <w:vAlign w:val="bottom"/>
            <w:tcBorders>
              <w:bottom w:val="single" w:sz="8" w:color="auto"/>
            </w:tcBorders>
            <w:gridSpan w:val="2"/>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6"/>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6.</w:t>
            </w:r>
          </w:p>
        </w:tc>
        <w:tc>
          <w:tcPr>
            <w:tcW w:w="7880" w:type="dxa"/>
            <w:vAlign w:val="bottom"/>
            <w:gridSpan w:val="3"/>
          </w:tcPr>
          <w:p>
            <w:pPr>
              <w:ind w:left="180"/>
              <w:spacing w:after="0"/>
              <w:rPr>
                <w:sz w:val="20"/>
                <w:szCs w:val="20"/>
                <w:color w:val="auto"/>
              </w:rPr>
            </w:pPr>
            <w:r>
              <w:rPr>
                <w:rFonts w:ascii="Arial" w:cs="Arial" w:eastAsia="Arial" w:hAnsi="Arial"/>
                <w:sz w:val="18"/>
                <w:szCs w:val="18"/>
                <w:color w:val="auto"/>
              </w:rPr>
              <w:t>CITIZENSHIP OR PLACE OF ORGANIZATION</w:t>
            </w:r>
          </w:p>
        </w:tc>
        <w:tc>
          <w:tcPr>
            <w:tcW w:w="2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right w:val="single" w:sz="8" w:color="auto"/>
            </w:tcBorders>
          </w:tcPr>
          <w:p>
            <w:pPr>
              <w:spacing w:after="0"/>
              <w:rPr>
                <w:sz w:val="20"/>
                <w:szCs w:val="20"/>
                <w:color w:val="auto"/>
              </w:rPr>
            </w:pPr>
          </w:p>
        </w:tc>
        <w:tc>
          <w:tcPr>
            <w:tcW w:w="2280" w:type="dxa"/>
            <w:vAlign w:val="bottom"/>
            <w:gridSpan w:val="2"/>
          </w:tcPr>
          <w:p>
            <w:pPr>
              <w:ind w:left="180"/>
              <w:spacing w:after="0"/>
              <w:rPr>
                <w:sz w:val="20"/>
                <w:szCs w:val="20"/>
                <w:color w:val="auto"/>
              </w:rPr>
            </w:pPr>
            <w:r>
              <w:rPr>
                <w:rFonts w:ascii="Arial" w:cs="Arial" w:eastAsia="Arial" w:hAnsi="Arial"/>
                <w:sz w:val="18"/>
                <w:szCs w:val="18"/>
                <w:color w:val="auto"/>
              </w:rPr>
              <w:t>A U.S. CITIZEN</w:t>
            </w:r>
          </w:p>
        </w:tc>
        <w:tc>
          <w:tcPr>
            <w:tcW w:w="5600" w:type="dxa"/>
            <w:vAlign w:val="bottom"/>
          </w:tcPr>
          <w:p>
            <w:pPr>
              <w:spacing w:after="0"/>
              <w:rPr>
                <w:sz w:val="20"/>
                <w:szCs w:val="20"/>
                <w:color w:val="auto"/>
              </w:rPr>
            </w:pPr>
          </w:p>
        </w:tc>
        <w:tc>
          <w:tcPr>
            <w:tcW w:w="2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1400" w:type="dxa"/>
            <w:vAlign w:val="bottom"/>
            <w:tcBorders>
              <w:left w:val="single" w:sz="8" w:color="auto"/>
              <w:bottom w:val="single" w:sz="8" w:color="auto"/>
              <w:right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6780" w:type="dxa"/>
            <w:vAlign w:val="bottom"/>
            <w:tcBorders>
              <w:bottom w:val="single" w:sz="8" w:color="auto"/>
            </w:tcBorders>
            <w:gridSpan w:val="2"/>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6"/>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7.</w:t>
            </w:r>
          </w:p>
        </w:tc>
        <w:tc>
          <w:tcPr>
            <w:tcW w:w="6780" w:type="dxa"/>
            <w:vAlign w:val="bottom"/>
            <w:gridSpan w:val="2"/>
          </w:tcPr>
          <w:p>
            <w:pPr>
              <w:ind w:left="200"/>
              <w:spacing w:after="0"/>
              <w:rPr>
                <w:sz w:val="20"/>
                <w:szCs w:val="20"/>
                <w:color w:val="auto"/>
              </w:rPr>
            </w:pPr>
            <w:r>
              <w:rPr>
                <w:rFonts w:ascii="Arial" w:cs="Arial" w:eastAsia="Arial" w:hAnsi="Arial"/>
                <w:sz w:val="18"/>
                <w:szCs w:val="18"/>
                <w:color w:val="auto"/>
              </w:rPr>
              <w:t>SOLE VOTING POWER</w:t>
            </w:r>
          </w:p>
        </w:tc>
        <w:tc>
          <w:tcPr>
            <w:tcW w:w="2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100" w:type="dxa"/>
            <w:vAlign w:val="bottom"/>
            <w:tcBorders>
              <w:right w:val="single" w:sz="8" w:color="auto"/>
            </w:tcBorders>
          </w:tcPr>
          <w:p>
            <w:pPr>
              <w:spacing w:after="0"/>
              <w:rPr>
                <w:sz w:val="18"/>
                <w:szCs w:val="18"/>
                <w:color w:val="auto"/>
              </w:rPr>
            </w:pPr>
          </w:p>
        </w:tc>
        <w:tc>
          <w:tcPr>
            <w:tcW w:w="1180" w:type="dxa"/>
            <w:vAlign w:val="bottom"/>
          </w:tcPr>
          <w:p>
            <w:pPr>
              <w:ind w:left="200"/>
              <w:spacing w:after="0"/>
              <w:rPr>
                <w:sz w:val="20"/>
                <w:szCs w:val="20"/>
                <w:color w:val="auto"/>
              </w:rPr>
            </w:pPr>
            <w:r>
              <w:rPr>
                <w:rFonts w:ascii="Arial" w:cs="Arial" w:eastAsia="Arial" w:hAnsi="Arial"/>
                <w:sz w:val="18"/>
                <w:szCs w:val="18"/>
                <w:color w:val="auto"/>
              </w:rPr>
              <w:t>270,365</w:t>
            </w:r>
          </w:p>
        </w:tc>
        <w:tc>
          <w:tcPr>
            <w:tcW w:w="5600" w:type="dxa"/>
            <w:vAlign w:val="bottom"/>
          </w:tcPr>
          <w:p>
            <w:pPr>
              <w:spacing w:after="0"/>
              <w:rPr>
                <w:sz w:val="18"/>
                <w:szCs w:val="18"/>
                <w:color w:val="auto"/>
              </w:rPr>
            </w:pPr>
          </w:p>
        </w:tc>
        <w:tc>
          <w:tcPr>
            <w:tcW w:w="2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rPr>
              <w:t>BENEFICIALLY</w:t>
            </w:r>
          </w:p>
        </w:tc>
        <w:tc>
          <w:tcPr>
            <w:tcW w:w="1100" w:type="dxa"/>
            <w:vAlign w:val="bottom"/>
            <w:tcBorders>
              <w:bottom w:val="single" w:sz="8" w:color="auto"/>
              <w:right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5600" w:type="dxa"/>
            <w:vAlign w:val="bottom"/>
            <w:tcBorders>
              <w:bottom w:val="single" w:sz="8" w:color="auto"/>
            </w:tcBorders>
          </w:tcPr>
          <w:p>
            <w:pPr>
              <w:spacing w:after="0"/>
              <w:rPr>
                <w:sz w:val="4"/>
                <w:szCs w:val="4"/>
                <w:color w:val="auto"/>
              </w:rPr>
            </w:pPr>
          </w:p>
        </w:tc>
        <w:tc>
          <w:tcPr>
            <w:tcW w:w="2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1400" w:type="dxa"/>
            <w:vAlign w:val="bottom"/>
            <w:tcBorders>
              <w:left w:val="single" w:sz="8" w:color="auto"/>
              <w:right w:val="single" w:sz="8" w:color="auto"/>
            </w:tcBorders>
            <w:vMerge w:val="continue"/>
          </w:tcPr>
          <w:p>
            <w:pPr>
              <w:spacing w:after="0"/>
              <w:rPr>
                <w:sz w:val="12"/>
                <w:szCs w:val="12"/>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79"/>
              </w:rPr>
              <w:t>8.</w:t>
            </w:r>
          </w:p>
        </w:tc>
        <w:tc>
          <w:tcPr>
            <w:tcW w:w="6780" w:type="dxa"/>
            <w:vAlign w:val="bottom"/>
            <w:gridSpan w:val="2"/>
            <w:vMerge w:val="restart"/>
          </w:tcPr>
          <w:p>
            <w:pPr>
              <w:ind w:left="200"/>
              <w:spacing w:after="0"/>
              <w:rPr>
                <w:sz w:val="20"/>
                <w:szCs w:val="20"/>
                <w:color w:val="auto"/>
              </w:rPr>
            </w:pPr>
            <w:r>
              <w:rPr>
                <w:rFonts w:ascii="Arial" w:cs="Arial" w:eastAsia="Arial" w:hAnsi="Arial"/>
                <w:sz w:val="18"/>
                <w:szCs w:val="18"/>
                <w:color w:val="auto"/>
              </w:rPr>
              <w:t>SHARED VOTING POWER</w:t>
            </w:r>
          </w:p>
        </w:tc>
        <w:tc>
          <w:tcPr>
            <w:tcW w:w="21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1100" w:type="dxa"/>
            <w:vAlign w:val="bottom"/>
            <w:tcBorders>
              <w:right w:val="single" w:sz="8" w:color="auto"/>
            </w:tcBorders>
            <w:vMerge w:val="continue"/>
          </w:tcPr>
          <w:p>
            <w:pPr>
              <w:spacing w:after="0"/>
              <w:rPr>
                <w:sz w:val="7"/>
                <w:szCs w:val="7"/>
                <w:color w:val="auto"/>
              </w:rPr>
            </w:pPr>
          </w:p>
        </w:tc>
        <w:tc>
          <w:tcPr>
            <w:tcW w:w="6780" w:type="dxa"/>
            <w:vAlign w:val="bottom"/>
            <w:gridSpan w:val="2"/>
            <w:vMerge w:val="continue"/>
          </w:tcPr>
          <w:p>
            <w:pPr>
              <w:spacing w:after="0"/>
              <w:rPr>
                <w:sz w:val="7"/>
                <w:szCs w:val="7"/>
                <w:color w:val="auto"/>
              </w:rPr>
            </w:pPr>
          </w:p>
        </w:tc>
        <w:tc>
          <w:tcPr>
            <w:tcW w:w="21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400" w:type="dxa"/>
            <w:vAlign w:val="bottom"/>
            <w:tcBorders>
              <w:left w:val="single" w:sz="8" w:color="auto"/>
              <w:right w:val="single" w:sz="8" w:color="auto"/>
            </w:tcBorders>
            <w:vMerge w:val="continue"/>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1180" w:type="dxa"/>
            <w:vAlign w:val="bottom"/>
            <w:vMerge w:val="restart"/>
          </w:tcPr>
          <w:p>
            <w:pPr>
              <w:ind w:left="200"/>
              <w:spacing w:after="0"/>
              <w:rPr>
                <w:sz w:val="20"/>
                <w:szCs w:val="20"/>
                <w:color w:val="auto"/>
              </w:rPr>
            </w:pPr>
            <w:r>
              <w:rPr>
                <w:rFonts w:ascii="Arial" w:cs="Arial" w:eastAsia="Arial" w:hAnsi="Arial"/>
                <w:sz w:val="18"/>
                <w:szCs w:val="18"/>
                <w:color w:val="auto"/>
              </w:rPr>
              <w:t>8,952,169</w:t>
            </w:r>
          </w:p>
        </w:tc>
        <w:tc>
          <w:tcPr>
            <w:tcW w:w="5600" w:type="dxa"/>
            <w:vAlign w:val="bottom"/>
          </w:tcPr>
          <w:p>
            <w:pPr>
              <w:spacing w:after="0"/>
              <w:rPr>
                <w:sz w:val="11"/>
                <w:szCs w:val="11"/>
                <w:color w:val="auto"/>
              </w:rPr>
            </w:pPr>
          </w:p>
        </w:tc>
        <w:tc>
          <w:tcPr>
            <w:tcW w:w="21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1100" w:type="dxa"/>
            <w:vAlign w:val="bottom"/>
            <w:tcBorders>
              <w:right w:val="single" w:sz="8" w:color="auto"/>
            </w:tcBorders>
          </w:tcPr>
          <w:p>
            <w:pPr>
              <w:spacing w:after="0"/>
              <w:rPr>
                <w:sz w:val="8"/>
                <w:szCs w:val="8"/>
                <w:color w:val="auto"/>
              </w:rPr>
            </w:pPr>
          </w:p>
        </w:tc>
        <w:tc>
          <w:tcPr>
            <w:tcW w:w="1180" w:type="dxa"/>
            <w:vAlign w:val="bottom"/>
            <w:vMerge w:val="continue"/>
          </w:tcPr>
          <w:p>
            <w:pPr>
              <w:spacing w:after="0"/>
              <w:rPr>
                <w:sz w:val="8"/>
                <w:szCs w:val="8"/>
                <w:color w:val="auto"/>
              </w:rPr>
            </w:pPr>
          </w:p>
        </w:tc>
        <w:tc>
          <w:tcPr>
            <w:tcW w:w="5600" w:type="dxa"/>
            <w:vAlign w:val="bottom"/>
          </w:tcPr>
          <w:p>
            <w:pPr>
              <w:spacing w:after="0"/>
              <w:rPr>
                <w:sz w:val="8"/>
                <w:szCs w:val="8"/>
                <w:color w:val="auto"/>
              </w:rPr>
            </w:pPr>
          </w:p>
        </w:tc>
        <w:tc>
          <w:tcPr>
            <w:tcW w:w="21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7"/>
        </w:trPr>
        <w:tc>
          <w:tcPr>
            <w:tcW w:w="1400" w:type="dxa"/>
            <w:vAlign w:val="bottom"/>
            <w:tcBorders>
              <w:left w:val="single" w:sz="8" w:color="auto"/>
              <w:right w:val="single" w:sz="8" w:color="auto"/>
            </w:tcBorders>
            <w:vMerge w:val="continue"/>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5600" w:type="dxa"/>
            <w:vAlign w:val="bottom"/>
            <w:tcBorders>
              <w:bottom w:val="single" w:sz="8" w:color="auto"/>
            </w:tcBorders>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63"/>
        </w:trPr>
        <w:tc>
          <w:tcPr>
            <w:tcW w:w="1400" w:type="dxa"/>
            <w:vAlign w:val="bottom"/>
            <w:tcBorders>
              <w:left w:val="single" w:sz="8" w:color="auto"/>
              <w:right w:val="single" w:sz="8" w:color="auto"/>
            </w:tcBorders>
            <w:vMerge w:val="continue"/>
          </w:tcPr>
          <w:p>
            <w:pPr>
              <w:spacing w:after="0"/>
              <w:rPr>
                <w:sz w:val="5"/>
                <w:szCs w:val="5"/>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79"/>
              </w:rPr>
              <w:t>9.</w:t>
            </w:r>
          </w:p>
        </w:tc>
        <w:tc>
          <w:tcPr>
            <w:tcW w:w="6780" w:type="dxa"/>
            <w:vAlign w:val="bottom"/>
            <w:gridSpan w:val="2"/>
            <w:vMerge w:val="restart"/>
          </w:tcPr>
          <w:p>
            <w:pPr>
              <w:ind w:left="200"/>
              <w:spacing w:after="0"/>
              <w:rPr>
                <w:sz w:val="20"/>
                <w:szCs w:val="20"/>
                <w:color w:val="auto"/>
              </w:rPr>
            </w:pPr>
            <w:r>
              <w:rPr>
                <w:rFonts w:ascii="Arial" w:cs="Arial" w:eastAsia="Arial" w:hAnsi="Arial"/>
                <w:sz w:val="18"/>
                <w:szCs w:val="18"/>
                <w:color w:val="auto"/>
              </w:rPr>
              <w:t>SOLE DISPOSITIVE POWER</w:t>
            </w:r>
          </w:p>
        </w:tc>
        <w:tc>
          <w:tcPr>
            <w:tcW w:w="21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400" w:type="dxa"/>
            <w:vAlign w:val="bottom"/>
            <w:tcBorders>
              <w:left w:val="single" w:sz="8" w:color="auto"/>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3"/>
              </w:rPr>
              <w:t>REPORTING</w:t>
            </w:r>
          </w:p>
        </w:tc>
        <w:tc>
          <w:tcPr>
            <w:tcW w:w="1100" w:type="dxa"/>
            <w:vAlign w:val="bottom"/>
            <w:tcBorders>
              <w:right w:val="single" w:sz="8" w:color="auto"/>
            </w:tcBorders>
            <w:vMerge w:val="continue"/>
          </w:tcPr>
          <w:p>
            <w:pPr>
              <w:spacing w:after="0"/>
              <w:rPr>
                <w:sz w:val="15"/>
                <w:szCs w:val="15"/>
                <w:color w:val="auto"/>
              </w:rPr>
            </w:pPr>
          </w:p>
        </w:tc>
        <w:tc>
          <w:tcPr>
            <w:tcW w:w="6780" w:type="dxa"/>
            <w:vAlign w:val="bottom"/>
            <w:gridSpan w:val="2"/>
            <w:vMerge w:val="continue"/>
          </w:tcPr>
          <w:p>
            <w:pPr>
              <w:spacing w:after="0"/>
              <w:rPr>
                <w:sz w:val="15"/>
                <w:szCs w:val="15"/>
                <w:color w:val="auto"/>
              </w:rPr>
            </w:pPr>
          </w:p>
        </w:tc>
        <w:tc>
          <w:tcPr>
            <w:tcW w:w="2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100" w:type="dxa"/>
            <w:vAlign w:val="bottom"/>
            <w:tcBorders>
              <w:bottom w:val="single" w:sz="8" w:color="auto"/>
              <w:right w:val="single" w:sz="8" w:color="auto"/>
            </w:tcBorders>
          </w:tcPr>
          <w:p>
            <w:pPr>
              <w:spacing w:after="0"/>
              <w:rPr>
                <w:sz w:val="22"/>
                <w:szCs w:val="22"/>
                <w:color w:val="auto"/>
              </w:rPr>
            </w:pPr>
          </w:p>
        </w:tc>
        <w:tc>
          <w:tcPr>
            <w:tcW w:w="11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270,365</w:t>
            </w:r>
          </w:p>
        </w:tc>
        <w:tc>
          <w:tcPr>
            <w:tcW w:w="5600" w:type="dxa"/>
            <w:vAlign w:val="bottom"/>
            <w:tcBorders>
              <w:bottom w:val="single" w:sz="8" w:color="auto"/>
            </w:tcBorders>
          </w:tcPr>
          <w:p>
            <w:pPr>
              <w:spacing w:after="0"/>
              <w:rPr>
                <w:sz w:val="22"/>
                <w:szCs w:val="22"/>
                <w:color w:val="auto"/>
              </w:rPr>
            </w:pPr>
          </w:p>
        </w:tc>
        <w:tc>
          <w:tcPr>
            <w:tcW w:w="21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FFFFFF"/>
                <w:w w:val="89"/>
              </w:rPr>
              <w:t>______________</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10.</w:t>
            </w:r>
          </w:p>
        </w:tc>
        <w:tc>
          <w:tcPr>
            <w:tcW w:w="6780" w:type="dxa"/>
            <w:vAlign w:val="bottom"/>
            <w:gridSpan w:val="2"/>
          </w:tcPr>
          <w:p>
            <w:pPr>
              <w:ind w:left="200"/>
              <w:spacing w:after="0"/>
              <w:rPr>
                <w:sz w:val="20"/>
                <w:szCs w:val="20"/>
                <w:color w:val="auto"/>
              </w:rPr>
            </w:pPr>
            <w:r>
              <w:rPr>
                <w:rFonts w:ascii="Arial" w:cs="Arial" w:eastAsia="Arial" w:hAnsi="Arial"/>
                <w:sz w:val="18"/>
                <w:szCs w:val="18"/>
                <w:color w:val="auto"/>
              </w:rPr>
              <w:t>SHARED DISPOSITIVE POWER</w:t>
            </w:r>
          </w:p>
        </w:tc>
        <w:tc>
          <w:tcPr>
            <w:tcW w:w="2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180" w:type="dxa"/>
            <w:vAlign w:val="bottom"/>
          </w:tcPr>
          <w:p>
            <w:pPr>
              <w:ind w:left="200"/>
              <w:spacing w:after="0"/>
              <w:rPr>
                <w:sz w:val="20"/>
                <w:szCs w:val="20"/>
                <w:color w:val="auto"/>
              </w:rPr>
            </w:pPr>
            <w:r>
              <w:rPr>
                <w:rFonts w:ascii="Arial" w:cs="Arial" w:eastAsia="Arial" w:hAnsi="Arial"/>
                <w:sz w:val="18"/>
                <w:szCs w:val="18"/>
                <w:color w:val="auto"/>
              </w:rPr>
              <w:t>8,952,169</w:t>
            </w:r>
          </w:p>
        </w:tc>
        <w:tc>
          <w:tcPr>
            <w:tcW w:w="5600" w:type="dxa"/>
            <w:vAlign w:val="bottom"/>
          </w:tcPr>
          <w:p>
            <w:pPr>
              <w:spacing w:after="0"/>
              <w:rPr>
                <w:sz w:val="20"/>
                <w:szCs w:val="20"/>
                <w:color w:val="auto"/>
              </w:rPr>
            </w:pPr>
          </w:p>
        </w:tc>
        <w:tc>
          <w:tcPr>
            <w:tcW w:w="2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1400" w:type="dxa"/>
            <w:vAlign w:val="bottom"/>
            <w:tcBorders>
              <w:left w:val="single" w:sz="8" w:color="auto"/>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6780" w:type="dxa"/>
            <w:vAlign w:val="bottom"/>
            <w:tcBorders>
              <w:bottom w:val="single" w:sz="8" w:color="auto"/>
            </w:tcBorders>
            <w:gridSpan w:val="2"/>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6"/>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11.</w:t>
            </w:r>
          </w:p>
        </w:tc>
        <w:tc>
          <w:tcPr>
            <w:tcW w:w="7880" w:type="dxa"/>
            <w:vAlign w:val="bottom"/>
            <w:gridSpan w:val="3"/>
          </w:tcPr>
          <w:p>
            <w:pPr>
              <w:ind w:left="180"/>
              <w:spacing w:after="0"/>
              <w:rPr>
                <w:sz w:val="20"/>
                <w:szCs w:val="20"/>
                <w:color w:val="auto"/>
              </w:rPr>
            </w:pPr>
            <w:r>
              <w:rPr>
                <w:rFonts w:ascii="Arial" w:cs="Arial" w:eastAsia="Arial" w:hAnsi="Arial"/>
                <w:sz w:val="18"/>
                <w:szCs w:val="18"/>
                <w:color w:val="auto"/>
              </w:rPr>
              <w:t>AGGREGATE AMOUNT BENEFICIALLY OWNED BY EACH REPORTING PERSON</w:t>
            </w:r>
          </w:p>
        </w:tc>
        <w:tc>
          <w:tcPr>
            <w:tcW w:w="2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right w:val="single" w:sz="8" w:color="auto"/>
            </w:tcBorders>
          </w:tcPr>
          <w:p>
            <w:pPr>
              <w:spacing w:after="0"/>
              <w:rPr>
                <w:sz w:val="20"/>
                <w:szCs w:val="20"/>
                <w:color w:val="auto"/>
              </w:rPr>
            </w:pPr>
          </w:p>
        </w:tc>
        <w:tc>
          <w:tcPr>
            <w:tcW w:w="1100" w:type="dxa"/>
            <w:vAlign w:val="bottom"/>
          </w:tcPr>
          <w:p>
            <w:pPr>
              <w:ind w:left="180"/>
              <w:spacing w:after="0"/>
              <w:rPr>
                <w:sz w:val="20"/>
                <w:szCs w:val="20"/>
                <w:color w:val="auto"/>
              </w:rPr>
            </w:pPr>
            <w:r>
              <w:rPr>
                <w:rFonts w:ascii="Arial" w:cs="Arial" w:eastAsia="Arial" w:hAnsi="Arial"/>
                <w:sz w:val="18"/>
                <w:szCs w:val="18"/>
                <w:color w:val="auto"/>
              </w:rPr>
              <w:t>9,238,534</w:t>
            </w:r>
          </w:p>
        </w:tc>
        <w:tc>
          <w:tcPr>
            <w:tcW w:w="118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1400" w:type="dxa"/>
            <w:vAlign w:val="bottom"/>
            <w:tcBorders>
              <w:left w:val="single" w:sz="8" w:color="auto"/>
              <w:bottom w:val="single" w:sz="8" w:color="auto"/>
              <w:right w:val="single" w:sz="8" w:color="auto"/>
            </w:tcBorders>
          </w:tcPr>
          <w:p>
            <w:pPr>
              <w:spacing w:after="0"/>
              <w:rPr>
                <w:sz w:val="3"/>
                <w:szCs w:val="3"/>
                <w:color w:val="auto"/>
              </w:rPr>
            </w:pPr>
          </w:p>
        </w:tc>
        <w:tc>
          <w:tcPr>
            <w:tcW w:w="7880" w:type="dxa"/>
            <w:vAlign w:val="bottom"/>
            <w:tcBorders>
              <w:bottom w:val="single" w:sz="8" w:color="auto"/>
            </w:tcBorders>
            <w:gridSpan w:val="3"/>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12.</w:t>
            </w:r>
          </w:p>
        </w:tc>
        <w:tc>
          <w:tcPr>
            <w:tcW w:w="7880" w:type="dxa"/>
            <w:vAlign w:val="bottom"/>
            <w:gridSpan w:val="3"/>
          </w:tcPr>
          <w:p>
            <w:pPr>
              <w:ind w:left="18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2140" w:type="dxa"/>
            <w:vAlign w:val="bottom"/>
            <w:tcBorders>
              <w:right w:val="single" w:sz="8" w:color="auto"/>
            </w:tcBorders>
            <w:vMerge w:val="restart"/>
          </w:tcPr>
          <w:p>
            <w:pPr>
              <w:jc w:val="right"/>
              <w:ind w:right="37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right w:val="single" w:sz="8" w:color="auto"/>
            </w:tcBorders>
          </w:tcPr>
          <w:p>
            <w:pPr>
              <w:spacing w:after="0"/>
              <w:rPr>
                <w:sz w:val="18"/>
                <w:szCs w:val="18"/>
                <w:color w:val="auto"/>
              </w:rPr>
            </w:pPr>
          </w:p>
        </w:tc>
        <w:tc>
          <w:tcPr>
            <w:tcW w:w="1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14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1400" w:type="dxa"/>
            <w:vAlign w:val="bottom"/>
            <w:tcBorders>
              <w:left w:val="single" w:sz="8" w:color="auto"/>
              <w:bottom w:val="single" w:sz="8" w:color="auto"/>
              <w:right w:val="single" w:sz="8" w:color="auto"/>
            </w:tcBorders>
          </w:tcPr>
          <w:p>
            <w:pPr>
              <w:spacing w:after="0"/>
              <w:rPr>
                <w:sz w:val="3"/>
                <w:szCs w:val="3"/>
                <w:color w:val="auto"/>
              </w:rPr>
            </w:pPr>
          </w:p>
        </w:tc>
        <w:tc>
          <w:tcPr>
            <w:tcW w:w="7880" w:type="dxa"/>
            <w:vAlign w:val="bottom"/>
            <w:tcBorders>
              <w:bottom w:val="single" w:sz="8" w:color="auto"/>
            </w:tcBorders>
            <w:gridSpan w:val="3"/>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6"/>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13.</w:t>
            </w:r>
          </w:p>
        </w:tc>
        <w:tc>
          <w:tcPr>
            <w:tcW w:w="7880" w:type="dxa"/>
            <w:vAlign w:val="bottom"/>
            <w:gridSpan w:val="3"/>
          </w:tcPr>
          <w:p>
            <w:pPr>
              <w:ind w:left="180"/>
              <w:spacing w:after="0"/>
              <w:rPr>
                <w:sz w:val="20"/>
                <w:szCs w:val="20"/>
                <w:color w:val="auto"/>
              </w:rPr>
            </w:pPr>
            <w:r>
              <w:rPr>
                <w:rFonts w:ascii="Arial" w:cs="Arial" w:eastAsia="Arial" w:hAnsi="Arial"/>
                <w:sz w:val="18"/>
                <w:szCs w:val="18"/>
                <w:color w:val="auto"/>
              </w:rPr>
              <w:t>PERCENT OF CLASS REPRESENTED BY AMOUNT IN ROW (11)</w:t>
            </w:r>
          </w:p>
        </w:tc>
        <w:tc>
          <w:tcPr>
            <w:tcW w:w="2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right w:val="single" w:sz="8" w:color="auto"/>
            </w:tcBorders>
          </w:tcPr>
          <w:p>
            <w:pPr>
              <w:spacing w:after="0"/>
              <w:rPr>
                <w:sz w:val="20"/>
                <w:szCs w:val="20"/>
                <w:color w:val="auto"/>
              </w:rPr>
            </w:pPr>
          </w:p>
        </w:tc>
        <w:tc>
          <w:tcPr>
            <w:tcW w:w="1100" w:type="dxa"/>
            <w:vAlign w:val="bottom"/>
          </w:tcPr>
          <w:p>
            <w:pPr>
              <w:ind w:left="180"/>
              <w:spacing w:after="0"/>
              <w:rPr>
                <w:sz w:val="20"/>
                <w:szCs w:val="20"/>
                <w:color w:val="auto"/>
              </w:rPr>
            </w:pPr>
            <w:r>
              <w:rPr>
                <w:rFonts w:ascii="Arial" w:cs="Arial" w:eastAsia="Arial" w:hAnsi="Arial"/>
                <w:sz w:val="18"/>
                <w:szCs w:val="18"/>
                <w:color w:val="auto"/>
              </w:rPr>
              <w:t>8.44%</w:t>
            </w:r>
          </w:p>
        </w:tc>
        <w:tc>
          <w:tcPr>
            <w:tcW w:w="118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1400" w:type="dxa"/>
            <w:vAlign w:val="bottom"/>
            <w:tcBorders>
              <w:left w:val="single" w:sz="8" w:color="auto"/>
              <w:bottom w:val="single" w:sz="8" w:color="auto"/>
              <w:right w:val="single" w:sz="8" w:color="auto"/>
            </w:tcBorders>
          </w:tcPr>
          <w:p>
            <w:pPr>
              <w:spacing w:after="0"/>
              <w:rPr>
                <w:sz w:val="3"/>
                <w:szCs w:val="3"/>
                <w:color w:val="auto"/>
              </w:rPr>
            </w:pPr>
          </w:p>
        </w:tc>
        <w:tc>
          <w:tcPr>
            <w:tcW w:w="7880" w:type="dxa"/>
            <w:vAlign w:val="bottom"/>
            <w:tcBorders>
              <w:bottom w:val="single" w:sz="8" w:color="auto"/>
            </w:tcBorders>
            <w:gridSpan w:val="3"/>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6"/>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14.</w:t>
            </w:r>
          </w:p>
        </w:tc>
        <w:tc>
          <w:tcPr>
            <w:tcW w:w="7880" w:type="dxa"/>
            <w:vAlign w:val="bottom"/>
            <w:gridSpan w:val="3"/>
          </w:tcPr>
          <w:p>
            <w:pPr>
              <w:ind w:left="180"/>
              <w:spacing w:after="0"/>
              <w:rPr>
                <w:sz w:val="20"/>
                <w:szCs w:val="20"/>
                <w:color w:val="auto"/>
              </w:rPr>
            </w:pPr>
            <w:r>
              <w:rPr>
                <w:rFonts w:ascii="Arial" w:cs="Arial" w:eastAsia="Arial" w:hAnsi="Arial"/>
                <w:sz w:val="18"/>
                <w:szCs w:val="18"/>
                <w:color w:val="auto"/>
              </w:rPr>
              <w:t>TYPE OF REPORTING PERSON</w:t>
            </w:r>
          </w:p>
        </w:tc>
        <w:tc>
          <w:tcPr>
            <w:tcW w:w="2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right w:val="single" w:sz="8" w:color="auto"/>
            </w:tcBorders>
          </w:tcPr>
          <w:p>
            <w:pPr>
              <w:spacing w:after="0"/>
              <w:rPr>
                <w:sz w:val="20"/>
                <w:szCs w:val="20"/>
                <w:color w:val="auto"/>
              </w:rPr>
            </w:pPr>
          </w:p>
        </w:tc>
        <w:tc>
          <w:tcPr>
            <w:tcW w:w="1100" w:type="dxa"/>
            <w:vAlign w:val="bottom"/>
          </w:tcPr>
          <w:p>
            <w:pPr>
              <w:ind w:left="180"/>
              <w:spacing w:after="0"/>
              <w:rPr>
                <w:sz w:val="20"/>
                <w:szCs w:val="20"/>
                <w:color w:val="auto"/>
              </w:rPr>
            </w:pPr>
            <w:r>
              <w:rPr>
                <w:rFonts w:ascii="Arial" w:cs="Arial" w:eastAsia="Arial" w:hAnsi="Arial"/>
                <w:sz w:val="18"/>
                <w:szCs w:val="18"/>
                <w:color w:val="auto"/>
              </w:rPr>
              <w:t>IN</w:t>
            </w:r>
          </w:p>
        </w:tc>
        <w:tc>
          <w:tcPr>
            <w:tcW w:w="118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1400" w:type="dxa"/>
            <w:vAlign w:val="bottom"/>
            <w:tcBorders>
              <w:left w:val="single" w:sz="8" w:color="auto"/>
              <w:bottom w:val="single" w:sz="8" w:color="auto"/>
              <w:right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5600" w:type="dxa"/>
            <w:vAlign w:val="bottom"/>
            <w:tcBorders>
              <w:bottom w:val="single" w:sz="8" w:color="auto"/>
            </w:tcBorders>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85"/>
        </w:trPr>
        <w:tc>
          <w:tcPr>
            <w:tcW w:w="140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5600" w:type="dxa"/>
            <w:vAlign w:val="bottom"/>
            <w:tcBorders>
              <w:bottom w:val="single" w:sz="8" w:color="808080"/>
            </w:tcBorders>
          </w:tcPr>
          <w:p>
            <w:pPr>
              <w:spacing w:after="0"/>
              <w:rPr>
                <w:sz w:val="24"/>
                <w:szCs w:val="24"/>
                <w:color w:val="auto"/>
              </w:rPr>
            </w:pPr>
          </w:p>
        </w:tc>
        <w:tc>
          <w:tcPr>
            <w:tcW w:w="21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3" w:name="page4"/>
    <w:bookmarkEnd w:id="3"/>
    <w:p>
      <w:pPr>
        <w:jc w:val="center"/>
        <w:ind w:right="-99"/>
        <w:spacing w:after="0"/>
        <w:rPr>
          <w:sz w:val="20"/>
          <w:szCs w:val="20"/>
          <w:color w:val="auto"/>
        </w:rPr>
      </w:pPr>
      <w:r>
        <w:rPr>
          <w:rFonts w:ascii="Arial" w:cs="Arial" w:eastAsia="Arial" w:hAnsi="Arial"/>
          <w:sz w:val="18"/>
          <w:szCs w:val="18"/>
          <w:color w:val="auto"/>
        </w:rPr>
        <w:t>United States</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Securities and Exchange Commission</w:t>
      </w:r>
    </w:p>
    <w:p>
      <w:pPr>
        <w:spacing w:after="0" w:line="26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Schedule 13D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Amendment No 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61"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Security and Issuer</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Common Units, $0.10 par value.</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Plains All American Pipeline, 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Houston, TX 77002</w:t>
      </w:r>
    </w:p>
    <w:p>
      <w:pPr>
        <w:spacing w:after="0" w:line="261"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Reporting Persons include Kayne Anderson Capital Advisors, L.P. and Richard A. Kayne.</w:t>
      </w:r>
    </w:p>
    <w:p>
      <w:pPr>
        <w:spacing w:after="0" w:line="275" w:lineRule="exact"/>
        <w:rPr>
          <w:sz w:val="20"/>
          <w:szCs w:val="20"/>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Kayne Anderson Capital Advisors, L.P.</w:t>
      </w:r>
    </w:p>
    <w:p>
      <w:pPr>
        <w:spacing w:after="0" w:line="283" w:lineRule="exact"/>
        <w:rPr>
          <w:rFonts w:ascii="Arial" w:cs="Arial" w:eastAsia="Arial" w:hAnsi="Arial"/>
          <w:sz w:val="18"/>
          <w:szCs w:val="18"/>
          <w:color w:val="auto"/>
        </w:rPr>
      </w:pPr>
    </w:p>
    <w:p>
      <w:pPr>
        <w:ind w:left="660"/>
        <w:spacing w:after="0" w:line="276" w:lineRule="auto"/>
        <w:rPr>
          <w:rFonts w:ascii="Arial" w:cs="Arial" w:eastAsia="Arial" w:hAnsi="Arial"/>
          <w:sz w:val="18"/>
          <w:szCs w:val="18"/>
          <w:color w:val="auto"/>
        </w:rPr>
      </w:pPr>
      <w:r>
        <w:rPr>
          <w:rFonts w:ascii="Arial" w:cs="Arial" w:eastAsia="Arial" w:hAnsi="Arial"/>
          <w:sz w:val="17"/>
          <w:szCs w:val="17"/>
          <w:color w:val="auto"/>
        </w:rPr>
        <w:t>Kayne Anderson Capital Advisors, L.P. (“KACALP”), a California limited partnership, is an investment adviser registered with the Securities and Exchange Commission under the Investment Advisers Act of 1940. It serves as sole general partner of and investment adviser to various investment partnerships holding the issuer’s Common Units. KACALP also serves as investment adviser to Kayne Anderson MLP Investment Company (“KAMIC”), Kayne Anderson Energy Total Return Fund (“KATRF”), and Kayne Anderson Energy Development Company (“KED”), publicly traded closed-end funds, and a small number of separate account clients which hold the issuer’s Common Stock.</w:t>
      </w:r>
    </w:p>
    <w:p>
      <w:pPr>
        <w:spacing w:after="0" w:line="226" w:lineRule="exact"/>
        <w:rPr>
          <w:rFonts w:ascii="Arial" w:cs="Arial" w:eastAsia="Arial" w:hAnsi="Arial"/>
          <w:sz w:val="18"/>
          <w:szCs w:val="18"/>
          <w:color w:val="auto"/>
        </w:rPr>
      </w:pPr>
    </w:p>
    <w:p>
      <w:pPr>
        <w:ind w:left="660" w:right="140"/>
        <w:spacing w:after="0" w:line="312" w:lineRule="auto"/>
        <w:rPr>
          <w:rFonts w:ascii="Arial" w:cs="Arial" w:eastAsia="Arial" w:hAnsi="Arial"/>
          <w:sz w:val="18"/>
          <w:szCs w:val="18"/>
          <w:color w:val="auto"/>
        </w:rPr>
      </w:pPr>
      <w:r>
        <w:rPr>
          <w:rFonts w:ascii="Arial" w:cs="Arial" w:eastAsia="Arial" w:hAnsi="Arial"/>
          <w:sz w:val="16"/>
          <w:szCs w:val="16"/>
          <w:color w:val="auto"/>
        </w:rPr>
        <w:t>Kayne Anderson Investment Management, Inc. (“KAIM”), a Nevada corporation, is the sole general partner of KACALP. KAIM is owned by KA Holdings, Inc. (“KA Holdings”), a California corporation, the shareholders of which are Richard A. Kayne and John E. Anderson. The principal business address of the Reporting Persons, KAIM and KA Holdings is 1800 Avenue of the Stars, Second Floor, Los Angeles, California 90067.</w:t>
      </w:r>
    </w:p>
    <w:p>
      <w:pPr>
        <w:spacing w:after="0" w:line="196" w:lineRule="exact"/>
        <w:rPr>
          <w:rFonts w:ascii="Arial" w:cs="Arial" w:eastAsia="Arial" w:hAnsi="Arial"/>
          <w:sz w:val="18"/>
          <w:szCs w:val="18"/>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Richard A. Kayne</w:t>
      </w:r>
    </w:p>
    <w:p>
      <w:pPr>
        <w:spacing w:after="0" w:line="28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Mr. Kayne, a U.S. citizen, is President, Chief Executive Officer and Director of KAIM and KA Holdings.</w:t>
      </w:r>
    </w:p>
    <w:p>
      <w:pPr>
        <w:spacing w:after="0" w:line="279" w:lineRule="exact"/>
        <w:rPr>
          <w:rFonts w:ascii="Arial" w:cs="Arial" w:eastAsia="Arial" w:hAnsi="Arial"/>
          <w:sz w:val="18"/>
          <w:szCs w:val="18"/>
          <w:color w:val="auto"/>
        </w:rPr>
      </w:pPr>
    </w:p>
    <w:p>
      <w:pPr>
        <w:ind w:left="660" w:right="100"/>
        <w:spacing w:after="0" w:line="259" w:lineRule="auto"/>
        <w:rPr>
          <w:rFonts w:ascii="Arial" w:cs="Arial" w:eastAsia="Arial" w:hAnsi="Arial"/>
          <w:sz w:val="18"/>
          <w:szCs w:val="18"/>
          <w:color w:val="auto"/>
        </w:rPr>
      </w:pPr>
      <w:r>
        <w:rPr>
          <w:rFonts w:ascii="Arial" w:cs="Arial" w:eastAsia="Arial" w:hAnsi="Arial"/>
          <w:sz w:val="18"/>
          <w:szCs w:val="18"/>
          <w:color w:val="auto"/>
        </w:rPr>
        <w:t>Mr. Kayne also serves as Co-Management Chair and Chief Executive Officer of Kayne Anderson Rudnick Investment Management, LLC, a California limited liability company (“KARIM”), and President and Director of KA Associates, Inc., a Nevada corporation (“KAA”). KARIM is a registered investment adviser. KAA is a registered broker/dealer. The principal business address of KARIM and KAA is 1800 Avenue of the Stars, Second Floor, Los Angeles, CA 90067.</w:t>
      </w:r>
    </w:p>
    <w:p>
      <w:pPr>
        <w:spacing w:after="0" w:line="240" w:lineRule="exact"/>
        <w:rPr>
          <w:rFonts w:ascii="Arial" w:cs="Arial" w:eastAsia="Arial" w:hAnsi="Arial"/>
          <w:sz w:val="18"/>
          <w:szCs w:val="18"/>
          <w:color w:val="auto"/>
        </w:rPr>
      </w:pPr>
    </w:p>
    <w:p>
      <w:pPr>
        <w:ind w:left="660" w:right="400" w:hanging="652"/>
        <w:spacing w:after="0" w:line="279" w:lineRule="auto"/>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None of the Reporting Persons, KAIM or KA Holdings has been convicted in a criminal proceeding (excluding traffic violations or similar misdemeanors) in the past five years, nor has any of them been a party to a civil proceeding of a judicial or administrative body of competent jurisdiction, which resulted in a judgment, decree or final order enjoining future violations of, or prohibiting or mandating activities subject to, federal or state securities laws or finding any violation with respect to such law during the last five years.</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395" w:right="339" w:bottom="1440" w:gutter="0" w:footer="0" w:header="0"/>
        </w:sectPr>
      </w:pPr>
    </w:p>
    <w:bookmarkStart w:id="4" w:name="page5"/>
    <w:bookmarkEnd w:id="4"/>
    <w:p>
      <w:pPr>
        <w:ind w:left="660" w:right="40" w:hanging="652"/>
        <w:spacing w:after="0" w:line="273"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following additional persons are officers and/or directors of one or more of KAIM and KA Holdings. (KACALP, a limited partnership, does not have any officers or directors.) Each such person is a U.S. citizen whose address is, unless noted otherwise, 1800 Avenue of the Stars, Second Floor, Los Angeles, California 90067. None of such persons has been convicted in a criminal proceeding (excluding traffic violations or similar misdemeanors) in the past five years, nor has any of them been a party to a civil proceeding of a judicial or administrative body of competent jurisdiction, which resulted in a judgment, decree or final order enjoining future violations of, or prohibiting or mandating activities subject to, federal or state securities laws or finding any violation with respect to such law during the last five years.</w:t>
      </w:r>
    </w:p>
    <w:p>
      <w:pPr>
        <w:spacing w:after="0" w:line="228" w:lineRule="exact"/>
        <w:rPr>
          <w:sz w:val="20"/>
          <w:szCs w:val="20"/>
          <w:color w:val="auto"/>
        </w:rPr>
      </w:pPr>
    </w:p>
    <w:p>
      <w:pPr>
        <w:ind w:left="2600" w:right="100" w:hanging="1944"/>
        <w:spacing w:after="0" w:line="277" w:lineRule="auto"/>
        <w:tabs>
          <w:tab w:leader="none" w:pos="2580" w:val="left"/>
        </w:tabs>
        <w:rPr>
          <w:sz w:val="20"/>
          <w:szCs w:val="20"/>
          <w:color w:val="auto"/>
        </w:rPr>
      </w:pPr>
      <w:r>
        <w:rPr>
          <w:rFonts w:ascii="Arial" w:cs="Arial" w:eastAsia="Arial" w:hAnsi="Arial"/>
          <w:sz w:val="18"/>
          <w:szCs w:val="18"/>
          <w:b w:val="1"/>
          <w:bCs w:val="1"/>
          <w:color w:val="auto"/>
        </w:rPr>
        <w:t>John E. Anderson</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Chairman of Topa Equities, Ltd., a diversified investment company located at 1800 Avenue of the Stars, Suite 1400, Los Angeles, California 90067. Mr. Anderson is Director of KAIM and KA Holdings.</w:t>
      </w:r>
    </w:p>
    <w:p>
      <w:pPr>
        <w:spacing w:after="0" w:line="224"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18"/>
          <w:szCs w:val="18"/>
          <w:b w:val="1"/>
          <w:bCs w:val="1"/>
          <w:color w:val="auto"/>
        </w:rPr>
        <w:t>Howard M. Zelikow</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Vice President and Director of KAIM</w:t>
      </w:r>
    </w:p>
    <w:p>
      <w:pPr>
        <w:spacing w:after="0" w:line="333"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18"/>
          <w:szCs w:val="18"/>
          <w:b w:val="1"/>
          <w:bCs w:val="1"/>
          <w:color w:val="auto"/>
        </w:rPr>
        <w:t>Robert V. Sinnott</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President of KAIM</w:t>
      </w:r>
    </w:p>
    <w:p>
      <w:pPr>
        <w:spacing w:after="0" w:line="333"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18"/>
          <w:szCs w:val="18"/>
          <w:b w:val="1"/>
          <w:bCs w:val="1"/>
          <w:color w:val="auto"/>
        </w:rPr>
        <w:t>David J. Shladovsky</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General Counsel and Secretary of KAIM and KA Holdings.</w:t>
      </w:r>
    </w:p>
    <w:p>
      <w:pPr>
        <w:spacing w:after="0" w:line="333"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18"/>
          <w:szCs w:val="18"/>
          <w:b w:val="1"/>
          <w:bCs w:val="1"/>
          <w:color w:val="auto"/>
        </w:rPr>
        <w:t>John F. Daley.</w:t>
      </w:r>
      <w:r>
        <w:rPr>
          <w:sz w:val="20"/>
          <w:szCs w:val="20"/>
          <w:color w:val="auto"/>
        </w:rPr>
        <w:tab/>
      </w:r>
      <w:r>
        <w:rPr>
          <w:rFonts w:ascii="Arial" w:cs="Arial" w:eastAsia="Arial" w:hAnsi="Arial"/>
          <w:sz w:val="16"/>
          <w:szCs w:val="16"/>
          <w:color w:val="auto"/>
        </w:rPr>
        <w:t>Chief Financial Officer and Treasurer of KAIM and KA Holdings.</w:t>
      </w:r>
    </w:p>
    <w:p>
      <w:pPr>
        <w:spacing w:after="0" w:line="333"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200" w:lineRule="exact"/>
        <w:rPr>
          <w:sz w:val="20"/>
          <w:szCs w:val="20"/>
          <w:color w:val="auto"/>
        </w:rPr>
      </w:pPr>
    </w:p>
    <w:p>
      <w:pPr>
        <w:spacing w:after="0" w:line="349"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Purpose of Transaction</w:t>
      </w:r>
    </w:p>
    <w:p>
      <w:pPr>
        <w:spacing w:after="0" w:line="28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This Schedule 13D is filed for purposes of disclosing that the Reporting Persons no longer have voting or disposition control over common units identified in item 5c.</w:t>
      </w:r>
    </w:p>
    <w:p>
      <w:pPr>
        <w:spacing w:after="0" w:line="220"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283" w:lineRule="exact"/>
        <w:rPr>
          <w:sz w:val="20"/>
          <w:szCs w:val="20"/>
          <w:color w:val="auto"/>
        </w:rPr>
      </w:pPr>
    </w:p>
    <w:p>
      <w:pPr>
        <w:ind w:right="120" w:firstLine="8"/>
        <w:spacing w:after="0" w:line="264" w:lineRule="auto"/>
        <w:tabs>
          <w:tab w:leader="none" w:pos="791"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of February 13, 2007, Mr. Kayne beneficially owns 9,238,534 Common Units, or approximately 8.44% of the outstanding Common Units. Of those Common Units, KACALP, as general partner of or investment adviser to investment funds accounts, beneficially owns 8,952,169 Common Units, or approximately 8.18% of the outstanding Common Units.</w:t>
      </w:r>
    </w:p>
    <w:p>
      <w:pPr>
        <w:spacing w:after="0" w:line="235" w:lineRule="exact"/>
        <w:rPr>
          <w:rFonts w:ascii="Arial" w:cs="Arial" w:eastAsia="Arial" w:hAnsi="Arial"/>
          <w:sz w:val="18"/>
          <w:szCs w:val="18"/>
          <w:color w:val="auto"/>
        </w:rPr>
      </w:pPr>
    </w:p>
    <w:p>
      <w:pPr>
        <w:ind w:right="80" w:firstLine="8"/>
        <w:spacing w:after="0" w:line="277" w:lineRule="auto"/>
        <w:tabs>
          <w:tab w:leader="none" w:pos="801" w:val="left"/>
        </w:tabs>
        <w:numPr>
          <w:ilvl w:val="0"/>
          <w:numId w:val="3"/>
        </w:numPr>
        <w:rPr>
          <w:rFonts w:ascii="Arial" w:cs="Arial" w:eastAsia="Arial" w:hAnsi="Arial"/>
          <w:sz w:val="18"/>
          <w:szCs w:val="18"/>
          <w:color w:val="auto"/>
        </w:rPr>
      </w:pPr>
      <w:r>
        <w:rPr>
          <w:rFonts w:ascii="Arial" w:cs="Arial" w:eastAsia="Arial" w:hAnsi="Arial"/>
          <w:sz w:val="18"/>
          <w:szCs w:val="18"/>
          <w:color w:val="auto"/>
        </w:rPr>
        <w:t>(i) Mr. Kayne has the sole power to vote and dispose, or direct the disposition, of 270,365 Common Units, and (ii) Mr. Kayne and KACALP have the shared power to vote and dispose, or direct the disposition, of 8,952,169 Common Units.</w:t>
      </w:r>
    </w:p>
    <w:p>
      <w:pPr>
        <w:spacing w:after="0" w:line="224"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The Common Units over which Mr. Kayne has sole voting and dispositive power are held by him directly or by accounts for which he serves as trustee or custodian. The Common Units over which Mr. Kayne and KACALP have shared voting and dispositive power are held by accounts for which KACALP serves as general partner or investment adviser.</w:t>
      </w:r>
    </w:p>
    <w:p>
      <w:pPr>
        <w:spacing w:after="0" w:line="23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KACALP disclaims beneficial ownership of the Common Units reported, except those Common Units attributable to it by virtue of its general partner interests in the limited partnerships holding such shares. Mr. Kayne disclaims beneficial ownership of the Common Units reported, except those Common Units held by him or attributable to him by virtue of his limited partner interests in such limited partnerships, by virtue of his indirect interest in the interest of KACALP in such limited partnerships and by his ownership of shares in KAMIC.</w:t>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5" w:name="page6"/>
    <w:bookmarkEnd w:id="5"/>
    <w:p>
      <w:pPr>
        <w:ind w:left="800" w:hanging="792"/>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following transactions in the Common Units beneficially owned by the Reporting Persons were effected in the last 60 days: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w w:val="92"/>
              </w:rPr>
              <w:t>Common Stock</w:t>
            </w:r>
          </w:p>
        </w:tc>
        <w:tc>
          <w:tcPr>
            <w:tcW w:w="4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Stock</w:t>
            </w:r>
          </w:p>
        </w:tc>
        <w:tc>
          <w:tcPr>
            <w:tcW w:w="460" w:type="dxa"/>
            <w:vAlign w:val="bottom"/>
          </w:tcPr>
          <w:p>
            <w:pPr>
              <w:spacing w:after="0"/>
              <w:rPr>
                <w:sz w:val="18"/>
                <w:szCs w:val="18"/>
                <w:color w:val="auto"/>
              </w:rPr>
            </w:pPr>
          </w:p>
        </w:tc>
        <w:tc>
          <w:tcPr>
            <w:tcW w:w="4560" w:type="dxa"/>
            <w:vAlign w:val="bottom"/>
          </w:tcPr>
          <w:p>
            <w:pPr>
              <w:spacing w:after="0"/>
              <w:rPr>
                <w:sz w:val="18"/>
                <w:szCs w:val="18"/>
                <w:color w:val="auto"/>
              </w:rPr>
            </w:pPr>
          </w:p>
        </w:tc>
      </w:tr>
      <w:tr>
        <w:trPr>
          <w:trHeight w:val="230"/>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Date</w:t>
            </w:r>
          </w:p>
        </w:tc>
        <w:tc>
          <w:tcPr>
            <w:tcW w:w="1140" w:type="dxa"/>
            <w:vAlign w:val="bottom"/>
          </w:tcPr>
          <w:p>
            <w:pPr>
              <w:spacing w:after="0"/>
              <w:rPr>
                <w:sz w:val="20"/>
                <w:szCs w:val="20"/>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 of shares</w:t>
            </w:r>
          </w:p>
        </w:tc>
        <w:tc>
          <w:tcPr>
            <w:tcW w:w="44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Price</w:t>
            </w:r>
          </w:p>
        </w:tc>
        <w:tc>
          <w:tcPr>
            <w:tcW w:w="460" w:type="dxa"/>
            <w:vAlign w:val="bottom"/>
          </w:tcPr>
          <w:p>
            <w:pPr>
              <w:spacing w:after="0"/>
              <w:rPr>
                <w:sz w:val="20"/>
                <w:szCs w:val="20"/>
                <w:color w:val="auto"/>
              </w:rPr>
            </w:pP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Where/how transaction effected</w:t>
            </w:r>
          </w:p>
        </w:tc>
      </w:tr>
      <w:tr>
        <w:trPr>
          <w:trHeight w:val="237"/>
        </w:trPr>
        <w:tc>
          <w:tcPr>
            <w:tcW w:w="1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560" w:type="dxa"/>
            <w:vAlign w:val="bottom"/>
          </w:tcPr>
          <w:p>
            <w:pPr>
              <w:spacing w:after="0"/>
              <w:rPr>
                <w:sz w:val="20"/>
                <w:szCs w:val="20"/>
                <w:color w:val="auto"/>
              </w:rPr>
            </w:pPr>
          </w:p>
        </w:tc>
      </w:tr>
      <w:tr>
        <w:trPr>
          <w:trHeight w:val="243"/>
        </w:trPr>
        <w:tc>
          <w:tcPr>
            <w:tcW w:w="11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12/15/06</w:t>
            </w:r>
          </w:p>
        </w:tc>
        <w:tc>
          <w:tcPr>
            <w:tcW w:w="3440" w:type="dxa"/>
            <w:vAlign w:val="bottom"/>
            <w:gridSpan w:val="2"/>
            <w:shd w:val="clear" w:color="auto" w:fill="CCEEFF"/>
          </w:tcPr>
          <w:p>
            <w:pPr>
              <w:jc w:val="center"/>
              <w:ind w:left="1050"/>
              <w:spacing w:after="0"/>
              <w:rPr>
                <w:sz w:val="20"/>
                <w:szCs w:val="20"/>
                <w:color w:val="auto"/>
              </w:rPr>
            </w:pPr>
            <w:r>
              <w:rPr>
                <w:rFonts w:ascii="Arial" w:cs="Arial" w:eastAsia="Arial" w:hAnsi="Arial"/>
                <w:sz w:val="18"/>
                <w:szCs w:val="18"/>
                <w:color w:val="auto"/>
                <w:w w:val="89"/>
              </w:rPr>
              <w:t>188,941</w:t>
            </w:r>
          </w:p>
        </w:tc>
        <w:tc>
          <w:tcPr>
            <w:tcW w:w="440" w:type="dxa"/>
            <w:vAlign w:val="bottom"/>
            <w:shd w:val="clear" w:color="auto" w:fill="CCEEFF"/>
          </w:tcPr>
          <w:p>
            <w:pPr>
              <w:spacing w:after="0"/>
              <w:rPr>
                <w:sz w:val="21"/>
                <w:szCs w:val="21"/>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460" w:type="dxa"/>
            <w:vAlign w:val="bottom"/>
            <w:shd w:val="clear" w:color="auto" w:fill="CCEEFF"/>
          </w:tcPr>
          <w:p>
            <w:pPr>
              <w:spacing w:after="0"/>
              <w:rPr>
                <w:sz w:val="21"/>
                <w:szCs w:val="21"/>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w w:val="95"/>
              </w:rPr>
              <w:t>Release of Pledge in connection with partnership liquidation</w:t>
            </w:r>
          </w:p>
        </w:tc>
      </w:tr>
    </w:tbl>
    <w:p>
      <w:pPr>
        <w:spacing w:after="0" w:line="256" w:lineRule="exact"/>
        <w:rPr>
          <w:sz w:val="20"/>
          <w:szCs w:val="20"/>
          <w:color w:val="auto"/>
        </w:rPr>
      </w:pPr>
    </w:p>
    <w:p>
      <w:pPr>
        <w:ind w:left="800" w:hanging="792"/>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79" w:lineRule="exact"/>
        <w:rPr>
          <w:rFonts w:ascii="Arial" w:cs="Arial" w:eastAsia="Arial" w:hAnsi="Arial"/>
          <w:sz w:val="18"/>
          <w:szCs w:val="18"/>
          <w:color w:val="auto"/>
        </w:rPr>
      </w:pPr>
    </w:p>
    <w:p>
      <w:pPr>
        <w:ind w:left="800" w:hanging="792"/>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Contracts, Arrangements, Understandings or Relationships with Respect to Securities of the Issuer.</w:t>
      </w:r>
    </w:p>
    <w:p>
      <w:pPr>
        <w:spacing w:after="0" w:line="200" w:lineRule="exact"/>
        <w:rPr>
          <w:sz w:val="20"/>
          <w:szCs w:val="20"/>
          <w:color w:val="auto"/>
        </w:rPr>
      </w:pPr>
    </w:p>
    <w:p>
      <w:pPr>
        <w:spacing w:after="0" w:line="349"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Material to Be Filed as Exhibits.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335"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February 13, 2007</w:t>
      </w:r>
    </w:p>
    <w:p>
      <w:pPr>
        <w:spacing w:after="0" w:line="23"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188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31"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Richard A. Kayne</w:t>
      </w:r>
    </w:p>
    <w:p>
      <w:pPr>
        <w:spacing w:after="0" w:line="23"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Richard A. Kayne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188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KAYNE ANDERSON CAPITAL ADVISORS, L.P.</w:t>
      </w:r>
    </w:p>
    <w:p>
      <w:pPr>
        <w:spacing w:after="0" w:line="27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Kayne Anderson Investment Management, Inc.</w:t>
      </w:r>
    </w:p>
    <w:p>
      <w:pPr>
        <w:spacing w:after="0" w:line="200" w:lineRule="exact"/>
        <w:rPr>
          <w:sz w:val="20"/>
          <w:szCs w:val="20"/>
          <w:color w:val="auto"/>
        </w:rPr>
      </w:pPr>
    </w:p>
    <w:p>
      <w:pPr>
        <w:spacing w:after="0" w:line="295"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8"/>
          <w:szCs w:val="18"/>
          <w:color w:val="auto"/>
        </w:rPr>
        <w:t>By:</w:t>
        <w:tab/>
        <w:t>/S/ David J. Shladovsky</w:t>
      </w:r>
    </w:p>
    <w:p>
      <w:pPr>
        <w:spacing w:after="0" w:line="3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David J. Shladovsky,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-130175</wp:posOffset>
            </wp:positionV>
            <wp:extent cx="30016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u w:val="single" w:color="auto"/>
          <w:color w:val="auto"/>
        </w:rPr>
        <w:t>JOINT FILING AGREEMENT PURSUANT TO RULE 13d-1(f)(1)</w:t>
      </w:r>
    </w:p>
    <w:p>
      <w:pPr>
        <w:spacing w:after="0" w:line="200" w:lineRule="exact"/>
        <w:rPr>
          <w:sz w:val="20"/>
          <w:szCs w:val="20"/>
          <w:color w:val="auto"/>
        </w:rPr>
      </w:pPr>
    </w:p>
    <w:p>
      <w:pPr>
        <w:spacing w:after="0" w:line="3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This agreement is made pursuant to Rule 13d-1(f)(1) under the Securities Exchange Act of 1934 (the "Act") by and between the parties listed below, each referred to herein as a "Joint Filer." The Joint Filers agree that a statement of beneficial ownership as required by Section 13(d) of the Act and the Rules thereunder may be filed on each of their behalf on Schedule 13D or Schedule 13G, as appropriate, and that said joint filing may thereafter be amended by further joint filings. The Joint Filers state that they each satisfy the requirements for making a joint filing under Rule 13d-1.</w:t>
      </w:r>
    </w:p>
    <w:p>
      <w:pPr>
        <w:spacing w:after="0" w:line="200" w:lineRule="exact"/>
        <w:rPr>
          <w:sz w:val="20"/>
          <w:szCs w:val="20"/>
          <w:color w:val="auto"/>
        </w:rPr>
      </w:pPr>
    </w:p>
    <w:p>
      <w:pPr>
        <w:spacing w:after="0" w:line="2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 Richard A. Kayne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Richard A. Kayne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-130810</wp:posOffset>
            </wp:positionV>
            <wp:extent cx="34131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 David J. Shladovsky</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Kayne Anderson Capital Advisors,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-130810</wp:posOffset>
            </wp:positionV>
            <wp:extent cx="34131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David J. Shladovsky, Secretary of</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Kayne Anderson Investment Management, Inc.,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general partner</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39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Letter"/>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2019-12-17T03:47:23Z</dcterms:created>
  <dcterms:modified xsi:type="dcterms:W3CDTF">2019-12-17T03:47:23Z</dcterms:modified>
</cp:coreProperties>
</file>