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26035</wp:posOffset>
            </wp:positionV>
            <wp:extent cx="6998335" cy="4890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489013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60" w:space="500"/>
            <w:col w:w="8420"/>
          </w:cols>
          <w:pgMar w:left="460" w:top="214"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Chiang Willie CW</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(Last)</w:t>
            </w:r>
          </w:p>
        </w:tc>
        <w:tc>
          <w:tcPr>
            <w:tcW w:w="1000" w:type="dxa"/>
            <w:vAlign w:val="bottom"/>
          </w:tcPr>
          <w:p>
            <w:pPr>
              <w:ind w:left="200"/>
              <w:spacing w:after="0"/>
              <w:rPr>
                <w:sz w:val="20"/>
                <w:szCs w:val="20"/>
                <w:color w:val="auto"/>
              </w:rPr>
            </w:pPr>
            <w:r>
              <w:rPr>
                <w:rFonts w:ascii="Arial" w:cs="Arial" w:eastAsia="Arial" w:hAnsi="Arial"/>
                <w:sz w:val="12"/>
                <w:szCs w:val="12"/>
                <w:color w:val="auto"/>
              </w:rPr>
              <w:t>(First)</w:t>
            </w:r>
          </w:p>
        </w:tc>
        <w:tc>
          <w:tcPr>
            <w:tcW w:w="162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333 CLAY STREET</w:t>
            </w:r>
          </w:p>
        </w:tc>
        <w:tc>
          <w:tcPr>
            <w:tcW w:w="1620" w:type="dxa"/>
            <w:vAlign w:val="bottom"/>
          </w:tcPr>
          <w:p>
            <w:pPr>
              <w:spacing w:after="0"/>
              <w:rPr>
                <w:sz w:val="22"/>
                <w:szCs w:val="22"/>
                <w:color w:val="auto"/>
              </w:rPr>
            </w:pPr>
          </w:p>
        </w:tc>
      </w:tr>
      <w:tr>
        <w:trPr>
          <w:trHeight w:val="249"/>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SUITE 1600</w:t>
            </w:r>
          </w:p>
        </w:tc>
        <w:tc>
          <w:tcPr>
            <w:tcW w:w="10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143"/>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1"/>
        </w:trPr>
        <w:tc>
          <w:tcPr>
            <w:tcW w:w="10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77002</w:t>
            </w:r>
          </w:p>
        </w:tc>
      </w:tr>
      <w:tr>
        <w:trPr>
          <w:trHeight w:val="143"/>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(City)</w:t>
            </w:r>
          </w:p>
        </w:tc>
        <w:tc>
          <w:tcPr>
            <w:tcW w:w="1000" w:type="dxa"/>
            <w:vAlign w:val="bottom"/>
          </w:tcPr>
          <w:p>
            <w:pPr>
              <w:ind w:left="20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780" w:type="dxa"/>
            <w:vAlign w:val="bottom"/>
            <w:gridSpan w:val="2"/>
          </w:tcPr>
          <w:p>
            <w:pPr>
              <w:spacing w:after="0" w:line="21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PLAINS ALL AMERICAN PIPELINE LP </w:t>
              </w:r>
            </w:hyperlink>
            <w:r>
              <w:rPr>
                <w:rFonts w:ascii="Times New Roman" w:cs="Times New Roman" w:eastAsia="Times New Roman" w:hAnsi="Times New Roman"/>
                <w:sz w:val="20"/>
                <w:szCs w:val="20"/>
                <w:color w:val="000000"/>
              </w:rPr>
              <w:t>[</w:t>
            </w:r>
          </w:p>
        </w:tc>
        <w:tc>
          <w:tcPr>
            <w:tcW w:w="182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60" w:type="dxa"/>
            <w:vAlign w:val="bottom"/>
            <w:vMerge w:val="restart"/>
          </w:tcPr>
          <w:p>
            <w:pPr>
              <w:spacing w:after="0"/>
              <w:rPr>
                <w:sz w:val="12"/>
                <w:szCs w:val="12"/>
                <w:color w:val="auto"/>
              </w:rPr>
            </w:pPr>
          </w:p>
        </w:tc>
        <w:tc>
          <w:tcPr>
            <w:tcW w:w="34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6"/>
                <w:szCs w:val="16"/>
                <w:color w:val="0000FF"/>
              </w:rPr>
              <w:t xml:space="preserve">PAA </w:t>
            </w:r>
            <w:r>
              <w:rPr>
                <w:rFonts w:ascii="Times New Roman" w:cs="Times New Roman" w:eastAsia="Times New Roman" w:hAnsi="Times New Roman"/>
                <w:sz w:val="19"/>
                <w:szCs w:val="19"/>
                <w:color w:val="000000"/>
              </w:rPr>
              <w:t>]</w:t>
            </w:r>
          </w:p>
        </w:tc>
        <w:tc>
          <w:tcPr>
            <w:tcW w:w="340" w:type="dxa"/>
            <w:vAlign w:val="bottom"/>
            <w:vMerge w:val="restart"/>
          </w:tcPr>
          <w:p>
            <w:pPr>
              <w:spacing w:after="0"/>
              <w:rPr>
                <w:sz w:val="12"/>
                <w:szCs w:val="12"/>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07"/>
        </w:trPr>
        <w:tc>
          <w:tcPr>
            <w:tcW w:w="60" w:type="dxa"/>
            <w:vAlign w:val="bottom"/>
            <w:vMerge w:val="continue"/>
          </w:tcPr>
          <w:p>
            <w:pPr>
              <w:spacing w:after="0"/>
              <w:rPr>
                <w:sz w:val="9"/>
                <w:szCs w:val="9"/>
                <w:color w:val="auto"/>
              </w:rPr>
            </w:pPr>
          </w:p>
        </w:tc>
        <w:tc>
          <w:tcPr>
            <w:tcW w:w="34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82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1"/>
        </w:trPr>
        <w:tc>
          <w:tcPr>
            <w:tcW w:w="60" w:type="dxa"/>
            <w:vAlign w:val="bottom"/>
            <w:tcBorders>
              <w:bottom w:val="single" w:sz="8" w:color="2C2C2C"/>
            </w:tcBorders>
          </w:tcPr>
          <w:p>
            <w:pPr>
              <w:spacing w:after="0"/>
              <w:rPr>
                <w:sz w:val="7"/>
                <w:szCs w:val="7"/>
                <w:color w:val="auto"/>
              </w:rPr>
            </w:pPr>
          </w:p>
        </w:tc>
        <w:tc>
          <w:tcPr>
            <w:tcW w:w="3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82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840" w:type="dxa"/>
            <w:vAlign w:val="bottom"/>
            <w:gridSpan w:val="3"/>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1820" w:type="dxa"/>
            <w:vAlign w:val="bottom"/>
          </w:tcPr>
          <w:p>
            <w:pPr>
              <w:ind w:left="58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34"/>
        </w:trPr>
        <w:tc>
          <w:tcPr>
            <w:tcW w:w="3840" w:type="dxa"/>
            <w:vAlign w:val="bottom"/>
            <w:gridSpan w:val="3"/>
            <w:vMerge w:val="continue"/>
          </w:tcPr>
          <w:p>
            <w:pPr>
              <w:spacing w:after="0"/>
              <w:rPr>
                <w:sz w:val="2"/>
                <w:szCs w:val="2"/>
                <w:color w:val="auto"/>
              </w:rPr>
            </w:pPr>
          </w:p>
        </w:tc>
        <w:tc>
          <w:tcPr>
            <w:tcW w:w="328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6"/>
                <w:szCs w:val="16"/>
                <w:color w:val="0000FF"/>
              </w:rPr>
              <w:t>Chairman &amp; CEO</w:t>
            </w:r>
          </w:p>
        </w:tc>
        <w:tc>
          <w:tcPr>
            <w:tcW w:w="0" w:type="dxa"/>
            <w:vAlign w:val="bottom"/>
          </w:tcPr>
          <w:p>
            <w:pPr>
              <w:spacing w:after="0" w:line="20" w:lineRule="exact"/>
              <w:rPr>
                <w:sz w:val="1"/>
                <w:szCs w:val="1"/>
                <w:color w:val="auto"/>
              </w:rPr>
            </w:pPr>
          </w:p>
        </w:tc>
      </w:tr>
      <w:tr>
        <w:trPr>
          <w:trHeight w:val="210"/>
        </w:trPr>
        <w:tc>
          <w:tcPr>
            <w:tcW w:w="3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08/14/2024</w:t>
            </w:r>
          </w:p>
        </w:tc>
        <w:tc>
          <w:tcPr>
            <w:tcW w:w="340" w:type="dxa"/>
            <w:vAlign w:val="bottom"/>
          </w:tcPr>
          <w:p>
            <w:pPr>
              <w:spacing w:after="0"/>
              <w:rPr>
                <w:sz w:val="18"/>
                <w:szCs w:val="18"/>
                <w:color w:val="auto"/>
              </w:rPr>
            </w:pPr>
          </w:p>
        </w:tc>
        <w:tc>
          <w:tcPr>
            <w:tcW w:w="3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0" w:type="dxa"/>
            <w:vAlign w:val="bottom"/>
            <w:tcBorders>
              <w:bottom w:val="single" w:sz="8" w:color="2C2C2C"/>
            </w:tcBorders>
          </w:tcPr>
          <w:p>
            <w:pPr>
              <w:spacing w:after="0"/>
              <w:rPr>
                <w:sz w:val="7"/>
                <w:szCs w:val="7"/>
                <w:color w:val="auto"/>
              </w:rPr>
            </w:pPr>
          </w:p>
        </w:tc>
        <w:tc>
          <w:tcPr>
            <w:tcW w:w="3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28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20" w:right="36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8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80"/>
              <w:spacing w:after="0" w:line="124"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0000FF"/>
                <w:w w:val="98"/>
              </w:rPr>
              <w:t>08/14/2024</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418,585</w:t>
            </w:r>
          </w:p>
        </w:tc>
        <w:tc>
          <w:tcPr>
            <w:tcW w:w="6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center"/>
              <w:ind w:right="113"/>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1"/>
                <w:szCs w:val="21"/>
                <w:color w:val="auto"/>
              </w:rPr>
            </w:pPr>
          </w:p>
        </w:tc>
        <w:tc>
          <w:tcPr>
            <w:tcW w:w="1200" w:type="dxa"/>
            <w:vAlign w:val="bottom"/>
            <w:gridSpan w:val="2"/>
          </w:tcPr>
          <w:p>
            <w:pPr>
              <w:jc w:val="right"/>
              <w:ind w:right="243"/>
              <w:spacing w:after="0"/>
              <w:rPr>
                <w:sz w:val="20"/>
                <w:szCs w:val="20"/>
                <w:color w:val="auto"/>
              </w:rPr>
            </w:pPr>
            <w:r>
              <w:rPr>
                <w:rFonts w:ascii="Times New Roman" w:cs="Times New Roman" w:eastAsia="Times New Roman" w:hAnsi="Times New Roman"/>
                <w:sz w:val="16"/>
                <w:szCs w:val="16"/>
                <w:color w:val="0000FF"/>
              </w:rPr>
              <w:t>1,011,226</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0000FF"/>
                <w:w w:val="98"/>
              </w:rPr>
              <w:t>08/14/2024</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164,714</w:t>
            </w:r>
          </w:p>
        </w:tc>
        <w:tc>
          <w:tcPr>
            <w:tcW w:w="6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17.05</w:t>
            </w:r>
          </w:p>
        </w:tc>
        <w:tc>
          <w:tcPr>
            <w:tcW w:w="40" w:type="dxa"/>
            <w:vAlign w:val="bottom"/>
          </w:tcPr>
          <w:p>
            <w:pPr>
              <w:spacing w:after="0"/>
              <w:rPr>
                <w:sz w:val="21"/>
                <w:szCs w:val="21"/>
                <w:color w:val="auto"/>
              </w:rPr>
            </w:pPr>
          </w:p>
        </w:tc>
        <w:tc>
          <w:tcPr>
            <w:tcW w:w="1200" w:type="dxa"/>
            <w:vAlign w:val="bottom"/>
            <w:gridSpan w:val="2"/>
          </w:tcPr>
          <w:p>
            <w:pPr>
              <w:jc w:val="right"/>
              <w:ind w:right="303"/>
              <w:spacing w:after="0"/>
              <w:rPr>
                <w:sz w:val="20"/>
                <w:szCs w:val="20"/>
                <w:color w:val="auto"/>
              </w:rPr>
            </w:pPr>
            <w:r>
              <w:rPr>
                <w:rFonts w:ascii="Times New Roman" w:cs="Times New Roman" w:eastAsia="Times New Roman" w:hAnsi="Times New Roman"/>
                <w:sz w:val="16"/>
                <w:szCs w:val="16"/>
                <w:color w:val="0000FF"/>
              </w:rPr>
              <w:t>846,512</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456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40" w:type="dxa"/>
            <w:vAlign w:val="bottom"/>
            <w:tcBorders>
              <w:top w:val="single" w:sz="8" w:color="2C2C2C"/>
            </w:tcBorders>
            <w:gridSpan w:val="11"/>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40" w:type="dxa"/>
            <w:vAlign w:val="bottom"/>
            <w:gridSpan w:val="10"/>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9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7"/>
              </w:rPr>
              <w:t>(Month/Day/Year)</w:t>
            </w:r>
          </w:p>
        </w:tc>
        <w:tc>
          <w:tcPr>
            <w:tcW w:w="88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08/14/2024</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580" w:type="dxa"/>
            <w:vAlign w:val="bottom"/>
          </w:tcPr>
          <w:p>
            <w:pPr>
              <w:spacing w:after="0"/>
              <w:rPr>
                <w:sz w:val="15"/>
                <w:szCs w:val="15"/>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418,585</w:t>
            </w:r>
          </w:p>
        </w:tc>
        <w:tc>
          <w:tcPr>
            <w:tcW w:w="760" w:type="dxa"/>
            <w:vAlign w:val="bottom"/>
            <w:vMerge w:val="restart"/>
          </w:tcPr>
          <w:p>
            <w:pPr>
              <w:jc w:val="right"/>
              <w:ind w:right="43"/>
              <w:spacing w:after="0"/>
              <w:rPr>
                <w:sz w:val="20"/>
                <w:szCs w:val="20"/>
                <w:color w:val="auto"/>
              </w:rPr>
            </w:pPr>
            <w:r>
              <w:rPr>
                <w:rFonts w:ascii="Times New Roman" w:cs="Times New Roman" w:eastAsia="Times New Roman" w:hAnsi="Times New Roman"/>
                <w:sz w:val="12"/>
                <w:szCs w:val="12"/>
                <w:color w:val="0000FF"/>
              </w:rPr>
              <w:t>08/14/2024</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08/14/2024</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418,585</w:t>
            </w:r>
          </w:p>
        </w:tc>
        <w:tc>
          <w:tcPr>
            <w:tcW w:w="40" w:type="dxa"/>
            <w:vAlign w:val="bottom"/>
          </w:tcPr>
          <w:p>
            <w:pPr>
              <w:spacing w:after="0"/>
              <w:rPr>
                <w:sz w:val="15"/>
                <w:szCs w:val="15"/>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00" w:type="dxa"/>
            <w:vAlign w:val="bottom"/>
            <w:vMerge w:val="restart"/>
          </w:tcPr>
          <w:p>
            <w:pPr>
              <w:jc w:val="right"/>
              <w:ind w:right="23"/>
              <w:spacing w:after="0"/>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15"/>
                <w:szCs w:val="15"/>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tcPr>
          <w:p>
            <w:pPr>
              <w:ind w:left="140"/>
              <w:spacing w:after="0" w:line="63" w:lineRule="exact"/>
              <w:rPr>
                <w:sz w:val="20"/>
                <w:szCs w:val="20"/>
                <w:color w:val="auto"/>
              </w:rPr>
            </w:pPr>
            <w:r>
              <w:rPr>
                <w:rFonts w:ascii="Times New Roman" w:cs="Times New Roman" w:eastAsia="Times New Roman" w:hAnsi="Times New Roman"/>
                <w:sz w:val="7"/>
                <w:szCs w:val="7"/>
                <w:color w:val="0000FF"/>
              </w:rPr>
              <w:t>Units</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08/15/2024</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357,750</w:t>
            </w:r>
          </w:p>
        </w:tc>
        <w:tc>
          <w:tcPr>
            <w:tcW w:w="480" w:type="dxa"/>
            <w:vAlign w:val="bottom"/>
          </w:tcPr>
          <w:p>
            <w:pPr>
              <w:spacing w:after="0"/>
              <w:rPr>
                <w:sz w:val="15"/>
                <w:szCs w:val="15"/>
                <w:color w:val="auto"/>
              </w:rPr>
            </w:pPr>
          </w:p>
        </w:tc>
        <w:tc>
          <w:tcPr>
            <w:tcW w:w="760" w:type="dxa"/>
            <w:vAlign w:val="bottom"/>
            <w:vMerge w:val="restart"/>
          </w:tcPr>
          <w:p>
            <w:pPr>
              <w:jc w:val="right"/>
              <w:ind w:right="143"/>
              <w:spacing w:after="0"/>
              <w:rPr>
                <w:sz w:val="20"/>
                <w:szCs w:val="20"/>
                <w:color w:val="auto"/>
              </w:rPr>
            </w:pPr>
            <w:r>
              <w:rPr>
                <w:rFonts w:ascii="Times New Roman" w:cs="Times New Roman" w:eastAsia="Times New Roman" w:hAnsi="Times New Roman"/>
                <w:sz w:val="10"/>
                <w:szCs w:val="10"/>
                <w:color w:val="008000"/>
              </w:rPr>
              <w:t>(3)(4)(5)</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0"/>
                <w:szCs w:val="10"/>
                <w:color w:val="008000"/>
              </w:rPr>
              <w:t>(3)(4)(5)</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357,750</w:t>
            </w:r>
          </w:p>
        </w:tc>
        <w:tc>
          <w:tcPr>
            <w:tcW w:w="40" w:type="dxa"/>
            <w:vAlign w:val="bottom"/>
          </w:tcPr>
          <w:p>
            <w:pPr>
              <w:spacing w:after="0"/>
              <w:rPr>
                <w:sz w:val="15"/>
                <w:szCs w:val="15"/>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gridSpan w:val="2"/>
            <w:vMerge w:val="restart"/>
          </w:tcPr>
          <w:p>
            <w:pPr>
              <w:jc w:val="right"/>
              <w:ind w:right="164"/>
              <w:spacing w:after="0"/>
              <w:rPr>
                <w:sz w:val="20"/>
                <w:szCs w:val="20"/>
                <w:color w:val="auto"/>
              </w:rPr>
            </w:pPr>
            <w:r>
              <w:rPr>
                <w:rFonts w:ascii="Times New Roman" w:cs="Times New Roman" w:eastAsia="Times New Roman" w:hAnsi="Times New Roman"/>
                <w:sz w:val="12"/>
                <w:szCs w:val="12"/>
                <w:color w:val="0000FF"/>
              </w:rPr>
              <w:t>357,750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tcPr>
          <w:p>
            <w:pPr>
              <w:ind w:left="140"/>
              <w:spacing w:after="0" w:line="63" w:lineRule="exact"/>
              <w:rPr>
                <w:sz w:val="20"/>
                <w:szCs w:val="20"/>
                <w:color w:val="auto"/>
              </w:rPr>
            </w:pPr>
            <w:r>
              <w:rPr>
                <w:rFonts w:ascii="Times New Roman" w:cs="Times New Roman" w:eastAsia="Times New Roman" w:hAnsi="Times New Roman"/>
                <w:sz w:val="7"/>
                <w:szCs w:val="7"/>
                <w:color w:val="0000FF"/>
              </w:rPr>
              <w:t>Units</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-1820545</wp:posOffset>
            </wp:positionV>
            <wp:extent cx="28575" cy="1825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2562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Phantom Units granted under Long-Term Incentive Plan (includes distribution equivalent rights payable in cash).</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 common unit is deliverable, upon vesting, for each Phantom Unit that vests.</w:t>
      </w:r>
    </w:p>
    <w:p>
      <w:pPr>
        <w:spacing w:after="0" w:line="48" w:lineRule="exact"/>
        <w:rPr>
          <w:rFonts w:ascii="Times New Roman" w:cs="Times New Roman" w:eastAsia="Times New Roman" w:hAnsi="Times New Roman"/>
          <w:sz w:val="12"/>
          <w:szCs w:val="12"/>
          <w:color w:val="008000"/>
        </w:rPr>
      </w:pPr>
    </w:p>
    <w:p>
      <w:pPr>
        <w:ind w:left="40" w:right="180" w:hanging="3"/>
        <w:spacing w:after="0" w:line="252"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phantom units will vest as follows: (a) Tranche 1, consisting of 178,875 phantom units, will vest on the August 2027 distribution date assuming continued service through such date; (b) Tranche 2, consisting of 89,437 phantom units (assuming 100% payout at target), will potentially vest on the August 2027 distribution date at a scaled payout range of between 0% to 200% based on PAA's total shareholder return (TSR) over the three-year period ending June 30, 2027 compared to the TSR of a selected peer group (payout based on numeric rank with 100% earned at median and interpolation between ranks, and with payout being subject to reduction by up to 25 basis points, but not below 100%, if actual TSR is negative); and</w:t>
      </w:r>
    </w:p>
    <w:p>
      <w:pPr>
        <w:spacing w:after="0" w:line="17" w:lineRule="exact"/>
        <w:rPr>
          <w:rFonts w:ascii="Times New Roman" w:cs="Times New Roman" w:eastAsia="Times New Roman" w:hAnsi="Times New Roman"/>
          <w:sz w:val="12"/>
          <w:szCs w:val="12"/>
          <w:color w:val="008000"/>
        </w:rPr>
      </w:pPr>
    </w:p>
    <w:p>
      <w:pPr>
        <w:ind w:left="40" w:right="160" w:hanging="3"/>
        <w:spacing w:after="0" w:line="24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 Tranche 3, consisting of 89,438 phantom units (assuming 100% payout at target), will potentially vest on the Aug. 2027 distribution date at a scaled payout range of between 0% and 200% based on PAA achieving cumul. distributable cash flow (DCF) per common unit equivalent (CUE) of $7.75 over the 3-year period ending 6/30/27 (with payout equaling 100% at cumul. DCF/CUE over such period of $7.75 and being equal to 0% for cumul. DCF/CUE over such period of $6.975 or lower and 200% for cumul. DCF/CUE over such period of $8.71875 or higher, with interpolation btw. such points, and with payout being subject to reduction by</w:t>
      </w:r>
    </w:p>
    <w:p>
      <w:pPr>
        <w:ind w:left="40" w:right="200" w:hanging="3"/>
        <w:spacing w:after="0" w:line="256" w:lineRule="auto"/>
        <w:tabs>
          <w:tab w:leader="none" w:pos="19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basis pts. if PAA's leverage ratio (long term debt to adj. EBITDA as calculated pursuant to PAA's sr. unsecured revolving credit facility) as of 6/30/27 is greater than the leverage ratio that equals the upper end of our then applicable target leverage ratio range (e.g., 3.0x is the upper end of PAA's current target leverage ratio range of 2.5x to 3.0x).</w:t>
      </w:r>
    </w:p>
    <w:p>
      <w:pPr>
        <w:spacing w:after="0" w:line="14" w:lineRule="exact"/>
        <w:rPr>
          <w:rFonts w:ascii="Times New Roman" w:cs="Times New Roman" w:eastAsia="Times New Roman" w:hAnsi="Times New Roman"/>
          <w:sz w:val="12"/>
          <w:szCs w:val="12"/>
          <w:color w:val="008000"/>
        </w:rPr>
      </w:pPr>
    </w:p>
    <w:p>
      <w:pPr>
        <w:ind w:left="40" w:right="300" w:hanging="3"/>
        <w:spacing w:after="0" w:line="259" w:lineRule="auto"/>
        <w:tabs>
          <w:tab w:leader="none" w:pos="164"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DERs associated with Tranche 1 will accrue for the first year and be paid in cash in a lump sum on the August 2025 distribution date; beginning in November 2025, DERs associated with Tranche 1 will be paid quarterly until the phantom units vest or terminate. DERs associated with Tranches 2 and 3 will accrue during the three-year vesting period and be paid in cash in a lump sum on the August 2027 distribution date with respect to each phantom unit that vests, if any, on such date. Any Tranche 2 or Tranche 3 phantom units that are determined to not have vested as of the August 2027 distribution date shall expire as of such date.</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Ann F. Gullion, as attorney-</w:t>
            </w:r>
          </w:p>
        </w:tc>
        <w:tc>
          <w:tcPr>
            <w:tcW w:w="20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08/16/2024</w:t>
            </w:r>
          </w:p>
        </w:tc>
        <w:tc>
          <w:tcPr>
            <w:tcW w:w="0" w:type="dxa"/>
            <w:vAlign w:val="bottom"/>
          </w:tcPr>
          <w:p>
            <w:pPr>
              <w:spacing w:after="0"/>
              <w:rPr>
                <w:sz w:val="1"/>
                <w:szCs w:val="1"/>
                <w:color w:val="auto"/>
              </w:rPr>
            </w:pPr>
          </w:p>
        </w:tc>
      </w:tr>
      <w:tr>
        <w:trPr>
          <w:trHeight w:val="84"/>
        </w:trPr>
        <w:tc>
          <w:tcPr>
            <w:tcW w:w="2200" w:type="dxa"/>
            <w:vAlign w:val="bottom"/>
            <w:gridSpan w:val="3"/>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in-fact for Willie CW Chiang</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18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320" w:type="dxa"/>
            <w:vAlign w:val="bottom"/>
            <w:gridSpan w:val="2"/>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5"/>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21559"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2024-08-16T14:15:31Z</dcterms:created>
  <dcterms:modified xsi:type="dcterms:W3CDTF">2024-08-16T14:15:31Z</dcterms:modified>
</cp:coreProperties>
</file>