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color w:val="auto"/>
        </w:rPr>
        <w:t>(Amendment No. ____)*</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Tallgrass Energy GP, LP</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Class A Shares Representing Limited Partner Interests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874696107</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December 31, 2016</w:t>
      </w:r>
    </w:p>
    <w:p>
      <w:pPr>
        <w:spacing w:after="0" w:line="25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1020" w:hanging="1012"/>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ectPr>
          <w:pgSz w:w="11900" w:h="16838" w:orient="portrait"/>
          <w:cols w:equalWidth="0" w:num="1">
            <w:col w:w="11420"/>
          </w:cols>
          <w:pgMar w:left="240" w:top="540" w:right="239" w:bottom="1440" w:gutter="0" w:footer="0" w:header="0"/>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13d-1(c)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ectPr>
          <w:pgSz w:w="11900" w:h="16838" w:orient="portrait"/>
          <w:cols w:equalWidth="0" w:num="2">
            <w:col w:w="300" w:space="720"/>
            <w:col w:w="10400"/>
          </w:cols>
          <w:pgMar w:left="240" w:top="540" w:right="239" w:bottom="1440" w:gutter="0" w:footer="0" w:header="0"/>
          <w:type w:val="continuous"/>
        </w:sectPr>
      </w:pPr>
    </w:p>
    <w:p>
      <w:pPr>
        <w:spacing w:after="0" w:line="3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1630680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type w:val="continuous"/>
        </w:sectPr>
      </w:pPr>
    </w:p>
    <w:bookmarkStart w:id="1" w:name="page2"/>
    <w:bookmarkEnd w:id="1"/>
    <w:p>
      <w:pPr>
        <w:spacing w:after="0"/>
        <w:tabs>
          <w:tab w:leader="none" w:pos="5540" w:val="left"/>
          <w:tab w:leader="none" w:pos="10120" w:val="left"/>
        </w:tabs>
        <w:rPr>
          <w:sz w:val="20"/>
          <w:szCs w:val="20"/>
          <w:color w:val="auto"/>
        </w:rPr>
      </w:pPr>
      <w:r>
        <w:rPr>
          <w:rFonts w:ascii="Times New Roman" w:cs="Times New Roman" w:eastAsia="Times New Roman" w:hAnsi="Times New Roman"/>
          <w:sz w:val="18"/>
          <w:szCs w:val="18"/>
          <w:color w:val="auto"/>
        </w:rPr>
        <w:t>CUSIP No. 874696107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5299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29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40" w:right="6900" w:hanging="1092"/>
        <w:spacing w:after="0" w:line="313" w:lineRule="auto"/>
        <w:tabs>
          <w:tab w:leader="none" w:pos="1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NAME OF REPORTING PERSON Tortoise Capital Advisors, L.L.C.</w:t>
      </w:r>
    </w:p>
    <w:p>
      <w:pPr>
        <w:spacing w:after="0" w:line="165" w:lineRule="exact"/>
        <w:rPr>
          <w:sz w:val="20"/>
          <w:szCs w:val="20"/>
          <w:color w:val="auto"/>
        </w:rPr>
      </w:pPr>
    </w:p>
    <w:p>
      <w:pPr>
        <w:ind w:left="1940" w:hanging="1092"/>
        <w:spacing w:after="0"/>
        <w:tabs>
          <w:tab w:leader="none" w:pos="19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2180" w:hanging="241"/>
        <w:spacing w:after="0"/>
        <w:tabs>
          <w:tab w:leader="none" w:pos="21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200" w:hanging="261"/>
        <w:spacing w:after="0"/>
        <w:tabs>
          <w:tab w:leader="none" w:pos="2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(See Instructions)</w:t>
            </w:r>
          </w:p>
        </w:tc>
        <w:tc>
          <w:tcPr>
            <w:tcW w:w="7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7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41"/>
        </w:trPr>
        <w:tc>
          <w:tcPr>
            <w:tcW w:w="17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7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60" w:type="dxa"/>
            <w:vAlign w:val="bottom"/>
          </w:tcPr>
          <w:p>
            <w:pPr>
              <w:spacing w:after="0"/>
              <w:rPr>
                <w:sz w:val="24"/>
                <w:szCs w:val="24"/>
                <w:color w:val="auto"/>
              </w:rPr>
            </w:pPr>
          </w:p>
        </w:tc>
        <w:tc>
          <w:tcPr>
            <w:tcW w:w="182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1"/>
        </w:trPr>
        <w:tc>
          <w:tcPr>
            <w:tcW w:w="1760" w:type="dxa"/>
            <w:vAlign w:val="bottom"/>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7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41,361</w:t>
            </w:r>
          </w:p>
        </w:tc>
        <w:tc>
          <w:tcPr>
            <w:tcW w:w="0" w:type="dxa"/>
            <w:vAlign w:val="bottom"/>
          </w:tcPr>
          <w:p>
            <w:pPr>
              <w:spacing w:after="0"/>
              <w:rPr>
                <w:sz w:val="1"/>
                <w:szCs w:val="1"/>
                <w:color w:val="auto"/>
              </w:rPr>
            </w:pPr>
          </w:p>
        </w:tc>
      </w:tr>
      <w:tr>
        <w:trPr>
          <w:trHeight w:val="319"/>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82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820" w:type="dxa"/>
            <w:vAlign w:val="bottom"/>
            <w:tcBorders>
              <w:right w:val="single" w:sz="8" w:color="auto"/>
            </w:tcBorders>
            <w:vMerge w:val="continue"/>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60" w:type="dxa"/>
            <w:vAlign w:val="bottom"/>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78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2,742,345 (see Item 4)</w:t>
            </w:r>
          </w:p>
        </w:tc>
        <w:tc>
          <w:tcPr>
            <w:tcW w:w="0" w:type="dxa"/>
            <w:vAlign w:val="bottom"/>
          </w:tcPr>
          <w:p>
            <w:pPr>
              <w:spacing w:after="0"/>
              <w:rPr>
                <w:sz w:val="1"/>
                <w:szCs w:val="1"/>
                <w:color w:val="auto"/>
              </w:rPr>
            </w:pPr>
          </w:p>
        </w:tc>
      </w:tr>
      <w:tr>
        <w:trPr>
          <w:trHeight w:val="120"/>
        </w:trPr>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82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60" w:type="dxa"/>
            <w:vAlign w:val="bottom"/>
            <w:vMerge w:val="continue"/>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7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182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820" w:type="dxa"/>
            <w:vAlign w:val="bottom"/>
            <w:tcBorders>
              <w:right w:val="single" w:sz="8" w:color="auto"/>
            </w:tcBorders>
            <w:vMerge w:val="continue"/>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60" w:type="dxa"/>
            <w:vAlign w:val="bottom"/>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78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41,361</w:t>
            </w:r>
          </w:p>
        </w:tc>
        <w:tc>
          <w:tcPr>
            <w:tcW w:w="0" w:type="dxa"/>
            <w:vAlign w:val="bottom"/>
          </w:tcPr>
          <w:p>
            <w:pPr>
              <w:spacing w:after="0"/>
              <w:rPr>
                <w:sz w:val="1"/>
                <w:szCs w:val="1"/>
                <w:color w:val="auto"/>
              </w:rPr>
            </w:pPr>
          </w:p>
        </w:tc>
      </w:tr>
      <w:tr>
        <w:trPr>
          <w:trHeight w:val="147"/>
        </w:trPr>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182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1820" w:type="dxa"/>
            <w:vAlign w:val="bottom"/>
            <w:tcBorders>
              <w:right w:val="single" w:sz="8" w:color="auto"/>
            </w:tcBorders>
          </w:tcPr>
          <w:p>
            <w:pPr>
              <w:spacing w:after="0"/>
              <w:rPr>
                <w:sz w:val="4"/>
                <w:szCs w:val="4"/>
                <w:color w:val="auto"/>
              </w:rPr>
            </w:pPr>
          </w:p>
        </w:tc>
        <w:tc>
          <w:tcPr>
            <w:tcW w:w="7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182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7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760" w:type="dxa"/>
            <w:vAlign w:val="bottom"/>
            <w:tcBorders>
              <w:bottom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7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2,988,369 (see Item 4)</w:t>
            </w:r>
          </w:p>
        </w:tc>
        <w:tc>
          <w:tcPr>
            <w:tcW w:w="0" w:type="dxa"/>
            <w:vAlign w:val="bottom"/>
          </w:tcPr>
          <w:p>
            <w:pPr>
              <w:spacing w:after="0"/>
              <w:rPr>
                <w:sz w:val="1"/>
                <w:szCs w:val="1"/>
                <w:color w:val="auto"/>
              </w:rPr>
            </w:pPr>
          </w:p>
        </w:tc>
      </w:tr>
      <w:tr>
        <w:trPr>
          <w:trHeight w:val="41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17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3,029,730 (see Item 4)</w:t>
            </w:r>
          </w:p>
        </w:tc>
        <w:tc>
          <w:tcPr>
            <w:tcW w:w="7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1"/>
        </w:trPr>
        <w:tc>
          <w:tcPr>
            <w:tcW w:w="17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Not Applicable</w:t>
            </w:r>
          </w:p>
        </w:tc>
        <w:tc>
          <w:tcPr>
            <w:tcW w:w="7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41"/>
        </w:trPr>
        <w:tc>
          <w:tcPr>
            <w:tcW w:w="17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5.3%</w:t>
            </w:r>
          </w:p>
        </w:tc>
        <w:tc>
          <w:tcPr>
            <w:tcW w:w="7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IA</w:t>
            </w:r>
          </w:p>
        </w:tc>
        <w:tc>
          <w:tcPr>
            <w:tcW w:w="7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6"/>
        </w:trPr>
        <w:tc>
          <w:tcPr>
            <w:tcW w:w="17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7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Page 3 of 5 Pages</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Tallgrass Energy GP, LP</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1(b).</w:t>
      </w:r>
      <w:r>
        <w:rPr>
          <w:sz w:val="20"/>
          <w:szCs w:val="20"/>
          <w:color w:val="auto"/>
        </w:rPr>
        <w:tab/>
      </w:r>
      <w:r>
        <w:rPr>
          <w:rFonts w:ascii="Times New Roman" w:cs="Times New Roman" w:eastAsia="Times New Roman" w:hAnsi="Times New Roman"/>
          <w:sz w:val="18"/>
          <w:szCs w:val="18"/>
          <w:b w:val="1"/>
          <w:bCs w:val="1"/>
          <w:u w:val="single" w:color="auto"/>
          <w:color w:val="auto"/>
        </w:rPr>
        <w:t>Address of Issuer's Principal Executive Offices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4200 W. 115th Street, Suite 350, Leawood, KS 66211</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 of Person Filing</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13G is being filed by Tortoise Capital Advisors, L.L.C., a Delaware limited liability company (“TCA”).</w:t>
      </w:r>
    </w:p>
    <w:p>
      <w:pPr>
        <w:spacing w:after="0" w:line="24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u w:val="single" w:color="auto"/>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address is 11550 Ash Street, Suite 300, Leawood, Kansas 66211.</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TCA is a Delaware limited liability company.</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Shares Representing Limited Partner Interests</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874696107</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The Reporting Person is</w:t>
      </w:r>
      <w:r>
        <w:rPr>
          <w:rFonts w:ascii="Times New Roman" w:cs="Times New Roman" w:eastAsia="Times New Roman" w:hAnsi="Times New Roman"/>
          <w:sz w:val="17"/>
          <w:szCs w:val="17"/>
          <w:b w:val="1"/>
          <w:bCs w:val="1"/>
          <w:color w:val="auto"/>
        </w:rPr>
        <w: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TCA is an investment adviser in accordance with Rule 13d-1(b)(1)(ii)(E).</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Ownership</w:t>
      </w:r>
      <w:r>
        <w:rPr>
          <w:rFonts w:ascii="Times New Roman" w:cs="Times New Roman" w:eastAsia="Times New Roman" w:hAnsi="Times New Roman"/>
          <w:sz w:val="17"/>
          <w:szCs w:val="17"/>
          <w:b w:val="1"/>
          <w:bCs w:val="1"/>
          <w:color w:val="auto"/>
        </w:rPr>
        <w: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TCA acts as an investment advisor to certain investment companies registered under the Investment Company Act of 1940.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TCA also acts as an investment adviser to certain managed accounts. Under contractual agreements with these managed account clients, TCA, with respect to the securities held in these client accounts, has investment and voting power with respect to certain of these client accounts, and has investment power but no voting power with respect to certain other of these client accounts. TCA has reported that it shares voting and/or investment power over the securities held by these client managed accounts despite a delegation of voting and/or investment power to TCA because the clients have the right to acquire investment and voting power through termination of their agreements with TCA. TCA may be deemed the beneficial owner of the securities covered by this statement under Rule 13d-3 of the Act that are held by its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715010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ind w:left="10140"/>
        <w:spacing w:after="0"/>
        <w:rPr>
          <w:sz w:val="20"/>
          <w:szCs w:val="20"/>
          <w:color w:val="auto"/>
        </w:rPr>
      </w:pPr>
      <w:r>
        <w:rPr>
          <w:rFonts w:ascii="Times New Roman" w:cs="Times New Roman" w:eastAsia="Times New Roman" w:hAnsi="Times New Roman"/>
          <w:sz w:val="17"/>
          <w:szCs w:val="17"/>
          <w:color w:val="auto"/>
        </w:rPr>
        <w:t>Page 4 of 5 Pages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hanging="23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600" w:hanging="24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600" w:hanging="238"/>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940" w:hanging="333"/>
        <w:spacing w:after="0"/>
        <w:tabs>
          <w:tab w:leader="none" w:pos="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940" w:hanging="333"/>
        <w:spacing w:after="0"/>
        <w:tabs>
          <w:tab w:leader="none" w:pos="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w:t>
      </w:r>
    </w:p>
    <w:p>
      <w:pPr>
        <w:spacing w:after="0" w:line="225" w:lineRule="exact"/>
        <w:rPr>
          <w:rFonts w:ascii="Times New Roman" w:cs="Times New Roman" w:eastAsia="Times New Roman" w:hAnsi="Times New Roman"/>
          <w:sz w:val="18"/>
          <w:szCs w:val="18"/>
          <w:color w:val="auto"/>
        </w:rPr>
      </w:pPr>
    </w:p>
    <w:p>
      <w:pPr>
        <w:ind w:left="940" w:hanging="333"/>
        <w:spacing w:after="0"/>
        <w:tabs>
          <w:tab w:leader="none" w:pos="9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w:t>
      </w:r>
    </w:p>
    <w:p>
      <w:pPr>
        <w:spacing w:after="0" w:line="212" w:lineRule="exact"/>
        <w:rPr>
          <w:rFonts w:ascii="Times New Roman" w:cs="Times New Roman" w:eastAsia="Times New Roman" w:hAnsi="Times New Roman"/>
          <w:sz w:val="17"/>
          <w:szCs w:val="17"/>
          <w:color w:val="auto"/>
        </w:rPr>
      </w:pPr>
    </w:p>
    <w:p>
      <w:pPr>
        <w:ind w:left="880" w:hanging="273"/>
        <w:spacing w:after="0"/>
        <w:tabs>
          <w:tab w:leader="none" w:pos="880" w:val="left"/>
        </w:tabs>
        <w:numPr>
          <w:ilvl w:val="1"/>
          <w:numId w:val="4"/>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8"/>
          <w:szCs w:val="28"/>
          <w:color w:val="auto"/>
          <w:vertAlign w:val="subscript"/>
        </w:rPr>
        <w:t>of:</w:t>
      </w:r>
      <w:r>
        <w:rPr>
          <w:rFonts w:ascii="Times New Roman" w:cs="Times New Roman" w:eastAsia="Times New Roman" w:hAnsi="Times New Roman"/>
          <w:sz w:val="15"/>
          <w:szCs w:val="15"/>
          <w:color w:val="auto"/>
        </w:rPr>
        <w:t>Shared power to dispose or to direct the disposition</w:t>
      </w:r>
    </w:p>
    <w:p>
      <w:pPr>
        <w:spacing w:after="0" w:line="37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3,029,730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41,361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2,742,345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41,361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2,988,369</w:t>
      </w:r>
    </w:p>
    <w:p>
      <w:pPr>
        <w:spacing w:after="0" w:line="1226" w:lineRule="exact"/>
        <w:rPr>
          <w:sz w:val="20"/>
          <w:szCs w:val="20"/>
          <w:color w:val="auto"/>
        </w:rPr>
      </w:pPr>
    </w:p>
    <w:p>
      <w:pPr>
        <w:sectPr>
          <w:pgSz w:w="11900" w:h="16838" w:orient="portrait"/>
          <w:cols w:equalWidth="0" w:num="2">
            <w:col w:w="4700" w:space="180"/>
            <w:col w:w="6540"/>
          </w:cols>
          <w:pgMar w:left="240" w:top="270" w:right="239" w:bottom="1440" w:gutter="0" w:footer="0" w:header="0"/>
          <w:type w:val="continuous"/>
        </w:sectPr>
      </w:pPr>
    </w:p>
    <w:p>
      <w:pPr>
        <w:spacing w:after="0" w:line="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TCA’s clients have the right to receive all dividends from, and the proceeds from the sale of, the securities held in their respective accounts. The interest of any one such person does not exceed 5% of the class of securities.</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the Subsidiary Which Acquired the Security Being</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Reported on By the Parent Holding Company or Control Person</w:t>
      </w:r>
      <w:r>
        <w:rPr>
          <w:rFonts w:ascii="Times New Roman" w:cs="Times New Roman" w:eastAsia="Times New Roman" w:hAnsi="Times New Roman"/>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Certifications</w:t>
      </w:r>
      <w:r>
        <w:rPr>
          <w:rFonts w:ascii="Times New Roman" w:cs="Times New Roman" w:eastAsia="Times New Roman" w:hAnsi="Times New Roman"/>
          <w:sz w:val="17"/>
          <w:szCs w:val="17"/>
          <w:b w:val="1"/>
          <w:bCs w:val="1"/>
          <w:color w:val="auto"/>
        </w:rPr>
        <w: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Page 5 of 5 Pages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TORTOISE CAPITAL ADVISORS, L.L.C.</w:t>
      </w:r>
    </w:p>
    <w:p>
      <w:pPr>
        <w:spacing w:after="0" w:line="229" w:lineRule="exact"/>
        <w:rPr>
          <w:sz w:val="20"/>
          <w:szCs w:val="20"/>
          <w:color w:val="auto"/>
        </w:rPr>
      </w:pPr>
    </w:p>
    <w:p>
      <w:pPr>
        <w:spacing w:after="0"/>
        <w:tabs>
          <w:tab w:leader="none" w:pos="5440" w:val="left"/>
          <w:tab w:leader="none" w:pos="6800" w:val="left"/>
        </w:tabs>
        <w:rPr>
          <w:sz w:val="20"/>
          <w:szCs w:val="20"/>
          <w:color w:val="auto"/>
        </w:rPr>
      </w:pPr>
      <w:r>
        <w:rPr>
          <w:rFonts w:ascii="Times New Roman" w:cs="Times New Roman" w:eastAsia="Times New Roman" w:hAnsi="Times New Roman"/>
          <w:sz w:val="18"/>
          <w:szCs w:val="18"/>
          <w:color w:val="auto"/>
        </w:rPr>
        <w:t>Dated: February 14,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 Bradley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26035</wp:posOffset>
            </wp:positionV>
            <wp:extent cx="24872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By: P. Bradley Adams</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2533650</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lvl w:ilvl="1">
      <w:lvlJc w:val="left"/>
      <w:lvlText w:val="(%2)"/>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2020-01-16T07:56:43Z</dcterms:created>
  <dcterms:modified xsi:type="dcterms:W3CDTF">2020-01-16T07:56:43Z</dcterms:modified>
</cp:coreProperties>
</file>