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1" w:lineRule="exact"/>
        <w:rPr>
          <w:sz w:val="24"/>
          <w:szCs w:val="24"/>
          <w:color w:val="auto"/>
        </w:rPr>
      </w:pPr>
    </w:p>
    <w:p>
      <w:pPr>
        <w:jc w:val="center"/>
        <w:ind w:right="-800"/>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SECURITIES AND EXCHANGE COMMISSION</w:t>
      </w:r>
    </w:p>
    <w:p>
      <w:pPr>
        <w:spacing w:after="0" w:line="23"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Washington, D.C. 20549</w:t>
      </w:r>
      <w:r>
        <w:rPr>
          <w:rFonts w:ascii="Times New Roman" w:cs="Times New Roman" w:eastAsia="Times New Roman" w:hAnsi="Times New Roman"/>
          <w:sz w:val="21"/>
          <w:szCs w:val="21"/>
          <w:color w:val="auto"/>
        </w:rPr>
        <w:t>​</w:t>
      </w:r>
    </w:p>
    <w:p>
      <w:pPr>
        <w:spacing w:after="0" w:line="207"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SCHEDULE 14A</w:t>
      </w:r>
    </w:p>
    <w:p>
      <w:pPr>
        <w:spacing w:after="0" w:line="218"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54" w:lineRule="exact"/>
        <w:rPr>
          <w:sz w:val="24"/>
          <w:szCs w:val="24"/>
          <w:color w:val="auto"/>
        </w:rPr>
      </w:pPr>
    </w:p>
    <w:p>
      <w:pPr>
        <w:ind w:left="500"/>
        <w:spacing w:after="0" w:line="196" w:lineRule="exact"/>
        <w:tabs>
          <w:tab w:leader="none" w:pos="232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102" w:lineRule="exact"/>
        <w:rPr>
          <w:sz w:val="24"/>
          <w:szCs w:val="24"/>
          <w:color w:val="auto"/>
        </w:rPr>
      </w:pPr>
    </w:p>
    <w:p>
      <w:pPr>
        <w:ind w:left="500"/>
        <w:spacing w:after="0" w:line="196" w:lineRule="exact"/>
        <w:tabs>
          <w:tab w:leader="none" w:pos="3720" w:val="left"/>
        </w:tabs>
        <w:rPr>
          <w:sz w:val="20"/>
          <w:szCs w:val="20"/>
          <w:color w:val="auto"/>
        </w:rPr>
      </w:pPr>
      <w:r>
        <w:rPr>
          <w:rFonts w:ascii="Arial" w:cs="Arial" w:eastAsia="Arial" w:hAnsi="Arial"/>
          <w:sz w:val="17"/>
          <w:szCs w:val="17"/>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129" w:lineRule="exact"/>
        <w:rPr>
          <w:sz w:val="24"/>
          <w:szCs w:val="24"/>
          <w:color w:val="auto"/>
        </w:rPr>
      </w:pPr>
    </w:p>
    <w:p>
      <w:pPr>
        <w:ind w:left="500"/>
        <w:spacing w:after="0"/>
        <w:rPr>
          <w:sz w:val="20"/>
          <w:szCs w:val="20"/>
          <w:color w:val="auto"/>
        </w:rPr>
      </w:pPr>
      <w:r>
        <w:rPr>
          <w:rFonts w:ascii="Arial" w:cs="Arial" w:eastAsia="Arial" w:hAnsi="Arial"/>
          <w:sz w:val="17"/>
          <w:szCs w:val="17"/>
          <w:color w:val="auto"/>
        </w:rPr>
        <w:t>Check the appropriate box:</w:t>
      </w:r>
    </w:p>
    <w:p>
      <w:pPr>
        <w:spacing w:after="0" w:line="102"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73" w:lineRule="exact"/>
        <w:rPr>
          <w:rFonts w:ascii="MS PGothic" w:cs="MS PGothic" w:eastAsia="MS PGothic" w:hAnsi="MS PGothic"/>
          <w:sz w:val="17"/>
          <w:szCs w:val="17"/>
          <w:color w:val="auto"/>
        </w:rPr>
      </w:pPr>
    </w:p>
    <w:p>
      <w:pPr>
        <w:ind w:left="50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129"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211" w:lineRule="exact"/>
        <w:rPr>
          <w:sz w:val="24"/>
          <w:szCs w:val="24"/>
          <w:color w:val="auto"/>
        </w:rPr>
      </w:pPr>
    </w:p>
    <w:p>
      <w:pPr>
        <w:jc w:val="center"/>
        <w:ind w:right="-860"/>
        <w:spacing w:after="0"/>
        <w:rPr>
          <w:sz w:val="20"/>
          <w:szCs w:val="20"/>
          <w:color w:val="auto"/>
        </w:rPr>
      </w:pPr>
      <w:r>
        <w:rPr>
          <w:rFonts w:ascii="Arial" w:cs="Arial" w:eastAsia="Arial" w:hAnsi="Arial"/>
          <w:sz w:val="29"/>
          <w:szCs w:val="29"/>
          <w:b w:val="1"/>
          <w:bCs w:val="1"/>
          <w:color w:val="auto"/>
        </w:rPr>
        <w:t>PLAINS ALL AMERICAN PIPELINE, L.P.</w:t>
      </w:r>
    </w:p>
    <w:p>
      <w:pPr>
        <w:spacing w:after="0" w:line="38" w:lineRule="exact"/>
        <w:rPr>
          <w:sz w:val="24"/>
          <w:szCs w:val="24"/>
          <w:color w:val="auto"/>
        </w:rPr>
      </w:pPr>
    </w:p>
    <w:p>
      <w:pPr>
        <w:ind w:left="3860"/>
        <w:spacing w:after="0"/>
        <w:rPr>
          <w:sz w:val="20"/>
          <w:szCs w:val="20"/>
          <w:color w:val="auto"/>
        </w:rPr>
      </w:pPr>
      <w:r>
        <w:rPr>
          <w:rFonts w:ascii="Arial" w:cs="Arial" w:eastAsia="Arial" w:hAnsi="Arial"/>
          <w:sz w:val="14"/>
          <w:szCs w:val="14"/>
          <w:color w:val="auto"/>
        </w:rPr>
        <w:t>(Name of Registrant as Specified In Its Charter)</w:t>
      </w:r>
      <w:r>
        <w:rPr>
          <w:rFonts w:ascii="Times New Roman" w:cs="Times New Roman" w:eastAsia="Times New Roman" w:hAnsi="Times New Roman"/>
          <w:sz w:val="28"/>
          <w:szCs w:val="2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-196215</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197485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24" w:lineRule="exact"/>
        <w:rPr>
          <w:sz w:val="24"/>
          <w:szCs w:val="24"/>
          <w:color w:val="auto"/>
        </w:rPr>
      </w:pPr>
    </w:p>
    <w:p>
      <w:pPr>
        <w:ind w:left="3100"/>
        <w:spacing w:after="0"/>
        <w:rPr>
          <w:sz w:val="20"/>
          <w:szCs w:val="20"/>
          <w:color w:val="auto"/>
        </w:rPr>
      </w:pPr>
      <w:r>
        <w:rPr>
          <w:rFonts w:ascii="Arial" w:cs="Arial" w:eastAsia="Arial" w:hAnsi="Arial"/>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208" w:lineRule="exact"/>
        <w:rPr>
          <w:sz w:val="24"/>
          <w:szCs w:val="24"/>
          <w:color w:val="auto"/>
        </w:rPr>
      </w:pPr>
    </w:p>
    <w:p>
      <w:pPr>
        <w:ind w:left="500"/>
        <w:spacing w:after="0"/>
        <w:rPr>
          <w:sz w:val="20"/>
          <w:szCs w:val="20"/>
          <w:color w:val="auto"/>
        </w:rPr>
      </w:pPr>
      <w:r>
        <w:rPr>
          <w:rFonts w:ascii="Arial" w:cs="Arial" w:eastAsia="Arial" w:hAnsi="Arial"/>
          <w:sz w:val="17"/>
          <w:szCs w:val="17"/>
          <w:color w:val="auto"/>
        </w:rPr>
        <w:t>Payment of Filing Fee (Check the appropriate box):</w:t>
      </w:r>
    </w:p>
    <w:p>
      <w:pPr>
        <w:spacing w:after="0" w:line="102"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02" w:lineRule="exact"/>
        <w:rPr>
          <w:sz w:val="24"/>
          <w:szCs w:val="24"/>
          <w:color w:val="auto"/>
        </w:rPr>
      </w:pPr>
    </w:p>
    <w:p>
      <w:pPr>
        <w:ind w:left="860" w:hanging="368"/>
        <w:spacing w:after="0"/>
        <w:tabs>
          <w:tab w:leader="none" w:pos="8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3665220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329565</wp:posOffset>
            </wp:positionV>
            <wp:extent cx="1920240" cy="574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April 14, 2023​</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Fellow Plains Investors,</w:t>
      </w:r>
    </w:p>
    <w:p>
      <w:pPr>
        <w:spacing w:after="0" w:line="158"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8"/>
          <w:szCs w:val="18"/>
          <w:color w:val="auto"/>
        </w:rPr>
        <w:t>We are grateful for your investment in Plains, and we are pleased to invite you to join us for our May 24, 2023 annual meeting.</w:t>
      </w:r>
    </w:p>
    <w:p>
      <w:pPr>
        <w:spacing w:after="0" w:line="86" w:lineRule="exact"/>
        <w:rPr>
          <w:sz w:val="20"/>
          <w:szCs w:val="20"/>
          <w:color w:val="auto"/>
        </w:rPr>
      </w:pPr>
    </w:p>
    <w:p>
      <w:pPr>
        <w:jc w:val="both"/>
        <w:ind w:left="1260" w:right="659" w:firstLine="360"/>
        <w:spacing w:after="0" w:line="261" w:lineRule="auto"/>
        <w:rPr>
          <w:sz w:val="20"/>
          <w:szCs w:val="20"/>
          <w:color w:val="auto"/>
        </w:rPr>
      </w:pPr>
      <w:r>
        <w:rPr>
          <w:rFonts w:ascii="Arial" w:cs="Arial" w:eastAsia="Arial" w:hAnsi="Arial"/>
          <w:sz w:val="18"/>
          <w:szCs w:val="18"/>
          <w:color w:val="auto"/>
        </w:rPr>
        <w:t>2022 represented a critical inflection point for Plains. We exited the year in a position of financial strength and well positioned to continue delivering strong operating and financial results. Throughout the year, we executed on our goals and initiatives in a dynamic macro environment.</w:t>
      </w:r>
    </w:p>
    <w:p>
      <w:pPr>
        <w:spacing w:after="0" w:line="94" w:lineRule="exact"/>
        <w:rPr>
          <w:sz w:val="20"/>
          <w:szCs w:val="20"/>
          <w:color w:val="auto"/>
        </w:rPr>
      </w:pPr>
    </w:p>
    <w:p>
      <w:pPr>
        <w:ind w:left="1260" w:right="499" w:firstLine="360"/>
        <w:spacing w:after="0" w:line="247" w:lineRule="auto"/>
        <w:rPr>
          <w:sz w:val="20"/>
          <w:szCs w:val="20"/>
          <w:color w:val="auto"/>
        </w:rPr>
      </w:pPr>
      <w:r>
        <w:rPr>
          <w:rFonts w:ascii="Arial" w:cs="Arial" w:eastAsia="Arial" w:hAnsi="Arial"/>
          <w:sz w:val="18"/>
          <w:szCs w:val="18"/>
          <w:color w:val="auto"/>
        </w:rPr>
        <w:t>Our integrated business model, flexible asset base and strong execution allowed us to capture increasing volumes from production growth and capitalize on commercial opportunities. As a result, we exceeded our financial guidance while also achieving record health, safety and environmental performance by meeting or exceeding 20% reduction targets in our key metrics. Overall achievements from 2022 include:</w:t>
      </w:r>
    </w:p>
    <w:p>
      <w:pPr>
        <w:spacing w:after="0" w:line="69" w:lineRule="exact"/>
        <w:rPr>
          <w:sz w:val="20"/>
          <w:szCs w:val="20"/>
          <w:color w:val="auto"/>
        </w:rPr>
      </w:pPr>
    </w:p>
    <w:p>
      <w:pPr>
        <w:jc w:val="both"/>
        <w:ind w:left="1800" w:right="679" w:hanging="180"/>
        <w:spacing w:after="0" w:line="268"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Delivered $2.51 billion in Adjusted EBITDA attributable to PAA and Implied Distributable Cash Flow per Common Unit and Common Unit Equivalent of $2.26, exceeding our initial February targets of $2.2 billion and $2.00, respectively;</w:t>
      </w:r>
    </w:p>
    <w:p>
      <w:pPr>
        <w:spacing w:after="0" w:line="49" w:lineRule="exact"/>
        <w:rPr>
          <w:rFonts w:ascii="Arial" w:cs="Arial" w:eastAsia="Arial" w:hAnsi="Arial"/>
          <w:sz w:val="18"/>
          <w:szCs w:val="18"/>
          <w:color w:val="auto"/>
        </w:rPr>
      </w:pPr>
    </w:p>
    <w:p>
      <w:pPr>
        <w:ind w:left="1800" w:right="479" w:hanging="180"/>
        <w:spacing w:after="0" w:line="259"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$1.61 billion in Free Cash Flow, returned approximately $658 million to common equity holders via distributions and unit repurchases, invested approximately $500 million of investment and maintenance capital, repaid $774 million of total debt and achieved a year-end leverage ratio (total debt/adjusted EBITDA) of 3.7x approximately one year earlier than originally planned;</w:t>
      </w:r>
    </w:p>
    <w:p>
      <w:pPr>
        <w:spacing w:after="0" w:line="71" w:lineRule="exact"/>
        <w:rPr>
          <w:rFonts w:ascii="Arial" w:cs="Arial" w:eastAsia="Arial" w:hAnsi="Arial"/>
          <w:sz w:val="18"/>
          <w:szCs w:val="18"/>
          <w:color w:val="auto"/>
        </w:rPr>
      </w:pPr>
    </w:p>
    <w:p>
      <w:pPr>
        <w:ind w:left="1800" w:right="1159" w:hanging="180"/>
        <w:spacing w:after="0" w:line="28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and/or announced several win-win strategic transactions, all of which further optimized our asset base and streamlined our operations; and</w:t>
      </w:r>
    </w:p>
    <w:p>
      <w:pPr>
        <w:spacing w:after="0" w:line="44" w:lineRule="exact"/>
        <w:rPr>
          <w:rFonts w:ascii="Arial" w:cs="Arial" w:eastAsia="Arial" w:hAnsi="Arial"/>
          <w:sz w:val="18"/>
          <w:szCs w:val="18"/>
          <w:color w:val="auto"/>
        </w:rPr>
      </w:pPr>
    </w:p>
    <w:p>
      <w:pPr>
        <w:ind w:left="1800" w:right="959" w:hanging="180"/>
        <w:spacing w:after="0" w:line="28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multi-year capital allocation framework prioritizing Free Cash Flow generation, financial flexibility and targeting increasing return of capital to equity holders.</w:t>
      </w:r>
    </w:p>
    <w:p>
      <w:pPr>
        <w:spacing w:after="0" w:line="72" w:lineRule="exact"/>
        <w:rPr>
          <w:sz w:val="20"/>
          <w:szCs w:val="20"/>
          <w:color w:val="auto"/>
        </w:rPr>
      </w:pPr>
    </w:p>
    <w:p>
      <w:pPr>
        <w:ind w:left="1260" w:right="559" w:firstLine="360"/>
        <w:spacing w:after="0" w:line="246" w:lineRule="auto"/>
        <w:rPr>
          <w:sz w:val="20"/>
          <w:szCs w:val="20"/>
          <w:color w:val="auto"/>
        </w:rPr>
      </w:pPr>
      <w:r>
        <w:rPr>
          <w:rFonts w:ascii="Arial" w:cs="Arial" w:eastAsia="Arial" w:hAnsi="Arial"/>
          <w:sz w:val="18"/>
          <w:szCs w:val="18"/>
          <w:color w:val="auto"/>
        </w:rPr>
        <w:t>As we look ahead, we remain constructive on the long-term fundamentals that underpin our business and the need for North American energy, with recent events serving as a reminder that all forms of energy are needed to satisfy growing global energy demand. Underlying supply and demand fundamentals, together with realistic assumptions regarding the growth of various sources of energy, support our belief that hydrocarbons will remain an essential part of the world economy for decades to come. Energy from hydrocarbons will play a key role in supporting a growing global population, reducing poverty, extending longevity and improving overall quality of life.</w:t>
      </w:r>
    </w:p>
    <w:p>
      <w:pPr>
        <w:spacing w:after="0" w:line="108"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With our network of strategically located North American midstream assets and our focus on the long-term positioning and optimization of our business, we believe we are very well positioned to play a critical role in the delivery of energy across North America and globally. As we do so, we will remain focused on generating meaningful multi-year free cash flow and maintaining a balanced approach to capital allocation that includes debt reduction and increasing returns of capital to equity holders through distribution increases and opportunistic repurchases. We believe the execution of our plan will deliver strong performance and enhanced value for our investors over the long term.</w:t>
      </w:r>
    </w:p>
    <w:p>
      <w:pPr>
        <w:spacing w:after="0" w:line="108" w:lineRule="exact"/>
        <w:rPr>
          <w:sz w:val="20"/>
          <w:szCs w:val="20"/>
          <w:color w:val="auto"/>
        </w:rPr>
      </w:pPr>
    </w:p>
    <w:p>
      <w:pPr>
        <w:ind w:left="1260" w:right="519" w:firstLine="360"/>
        <w:spacing w:after="0" w:line="271" w:lineRule="auto"/>
        <w:rPr>
          <w:sz w:val="20"/>
          <w:szCs w:val="20"/>
          <w:color w:val="auto"/>
        </w:rPr>
      </w:pPr>
      <w:r>
        <w:rPr>
          <w:rFonts w:ascii="Arial" w:cs="Arial" w:eastAsia="Arial" w:hAnsi="Arial"/>
          <w:sz w:val="18"/>
          <w:szCs w:val="18"/>
          <w:color w:val="auto"/>
        </w:rPr>
        <w:t>We appreciate your continued investment and support and we look forward to your participation in our 2023 annual meeting in May.</w:t>
      </w:r>
    </w:p>
    <w:p>
      <w:pPr>
        <w:spacing w:after="0" w:line="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137795</wp:posOffset>
            </wp:positionV>
            <wp:extent cx="1054100" cy="403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410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Willie Chiang</w:t>
      </w:r>
    </w:p>
    <w:p>
      <w:pPr>
        <w:sectPr>
          <w:pgSz w:w="11900" w:h="16838" w:orient="portrait"/>
          <w:cols w:equalWidth="0" w:num="1">
            <w:col w:w="9879"/>
          </w:cols>
          <w:pgMar w:left="580" w:top="97" w:right="1440" w:bottom="1440" w:gutter="0" w:footer="0" w:header="0"/>
        </w:sectPr>
      </w:pPr>
    </w:p>
    <w:p>
      <w:pPr>
        <w:spacing w:after="0" w:line="27" w:lineRule="exact"/>
        <w:rPr>
          <w:sz w:val="20"/>
          <w:szCs w:val="20"/>
          <w:color w:val="auto"/>
        </w:rPr>
      </w:pPr>
    </w:p>
    <w:p>
      <w:pPr>
        <w:ind w:left="5580"/>
        <w:spacing w:after="0"/>
        <w:rPr>
          <w:sz w:val="20"/>
          <w:szCs w:val="20"/>
          <w:color w:val="auto"/>
        </w:rPr>
      </w:pPr>
      <w:r>
        <w:rPr>
          <w:rFonts w:ascii="Arial" w:cs="Arial" w:eastAsia="Arial" w:hAnsi="Arial"/>
          <w:sz w:val="17"/>
          <w:szCs w:val="17"/>
          <w:i w:val="1"/>
          <w:iCs w:val="1"/>
          <w:color w:val="auto"/>
        </w:rPr>
        <w:t>Chairman of the Board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240665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509905</wp:posOffset>
            </wp:positionV>
            <wp:extent cx="1920240" cy="574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Plains All American Pipeline, L.P.</w:t>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333 Clay Street, Suite 1600</w:t>
      </w:r>
    </w:p>
    <w:p>
      <w:pPr>
        <w:ind w:left="4240"/>
        <w:spacing w:after="0"/>
        <w:rPr>
          <w:sz w:val="20"/>
          <w:szCs w:val="20"/>
          <w:color w:val="auto"/>
        </w:rPr>
      </w:pPr>
      <w:r>
        <w:rPr>
          <w:rFonts w:ascii="Arial" w:cs="Arial" w:eastAsia="Arial" w:hAnsi="Arial"/>
          <w:sz w:val="22"/>
          <w:szCs w:val="22"/>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220980</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NOTICE OF ANNUAL MEETING OF UNITHOLDERS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To Be Held On May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220345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1099"/>
        <w:spacing w:after="0" w:line="287" w:lineRule="auto"/>
        <w:rPr>
          <w:sz w:val="20"/>
          <w:szCs w:val="20"/>
          <w:color w:val="auto"/>
        </w:rPr>
      </w:pPr>
      <w:r>
        <w:rPr>
          <w:rFonts w:ascii="Arial" w:cs="Arial" w:eastAsia="Arial" w:hAnsi="Arial"/>
          <w:sz w:val="18"/>
          <w:szCs w:val="18"/>
          <w:color w:val="auto"/>
        </w:rPr>
        <w:t>To the holders of common units and Series A Convertible Preferred units of Plains All American Pipeline, L.P.:</w:t>
      </w:r>
    </w:p>
    <w:p>
      <w:pPr>
        <w:spacing w:after="0" w:line="85" w:lineRule="exact"/>
        <w:rPr>
          <w:sz w:val="20"/>
          <w:szCs w:val="20"/>
          <w:color w:val="auto"/>
        </w:rPr>
      </w:pPr>
    </w:p>
    <w:p>
      <w:pPr>
        <w:ind w:left="1260" w:right="599" w:firstLine="360"/>
        <w:spacing w:after="0" w:line="252" w:lineRule="auto"/>
        <w:rPr>
          <w:sz w:val="20"/>
          <w:szCs w:val="20"/>
          <w:color w:val="auto"/>
        </w:rPr>
      </w:pPr>
      <w:r>
        <w:rPr>
          <w:rFonts w:ascii="Arial" w:cs="Arial" w:eastAsia="Arial" w:hAnsi="Arial"/>
          <w:sz w:val="17"/>
          <w:szCs w:val="17"/>
          <w:color w:val="auto"/>
        </w:rPr>
        <w:t>The 2023 Annual Meeting (the “PAA Annual Meeting”) of the common unitholders and Series A Convertible Preferred unitholders (collectively, our “Unitholders”) of Plains All American Pipeline, L.P. (“PAA”) will be held on May 24, 2023, at 10:00 a.m. Central Time, in the Texas Room located on the 19</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of Three Allen Center, 333 Clay Street, Houston, Texas 77002. At the PAA Annual Meeting, our Unitholders (excluding Plains AAP, L.P.) will consider and vote on the following matters:</w:t>
      </w:r>
    </w:p>
    <w:p>
      <w:pPr>
        <w:spacing w:after="0" w:line="106" w:lineRule="exact"/>
        <w:rPr>
          <w:sz w:val="20"/>
          <w:szCs w:val="20"/>
          <w:color w:val="auto"/>
        </w:rPr>
      </w:pPr>
    </w:p>
    <w:p>
      <w:pPr>
        <w:ind w:left="1980" w:right="699" w:hanging="360"/>
        <w:spacing w:after="0" w:line="28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four Class I directors to serve on the board of directors (the “Board”) of PAA GP Holdings LLC until the 2026 annual meeting;</w:t>
      </w:r>
    </w:p>
    <w:p>
      <w:pPr>
        <w:spacing w:after="0" w:line="85" w:lineRule="exact"/>
        <w:rPr>
          <w:rFonts w:ascii="Arial" w:cs="Arial" w:eastAsia="Arial" w:hAnsi="Arial"/>
          <w:sz w:val="18"/>
          <w:szCs w:val="18"/>
          <w:color w:val="auto"/>
        </w:rPr>
      </w:pPr>
    </w:p>
    <w:p>
      <w:pPr>
        <w:ind w:left="1980" w:right="979" w:hanging="360"/>
        <w:spacing w:after="0" w:line="318" w:lineRule="auto"/>
        <w:tabs>
          <w:tab w:leader="none" w:pos="1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ratification of the appointment of PricewaterhouseCoopers LLP as our independent registered public accounting firm for the fiscal year ending December 31, 2023;</w:t>
      </w:r>
    </w:p>
    <w:p>
      <w:pPr>
        <w:spacing w:after="0" w:line="62" w:lineRule="exact"/>
        <w:rPr>
          <w:rFonts w:ascii="Arial" w:cs="Arial" w:eastAsia="Arial" w:hAnsi="Arial"/>
          <w:sz w:val="17"/>
          <w:szCs w:val="17"/>
          <w:color w:val="auto"/>
        </w:rPr>
      </w:pPr>
    </w:p>
    <w:p>
      <w:pPr>
        <w:ind w:left="1980" w:right="1299" w:hanging="360"/>
        <w:spacing w:after="0" w:line="28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on a non-binding advisory basis, of our 2022 named executive officer compensation; and</w:t>
      </w:r>
    </w:p>
    <w:p>
      <w:pPr>
        <w:spacing w:after="0" w:line="71" w:lineRule="exact"/>
        <w:rPr>
          <w:rFonts w:ascii="Arial" w:cs="Arial" w:eastAsia="Arial" w:hAnsi="Arial"/>
          <w:sz w:val="18"/>
          <w:szCs w:val="18"/>
          <w:color w:val="auto"/>
        </w:rPr>
      </w:pPr>
    </w:p>
    <w:p>
      <w:pPr>
        <w:ind w:left="1980" w:right="659" w:hanging="360"/>
        <w:spacing w:after="0" w:line="28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proposal to transact such other business as may properly come before the PAA Annual Meeting and any adjournment or postponement thereof.</w:t>
      </w:r>
    </w:p>
    <w:p>
      <w:pPr>
        <w:spacing w:after="0" w:line="85"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8"/>
          <w:szCs w:val="18"/>
          <w:b w:val="1"/>
          <w:bCs w:val="1"/>
          <w:color w:val="auto"/>
        </w:rPr>
        <w:t>The Board unanimously recommends that our Unitholders vote “FOR” proposals 1, 2 and 3. Additional information regarding these proposals is included in the attached proxy statement. Votes received on proposals 1, 2 and 3 will be “passed through” as voting instructions to PAA, the owner of all of the Class C shares of Plains GP Holdings, L.P. (“PAGP”), who will in turn vote such shares at PAGP’s annual meeting on behalf of our Unitholders pursuant to such instructions. See “Information About the PAGP and PAA Annual Meetings” below for more information.</w:t>
      </w:r>
    </w:p>
    <w:p>
      <w:pPr>
        <w:spacing w:after="0" w:line="103" w:lineRule="exact"/>
        <w:rPr>
          <w:sz w:val="20"/>
          <w:szCs w:val="20"/>
          <w:color w:val="auto"/>
        </w:rPr>
      </w:pPr>
    </w:p>
    <w:p>
      <w:pPr>
        <w:jc w:val="both"/>
        <w:ind w:left="1260" w:right="879" w:firstLine="360"/>
        <w:spacing w:after="0" w:line="262" w:lineRule="auto"/>
        <w:rPr>
          <w:sz w:val="20"/>
          <w:szCs w:val="20"/>
          <w:color w:val="auto"/>
        </w:rPr>
      </w:pPr>
      <w:r>
        <w:rPr>
          <w:rFonts w:ascii="Arial" w:cs="Arial" w:eastAsia="Arial" w:hAnsi="Arial"/>
          <w:sz w:val="18"/>
          <w:szCs w:val="18"/>
          <w:color w:val="auto"/>
        </w:rPr>
        <w:t>Unitholders as of the close of business on March 27, 2023 (the “Record Date”) are entitled to receive notice of and to vote at the PAA Annual Meeting and any postponements or adjournments thereof. A list of Unitholders entitled to vote is on file at our principal offices, 333 Clay Street, Suite 1600, Houston, Texas 77002.</w:t>
      </w:r>
    </w:p>
    <w:p>
      <w:pPr>
        <w:spacing w:after="0" w:line="95"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8"/>
          <w:szCs w:val="18"/>
          <w:color w:val="auto"/>
        </w:rPr>
        <w:t>Whether or not you plan to attend the PAA Annual Meeting, please</w:t>
      </w:r>
      <w:r>
        <w:rPr>
          <w:rFonts w:ascii="Arial" w:cs="Arial" w:eastAsia="Arial" w:hAnsi="Arial"/>
          <w:sz w:val="18"/>
          <w:szCs w:val="18"/>
          <w:b w:val="1"/>
          <w:bCs w:val="1"/>
          <w:color w:val="auto"/>
        </w:rPr>
        <w:t xml:space="preserve"> </w:t>
      </w:r>
      <w:r>
        <w:rPr>
          <w:rFonts w:ascii="Arial" w:cs="Arial" w:eastAsia="Arial" w:hAnsi="Arial"/>
          <w:sz w:val="18"/>
          <w:szCs w:val="18"/>
          <w:color w:val="auto"/>
        </w:rPr>
        <w:t>cast your vote by following the Internet or telephone voting instructions on the proxy card. You may also vote by completing, signing and dating the accompanying proxy card and returning it promptly in the postage-prepaid envelope provided. See “Questions and Answers About the PAA Annual Meeting —  How do I vote?” in the attached proxy statement for more details. Returning the proxy card or voting on the Internet or by telephone does not deprive you of your right to attend the PAA Annual Meeting and to vote your units for the matters to be acted upon at the PAA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586740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Order of the Board of Directors of</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PAA GP Holdings LLC, general partner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Plains GP Holdings, L.P., sole member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Plains All American GP LLC, general partner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Plains AAP, L.P., sole member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PAA GP LLC, general partner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126365</wp:posOffset>
            </wp:positionV>
            <wp:extent cx="1851660" cy="402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166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Richard McGee</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Executive Vice President, General Counsel and Secretary</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Houston, Texas</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297815</wp:posOffset>
            </wp:positionV>
            <wp:extent cx="5212080" cy="908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90868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left="1820" w:right="840"/>
        <w:spacing w:after="0" w:line="273"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UNITHOLDERS TO BE HELD ON MAY 24, 2023</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The Notice of Annual Meeting, the proxy statement for the Annual Meeting and our 2022</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Report are available at http://www.astproxyportal.com/ast/02337/.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4768215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18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760" w:type="dxa"/>
            <w:vAlign w:val="bottom"/>
            <w:gridSpan w:val="21"/>
            <w:shd w:val="clear" w:color="auto" w:fill="CCEEFF"/>
          </w:tcPr>
          <w:p>
            <w:pPr>
              <w:spacing w:after="0"/>
              <w:rPr>
                <w:sz w:val="20"/>
                <w:szCs w:val="20"/>
                <w:color w:val="auto"/>
              </w:rPr>
            </w:pPr>
            <w:r>
              <w:rPr>
                <w:rFonts w:ascii="Arial" w:cs="Arial" w:eastAsia="Arial" w:hAnsi="Arial"/>
                <w:sz w:val="18"/>
                <w:szCs w:val="18"/>
                <w:color w:val="0000EE"/>
              </w:rPr>
              <w:t>GENERAL INFORMATION ABOUT THE PLAINS ALL AMERICAN PIPELINE, L.P. ANNUAL</w:t>
            </w:r>
          </w:p>
        </w:tc>
        <w:tc>
          <w:tcPr>
            <w:tcW w:w="340" w:type="dxa"/>
            <w:vAlign w:val="bottom"/>
            <w:gridSpan w:val="2"/>
            <w:vMerge w:val="restart"/>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00EE"/>
                <w:w w:val="79"/>
              </w:rPr>
              <w:t>1</w:t>
            </w:r>
          </w:p>
        </w:tc>
        <w:tc>
          <w:tcPr>
            <w:tcW w:w="0" w:type="dxa"/>
            <w:vAlign w:val="bottom"/>
          </w:tcPr>
          <w:p>
            <w:pPr>
              <w:spacing w:after="0"/>
              <w:rPr>
                <w:sz w:val="1"/>
                <w:szCs w:val="1"/>
                <w:color w:val="auto"/>
              </w:rPr>
            </w:pPr>
          </w:p>
        </w:tc>
      </w:tr>
      <w:tr>
        <w:trPr>
          <w:trHeight w:val="217"/>
        </w:trPr>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82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97"/>
              </w:rPr>
              <w:t>MEETING</w:t>
            </w:r>
          </w:p>
        </w:tc>
        <w:tc>
          <w:tcPr>
            <w:tcW w:w="6300" w:type="dxa"/>
            <w:vAlign w:val="bottom"/>
            <w:tcBorders>
              <w:top w:val="single" w:sz="8" w:color="0000EE"/>
              <w:bottom w:val="single" w:sz="8" w:color="CCEEFF"/>
            </w:tcBorders>
            <w:gridSpan w:val="17"/>
            <w:shd w:val="clear" w:color="auto" w:fill="CCEEFF"/>
          </w:tcPr>
          <w:p>
            <w:pPr>
              <w:spacing w:after="0"/>
              <w:rPr>
                <w:sz w:val="18"/>
                <w:szCs w:val="18"/>
                <w:color w:val="auto"/>
              </w:rPr>
            </w:pPr>
          </w:p>
        </w:tc>
        <w:tc>
          <w:tcPr>
            <w:tcW w:w="4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340" w:type="dxa"/>
            <w:vAlign w:val="bottom"/>
            <w:tcBorders>
              <w:top w:val="single" w:sz="8" w:color="CCEEFF"/>
              <w:bottom w:val="single" w:sz="8" w:color="CCEEFF"/>
            </w:tcBorders>
            <w:gridSpan w:val="2"/>
            <w:vMerge w:val="continue"/>
            <w:shd w:val="clear" w:color="auto" w:fill="CCEEFF"/>
          </w:tcPr>
          <w:p>
            <w:pPr>
              <w:spacing w:after="0"/>
              <w:rPr>
                <w:sz w:val="18"/>
                <w:szCs w:val="18"/>
                <w:color w:val="auto"/>
              </w:rPr>
            </w:pPr>
          </w:p>
        </w:tc>
        <w:tc>
          <w:tcPr>
            <w:tcW w:w="100" w:type="dxa"/>
            <w:vAlign w:val="bottom"/>
            <w:tcBorders>
              <w:top w:val="single" w:sz="8" w:color="CCEEFF"/>
              <w:bottom w:val="single" w:sz="8" w:color="0000EE"/>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60" w:type="dxa"/>
            <w:vAlign w:val="bottom"/>
            <w:gridSpan w:val="21"/>
          </w:tcPr>
          <w:p>
            <w:pPr>
              <w:spacing w:after="0"/>
              <w:rPr>
                <w:sz w:val="20"/>
                <w:szCs w:val="20"/>
                <w:color w:val="auto"/>
              </w:rPr>
            </w:pPr>
            <w:r>
              <w:rPr>
                <w:rFonts w:ascii="Arial" w:cs="Arial" w:eastAsia="Arial" w:hAnsi="Arial"/>
                <w:sz w:val="18"/>
                <w:szCs w:val="18"/>
                <w:color w:val="0000EE"/>
              </w:rPr>
              <w:t>INFORMATION ABOUT THE PAGP AND PAA ANNUAL MEETINGS</w:t>
            </w:r>
          </w:p>
        </w:tc>
        <w:tc>
          <w:tcPr>
            <w:tcW w:w="440" w:type="dxa"/>
            <w:vAlign w:val="bottom"/>
            <w:gridSpan w:val="3"/>
          </w:tcPr>
          <w:p>
            <w:pPr>
              <w:jc w:val="right"/>
              <w:spacing w:after="0"/>
              <w:rPr>
                <w:sz w:val="20"/>
                <w:szCs w:val="20"/>
                <w:color w:val="auto"/>
              </w:rPr>
            </w:pPr>
            <w:r>
              <w:rPr>
                <w:rFonts w:ascii="Arial" w:cs="Arial" w:eastAsia="Arial" w:hAnsi="Arial"/>
                <w:sz w:val="18"/>
                <w:szCs w:val="18"/>
                <w:color w:val="0000EE"/>
              </w:rPr>
              <w:t>1</w:t>
            </w:r>
          </w:p>
        </w:tc>
        <w:tc>
          <w:tcPr>
            <w:tcW w:w="0" w:type="dxa"/>
            <w:vAlign w:val="bottom"/>
          </w:tcPr>
          <w:p>
            <w:pPr>
              <w:spacing w:after="0"/>
              <w:rPr>
                <w:sz w:val="1"/>
                <w:szCs w:val="1"/>
                <w:color w:val="auto"/>
              </w:rPr>
            </w:pPr>
          </w:p>
        </w:tc>
      </w:tr>
      <w:tr>
        <w:trPr>
          <w:trHeight w:val="48"/>
        </w:trPr>
        <w:tc>
          <w:tcPr>
            <w:tcW w:w="1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560" w:type="dxa"/>
            <w:vAlign w:val="bottom"/>
            <w:tcBorders>
              <w:bottom w:val="single" w:sz="8" w:color="0000EE"/>
            </w:tcBorders>
            <w:gridSpan w:val="16"/>
            <w:shd w:val="clear" w:color="auto" w:fill="CCEEFF"/>
          </w:tcPr>
          <w:p>
            <w:pPr>
              <w:spacing w:after="0"/>
              <w:rPr>
                <w:sz w:val="20"/>
                <w:szCs w:val="20"/>
                <w:color w:val="auto"/>
              </w:rPr>
            </w:pPr>
            <w:r>
              <w:rPr>
                <w:rFonts w:ascii="Arial" w:cs="Arial" w:eastAsia="Arial" w:hAnsi="Arial"/>
                <w:sz w:val="18"/>
                <w:szCs w:val="18"/>
                <w:color w:val="0000EE"/>
                <w:w w:val="99"/>
              </w:rPr>
              <w:t>QUESTIONS AND ANSWERS ABOUT THE PAA ANNUAL MEETING</w:t>
            </w:r>
          </w:p>
        </w:tc>
        <w:tc>
          <w:tcPr>
            <w:tcW w:w="2200" w:type="dxa"/>
            <w:vAlign w:val="bottom"/>
            <w:tcBorders>
              <w:bottom w:val="single" w:sz="8" w:color="CCEEFF"/>
            </w:tcBorders>
            <w:gridSpan w:val="5"/>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0000EE"/>
            </w:tcBorders>
            <w:shd w:val="clear" w:color="auto" w:fill="CCEEFF"/>
          </w:tcPr>
          <w:p>
            <w:pPr>
              <w:jc w:val="right"/>
              <w:spacing w:after="0"/>
              <w:rPr>
                <w:sz w:val="20"/>
                <w:szCs w:val="20"/>
                <w:color w:val="auto"/>
              </w:rPr>
            </w:pPr>
            <w:r>
              <w:rPr>
                <w:rFonts w:ascii="Arial" w:cs="Arial" w:eastAsia="Arial" w:hAnsi="Arial"/>
                <w:sz w:val="18"/>
                <w:szCs w:val="18"/>
                <w:color w:val="0000EE"/>
                <w:w w:val="79"/>
              </w:rPr>
              <w:t>2</w:t>
            </w:r>
          </w:p>
        </w:tc>
        <w:tc>
          <w:tcPr>
            <w:tcW w:w="0" w:type="dxa"/>
            <w:vAlign w:val="bottom"/>
          </w:tcPr>
          <w:p>
            <w:pPr>
              <w:spacing w:after="0"/>
              <w:rPr>
                <w:sz w:val="1"/>
                <w:szCs w:val="1"/>
                <w:color w:val="auto"/>
              </w:rPr>
            </w:pPr>
          </w:p>
        </w:tc>
      </w:tr>
      <w:tr>
        <w:trPr>
          <w:trHeight w:val="257"/>
        </w:trPr>
        <w:tc>
          <w:tcPr>
            <w:tcW w:w="7760" w:type="dxa"/>
            <w:vAlign w:val="bottom"/>
            <w:gridSpan w:val="21"/>
          </w:tcPr>
          <w:p>
            <w:pPr>
              <w:spacing w:after="0"/>
              <w:rPr>
                <w:sz w:val="20"/>
                <w:szCs w:val="20"/>
                <w:color w:val="auto"/>
              </w:rPr>
            </w:pPr>
            <w:r>
              <w:rPr>
                <w:rFonts w:ascii="Arial" w:cs="Arial" w:eastAsia="Arial" w:hAnsi="Arial"/>
                <w:sz w:val="18"/>
                <w:szCs w:val="18"/>
                <w:color w:val="0000EE"/>
              </w:rPr>
              <w:t>CORPORATE GOVERNANCE AND RELATED MATTERS</w:t>
            </w:r>
          </w:p>
        </w:tc>
        <w:tc>
          <w:tcPr>
            <w:tcW w:w="440" w:type="dxa"/>
            <w:vAlign w:val="bottom"/>
            <w:gridSpan w:val="3"/>
          </w:tcPr>
          <w:p>
            <w:pPr>
              <w:jc w:val="right"/>
              <w:spacing w:after="0"/>
              <w:rPr>
                <w:sz w:val="20"/>
                <w:szCs w:val="20"/>
                <w:color w:val="auto"/>
              </w:rPr>
            </w:pPr>
            <w:r>
              <w:rPr>
                <w:rFonts w:ascii="Arial" w:cs="Arial" w:eastAsia="Arial" w:hAnsi="Arial"/>
                <w:sz w:val="18"/>
                <w:szCs w:val="18"/>
                <w:color w:val="0000EE"/>
              </w:rPr>
              <w:t>8</w:t>
            </w:r>
          </w:p>
        </w:tc>
        <w:tc>
          <w:tcPr>
            <w:tcW w:w="0" w:type="dxa"/>
            <w:vAlign w:val="bottom"/>
          </w:tcPr>
          <w:p>
            <w:pPr>
              <w:spacing w:after="0"/>
              <w:rPr>
                <w:sz w:val="1"/>
                <w:szCs w:val="1"/>
                <w:color w:val="auto"/>
              </w:rPr>
            </w:pPr>
          </w:p>
        </w:tc>
      </w:tr>
      <w:tr>
        <w:trPr>
          <w:trHeight w:val="48"/>
        </w:trPr>
        <w:tc>
          <w:tcPr>
            <w:tcW w:w="1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4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8"/>
                <w:szCs w:val="18"/>
                <w:color w:val="0000EE"/>
                <w:w w:val="98"/>
              </w:rPr>
              <w:t>PROPOSAL 1 – ELECTION OF CLASS I DIRECTORS</w:t>
            </w:r>
          </w:p>
        </w:tc>
        <w:tc>
          <w:tcPr>
            <w:tcW w:w="3420" w:type="dxa"/>
            <w:vAlign w:val="bottom"/>
            <w:tcBorders>
              <w:bottom w:val="single" w:sz="8" w:color="CCEEFF"/>
            </w:tcBorders>
            <w:gridSpan w:val="11"/>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15</w:t>
            </w:r>
          </w:p>
        </w:tc>
        <w:tc>
          <w:tcPr>
            <w:tcW w:w="0" w:type="dxa"/>
            <w:vAlign w:val="bottom"/>
          </w:tcPr>
          <w:p>
            <w:pPr>
              <w:spacing w:after="0"/>
              <w:rPr>
                <w:sz w:val="1"/>
                <w:szCs w:val="1"/>
                <w:color w:val="auto"/>
              </w:rPr>
            </w:pPr>
          </w:p>
        </w:tc>
      </w:tr>
      <w:tr>
        <w:trPr>
          <w:trHeight w:val="257"/>
        </w:trPr>
        <w:tc>
          <w:tcPr>
            <w:tcW w:w="7760" w:type="dxa"/>
            <w:vAlign w:val="bottom"/>
            <w:gridSpan w:val="21"/>
          </w:tcPr>
          <w:p>
            <w:pPr>
              <w:spacing w:after="0"/>
              <w:rPr>
                <w:sz w:val="20"/>
                <w:szCs w:val="20"/>
                <w:color w:val="auto"/>
              </w:rPr>
            </w:pPr>
            <w:r>
              <w:rPr>
                <w:rFonts w:ascii="Arial" w:cs="Arial" w:eastAsia="Arial" w:hAnsi="Arial"/>
                <w:sz w:val="18"/>
                <w:szCs w:val="18"/>
                <w:color w:val="0000EE"/>
              </w:rPr>
              <w:t>EXECUTIVE OFFICERS</w:t>
            </w:r>
          </w:p>
        </w:tc>
        <w:tc>
          <w:tcPr>
            <w:tcW w:w="440" w:type="dxa"/>
            <w:vAlign w:val="bottom"/>
            <w:gridSpan w:val="3"/>
          </w:tcPr>
          <w:p>
            <w:pPr>
              <w:jc w:val="right"/>
              <w:spacing w:after="0"/>
              <w:rPr>
                <w:sz w:val="20"/>
                <w:szCs w:val="20"/>
                <w:color w:val="auto"/>
              </w:rPr>
            </w:pPr>
            <w:r>
              <w:rPr>
                <w:rFonts w:ascii="Arial" w:cs="Arial" w:eastAsia="Arial" w:hAnsi="Arial"/>
                <w:sz w:val="18"/>
                <w:szCs w:val="18"/>
                <w:color w:val="0000EE"/>
              </w:rPr>
              <w:t>25</w:t>
            </w:r>
          </w:p>
        </w:tc>
        <w:tc>
          <w:tcPr>
            <w:tcW w:w="0" w:type="dxa"/>
            <w:vAlign w:val="bottom"/>
          </w:tcPr>
          <w:p>
            <w:pPr>
              <w:spacing w:after="0"/>
              <w:rPr>
                <w:sz w:val="1"/>
                <w:szCs w:val="1"/>
                <w:color w:val="auto"/>
              </w:rPr>
            </w:pPr>
          </w:p>
        </w:tc>
      </w:tr>
      <w:tr>
        <w:trPr>
          <w:trHeight w:val="48"/>
        </w:trPr>
        <w:tc>
          <w:tcPr>
            <w:tcW w:w="1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7760" w:type="dxa"/>
            <w:vAlign w:val="bottom"/>
            <w:gridSpan w:val="21"/>
            <w:shd w:val="clear" w:color="auto" w:fill="CCEEFF"/>
          </w:tcPr>
          <w:p>
            <w:pPr>
              <w:spacing w:after="0"/>
              <w:rPr>
                <w:sz w:val="20"/>
                <w:szCs w:val="20"/>
                <w:color w:val="auto"/>
              </w:rPr>
            </w:pPr>
            <w:r>
              <w:rPr>
                <w:rFonts w:ascii="Arial" w:cs="Arial" w:eastAsia="Arial" w:hAnsi="Arial"/>
                <w:sz w:val="18"/>
                <w:szCs w:val="18"/>
                <w:color w:val="0000EE"/>
              </w:rPr>
              <w:t>EXECUTIVE COMPENSATION</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27</w:t>
            </w:r>
          </w:p>
        </w:tc>
        <w:tc>
          <w:tcPr>
            <w:tcW w:w="0" w:type="dxa"/>
            <w:vAlign w:val="bottom"/>
          </w:tcPr>
          <w:p>
            <w:pPr>
              <w:spacing w:after="0"/>
              <w:rPr>
                <w:sz w:val="1"/>
                <w:szCs w:val="1"/>
                <w:color w:val="auto"/>
              </w:rPr>
            </w:pPr>
          </w:p>
        </w:tc>
      </w:tr>
      <w:tr>
        <w:trPr>
          <w:trHeight w:val="48"/>
        </w:trPr>
        <w:tc>
          <w:tcPr>
            <w:tcW w:w="1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7760" w:type="dxa"/>
            <w:vAlign w:val="bottom"/>
            <w:gridSpan w:val="21"/>
          </w:tcPr>
          <w:p>
            <w:pPr>
              <w:spacing w:after="0"/>
              <w:rPr>
                <w:sz w:val="20"/>
                <w:szCs w:val="20"/>
                <w:color w:val="auto"/>
              </w:rPr>
            </w:pPr>
            <w:r>
              <w:rPr>
                <w:rFonts w:ascii="Arial" w:cs="Arial" w:eastAsia="Arial" w:hAnsi="Arial"/>
                <w:sz w:val="18"/>
                <w:szCs w:val="18"/>
                <w:color w:val="0000EE"/>
              </w:rPr>
              <w:t>SECURITY OWNERSHIP OF CERTAIN BENEFICIAL OWNERS AND MANAGEMENT</w:t>
            </w:r>
          </w:p>
        </w:tc>
        <w:tc>
          <w:tcPr>
            <w:tcW w:w="440" w:type="dxa"/>
            <w:vAlign w:val="bottom"/>
            <w:gridSpan w:val="3"/>
          </w:tcPr>
          <w:p>
            <w:pPr>
              <w:jc w:val="right"/>
              <w:spacing w:after="0"/>
              <w:rPr>
                <w:sz w:val="20"/>
                <w:szCs w:val="20"/>
                <w:color w:val="auto"/>
              </w:rPr>
            </w:pPr>
            <w:r>
              <w:rPr>
                <w:rFonts w:ascii="Arial" w:cs="Arial" w:eastAsia="Arial" w:hAnsi="Arial"/>
                <w:sz w:val="18"/>
                <w:szCs w:val="18"/>
                <w:color w:val="0000EE"/>
              </w:rPr>
              <w:t>65</w:t>
            </w:r>
          </w:p>
        </w:tc>
        <w:tc>
          <w:tcPr>
            <w:tcW w:w="0" w:type="dxa"/>
            <w:vAlign w:val="bottom"/>
          </w:tcPr>
          <w:p>
            <w:pPr>
              <w:spacing w:after="0"/>
              <w:rPr>
                <w:sz w:val="1"/>
                <w:szCs w:val="1"/>
                <w:color w:val="auto"/>
              </w:rPr>
            </w:pPr>
          </w:p>
        </w:tc>
      </w:tr>
      <w:tr>
        <w:trPr>
          <w:trHeight w:val="48"/>
        </w:trPr>
        <w:tc>
          <w:tcPr>
            <w:tcW w:w="1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7760" w:type="dxa"/>
            <w:vAlign w:val="bottom"/>
            <w:gridSpan w:val="21"/>
            <w:shd w:val="clear" w:color="auto" w:fill="CCEEFF"/>
          </w:tcPr>
          <w:p>
            <w:pPr>
              <w:spacing w:after="0"/>
              <w:rPr>
                <w:sz w:val="20"/>
                <w:szCs w:val="20"/>
                <w:color w:val="auto"/>
              </w:rPr>
            </w:pPr>
            <w:r>
              <w:rPr>
                <w:rFonts w:ascii="Arial" w:cs="Arial" w:eastAsia="Arial" w:hAnsi="Arial"/>
                <w:sz w:val="18"/>
                <w:szCs w:val="18"/>
                <w:color w:val="0000EE"/>
              </w:rPr>
              <w:t>EQUITY COMPENSATION PLAN INFORMATION TABLE</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69</w:t>
            </w:r>
          </w:p>
        </w:tc>
        <w:tc>
          <w:tcPr>
            <w:tcW w:w="0" w:type="dxa"/>
            <w:vAlign w:val="bottom"/>
          </w:tcPr>
          <w:p>
            <w:pPr>
              <w:spacing w:after="0"/>
              <w:rPr>
                <w:sz w:val="1"/>
                <w:szCs w:val="1"/>
                <w:color w:val="auto"/>
              </w:rPr>
            </w:pPr>
          </w:p>
        </w:tc>
      </w:tr>
      <w:tr>
        <w:trPr>
          <w:trHeight w:val="48"/>
        </w:trPr>
        <w:tc>
          <w:tcPr>
            <w:tcW w:w="1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7760" w:type="dxa"/>
            <w:vAlign w:val="bottom"/>
            <w:gridSpan w:val="21"/>
          </w:tcPr>
          <w:p>
            <w:pPr>
              <w:spacing w:after="0"/>
              <w:rPr>
                <w:sz w:val="20"/>
                <w:szCs w:val="20"/>
                <w:color w:val="auto"/>
              </w:rPr>
            </w:pPr>
            <w:r>
              <w:rPr>
                <w:rFonts w:ascii="Arial" w:cs="Arial" w:eastAsia="Arial" w:hAnsi="Arial"/>
                <w:sz w:val="18"/>
                <w:szCs w:val="18"/>
                <w:color w:val="0000EE"/>
              </w:rPr>
              <w:t>CERTAIN RELATIONSHIPS AND RELATED TRANSACTIONS</w:t>
            </w:r>
          </w:p>
        </w:tc>
        <w:tc>
          <w:tcPr>
            <w:tcW w:w="440" w:type="dxa"/>
            <w:vAlign w:val="bottom"/>
            <w:gridSpan w:val="3"/>
          </w:tcPr>
          <w:p>
            <w:pPr>
              <w:jc w:val="right"/>
              <w:spacing w:after="0"/>
              <w:rPr>
                <w:sz w:val="20"/>
                <w:szCs w:val="20"/>
                <w:color w:val="auto"/>
              </w:rPr>
            </w:pPr>
            <w:r>
              <w:rPr>
                <w:rFonts w:ascii="Arial" w:cs="Arial" w:eastAsia="Arial" w:hAnsi="Arial"/>
                <w:sz w:val="18"/>
                <w:szCs w:val="18"/>
                <w:color w:val="0000EE"/>
              </w:rPr>
              <w:t>70</w:t>
            </w:r>
          </w:p>
        </w:tc>
        <w:tc>
          <w:tcPr>
            <w:tcW w:w="0" w:type="dxa"/>
            <w:vAlign w:val="bottom"/>
          </w:tcPr>
          <w:p>
            <w:pPr>
              <w:spacing w:after="0"/>
              <w:rPr>
                <w:sz w:val="1"/>
                <w:szCs w:val="1"/>
                <w:color w:val="auto"/>
              </w:rPr>
            </w:pPr>
          </w:p>
        </w:tc>
      </w:tr>
      <w:tr>
        <w:trPr>
          <w:trHeight w:val="48"/>
        </w:trPr>
        <w:tc>
          <w:tcPr>
            <w:tcW w:w="1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7760" w:type="dxa"/>
            <w:vAlign w:val="bottom"/>
            <w:gridSpan w:val="21"/>
            <w:shd w:val="clear" w:color="auto" w:fill="CCEEFF"/>
          </w:tcPr>
          <w:p>
            <w:pPr>
              <w:spacing w:after="0"/>
              <w:rPr>
                <w:sz w:val="20"/>
                <w:szCs w:val="20"/>
                <w:color w:val="auto"/>
              </w:rPr>
            </w:pPr>
            <w:r>
              <w:rPr>
                <w:rFonts w:ascii="Arial" w:cs="Arial" w:eastAsia="Arial" w:hAnsi="Arial"/>
                <w:sz w:val="18"/>
                <w:szCs w:val="18"/>
                <w:color w:val="0000EE"/>
              </w:rPr>
              <w:t>REPORT OF THE AUDIT COMMITTEE</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74</w:t>
            </w:r>
          </w:p>
        </w:tc>
        <w:tc>
          <w:tcPr>
            <w:tcW w:w="0" w:type="dxa"/>
            <w:vAlign w:val="bottom"/>
          </w:tcPr>
          <w:p>
            <w:pPr>
              <w:spacing w:after="0"/>
              <w:rPr>
                <w:sz w:val="1"/>
                <w:szCs w:val="1"/>
                <w:color w:val="auto"/>
              </w:rPr>
            </w:pPr>
          </w:p>
        </w:tc>
      </w:tr>
      <w:tr>
        <w:trPr>
          <w:trHeight w:val="48"/>
        </w:trPr>
        <w:tc>
          <w:tcPr>
            <w:tcW w:w="1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7760" w:type="dxa"/>
            <w:vAlign w:val="bottom"/>
            <w:gridSpan w:val="21"/>
          </w:tcPr>
          <w:p>
            <w:pPr>
              <w:spacing w:after="0"/>
              <w:rPr>
                <w:sz w:val="20"/>
                <w:szCs w:val="20"/>
                <w:color w:val="auto"/>
              </w:rPr>
            </w:pPr>
            <w:r>
              <w:rPr>
                <w:rFonts w:ascii="Arial" w:cs="Arial" w:eastAsia="Arial" w:hAnsi="Arial"/>
                <w:sz w:val="18"/>
                <w:szCs w:val="18"/>
                <w:color w:val="0000EE"/>
              </w:rPr>
              <w:t>PRINCIPAL ACCOUNTANT FEES AND SERVICES</w:t>
            </w:r>
          </w:p>
        </w:tc>
        <w:tc>
          <w:tcPr>
            <w:tcW w:w="440" w:type="dxa"/>
            <w:vAlign w:val="bottom"/>
            <w:gridSpan w:val="3"/>
          </w:tcPr>
          <w:p>
            <w:pPr>
              <w:jc w:val="right"/>
              <w:spacing w:after="0"/>
              <w:rPr>
                <w:sz w:val="20"/>
                <w:szCs w:val="20"/>
                <w:color w:val="auto"/>
              </w:rPr>
            </w:pPr>
            <w:r>
              <w:rPr>
                <w:rFonts w:ascii="Arial" w:cs="Arial" w:eastAsia="Arial" w:hAnsi="Arial"/>
                <w:sz w:val="18"/>
                <w:szCs w:val="18"/>
                <w:color w:val="0000EE"/>
              </w:rPr>
              <w:t>75</w:t>
            </w:r>
          </w:p>
        </w:tc>
        <w:tc>
          <w:tcPr>
            <w:tcW w:w="0" w:type="dxa"/>
            <w:vAlign w:val="bottom"/>
          </w:tcPr>
          <w:p>
            <w:pPr>
              <w:spacing w:after="0"/>
              <w:rPr>
                <w:sz w:val="1"/>
                <w:szCs w:val="1"/>
                <w:color w:val="auto"/>
              </w:rPr>
            </w:pPr>
          </w:p>
        </w:tc>
      </w:tr>
      <w:tr>
        <w:trPr>
          <w:trHeight w:val="48"/>
        </w:trPr>
        <w:tc>
          <w:tcPr>
            <w:tcW w:w="1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0000EE"/>
            </w:tcBorders>
            <w:gridSpan w:val="21"/>
            <w:shd w:val="clear" w:color="auto" w:fill="CCEEFF"/>
          </w:tcPr>
          <w:p>
            <w:pPr>
              <w:spacing w:after="0"/>
              <w:rPr>
                <w:sz w:val="20"/>
                <w:szCs w:val="20"/>
                <w:color w:val="auto"/>
              </w:rPr>
            </w:pPr>
            <w:r>
              <w:rPr>
                <w:rFonts w:ascii="Arial" w:cs="Arial" w:eastAsia="Arial" w:hAnsi="Arial"/>
                <w:sz w:val="18"/>
                <w:szCs w:val="18"/>
                <w:color w:val="0000EE"/>
                <w:w w:val="99"/>
              </w:rPr>
              <w:t>PROPOSAL 2 – RATIFICATION OF APPOINTMENT OF INDEPENDENT REGISTERED PUBLIC</w:t>
            </w:r>
          </w:p>
        </w:tc>
        <w:tc>
          <w:tcPr>
            <w:tcW w:w="44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0000EE"/>
              </w:rPr>
              <w:t>76</w:t>
            </w: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7580" w:type="dxa"/>
            <w:vAlign w:val="bottom"/>
            <w:gridSpan w:val="20"/>
            <w:shd w:val="clear" w:color="auto" w:fill="CCEEFF"/>
          </w:tcPr>
          <w:p>
            <w:pPr>
              <w:spacing w:after="0" w:line="196" w:lineRule="exact"/>
              <w:rPr>
                <w:sz w:val="20"/>
                <w:szCs w:val="20"/>
                <w:color w:val="auto"/>
              </w:rPr>
            </w:pPr>
            <w:r>
              <w:rPr>
                <w:rFonts w:ascii="Arial" w:cs="Arial" w:eastAsia="Arial" w:hAnsi="Arial"/>
                <w:sz w:val="18"/>
                <w:szCs w:val="18"/>
                <w:color w:val="0000EE"/>
              </w:rPr>
              <w:t>ACCOUNTING FIRM</w:t>
            </w:r>
          </w:p>
        </w:tc>
        <w:tc>
          <w:tcPr>
            <w:tcW w:w="44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760" w:type="dxa"/>
            <w:vAlign w:val="bottom"/>
            <w:gridSpan w:val="21"/>
          </w:tcPr>
          <w:p>
            <w:pPr>
              <w:spacing w:after="0"/>
              <w:rPr>
                <w:sz w:val="20"/>
                <w:szCs w:val="20"/>
                <w:color w:val="auto"/>
              </w:rPr>
            </w:pPr>
            <w:r>
              <w:rPr>
                <w:rFonts w:ascii="Arial" w:cs="Arial" w:eastAsia="Arial" w:hAnsi="Arial"/>
                <w:sz w:val="18"/>
                <w:szCs w:val="18"/>
                <w:color w:val="0000EE"/>
              </w:rPr>
              <w:t>PROPOSAL 3 – ADVISORY VOTE TO APPROVE OUR 2022 NAMED EXECUTIVE OFFICER</w:t>
            </w:r>
          </w:p>
        </w:tc>
        <w:tc>
          <w:tcPr>
            <w:tcW w:w="440" w:type="dxa"/>
            <w:vAlign w:val="bottom"/>
            <w:gridSpan w:val="3"/>
            <w:vMerge w:val="restart"/>
          </w:tcPr>
          <w:p>
            <w:pPr>
              <w:jc w:val="right"/>
              <w:spacing w:after="0"/>
              <w:rPr>
                <w:sz w:val="20"/>
                <w:szCs w:val="20"/>
                <w:color w:val="auto"/>
              </w:rPr>
            </w:pPr>
            <w:r>
              <w:rPr>
                <w:rFonts w:ascii="Arial" w:cs="Arial" w:eastAsia="Arial" w:hAnsi="Arial"/>
                <w:sz w:val="18"/>
                <w:szCs w:val="18"/>
                <w:color w:val="0000EE"/>
              </w:rPr>
              <w:t>77</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28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COMPENSATION</w:t>
            </w:r>
          </w:p>
        </w:tc>
        <w:tc>
          <w:tcPr>
            <w:tcW w:w="300" w:type="dxa"/>
            <w:vAlign w:val="bottom"/>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440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8"/>
                <w:szCs w:val="18"/>
                <w:color w:val="0000EE"/>
                <w:w w:val="98"/>
              </w:rPr>
              <w:t>OTHER MATTERS FOR THE PAA ANNUAL MEETING</w:t>
            </w:r>
          </w:p>
        </w:tc>
        <w:tc>
          <w:tcPr>
            <w:tcW w:w="3360" w:type="dxa"/>
            <w:vAlign w:val="bottom"/>
            <w:tcBorders>
              <w:bottom w:val="single" w:sz="8" w:color="CCEEFF"/>
            </w:tcBorders>
            <w:gridSpan w:val="10"/>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78</w:t>
            </w:r>
          </w:p>
        </w:tc>
        <w:tc>
          <w:tcPr>
            <w:tcW w:w="0" w:type="dxa"/>
            <w:vAlign w:val="bottom"/>
          </w:tcPr>
          <w:p>
            <w:pPr>
              <w:spacing w:after="0"/>
              <w:rPr>
                <w:sz w:val="1"/>
                <w:szCs w:val="1"/>
                <w:color w:val="auto"/>
              </w:rPr>
            </w:pPr>
          </w:p>
        </w:tc>
      </w:tr>
      <w:tr>
        <w:trPr>
          <w:trHeight w:val="243"/>
        </w:trPr>
        <w:tc>
          <w:tcPr>
            <w:tcW w:w="710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DIRECTOR NOMINATIONS AND UNITHOLDER PROPOSALS FOR THE 2024 ANNUAL</w:t>
            </w:r>
          </w:p>
        </w:tc>
        <w:tc>
          <w:tcPr>
            <w:tcW w:w="660" w:type="dxa"/>
            <w:vAlign w:val="bottom"/>
            <w:gridSpan w:val="3"/>
          </w:tcPr>
          <w:p>
            <w:pPr>
              <w:spacing w:after="0"/>
              <w:rPr>
                <w:sz w:val="21"/>
                <w:szCs w:val="21"/>
                <w:color w:val="auto"/>
              </w:rPr>
            </w:pPr>
          </w:p>
        </w:tc>
        <w:tc>
          <w:tcPr>
            <w:tcW w:w="440" w:type="dxa"/>
            <w:vAlign w:val="bottom"/>
            <w:gridSpan w:val="3"/>
            <w:vMerge w:val="restart"/>
          </w:tcPr>
          <w:p>
            <w:pPr>
              <w:jc w:val="right"/>
              <w:spacing w:after="0"/>
              <w:rPr>
                <w:sz w:val="20"/>
                <w:szCs w:val="20"/>
                <w:color w:val="auto"/>
              </w:rPr>
            </w:pPr>
            <w:r>
              <w:rPr>
                <w:rFonts w:ascii="Arial" w:cs="Arial" w:eastAsia="Arial" w:hAnsi="Arial"/>
                <w:sz w:val="18"/>
                <w:szCs w:val="18"/>
                <w:color w:val="0000EE"/>
              </w:rPr>
              <w:t>78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580" w:type="dxa"/>
            <w:vAlign w:val="bottom"/>
            <w:gridSpan w:val="20"/>
          </w:tcPr>
          <w:p>
            <w:pPr>
              <w:spacing w:after="0" w:line="196" w:lineRule="exact"/>
              <w:rPr>
                <w:sz w:val="20"/>
                <w:szCs w:val="20"/>
                <w:color w:val="auto"/>
              </w:rPr>
            </w:pPr>
            <w:r>
              <w:rPr>
                <w:rFonts w:ascii="Arial" w:cs="Arial" w:eastAsia="Arial" w:hAnsi="Arial"/>
                <w:sz w:val="18"/>
                <w:szCs w:val="18"/>
                <w:color w:val="0000EE"/>
              </w:rPr>
              <w:t>MEETING</w:t>
            </w:r>
          </w:p>
        </w:tc>
        <w:tc>
          <w:tcPr>
            <w:tcW w:w="4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760" w:type="dxa"/>
            <w:vAlign w:val="bottom"/>
            <w:gridSpan w:val="21"/>
            <w:shd w:val="clear" w:color="auto" w:fill="CCEEFF"/>
          </w:tcPr>
          <w:p>
            <w:pPr>
              <w:spacing w:after="0"/>
              <w:rPr>
                <w:sz w:val="20"/>
                <w:szCs w:val="20"/>
                <w:color w:val="auto"/>
              </w:rPr>
            </w:pPr>
            <w:r>
              <w:rPr>
                <w:rFonts w:ascii="Arial" w:cs="Arial" w:eastAsia="Arial" w:hAnsi="Arial"/>
                <w:sz w:val="18"/>
                <w:szCs w:val="18"/>
                <w:color w:val="0000EE"/>
              </w:rPr>
              <w:t>HOUSEHOLDING MATTERS</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79</w:t>
            </w:r>
          </w:p>
        </w:tc>
        <w:tc>
          <w:tcPr>
            <w:tcW w:w="0" w:type="dxa"/>
            <w:vAlign w:val="bottom"/>
          </w:tcPr>
          <w:p>
            <w:pPr>
              <w:spacing w:after="0"/>
              <w:rPr>
                <w:sz w:val="1"/>
                <w:szCs w:val="1"/>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40"/>
        <w:spacing w:after="0"/>
        <w:rPr>
          <w:sz w:val="20"/>
          <w:szCs w:val="20"/>
          <w:color w:val="auto"/>
        </w:rPr>
      </w:pPr>
      <w:r>
        <w:rPr>
          <w:rFonts w:ascii="Arial" w:cs="Arial" w:eastAsia="Arial" w:hAnsi="Arial"/>
          <w:sz w:val="22"/>
          <w:szCs w:val="22"/>
          <w:b w:val="1"/>
          <w:bCs w:val="1"/>
          <w:color w:val="auto"/>
        </w:rPr>
        <w:t>PLAINS ALL AMERICAN PIPELINE, L.P.</w:t>
      </w:r>
    </w:p>
    <w:p>
      <w:pPr>
        <w:spacing w:after="0" w:line="22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2023 Annual Meeting of Unitholders To Be Held On May 24, 2023</w:t>
      </w:r>
    </w:p>
    <w:p>
      <w:pPr>
        <w:spacing w:after="0" w:line="20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GENERAL INFORMATION ABOUT THE PLAINS ALL AMERICAN PIPELINE, L.P.</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MEETING</w:t>
      </w:r>
    </w:p>
    <w:p>
      <w:pPr>
        <w:spacing w:after="0" w:line="140"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color w:val="auto"/>
        </w:rPr>
        <w:t>The board of directors (the “Board”) of PAA GP Holdings LLC (“PAGP GP” or our “general partner”), the general partner of Plains GP Holdings, L.P. (“PAGP”), the sole member of Plains All American GP LLC (“GP LLC”), the general partner of Plains AAP, L.P. (“Plains AAP”), the sole member of PAA GP LLC, the general partner of Plains All American Pipeline, L.P. (“PAA”), is soliciting proxies to be voted on behalf of holders of our common units and holders of our Series A Convertible Preferred Units (“Series A preferred units”) (holders of our common units and our Series A preferred units are collectively referred to as our “Unitholders”) at the 2023 annual meeting of Unitholders (the “PAA Annual Meeting”). This proxy statement is being furnished to you in connection with the solicitation of proxies by and on behalf of the Board for use at the PAA Annual Meeting and includes information about the matters to be voted upon at the PAA Annual Meeting. The PAA Annual Meeting will be held on May 24, 2023, at 10:00 a.m. Central Time, in the Texas Room located on the 19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Three Allen Center, 333 Clay Street, Houston, Texas 77002. References to “PAA,” “we,” “us,” “our,” “ours” and similar terms refer to Plains All American Pipeline, L.P.</w:t>
      </w:r>
    </w:p>
    <w:p>
      <w:pPr>
        <w:spacing w:after="0" w:line="116" w:lineRule="exact"/>
        <w:rPr>
          <w:sz w:val="20"/>
          <w:szCs w:val="20"/>
          <w:color w:val="auto"/>
        </w:rPr>
      </w:pPr>
    </w:p>
    <w:p>
      <w:pPr>
        <w:jc w:val="both"/>
        <w:ind w:left="1260" w:right="579" w:firstLine="360"/>
        <w:spacing w:after="0" w:line="268" w:lineRule="auto"/>
        <w:rPr>
          <w:sz w:val="20"/>
          <w:szCs w:val="20"/>
          <w:color w:val="auto"/>
        </w:rPr>
      </w:pPr>
      <w:r>
        <w:rPr>
          <w:rFonts w:ascii="Arial" w:cs="Arial" w:eastAsia="Arial" w:hAnsi="Arial"/>
          <w:sz w:val="18"/>
          <w:szCs w:val="18"/>
          <w:color w:val="auto"/>
        </w:rPr>
        <w:t>Proxy materials, including the Notice of Annual Meeting, this proxy statement, proxy card and our Annual Report on Form 10-K for the year ended December 31, 2022 (our “2022 Annual Report”), are being mailed to Unitholders beginning on or about April 14, 2023.</w:t>
      </w:r>
    </w:p>
    <w:p>
      <w:pPr>
        <w:spacing w:after="0" w:line="103"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b w:val="1"/>
          <w:bCs w:val="1"/>
          <w:color w:val="auto"/>
        </w:rPr>
        <w:t>We will furnish additional copies of our 2022 Annual Report without charge upon the written request of any record or beneficial owner of our common units or Series A preferred units whose proxy we are soliciting in connection with the PAA Annual Meeting. Please address requests for additional copies of the 2022 Annual Report to the Investor Relations Department, Plains All American, 333 Clay Street, Suite 1600, Houston, Texas 77002, or email your request to plainsIR@paalp.com.</w:t>
      </w:r>
    </w:p>
    <w:p>
      <w:pPr>
        <w:spacing w:after="0" w:line="17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INFORMATION ABOUT THE PAGP AND PAA ANNUAL MEETINGS</w:t>
      </w:r>
    </w:p>
    <w:p>
      <w:pPr>
        <w:spacing w:after="0" w:line="158" w:lineRule="exact"/>
        <w:rPr>
          <w:sz w:val="20"/>
          <w:szCs w:val="20"/>
          <w:color w:val="auto"/>
        </w:rPr>
      </w:pPr>
    </w:p>
    <w:p>
      <w:pPr>
        <w:ind w:left="1260" w:right="539" w:firstLine="360"/>
        <w:spacing w:after="0" w:line="270" w:lineRule="auto"/>
        <w:rPr>
          <w:sz w:val="20"/>
          <w:szCs w:val="20"/>
          <w:color w:val="auto"/>
        </w:rPr>
      </w:pPr>
      <w:r>
        <w:rPr>
          <w:rFonts w:ascii="Arial" w:cs="Arial" w:eastAsia="Arial" w:hAnsi="Arial"/>
          <w:sz w:val="17"/>
          <w:szCs w:val="17"/>
          <w:color w:val="auto"/>
        </w:rPr>
        <w:t>PAGP will hold an annual meeting of its Class A, Class B and Class C shareholders (the “PAGP Annual Meeting”) immediately following the PAA Annual Meeting. At the PAGP Annual Meeting, PAGP shareholders will be asked to approve proposals 1, 2 and 3 described below. Each PAGP shareholder will be entitled to one vote for each Class A, Class B and Class C share owned for Proposals 1, 2 and</w:t>
      </w:r>
    </w:p>
    <w:p>
      <w:pPr>
        <w:spacing w:after="0" w:line="2" w:lineRule="exact"/>
        <w:rPr>
          <w:sz w:val="20"/>
          <w:szCs w:val="20"/>
          <w:color w:val="auto"/>
        </w:rPr>
      </w:pPr>
    </w:p>
    <w:p>
      <w:pPr>
        <w:ind w:left="1260" w:right="819"/>
        <w:spacing w:after="0" w:line="254" w:lineRule="auto"/>
        <w:tabs>
          <w:tab w:leader="none" w:pos="1459"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March 27, 2023, 194,407,642 Class A shares, 46,594,786 Class B shares and 528,478,046 Class C shares were issued and outstanding. PAA owns all of the issued and outstanding Class C shares, which serve as a pass-through voting mechanism allowing eligible PAA Unitholders to vote indirectly at the PAGP Annual Meeting by instructing PAA how to vote the Class C shares on their behalf.</w:t>
      </w:r>
    </w:p>
    <w:p>
      <w:pPr>
        <w:spacing w:after="0" w:line="102"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At the PAA Annual Meeting, PAA Unitholders (other than Plains AAP) will vote on a pass-through basis on proposals 1, 2 and 3 described below by instructing PAA how to vote the PAGP Class C shares that it owns on such proposals at the PAGP Annual Meeting. PAA will vote (or refrain from voting) the Class C shares at the PAGP Annual Meeting on behalf of and according to the direction of PAA’s Unitholders (excluding Plains AAP) with respect to proposals 1, 2 and 3.</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pages 9-11 for additional information with respect to our ownership and voting structure.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QUESTIONS AND ANSWERS ABOUT THE PAA ANNUAL MEETING</w:t>
      </w:r>
    </w:p>
    <w:p>
      <w:pPr>
        <w:spacing w:after="0" w:line="158" w:lineRule="exact"/>
        <w:rPr>
          <w:sz w:val="20"/>
          <w:szCs w:val="20"/>
          <w:color w:val="auto"/>
        </w:rPr>
      </w:pPr>
    </w:p>
    <w:p>
      <w:pPr>
        <w:ind w:left="1260" w:right="799" w:firstLine="360"/>
        <w:spacing w:after="0" w:line="282" w:lineRule="auto"/>
        <w:rPr>
          <w:sz w:val="20"/>
          <w:szCs w:val="20"/>
          <w:color w:val="auto"/>
        </w:rPr>
      </w:pPr>
      <w:r>
        <w:rPr>
          <w:rFonts w:ascii="Arial" w:cs="Arial" w:eastAsia="Arial" w:hAnsi="Arial"/>
          <w:sz w:val="17"/>
          <w:szCs w:val="17"/>
          <w:color w:val="auto"/>
        </w:rPr>
        <w:t>The following questions and answers are intended to briefly address some commonly asked questions regarding the PAA Annual Meeting. These questions and answers may not address all questions that may be important to you as a Unitholder. Please refer to the additional information contained elsewhere in this proxy statement and the documents referred to in this proxy statement.</w:t>
      </w:r>
    </w:p>
    <w:p>
      <w:pPr>
        <w:spacing w:after="0" w:line="9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the purpose of these proxy materials?</w:t>
      </w:r>
    </w:p>
    <w:p>
      <w:pPr>
        <w:spacing w:after="0" w:line="158" w:lineRule="exact"/>
        <w:rPr>
          <w:sz w:val="20"/>
          <w:szCs w:val="20"/>
          <w:color w:val="auto"/>
        </w:rPr>
      </w:pPr>
    </w:p>
    <w:p>
      <w:pPr>
        <w:ind w:left="1620" w:right="439" w:hanging="360"/>
        <w:spacing w:after="0" w:line="254"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is soliciting your proxy to vote at the PAA Annual Meeting because you were a Unitholder at the close of business on March 27, 2023, the record date for the PAA Annual Meeting (the “Record Date”), and you are therefore entitled to receive notice regarding the PAA Annual Meeting, and to attend and vote at the PAA Annual Meeting. This proxy statement summarizes the information that you need to know in order to cast your vote at the PAA Annual Meeting. Your vote is very important and the Board strongly encourages you to exercise your right to vote. You do not need to attend the PAA Annual Meeting to vote your units, and we encourage you to vote even if you are unable to attend the PAA Annual Meeting in person. If you are unable to attend the PAA Annual Meeting in person, you may vote by Internet, by telephone or by signing and returning the attached proxy card in the envelope provided. See “How do I vote?” below.</w:t>
      </w:r>
    </w:p>
    <w:p>
      <w:pPr>
        <w:spacing w:after="0" w:line="11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the recommendation of the Board?</w:t>
      </w:r>
    </w:p>
    <w:p>
      <w:pPr>
        <w:spacing w:after="0" w:line="158" w:lineRule="exact"/>
        <w:rPr>
          <w:sz w:val="20"/>
          <w:szCs w:val="20"/>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unanimously recommends that you vote in the following manner:</w:t>
      </w:r>
    </w:p>
    <w:p>
      <w:pPr>
        <w:spacing w:after="0" w:line="117" w:lineRule="exact"/>
        <w:rPr>
          <w:rFonts w:ascii="Arial" w:cs="Arial" w:eastAsia="Arial" w:hAnsi="Arial"/>
          <w:sz w:val="18"/>
          <w:szCs w:val="18"/>
          <w:color w:val="auto"/>
        </w:rPr>
      </w:pPr>
    </w:p>
    <w:p>
      <w:pPr>
        <w:ind w:left="1800" w:right="779" w:hanging="180"/>
        <w:spacing w:after="0" w:line="287"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Willie Chiang, Ellen DeSanctis, Alexandra Pruner and Lawrence</w:t>
      </w:r>
      <w:r>
        <w:rPr>
          <w:rFonts w:ascii="Arial" w:cs="Arial" w:eastAsia="Arial" w:hAnsi="Arial"/>
          <w:sz w:val="18"/>
          <w:szCs w:val="18"/>
          <w:b w:val="1"/>
          <w:bCs w:val="1"/>
          <w:color w:val="auto"/>
        </w:rPr>
        <w:t xml:space="preserve"> </w:t>
      </w:r>
      <w:r>
        <w:rPr>
          <w:rFonts w:ascii="Arial" w:cs="Arial" w:eastAsia="Arial" w:hAnsi="Arial"/>
          <w:sz w:val="18"/>
          <w:szCs w:val="18"/>
          <w:color w:val="auto"/>
        </w:rPr>
        <w:t>Ziemba as a Class I director of the Board to serve until the 2026 annual meeting;</w:t>
      </w:r>
    </w:p>
    <w:p>
      <w:pPr>
        <w:spacing w:after="0" w:line="44" w:lineRule="exact"/>
        <w:rPr>
          <w:rFonts w:ascii="Arial" w:cs="Arial" w:eastAsia="Arial" w:hAnsi="Arial"/>
          <w:sz w:val="18"/>
          <w:szCs w:val="18"/>
          <w:color w:val="auto"/>
        </w:rPr>
      </w:pPr>
    </w:p>
    <w:p>
      <w:pPr>
        <w:ind w:left="1800" w:right="799" w:hanging="180"/>
        <w:spacing w:after="0" w:line="318" w:lineRule="auto"/>
        <w:tabs>
          <w:tab w:leader="none" w:pos="1800" w:val="left"/>
        </w:tabs>
        <w:numPr>
          <w:ilvl w:val="1"/>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appointment of PricewaterhouseCoopers LLP as our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public accounting firm for the fiscal year ending December 31, 2023; and</w:t>
      </w:r>
    </w:p>
    <w:p>
      <w:pPr>
        <w:spacing w:after="0" w:line="21" w:lineRule="exact"/>
        <w:rPr>
          <w:rFonts w:ascii="Arial" w:cs="Arial" w:eastAsia="Arial" w:hAnsi="Arial"/>
          <w:sz w:val="17"/>
          <w:szCs w:val="17"/>
          <w:color w:val="auto"/>
        </w:rPr>
      </w:pPr>
    </w:p>
    <w:p>
      <w:pPr>
        <w:ind w:left="1800" w:right="1119" w:hanging="180"/>
        <w:spacing w:after="0" w:line="287"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 non-binding advisory basis, of our 2022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w:t>
      </w:r>
    </w:p>
    <w:p>
      <w:pPr>
        <w:spacing w:after="0" w:line="8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When and where is the PAA Annual Meeting?</w:t>
      </w:r>
    </w:p>
    <w:p>
      <w:pPr>
        <w:spacing w:after="0" w:line="158" w:lineRule="exact"/>
        <w:rPr>
          <w:sz w:val="20"/>
          <w:szCs w:val="20"/>
          <w:color w:val="auto"/>
        </w:rPr>
      </w:pPr>
    </w:p>
    <w:p>
      <w:pPr>
        <w:ind w:left="1620" w:right="439" w:hanging="360"/>
        <w:spacing w:after="0" w:line="244"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PAA Annual Meeting will be held on May 24, 2023, at 10:00 a.m. Central Time, in the Texas Room located on the 19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Three Allen Center, 333 Clay Street, Houston, Texas 77002. Only Unitholders of record as of the close of business on March 27, 2023 are entitled to vote and ask questions at the PAA Annual Meeting. If you are not a Unitholder of record but hold units in “street name” through a brokerage firm, bank, dealer or other similar organization, trustee, or nominee (generally referred to in this proxy statement as a “broker”), you may attend the PAA Annual Meeting as a guest. Please note that if you hold units in “street name” through a broker and desire to vote your units or ask questions during the PAA Annual Meeting, you must request and obtain a valid “legal proxy” from your broker and register to attend the PAA Annual Meeting as a Unitholder with American Stock Transfer &amp; Trust Company, LLC (“AST”).</w:t>
      </w:r>
    </w:p>
    <w:p>
      <w:pPr>
        <w:spacing w:after="0" w:line="124" w:lineRule="exact"/>
        <w:rPr>
          <w:sz w:val="20"/>
          <w:szCs w:val="20"/>
          <w:color w:val="auto"/>
        </w:rPr>
      </w:pPr>
    </w:p>
    <w:p>
      <w:pPr>
        <w:ind w:left="1620" w:right="959"/>
        <w:spacing w:after="0" w:line="287" w:lineRule="auto"/>
        <w:rPr>
          <w:sz w:val="20"/>
          <w:szCs w:val="20"/>
          <w:color w:val="auto"/>
        </w:rPr>
      </w:pPr>
      <w:r>
        <w:rPr>
          <w:rFonts w:ascii="Arial" w:cs="Arial" w:eastAsia="Arial" w:hAnsi="Arial"/>
          <w:sz w:val="18"/>
          <w:szCs w:val="18"/>
          <w:color w:val="auto"/>
        </w:rPr>
        <w:t>Information on who can vote and ask questions during the PAA Annual Meeting is discussed immediately below.</w:t>
      </w:r>
    </w:p>
    <w:p>
      <w:pPr>
        <w:spacing w:after="0" w:line="8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can vote and ask questions at the PAA Annual Meeting?</w:t>
      </w:r>
    </w:p>
    <w:p>
      <w:pPr>
        <w:spacing w:after="0" w:line="158" w:lineRule="exact"/>
        <w:rPr>
          <w:sz w:val="20"/>
          <w:szCs w:val="20"/>
          <w:color w:val="auto"/>
        </w:rPr>
      </w:pPr>
    </w:p>
    <w:p>
      <w:pPr>
        <w:ind w:left="1620" w:right="639" w:hanging="360"/>
        <w:spacing w:after="0" w:line="268"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are entitled to vote and ask questions at the PAA Annual Meeting if you were a Unitholder of record as of the close of business on March 27, 2023, the Record Date for the PAA Annual Meeting.</w:t>
      </w:r>
    </w:p>
    <w:p>
      <w:pPr>
        <w:spacing w:after="0" w:line="89" w:lineRule="exact"/>
        <w:rPr>
          <w:rFonts w:ascii="Arial" w:cs="Arial" w:eastAsia="Arial" w:hAnsi="Arial"/>
          <w:sz w:val="18"/>
          <w:szCs w:val="18"/>
          <w:color w:val="auto"/>
        </w:rPr>
      </w:pPr>
    </w:p>
    <w:p>
      <w:pPr>
        <w:ind w:left="1620" w:right="439"/>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Unitholder of Record: Units Registered in Your Name. </w:t>
      </w:r>
      <w:r>
        <w:rPr>
          <w:rFonts w:ascii="Arial" w:cs="Arial" w:eastAsia="Arial" w:hAnsi="Arial"/>
          <w:sz w:val="18"/>
          <w:szCs w:val="18"/>
          <w:color w:val="auto"/>
        </w:rPr>
        <w:t>You are a Unitholder of record if your units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were registered directly in your name with our transfer agent, AST, at the close of business on March 27, 2023. As a Unitholder of record, you may vote and ask questions during the PAA Annual Meeting. Whether or not you plan to attend the PAA Annual Meeting, we urge you to submit a proxy to ensure your vote is counted. </w:t>
      </w:r>
      <w:r>
        <w:rPr>
          <w:rFonts w:ascii="Arial" w:cs="Arial" w:eastAsia="Arial" w:hAnsi="Arial"/>
          <w:sz w:val="18"/>
          <w:szCs w:val="18"/>
          <w:b w:val="1"/>
          <w:bCs w:val="1"/>
          <w:i w:val="1"/>
          <w:iCs w:val="1"/>
          <w:color w:val="auto"/>
        </w:rPr>
        <w:t>See page 4 for detailed instructions on how to vote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your units.</w:t>
      </w:r>
    </w:p>
    <w:p>
      <w:pPr>
        <w:sectPr>
          <w:pgSz w:w="11900" w:h="16838" w:orient="portrait"/>
          <w:cols w:equalWidth="0" w:num="1">
            <w:col w:w="9879"/>
          </w:cols>
          <w:pgMar w:left="580" w:top="97" w:right="1440" w:bottom="1440" w:gutter="0" w:footer="0" w:header="0"/>
        </w:sectPr>
      </w:pPr>
    </w:p>
    <w:p>
      <w:pPr>
        <w:spacing w:after="0" w:line="34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79"/>
        <w:spacing w:after="0" w:line="264" w:lineRule="auto"/>
        <w:rPr>
          <w:sz w:val="20"/>
          <w:szCs w:val="20"/>
          <w:color w:val="auto"/>
        </w:rPr>
      </w:pPr>
      <w:r>
        <w:rPr>
          <w:rFonts w:ascii="Arial" w:cs="Arial" w:eastAsia="Arial" w:hAnsi="Arial"/>
          <w:sz w:val="18"/>
          <w:szCs w:val="18"/>
          <w:i w:val="1"/>
          <w:iCs w:val="1"/>
          <w:color w:val="auto"/>
        </w:rPr>
        <w:t xml:space="preserve">Beneficial Owner: Units Registered in the Name of Broker. </w:t>
      </w:r>
      <w:r>
        <w:rPr>
          <w:rFonts w:ascii="Arial" w:cs="Arial" w:eastAsia="Arial" w:hAnsi="Arial"/>
          <w:sz w:val="18"/>
          <w:szCs w:val="18"/>
          <w:color w:val="auto"/>
        </w:rPr>
        <w:t>If your units were held in an account at</w:t>
      </w:r>
      <w:r>
        <w:rPr>
          <w:rFonts w:ascii="Arial" w:cs="Arial" w:eastAsia="Arial" w:hAnsi="Arial"/>
          <w:sz w:val="18"/>
          <w:szCs w:val="18"/>
          <w:i w:val="1"/>
          <w:iCs w:val="1"/>
          <w:color w:val="auto"/>
        </w:rPr>
        <w:t xml:space="preserve"> </w:t>
      </w:r>
      <w:r>
        <w:rPr>
          <w:rFonts w:ascii="Arial" w:cs="Arial" w:eastAsia="Arial" w:hAnsi="Arial"/>
          <w:sz w:val="18"/>
          <w:szCs w:val="18"/>
          <w:color w:val="auto"/>
        </w:rPr>
        <w:t>a broker at the close of business on March 27, 2023, then you are the beneficial owner of units held in “street name” and the broker holding your account is considered to be the Unitholder of record for purposes of voting at the PAA Annual Meeting. As a beneficial owner, you have the right to direct your broker regarding how to vote the units in your account. You are also invited to attend the PAA Annual Meeting as a guest. Because you are not the Unitholder of record, you may not vote your units or ask questions at the PAA Annual Meeting unless you request and obtain a valid legal proxy from the organization that holds your units giving you the right to vote the units and ask questions at the PAA Annual Meeting. Follow the instructions provided by your broker or bank, or contact your broker or bank to request a legal proxy form.</w:t>
      </w:r>
    </w:p>
    <w:p>
      <w:pPr>
        <w:spacing w:after="0" w:line="126" w:lineRule="exact"/>
        <w:rPr>
          <w:sz w:val="20"/>
          <w:szCs w:val="20"/>
          <w:color w:val="auto"/>
        </w:rPr>
      </w:pPr>
    </w:p>
    <w:p>
      <w:pPr>
        <w:ind w:left="1620" w:right="539"/>
        <w:spacing w:after="0" w:line="286" w:lineRule="auto"/>
        <w:rPr>
          <w:sz w:val="20"/>
          <w:szCs w:val="20"/>
          <w:color w:val="auto"/>
        </w:rPr>
      </w:pPr>
      <w:r>
        <w:rPr>
          <w:rFonts w:ascii="Arial" w:cs="Arial" w:eastAsia="Arial" w:hAnsi="Arial"/>
          <w:sz w:val="17"/>
          <w:szCs w:val="17"/>
          <w:color w:val="auto"/>
        </w:rPr>
        <w:t>After obtaining a valid legal proxy from your broker, bank or other agent, in order to vote and ask questions at the PAA Annual Meeting, you must register to attend the PAA Annual Meeting as a Unitholder by submitting to AST proof of your legal proxy reflecting the number of your units along with your name and email address. Requests for registration should be directed to proxy@astfinancial.com or to facsimile number 718-765-8730. Written requests can be mailed to:</w:t>
      </w:r>
    </w:p>
    <w:p>
      <w:pPr>
        <w:spacing w:after="0" w:line="9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American Stock Transfer &amp; Trust Company, LLC</w:t>
      </w:r>
    </w:p>
    <w:p>
      <w:pPr>
        <w:spacing w:after="0" w:line="3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Attn: Proxy Tabulation Department</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6201 15th Avenue | Brooklyn, NY 11219</w:t>
      </w:r>
    </w:p>
    <w:p>
      <w:pPr>
        <w:spacing w:after="0" w:line="148" w:lineRule="exact"/>
        <w:rPr>
          <w:sz w:val="20"/>
          <w:szCs w:val="20"/>
          <w:color w:val="auto"/>
        </w:rPr>
      </w:pPr>
    </w:p>
    <w:p>
      <w:pPr>
        <w:ind w:left="1620" w:right="439"/>
        <w:spacing w:after="0" w:line="287" w:lineRule="auto"/>
        <w:rPr>
          <w:sz w:val="20"/>
          <w:szCs w:val="20"/>
          <w:color w:val="auto"/>
        </w:rPr>
      </w:pPr>
      <w:r>
        <w:rPr>
          <w:rFonts w:ascii="Arial" w:cs="Arial" w:eastAsia="Arial" w:hAnsi="Arial"/>
          <w:sz w:val="18"/>
          <w:szCs w:val="18"/>
          <w:color w:val="auto"/>
        </w:rPr>
        <w:t>Requests for registration must be labeled as “Legal Proxy” and be received no later than 5:00 p.m., Eastern Time, on May 17, 2023.</w:t>
      </w:r>
    </w:p>
    <w:p>
      <w:pPr>
        <w:spacing w:after="0" w:line="85" w:lineRule="exact"/>
        <w:rPr>
          <w:sz w:val="20"/>
          <w:szCs w:val="20"/>
          <w:color w:val="auto"/>
        </w:rPr>
      </w:pPr>
    </w:p>
    <w:p>
      <w:pPr>
        <w:ind w:left="1620" w:right="679"/>
        <w:spacing w:after="0" w:line="276" w:lineRule="auto"/>
        <w:rPr>
          <w:sz w:val="20"/>
          <w:szCs w:val="20"/>
          <w:color w:val="auto"/>
        </w:rPr>
      </w:pPr>
      <w:r>
        <w:rPr>
          <w:rFonts w:ascii="Arial" w:cs="Arial" w:eastAsia="Arial" w:hAnsi="Arial"/>
          <w:sz w:val="18"/>
          <w:szCs w:val="18"/>
          <w:color w:val="auto"/>
        </w:rPr>
        <w:t>You will receive a confirmation of your registration by email after we receive your registration materials. Once registered, you may attend the PAA Annual Meeting, submit questions and vote your units during the meeting.</w:t>
      </w:r>
    </w:p>
    <w:p>
      <w:pPr>
        <w:spacing w:after="0" w:line="12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is soliciting my proxy?</w:t>
      </w:r>
    </w:p>
    <w:p>
      <w:pPr>
        <w:spacing w:after="0" w:line="171" w:lineRule="exact"/>
        <w:rPr>
          <w:sz w:val="20"/>
          <w:szCs w:val="20"/>
          <w:color w:val="auto"/>
        </w:rPr>
      </w:pPr>
    </w:p>
    <w:p>
      <w:pPr>
        <w:ind w:left="1620" w:right="499" w:hanging="360"/>
        <w:spacing w:after="0" w:line="28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is sending or otherwise providing you access to this proxy statement in connection with its solicitation of proxies for use at the PAA Annual Meeting.</w:t>
      </w:r>
    </w:p>
    <w:p>
      <w:pPr>
        <w:spacing w:after="0" w:line="9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is entitled to vote at the PAA Annual Meeting?</w:t>
      </w:r>
    </w:p>
    <w:p>
      <w:pPr>
        <w:spacing w:after="0" w:line="185" w:lineRule="exact"/>
        <w:rPr>
          <w:sz w:val="20"/>
          <w:szCs w:val="20"/>
          <w:color w:val="auto"/>
        </w:rPr>
      </w:pPr>
    </w:p>
    <w:p>
      <w:pPr>
        <w:ind w:left="1620" w:right="579" w:hanging="360"/>
        <w:spacing w:after="0" w:line="262"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holders of record of our common units and Series A preferred units as of the close of business on the Record Date are entitled to receive notice of the PAA Annual Meeting and to vote the common units and Series A preferred units that they held on the Record Date at the PAA Annual Meeting as described below.</w:t>
      </w:r>
    </w:p>
    <w:p>
      <w:pPr>
        <w:spacing w:after="0" w:line="95" w:lineRule="exact"/>
        <w:rPr>
          <w:rFonts w:ascii="Arial" w:cs="Arial" w:eastAsia="Arial" w:hAnsi="Arial"/>
          <w:sz w:val="18"/>
          <w:szCs w:val="18"/>
          <w:color w:val="auto"/>
        </w:rPr>
      </w:pPr>
    </w:p>
    <w:p>
      <w:pPr>
        <w:ind w:left="1620" w:right="499"/>
        <w:spacing w:after="0" w:line="266" w:lineRule="auto"/>
        <w:rPr>
          <w:rFonts w:ascii="Arial" w:cs="Arial" w:eastAsia="Arial" w:hAnsi="Arial"/>
          <w:sz w:val="18"/>
          <w:szCs w:val="18"/>
          <w:color w:val="auto"/>
        </w:rPr>
      </w:pPr>
      <w:r>
        <w:rPr>
          <w:rFonts w:ascii="Arial" w:cs="Arial" w:eastAsia="Arial" w:hAnsi="Arial"/>
          <w:sz w:val="18"/>
          <w:szCs w:val="18"/>
          <w:color w:val="auto"/>
        </w:rPr>
        <w:t>Each common unitholder (other than Plains AAP) is entitled to one vote for each common unit owned on all matters to be considered at the PAA Annual Meeting. The Series A preferred unitholders will vote on an as-converted basis, with each Series A preferred unit entitled to one vote on all matters to be considered at the PAA Annual Meeting. As of March 27, 2023, 698,390,006 common units and 71,090,468 Series A preferred units were issued and outstanding. As of March 27, 2023, Plains AAP owned 241,002,428 common units, and, as noted above, it is not entitled to vote such common units on proposals 1, 2 or 3. The following table provides the number of common units entitled to vote on each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Common Units Entitled to Vote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(including Series A Preferred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2000" w:type="dxa"/>
            <w:vAlign w:val="bottom"/>
          </w:tcPr>
          <w:p>
            <w:pPr>
              <w:ind w:left="440"/>
              <w:spacing w:after="0"/>
              <w:rPr>
                <w:sz w:val="20"/>
                <w:szCs w:val="20"/>
                <w:color w:val="auto"/>
              </w:rPr>
            </w:pPr>
            <w:r>
              <w:rPr>
                <w:rFonts w:ascii="Arial" w:cs="Arial" w:eastAsia="Arial" w:hAnsi="Arial"/>
                <w:sz w:val="14"/>
                <w:szCs w:val="14"/>
                <w:b w:val="1"/>
                <w:bCs w:val="1"/>
                <w:color w:val="auto"/>
              </w:rPr>
              <w:t>Proposal</w:t>
            </w:r>
          </w:p>
        </w:tc>
        <w:tc>
          <w:tcPr>
            <w:tcW w:w="2600" w:type="dxa"/>
            <w:vAlign w:val="bottom"/>
            <w:gridSpan w:val="2"/>
          </w:tcPr>
          <w:p>
            <w:pPr>
              <w:ind w:left="4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Units on an as-converted basis)</w:t>
            </w:r>
          </w:p>
        </w:tc>
        <w:tc>
          <w:tcPr>
            <w:tcW w:w="80" w:type="dxa"/>
            <w:vAlign w:val="bottom"/>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17"/>
                <w:szCs w:val="17"/>
                <w:color w:val="auto"/>
              </w:rPr>
            </w:pPr>
          </w:p>
        </w:tc>
        <w:tc>
          <w:tcPr>
            <w:tcW w:w="2460" w:type="dxa"/>
            <w:vAlign w:val="bottom"/>
          </w:tcPr>
          <w:p>
            <w:pPr>
              <w:ind w:left="820"/>
              <w:spacing w:after="0"/>
              <w:rPr>
                <w:sz w:val="20"/>
                <w:szCs w:val="20"/>
                <w:color w:val="auto"/>
              </w:rPr>
            </w:pPr>
            <w:r>
              <w:rPr>
                <w:rFonts w:ascii="Arial" w:cs="Arial" w:eastAsia="Arial" w:hAnsi="Arial"/>
                <w:sz w:val="14"/>
                <w:szCs w:val="14"/>
                <w:b w:val="1"/>
                <w:bCs w:val="1"/>
                <w:color w:val="auto"/>
              </w:rPr>
              <w:t>Explanation</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176" w:lineRule="exact"/>
              <w:rPr>
                <w:sz w:val="20"/>
                <w:szCs w:val="20"/>
                <w:color w:val="auto"/>
              </w:rPr>
            </w:pPr>
            <w:r>
              <w:rPr>
                <w:rFonts w:ascii="Arial" w:cs="Arial" w:eastAsia="Arial" w:hAnsi="Arial"/>
                <w:sz w:val="18"/>
                <w:szCs w:val="18"/>
                <w:color w:val="auto"/>
              </w:rPr>
              <w:t>​ ​</w:t>
            </w:r>
          </w:p>
        </w:tc>
        <w:tc>
          <w:tcPr>
            <w:tcW w:w="2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176" w:lineRule="exact"/>
              <w:rPr>
                <w:sz w:val="20"/>
                <w:szCs w:val="20"/>
                <w:color w:val="auto"/>
              </w:rPr>
            </w:pPr>
            <w:r>
              <w:rPr>
                <w:rFonts w:ascii="Arial" w:cs="Arial" w:eastAsia="Arial" w:hAnsi="Arial"/>
                <w:sz w:val="18"/>
                <w:szCs w:val="18"/>
                <w:color w:val="auto"/>
              </w:rPr>
              <w:t>​ ​</w:t>
            </w:r>
          </w:p>
        </w:tc>
        <w:tc>
          <w:tcPr>
            <w:tcW w:w="2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460" w:type="dxa"/>
            <w:vAlign w:val="bottom"/>
          </w:tcPr>
          <w:p>
            <w:pPr>
              <w:spacing w:after="0" w:line="156" w:lineRule="exact"/>
              <w:rPr>
                <w:sz w:val="20"/>
                <w:szCs w:val="20"/>
                <w:color w:val="auto"/>
              </w:rPr>
            </w:pPr>
            <w:r>
              <w:rPr>
                <w:rFonts w:ascii="Arial" w:cs="Arial" w:eastAsia="Arial" w:hAnsi="Arial"/>
                <w:sz w:val="18"/>
                <w:szCs w:val="18"/>
                <w:color w:val="auto"/>
              </w:rPr>
              <w:t>​</w:t>
            </w:r>
          </w:p>
        </w:tc>
        <w:tc>
          <w:tcPr>
            <w:tcW w:w="200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99"/>
              </w:rPr>
              <w:t>528,478,046</w:t>
            </w:r>
          </w:p>
        </w:tc>
        <w:tc>
          <w:tcPr>
            <w:tcW w:w="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2480" w:type="dxa"/>
            <w:vAlign w:val="bottom"/>
            <w:gridSpan w:val="2"/>
            <w:vMerge w:val="restart"/>
          </w:tcPr>
          <w:p>
            <w:pPr>
              <w:ind w:left="20"/>
              <w:spacing w:after="0"/>
              <w:rPr>
                <w:sz w:val="20"/>
                <w:szCs w:val="20"/>
                <w:color w:val="auto"/>
              </w:rPr>
            </w:pPr>
            <w:r>
              <w:rPr>
                <w:rFonts w:ascii="Arial" w:cs="Arial" w:eastAsia="Arial" w:hAnsi="Arial"/>
                <w:sz w:val="18"/>
                <w:szCs w:val="18"/>
                <w:color w:val="auto"/>
              </w:rPr>
              <w:t>Excludes common units held</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480" w:type="dxa"/>
            <w:vAlign w:val="bottom"/>
            <w:gridSpan w:val="3"/>
          </w:tcPr>
          <w:p>
            <w:pPr>
              <w:spacing w:after="0" w:line="80" w:lineRule="exact"/>
              <w:rPr>
                <w:sz w:val="20"/>
                <w:szCs w:val="20"/>
                <w:color w:val="auto"/>
              </w:rPr>
            </w:pPr>
            <w:r>
              <w:rPr>
                <w:rFonts w:ascii="Arial" w:cs="Arial" w:eastAsia="Arial" w:hAnsi="Arial"/>
                <w:sz w:val="9"/>
                <w:szCs w:val="9"/>
                <w:color w:val="auto"/>
              </w:rPr>
              <w:t>Proposals 1, 2 and 3</w:t>
            </w:r>
          </w:p>
        </w:tc>
        <w:tc>
          <w:tcPr>
            <w:tcW w:w="220" w:type="dxa"/>
            <w:vAlign w:val="bottom"/>
          </w:tcPr>
          <w:p>
            <w:pPr>
              <w:spacing w:after="0"/>
              <w:rPr>
                <w:sz w:val="6"/>
                <w:szCs w:val="6"/>
                <w:color w:val="auto"/>
              </w:rPr>
            </w:pPr>
          </w:p>
        </w:tc>
        <w:tc>
          <w:tcPr>
            <w:tcW w:w="23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00"/>
        <w:spacing w:after="0"/>
        <w:rPr>
          <w:sz w:val="20"/>
          <w:szCs w:val="20"/>
          <w:color w:val="auto"/>
        </w:rPr>
      </w:pPr>
      <w:r>
        <w:rPr>
          <w:rFonts w:ascii="Arial" w:cs="Arial" w:eastAsia="Arial" w:hAnsi="Arial"/>
          <w:sz w:val="18"/>
          <w:szCs w:val="18"/>
          <w:color w:val="auto"/>
        </w:rPr>
        <w:t>by Plains AAP as of the</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Record Date. The number of</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common units owned by Plains</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AAP is, by design, equivalent</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to the number of outstanding</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PAGP Class A and Class B</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shares. PAGP Class A and</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Class B shareholders will vote</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on proposals 1, 2 and 3</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directly at the PAGP Annual</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Meeting. Therefore, excluding</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common units held by Plains</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AAP from the “pass-through”</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vote prevents double voting on</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these proposals within the</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overall capital structure of</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PAGP, Plains AAP and PAA.</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See pages 9-11 for additional</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information regarding our</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ownership and voting</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structure.</w:t>
      </w:r>
    </w:p>
    <w:p>
      <w:pPr>
        <w:spacing w:after="0" w:line="24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How do I vote?</w:t>
      </w:r>
    </w:p>
    <w:p>
      <w:pPr>
        <w:spacing w:after="0" w:line="158" w:lineRule="exact"/>
        <w:rPr>
          <w:sz w:val="20"/>
          <w:szCs w:val="20"/>
          <w:color w:val="auto"/>
        </w:rPr>
      </w:pPr>
    </w:p>
    <w:p>
      <w:pPr>
        <w:ind w:left="1620" w:right="1059" w:hanging="360"/>
        <w:spacing w:after="0" w:line="28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 Unitholder of record at the close of business on the Record Date, you may vote your units by any of the following methods:</w:t>
      </w:r>
    </w:p>
    <w:p>
      <w:pPr>
        <w:spacing w:after="0" w:line="31" w:lineRule="exact"/>
        <w:rPr>
          <w:rFonts w:ascii="Arial" w:cs="Arial" w:eastAsia="Arial" w:hAnsi="Arial"/>
          <w:sz w:val="18"/>
          <w:szCs w:val="18"/>
          <w:color w:val="auto"/>
        </w:rPr>
      </w:pPr>
    </w:p>
    <w:p>
      <w:pPr>
        <w:ind w:left="1800" w:right="599" w:hanging="180"/>
        <w:spacing w:after="0" w:line="262"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Voting online before the meeting. </w:t>
      </w:r>
      <w:r>
        <w:rPr>
          <w:rFonts w:ascii="Arial" w:cs="Arial" w:eastAsia="Arial" w:hAnsi="Arial"/>
          <w:sz w:val="18"/>
          <w:szCs w:val="18"/>
          <w:color w:val="auto"/>
        </w:rPr>
        <w:t>You may vote online by visiting the Internet address listed on</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card. Internet voting procedures have been established to verify your identity and to confirm your voting instructions. Please have your proxy card available when you visit the Internet address.</w:t>
      </w:r>
    </w:p>
    <w:p>
      <w:pPr>
        <w:spacing w:after="0" w:line="68" w:lineRule="exact"/>
        <w:rPr>
          <w:rFonts w:ascii="Arial" w:cs="Arial" w:eastAsia="Arial" w:hAnsi="Arial"/>
          <w:sz w:val="18"/>
          <w:szCs w:val="18"/>
          <w:color w:val="auto"/>
        </w:rPr>
      </w:pPr>
    </w:p>
    <w:p>
      <w:pPr>
        <w:ind w:left="1800" w:right="559" w:hanging="180"/>
        <w:spacing w:after="0" w:line="262"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Voting by telephone before the meeting. </w:t>
      </w:r>
      <w:r>
        <w:rPr>
          <w:rFonts w:ascii="Arial" w:cs="Arial" w:eastAsia="Arial" w:hAnsi="Arial"/>
          <w:sz w:val="18"/>
          <w:szCs w:val="18"/>
          <w:color w:val="auto"/>
        </w:rPr>
        <w:t>You may vote by telephone by calling the toll-free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listed on your proxy card. Telephone voting procedures have been established to verify your identity, to allow you to provide proxy voting instructions and to confirm that your instructions were accurately recorded. Please have your proxy card available when you call.</w:t>
      </w:r>
    </w:p>
    <w:p>
      <w:pPr>
        <w:spacing w:after="0" w:line="68" w:lineRule="exact"/>
        <w:rPr>
          <w:rFonts w:ascii="Arial" w:cs="Arial" w:eastAsia="Arial" w:hAnsi="Arial"/>
          <w:sz w:val="18"/>
          <w:szCs w:val="18"/>
          <w:color w:val="auto"/>
        </w:rPr>
      </w:pPr>
    </w:p>
    <w:p>
      <w:pPr>
        <w:ind w:left="1800" w:right="459" w:hanging="180"/>
        <w:spacing w:after="0" w:line="262"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Voting by mail before the meeting. </w:t>
      </w:r>
      <w:r>
        <w:rPr>
          <w:rFonts w:ascii="Arial" w:cs="Arial" w:eastAsia="Arial" w:hAnsi="Arial"/>
          <w:sz w:val="18"/>
          <w:szCs w:val="18"/>
          <w:color w:val="auto"/>
        </w:rPr>
        <w:t>You may vote by mail by returning your completed, signed</w:t>
      </w:r>
      <w:r>
        <w:rPr>
          <w:rFonts w:ascii="Arial" w:cs="Arial" w:eastAsia="Arial" w:hAnsi="Arial"/>
          <w:sz w:val="18"/>
          <w:szCs w:val="18"/>
          <w:i w:val="1"/>
          <w:iCs w:val="1"/>
          <w:color w:val="auto"/>
        </w:rPr>
        <w:t xml:space="preserve"> </w:t>
      </w:r>
      <w:r>
        <w:rPr>
          <w:rFonts w:ascii="Arial" w:cs="Arial" w:eastAsia="Arial" w:hAnsi="Arial"/>
          <w:sz w:val="18"/>
          <w:szCs w:val="18"/>
          <w:color w:val="auto"/>
        </w:rPr>
        <w:t>and dated proxy card in the enclosed postage-paid return envelope. However, in order to ensure that your vote is received in a timely manner, we recommend that you vote online or by telephone as described above.</w:t>
      </w:r>
    </w:p>
    <w:p>
      <w:pPr>
        <w:spacing w:after="0" w:line="54" w:lineRule="exact"/>
        <w:rPr>
          <w:rFonts w:ascii="Arial" w:cs="Arial" w:eastAsia="Arial" w:hAnsi="Arial"/>
          <w:sz w:val="18"/>
          <w:szCs w:val="18"/>
          <w:color w:val="auto"/>
        </w:rPr>
      </w:pPr>
    </w:p>
    <w:p>
      <w:pPr>
        <w:ind w:left="1800" w:right="459" w:hanging="180"/>
        <w:spacing w:after="0" w:line="255"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Voting during the meeting</w:t>
      </w:r>
      <w:r>
        <w:rPr>
          <w:rFonts w:ascii="Arial" w:cs="Arial" w:eastAsia="Arial" w:hAnsi="Arial"/>
          <w:sz w:val="18"/>
          <w:szCs w:val="18"/>
          <w:color w:val="auto"/>
        </w:rPr>
        <w:t>. If you were a Unitholder of record as of the close of business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Record Date, you may attend the PAA Annual Meeting, ask questions and vote during the meeting. If you are a beneficial owner of units held in street name, you must be registered to attend the PAA Annual Meeting as a Unitholder and must have a valid legal proxy in order to ask questions and vote during the meeting. Please read the “Beneficial Owner: Units Registered in the Name of Broker” answer under the question “Who can vote and ask questions at the PAA Annual Meeting?” above for instructions on how to register to attend the PAA Annual Meeting and obtain a legal proxy.</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Internet and telephone voting will be available to eligible Unitholders 24 hours a day until</w:t>
      </w:r>
    </w:p>
    <w:p>
      <w:pPr>
        <w:spacing w:after="0" w:line="14" w:lineRule="exact"/>
        <w:rPr>
          <w:sz w:val="20"/>
          <w:szCs w:val="20"/>
          <w:color w:val="auto"/>
        </w:rPr>
      </w:pPr>
    </w:p>
    <w:p>
      <w:pPr>
        <w:jc w:val="both"/>
        <w:ind w:left="1620" w:right="419"/>
        <w:spacing w:after="0" w:line="250" w:lineRule="auto"/>
        <w:rPr>
          <w:sz w:val="20"/>
          <w:szCs w:val="20"/>
          <w:color w:val="auto"/>
        </w:rPr>
      </w:pPr>
      <w:r>
        <w:rPr>
          <w:rFonts w:ascii="Arial" w:cs="Arial" w:eastAsia="Arial" w:hAnsi="Arial"/>
          <w:sz w:val="18"/>
          <w:szCs w:val="18"/>
          <w:color w:val="auto"/>
        </w:rPr>
        <w:t>11:59 p.m. Eastern Time on May 23, 2023, the night before the PAA Annual Meeting. If you use the Internet or the toll-free telephone number to provide your proxy voting instructions, you do not need to mail</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19"/>
        <w:spacing w:after="0" w:line="287" w:lineRule="auto"/>
        <w:rPr>
          <w:sz w:val="20"/>
          <w:szCs w:val="20"/>
          <w:color w:val="auto"/>
        </w:rPr>
      </w:pPr>
      <w:r>
        <w:rPr>
          <w:rFonts w:ascii="Arial" w:cs="Arial" w:eastAsia="Arial" w:hAnsi="Arial"/>
          <w:sz w:val="18"/>
          <w:szCs w:val="18"/>
          <w:color w:val="auto"/>
        </w:rPr>
        <w:t>in your proxy card. If you mail in your proxy card, it must be received by PAA before the voting polls close at the PAA Annual Meeting.</w:t>
      </w:r>
    </w:p>
    <w:p>
      <w:pPr>
        <w:spacing w:after="0" w:line="85" w:lineRule="exact"/>
        <w:rPr>
          <w:sz w:val="20"/>
          <w:szCs w:val="20"/>
          <w:color w:val="auto"/>
        </w:rPr>
      </w:pPr>
    </w:p>
    <w:p>
      <w:pPr>
        <w:ind w:left="1620" w:right="479"/>
        <w:spacing w:after="0" w:line="262" w:lineRule="auto"/>
        <w:rPr>
          <w:sz w:val="20"/>
          <w:szCs w:val="20"/>
          <w:color w:val="auto"/>
        </w:rPr>
      </w:pPr>
      <w:r>
        <w:rPr>
          <w:rFonts w:ascii="Arial" w:cs="Arial" w:eastAsia="Arial" w:hAnsi="Arial"/>
          <w:sz w:val="18"/>
          <w:szCs w:val="18"/>
          <w:color w:val="auto"/>
        </w:rPr>
        <w:t>Even if you plan to attend the PAA Annual Meeting, please vote your units by proxy in advance of the PAA Annual Meeting (either online, by telephone or by mail as described above) as soon as possible so that your units will be represented at the PAA Annual Meeting if for any reason you are unable to attend.</w:t>
      </w:r>
    </w:p>
    <w:p>
      <w:pPr>
        <w:spacing w:after="0" w:line="10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do I do if I want to change my vote after I have already voted by proxy?</w:t>
      </w:r>
    </w:p>
    <w:p>
      <w:pPr>
        <w:spacing w:after="0" w:line="158" w:lineRule="exact"/>
        <w:rPr>
          <w:sz w:val="20"/>
          <w:szCs w:val="20"/>
          <w:color w:val="auto"/>
        </w:rPr>
      </w:pPr>
    </w:p>
    <w:p>
      <w:pPr>
        <w:ind w:left="1620" w:right="439" w:hanging="360"/>
        <w:spacing w:after="0" w:line="287"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you were a Unitholder of record as of the close of business on the Record Date, you may change your vote at any time before the voting polls close at the PAA Annual Meeting by:</w:t>
      </w:r>
    </w:p>
    <w:p>
      <w:pPr>
        <w:spacing w:after="0" w:line="44" w:lineRule="exact"/>
        <w:rPr>
          <w:rFonts w:ascii="Arial" w:cs="Arial" w:eastAsia="Arial" w:hAnsi="Arial"/>
          <w:sz w:val="18"/>
          <w:szCs w:val="18"/>
          <w:color w:val="auto"/>
        </w:rPr>
      </w:pPr>
    </w:p>
    <w:p>
      <w:pPr>
        <w:ind w:left="1800" w:right="719" w:hanging="180"/>
        <w:spacing w:after="0" w:line="268"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submitting a proxy with new voting instructions using the Internet or telephone voting system (please note that the deadline for voting online or by telephone is 11:59 p.m. Eastern Time on May 23, 2023);</w:t>
      </w:r>
    </w:p>
    <w:p>
      <w:pPr>
        <w:spacing w:after="0" w:line="62" w:lineRule="exact"/>
        <w:rPr>
          <w:rFonts w:ascii="Arial" w:cs="Arial" w:eastAsia="Arial" w:hAnsi="Arial"/>
          <w:sz w:val="18"/>
          <w:szCs w:val="18"/>
          <w:color w:val="auto"/>
        </w:rPr>
      </w:pPr>
    </w:p>
    <w:p>
      <w:pPr>
        <w:ind w:left="1800" w:right="519" w:hanging="180"/>
        <w:spacing w:after="0" w:line="268"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delivering a later-dated, executed proxy card or written notice of revocation of your proxy to American Stock Transfer &amp; Trust Company, LLC, 6201 15th Avenue, Brooklyn, New York 11219 on or prior to the close of business on May 23, 2023; or</w:t>
      </w:r>
    </w:p>
    <w:p>
      <w:pPr>
        <w:spacing w:after="0" w:line="76" w:lineRule="exact"/>
        <w:rPr>
          <w:rFonts w:ascii="Arial" w:cs="Arial" w:eastAsia="Arial" w:hAnsi="Arial"/>
          <w:sz w:val="18"/>
          <w:szCs w:val="18"/>
          <w:color w:val="auto"/>
        </w:rPr>
      </w:pPr>
    </w:p>
    <w:p>
      <w:pPr>
        <w:ind w:left="1800" w:right="479" w:hanging="180"/>
        <w:spacing w:after="0" w:line="268"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attending the PAA Annual Meeting and voting during the PAA Annual Meeting pursuant to the instructions above. Please note that attendance at the PAA Annual Meeting will not by itself (i.e., without also voting) revoke a previously granted proxy.</w:t>
      </w:r>
    </w:p>
    <w:p>
      <w:pPr>
        <w:spacing w:after="0" w:line="90" w:lineRule="exact"/>
        <w:rPr>
          <w:sz w:val="20"/>
          <w:szCs w:val="20"/>
          <w:color w:val="auto"/>
        </w:rPr>
      </w:pPr>
    </w:p>
    <w:p>
      <w:pPr>
        <w:ind w:left="1620" w:right="419"/>
        <w:spacing w:after="0" w:line="259" w:lineRule="auto"/>
        <w:rPr>
          <w:sz w:val="20"/>
          <w:szCs w:val="20"/>
          <w:color w:val="auto"/>
        </w:rPr>
      </w:pPr>
      <w:r>
        <w:rPr>
          <w:rFonts w:ascii="Arial" w:cs="Arial" w:eastAsia="Arial" w:hAnsi="Arial"/>
          <w:sz w:val="18"/>
          <w:szCs w:val="18"/>
          <w:color w:val="auto"/>
        </w:rPr>
        <w:t>If you were a beneficial owner of common units held in street name as of the close of business on the Record Date and you have instructed your broker or other nominee to vote your units, you must follow the procedure your broker or other nominee provides to change those instructions. You may also vote during the PAA Annual Meeting if you obtain a legal proxy from your broker or other nominee and register to attend the PAA Annual Meeting pursuant to the instructions above.</w:t>
      </w:r>
    </w:p>
    <w:p>
      <w:pPr>
        <w:spacing w:after="0" w:line="11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a broker non-vote?</w:t>
      </w:r>
    </w:p>
    <w:p>
      <w:pPr>
        <w:spacing w:after="0" w:line="158" w:lineRule="exact"/>
        <w:rPr>
          <w:sz w:val="20"/>
          <w:szCs w:val="20"/>
          <w:color w:val="auto"/>
        </w:rPr>
      </w:pPr>
    </w:p>
    <w:p>
      <w:pPr>
        <w:ind w:left="1620" w:right="499" w:hanging="360"/>
        <w:spacing w:after="0" w:line="269" w:lineRule="auto"/>
        <w:tabs>
          <w:tab w:leader="none" w:pos="1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broker non-vote occurs when units held by a broker, bank or other nominee on behalf of a beneficial owner are not voted with respect to a particular matter because the broker lacks discretionary authority to vote the units and has not received voting instructions from the beneficial owner. Brokers, banks and other nominees only have discretionary authority to vote on routine proposals; they are prohibited from voting on non-routine proposals without instructions from the beneficial owner. The ratification of the independent auditor (Proposal 2) is the only routine matter on which brokers, banks and other nominees may vote in their discretion on behalf of beneficial owners who have not provided voting instructions. The election of directors (Proposal 1) and the advisory vote to approve our 2022 named executive officer compensation (Proposal 3) are non-routine matters. If a broker returns a proxy with a voting choice selected for a routine proposal but with no voting choice selected for a non-routine proposal, the result is a broker non-vote. Broker non-votes are counted as present and entitled to vote for purposes of determining a quorum at the meeting, but are not considered votes cast and will have no impact on non-routine matters. Accordingly, we do not expect there to be any broker non-votes for Proposal 2 and broker non-votes will not be counted as votes either “FOR” or “AGAINST” Proposals 1 and 3.</w:t>
      </w:r>
    </w:p>
    <w:p>
      <w:pPr>
        <w:spacing w:after="0" w:line="10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constitutes a quorum?</w:t>
      </w:r>
    </w:p>
    <w:p>
      <w:pPr>
        <w:spacing w:after="0" w:line="158" w:lineRule="exact"/>
        <w:rPr>
          <w:sz w:val="20"/>
          <w:szCs w:val="20"/>
          <w:color w:val="auto"/>
        </w:rPr>
      </w:pPr>
    </w:p>
    <w:p>
      <w:pPr>
        <w:jc w:val="both"/>
        <w:ind w:left="1620" w:right="479" w:hanging="360"/>
        <w:spacing w:after="0" w:line="262"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 majority of the outstanding common units and Series A preferred units (on an as-converted basis) entitled to vote and represented in person or by proxy, considered together, shall constitute a quorum at the PAA Annual Meeting. Your units will be counted as present (i.e., entitled to vote and represented in person or by proxy) at the PAA Annual Meeting if:</w:t>
      </w:r>
    </w:p>
    <w:p>
      <w:pPr>
        <w:spacing w:after="0" w:line="68" w:lineRule="exact"/>
        <w:rPr>
          <w:rFonts w:ascii="Arial" w:cs="Arial" w:eastAsia="Arial" w:hAnsi="Arial"/>
          <w:sz w:val="18"/>
          <w:szCs w:val="18"/>
          <w:color w:val="auto"/>
        </w:rPr>
      </w:pPr>
    </w:p>
    <w:p>
      <w:pPr>
        <w:ind w:left="1800" w:hanging="180"/>
        <w:spacing w:after="0"/>
        <w:tabs>
          <w:tab w:leader="none" w:pos="1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you are present and vote at the meeting; or</w:t>
      </w:r>
    </w:p>
    <w:p>
      <w:pPr>
        <w:spacing w:after="0" w:line="117" w:lineRule="exact"/>
        <w:rPr>
          <w:rFonts w:ascii="Arial" w:cs="Arial" w:eastAsia="Arial" w:hAnsi="Arial"/>
          <w:sz w:val="18"/>
          <w:szCs w:val="18"/>
          <w:color w:val="auto"/>
        </w:rPr>
      </w:pPr>
    </w:p>
    <w:p>
      <w:pPr>
        <w:ind w:left="1800" w:right="639" w:hanging="180"/>
        <w:spacing w:after="0" w:line="287" w:lineRule="auto"/>
        <w:tabs>
          <w:tab w:leader="none" w:pos="1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you, or your broker if you are a beneficial owner of units held in street name, have submitted a properly executed proxy.</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799"/>
        <w:spacing w:after="0" w:line="287" w:lineRule="auto"/>
        <w:rPr>
          <w:sz w:val="20"/>
          <w:szCs w:val="20"/>
          <w:color w:val="auto"/>
        </w:rPr>
      </w:pPr>
      <w:r>
        <w:rPr>
          <w:rFonts w:ascii="Arial" w:cs="Arial" w:eastAsia="Arial" w:hAnsi="Arial"/>
          <w:sz w:val="18"/>
          <w:szCs w:val="18"/>
          <w:color w:val="auto"/>
        </w:rPr>
        <w:t>Executed proxies received but marked as abstentions and broker non-votes will be counted as present for purposes of determining the presence of a quorum.</w:t>
      </w:r>
    </w:p>
    <w:p>
      <w:pPr>
        <w:spacing w:after="0" w:line="85" w:lineRule="exact"/>
        <w:rPr>
          <w:sz w:val="20"/>
          <w:szCs w:val="20"/>
          <w:color w:val="auto"/>
        </w:rPr>
      </w:pPr>
    </w:p>
    <w:p>
      <w:pPr>
        <w:ind w:left="1620" w:right="739" w:hanging="360"/>
        <w:spacing w:after="0" w:line="296" w:lineRule="auto"/>
        <w:tabs>
          <w:tab w:leader="none" w:pos="16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 be voting on and what vote is required to approve the proposals discussed in this proxy statement?</w:t>
      </w:r>
    </w:p>
    <w:p>
      <w:pPr>
        <w:spacing w:after="0" w:line="70" w:lineRule="exact"/>
        <w:rPr>
          <w:sz w:val="20"/>
          <w:szCs w:val="20"/>
          <w:color w:val="auto"/>
        </w:rPr>
      </w:pPr>
    </w:p>
    <w:p>
      <w:pPr>
        <w:ind w:left="1620" w:right="579" w:hanging="360"/>
        <w:spacing w:after="0" w:line="257"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Unitholders (other than Plains AAP) will be casting a “pass-through” vote on Proposals 1, 2 and 3 by instructing PAA how to vote its PAGP Class C shares on such proposals at PAGP’s annual meeting. PAA will vote (or refrain from voting) its Class C shares on each matter submitted to PAGP’s shareholders in the same proportion as the votes received from or withheld by the Unitholders with respect to such matter. The proposals that will be voted upon and the required vote for approval of such proposals is set forth in the following table:</w:t>
      </w:r>
    </w:p>
    <w:p>
      <w:pPr>
        <w:spacing w:after="0" w:line="140" w:lineRule="exact"/>
        <w:rPr>
          <w:sz w:val="20"/>
          <w:szCs w:val="20"/>
          <w:color w:val="auto"/>
        </w:rPr>
      </w:pPr>
    </w:p>
    <w:tbl>
      <w:tblPr>
        <w:tblLayout w:type="fixed"/>
        <w:tblInd w:w="1630" w:type="dxa"/>
        <w:tblCellMar>
          <w:top w:w="0" w:type="dxa"/>
          <w:left w:w="0" w:type="dxa"/>
          <w:bottom w:w="0" w:type="dxa"/>
          <w:right w:w="0" w:type="dxa"/>
        </w:tblCellMar>
      </w:tblPr>
      <w:tr>
        <w:trPr>
          <w:trHeight w:val="247"/>
        </w:trPr>
        <w:tc>
          <w:tcPr>
            <w:tcW w:w="220" w:type="dxa"/>
            <w:vAlign w:val="bottom"/>
            <w:tcBorders>
              <w:top w:val="single" w:sz="8" w:color="auto"/>
              <w:left w:val="single" w:sz="8" w:color="auto"/>
            </w:tcBorders>
          </w:tcPr>
          <w:p>
            <w:pPr>
              <w:spacing w:after="0"/>
              <w:rPr>
                <w:sz w:val="21"/>
                <w:szCs w:val="21"/>
                <w:color w:val="auto"/>
              </w:rPr>
            </w:pPr>
          </w:p>
        </w:tc>
        <w:tc>
          <w:tcPr>
            <w:tcW w:w="2280" w:type="dxa"/>
            <w:vAlign w:val="bottom"/>
            <w:tcBorders>
              <w:top w:val="single" w:sz="8" w:color="auto"/>
            </w:tcBorders>
          </w:tcPr>
          <w:p>
            <w:pPr>
              <w:spacing w:after="0"/>
              <w:rPr>
                <w:sz w:val="21"/>
                <w:szCs w:val="21"/>
                <w:color w:val="auto"/>
              </w:rPr>
            </w:pPr>
          </w:p>
        </w:tc>
        <w:tc>
          <w:tcPr>
            <w:tcW w:w="120" w:type="dxa"/>
            <w:vAlign w:val="bottom"/>
            <w:tcBorders>
              <w:top w:val="single" w:sz="8" w:color="auto"/>
              <w:right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20" w:type="dxa"/>
            <w:vAlign w:val="bottom"/>
            <w:tcBorders>
              <w:top w:val="single" w:sz="8" w:color="auto"/>
            </w:tcBorders>
          </w:tcPr>
          <w:p>
            <w:pPr>
              <w:spacing w:after="0"/>
              <w:rPr>
                <w:sz w:val="21"/>
                <w:szCs w:val="21"/>
                <w:color w:val="auto"/>
              </w:rPr>
            </w:pPr>
          </w:p>
        </w:tc>
        <w:tc>
          <w:tcPr>
            <w:tcW w:w="120" w:type="dxa"/>
            <w:vAlign w:val="bottom"/>
            <w:tcBorders>
              <w:top w:val="single" w:sz="8" w:color="auto"/>
              <w:right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Vote Required for Approval of</w:t>
            </w:r>
          </w:p>
        </w:tc>
        <w:tc>
          <w:tcPr>
            <w:tcW w:w="100" w:type="dxa"/>
            <w:vAlign w:val="bottom"/>
            <w:tcBorders>
              <w:top w:val="single" w:sz="8" w:color="auto"/>
              <w:right w:val="single" w:sz="8" w:color="auto"/>
            </w:tcBorders>
          </w:tcPr>
          <w:p>
            <w:pPr>
              <w:spacing w:after="0"/>
              <w:rPr>
                <w:sz w:val="21"/>
                <w:szCs w:val="21"/>
                <w:color w:val="auto"/>
              </w:rPr>
            </w:pPr>
          </w:p>
        </w:tc>
      </w:tr>
      <w:tr>
        <w:trPr>
          <w:trHeight w:val="162"/>
        </w:trPr>
        <w:tc>
          <w:tcPr>
            <w:tcW w:w="220" w:type="dxa"/>
            <w:vAlign w:val="bottom"/>
            <w:tcBorders>
              <w:left w:val="single" w:sz="8" w:color="auto"/>
            </w:tcBorders>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rPr>
              <w:t>Proposal at the</w:t>
            </w:r>
          </w:p>
        </w:tc>
        <w:tc>
          <w:tcPr>
            <w:tcW w:w="100" w:type="dxa"/>
            <w:vAlign w:val="bottom"/>
            <w:tcBorders>
              <w:right w:val="single" w:sz="8" w:color="auto"/>
            </w:tcBorders>
          </w:tcPr>
          <w:p>
            <w:pPr>
              <w:spacing w:after="0"/>
              <w:rPr>
                <w:sz w:val="14"/>
                <w:szCs w:val="14"/>
                <w:color w:val="auto"/>
              </w:rPr>
            </w:pPr>
          </w:p>
        </w:tc>
      </w:tr>
      <w:tr>
        <w:trPr>
          <w:trHeight w:val="198"/>
        </w:trPr>
        <w:tc>
          <w:tcPr>
            <w:tcW w:w="2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22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Proposal</w:t>
            </w: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24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Voting Options</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PAGP Annual Meeting</w:t>
            </w:r>
          </w:p>
        </w:tc>
        <w:tc>
          <w:tcPr>
            <w:tcW w:w="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5"/>
        </w:trPr>
        <w:tc>
          <w:tcPr>
            <w:tcW w:w="2500" w:type="dxa"/>
            <w:vAlign w:val="bottom"/>
            <w:tcBorders>
              <w:left w:val="single" w:sz="8" w:color="auto"/>
            </w:tcBorders>
            <w:gridSpan w:val="2"/>
          </w:tcPr>
          <w:p>
            <w:pPr>
              <w:ind w:left="20"/>
              <w:spacing w:after="0"/>
              <w:rPr>
                <w:sz w:val="20"/>
                <w:szCs w:val="20"/>
                <w:color w:val="auto"/>
              </w:rPr>
            </w:pPr>
            <w:r>
              <w:rPr>
                <w:rFonts w:ascii="Arial" w:cs="Arial" w:eastAsia="Arial" w:hAnsi="Arial"/>
                <w:sz w:val="16"/>
                <w:szCs w:val="16"/>
                <w:color w:val="auto"/>
              </w:rPr>
              <w:t>​1.  The election of four Class I</w:t>
            </w:r>
          </w:p>
        </w:tc>
        <w:tc>
          <w:tcPr>
            <w:tcW w:w="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62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 You may vote “FOR”, or you may ​</w:t>
            </w:r>
          </w:p>
        </w:tc>
        <w:tc>
          <w:tcPr>
            <w:tcW w:w="2520" w:type="dxa"/>
            <w:vAlign w:val="bottom"/>
            <w:gridSpan w:val="2"/>
          </w:tcPr>
          <w:p>
            <w:pPr>
              <w:spacing w:after="0"/>
              <w:rPr>
                <w:sz w:val="20"/>
                <w:szCs w:val="20"/>
                <w:color w:val="auto"/>
              </w:rPr>
            </w:pPr>
            <w:r>
              <w:rPr>
                <w:rFonts w:ascii="Arial" w:cs="Arial" w:eastAsia="Arial" w:hAnsi="Arial"/>
                <w:sz w:val="16"/>
                <w:szCs w:val="16"/>
                <w:color w:val="auto"/>
              </w:rPr>
              <w:t>​ Directors will be elected by a</w:t>
            </w:r>
          </w:p>
        </w:tc>
        <w:tc>
          <w:tcPr>
            <w:tcW w:w="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ind w:left="160"/>
              <w:spacing w:after="0"/>
              <w:rPr>
                <w:sz w:val="20"/>
                <w:szCs w:val="20"/>
                <w:color w:val="auto"/>
              </w:rPr>
            </w:pPr>
            <w:r>
              <w:rPr>
                <w:rFonts w:ascii="Arial" w:cs="Arial" w:eastAsia="Arial" w:hAnsi="Arial"/>
                <w:sz w:val="16"/>
                <w:szCs w:val="16"/>
                <w:color w:val="auto"/>
              </w:rPr>
              <w:t>directors to serve on the</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6"/>
                <w:szCs w:val="16"/>
                <w:color w:val="auto"/>
                <w:w w:val="99"/>
              </w:rPr>
              <w:t>“WITHHOLD” authority to vote for,</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plurality of the votes cast, in</w:t>
            </w:r>
          </w:p>
        </w:tc>
        <w:tc>
          <w:tcPr>
            <w:tcW w:w="100" w:type="dxa"/>
            <w:vAlign w:val="bottom"/>
            <w:tcBorders>
              <w:right w:val="single" w:sz="8" w:color="auto"/>
            </w:tcBorders>
          </w:tcPr>
          <w:p>
            <w:pPr>
              <w:spacing w:after="0"/>
              <w:rPr>
                <w:sz w:val="16"/>
                <w:szCs w:val="16"/>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ind w:left="160"/>
              <w:spacing w:after="0"/>
              <w:rPr>
                <w:sz w:val="20"/>
                <w:szCs w:val="20"/>
                <w:color w:val="auto"/>
              </w:rPr>
            </w:pPr>
            <w:r>
              <w:rPr>
                <w:rFonts w:ascii="Arial" w:cs="Arial" w:eastAsia="Arial" w:hAnsi="Arial"/>
                <w:sz w:val="16"/>
                <w:szCs w:val="16"/>
                <w:color w:val="auto"/>
              </w:rPr>
              <w:t>Board until the 2026 annual</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6"/>
                <w:szCs w:val="16"/>
                <w:color w:val="auto"/>
                <w:w w:val="99"/>
              </w:rPr>
              <w:t>all, some or none of the nominees</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w w:val="99"/>
              </w:rPr>
              <w:t>person or by proxy, by the holders</w:t>
            </w:r>
          </w:p>
        </w:tc>
        <w:tc>
          <w:tcPr>
            <w:tcW w:w="100" w:type="dxa"/>
            <w:vAlign w:val="bottom"/>
            <w:tcBorders>
              <w:right w:val="single" w:sz="8" w:color="auto"/>
            </w:tcBorders>
          </w:tcPr>
          <w:p>
            <w:pPr>
              <w:spacing w:after="0"/>
              <w:rPr>
                <w:sz w:val="16"/>
                <w:szCs w:val="16"/>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2280" w:type="dxa"/>
            <w:vAlign w:val="bottom"/>
          </w:tcPr>
          <w:p>
            <w:pPr>
              <w:ind w:left="160"/>
              <w:spacing w:after="0"/>
              <w:rPr>
                <w:sz w:val="20"/>
                <w:szCs w:val="20"/>
                <w:color w:val="auto"/>
              </w:rPr>
            </w:pPr>
            <w:r>
              <w:rPr>
                <w:rFonts w:ascii="Arial" w:cs="Arial" w:eastAsia="Arial" w:hAnsi="Arial"/>
                <w:sz w:val="16"/>
                <w:szCs w:val="16"/>
                <w:color w:val="auto"/>
              </w:rPr>
              <w:t>meeting.</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20"/>
                <w:szCs w:val="20"/>
                <w:color w:val="auto"/>
              </w:rPr>
            </w:pPr>
            <w:r>
              <w:rPr>
                <w:rFonts w:ascii="Arial" w:cs="Arial" w:eastAsia="Arial" w:hAnsi="Arial"/>
                <w:sz w:val="16"/>
                <w:szCs w:val="16"/>
                <w:color w:val="auto"/>
              </w:rPr>
              <w:t>for director.</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of the Class A, Class B and</w:t>
            </w:r>
          </w:p>
        </w:tc>
        <w:tc>
          <w:tcPr>
            <w:tcW w:w="100" w:type="dxa"/>
            <w:vAlign w:val="bottom"/>
            <w:tcBorders>
              <w:right w:val="single" w:sz="8" w:color="auto"/>
            </w:tcBorders>
          </w:tcPr>
          <w:p>
            <w:pPr>
              <w:spacing w:after="0"/>
              <w:rPr>
                <w:sz w:val="17"/>
                <w:szCs w:val="17"/>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Class C shares present and</w:t>
            </w:r>
          </w:p>
        </w:tc>
        <w:tc>
          <w:tcPr>
            <w:tcW w:w="100" w:type="dxa"/>
            <w:vAlign w:val="bottom"/>
            <w:tcBorders>
              <w:right w:val="single" w:sz="8" w:color="auto"/>
            </w:tcBorders>
          </w:tcPr>
          <w:p>
            <w:pPr>
              <w:spacing w:after="0"/>
              <w:rPr>
                <w:sz w:val="16"/>
                <w:szCs w:val="16"/>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entitled to vote, voting as a single</w:t>
            </w:r>
          </w:p>
        </w:tc>
        <w:tc>
          <w:tcPr>
            <w:tcW w:w="100" w:type="dxa"/>
            <w:vAlign w:val="bottom"/>
            <w:tcBorders>
              <w:right w:val="single" w:sz="8" w:color="auto"/>
            </w:tcBorders>
          </w:tcPr>
          <w:p>
            <w:pPr>
              <w:spacing w:after="0"/>
              <w:rPr>
                <w:sz w:val="16"/>
                <w:szCs w:val="16"/>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class. Broker non-votes are not</w:t>
            </w:r>
          </w:p>
        </w:tc>
        <w:tc>
          <w:tcPr>
            <w:tcW w:w="100" w:type="dxa"/>
            <w:vAlign w:val="bottom"/>
            <w:tcBorders>
              <w:right w:val="single" w:sz="8" w:color="auto"/>
            </w:tcBorders>
          </w:tcPr>
          <w:p>
            <w:pPr>
              <w:spacing w:after="0"/>
              <w:rPr>
                <w:sz w:val="17"/>
                <w:szCs w:val="17"/>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considered votes cast and will</w:t>
            </w:r>
          </w:p>
        </w:tc>
        <w:tc>
          <w:tcPr>
            <w:tcW w:w="100" w:type="dxa"/>
            <w:vAlign w:val="bottom"/>
            <w:tcBorders>
              <w:right w:val="single" w:sz="8" w:color="auto"/>
            </w:tcBorders>
          </w:tcPr>
          <w:p>
            <w:pPr>
              <w:spacing w:after="0"/>
              <w:rPr>
                <w:sz w:val="16"/>
                <w:szCs w:val="16"/>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have no effect on the election of</w:t>
            </w:r>
          </w:p>
        </w:tc>
        <w:tc>
          <w:tcPr>
            <w:tcW w:w="100" w:type="dxa"/>
            <w:vAlign w:val="bottom"/>
            <w:tcBorders>
              <w:right w:val="single" w:sz="8" w:color="auto"/>
            </w:tcBorders>
          </w:tcPr>
          <w:p>
            <w:pPr>
              <w:spacing w:after="0"/>
              <w:rPr>
                <w:sz w:val="16"/>
                <w:szCs w:val="16"/>
                <w:color w:val="auto"/>
              </w:rPr>
            </w:pPr>
          </w:p>
        </w:tc>
      </w:tr>
      <w:tr>
        <w:trPr>
          <w:trHeight w:val="215"/>
        </w:trPr>
        <w:tc>
          <w:tcPr>
            <w:tcW w:w="220" w:type="dxa"/>
            <w:vAlign w:val="bottom"/>
            <w:tcBorders>
              <w:lef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directors.</w:t>
            </w:r>
          </w:p>
        </w:tc>
        <w:tc>
          <w:tcPr>
            <w:tcW w:w="100" w:type="dxa"/>
            <w:vAlign w:val="bottom"/>
            <w:tcBorders>
              <w:right w:val="single" w:sz="8" w:color="auto"/>
            </w:tcBorders>
          </w:tcPr>
          <w:p>
            <w:pPr>
              <w:spacing w:after="0"/>
              <w:rPr>
                <w:sz w:val="18"/>
                <w:szCs w:val="18"/>
                <w:color w:val="auto"/>
              </w:rPr>
            </w:pPr>
          </w:p>
        </w:tc>
      </w:tr>
      <w:tr>
        <w:trPr>
          <w:trHeight w:val="29"/>
        </w:trPr>
        <w:tc>
          <w:tcPr>
            <w:tcW w:w="2500" w:type="dxa"/>
            <w:vAlign w:val="bottom"/>
            <w:tcBorders>
              <w:left w:val="single" w:sz="8" w:color="auto"/>
              <w:bottom w:val="single" w:sz="8" w:color="auto"/>
            </w:tcBorders>
            <w:gridSpan w:val="2"/>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5"/>
        </w:trPr>
        <w:tc>
          <w:tcPr>
            <w:tcW w:w="2500" w:type="dxa"/>
            <w:vAlign w:val="bottom"/>
            <w:tcBorders>
              <w:left w:val="single" w:sz="8" w:color="auto"/>
            </w:tcBorders>
            <w:gridSpan w:val="2"/>
          </w:tcPr>
          <w:p>
            <w:pPr>
              <w:ind w:left="20"/>
              <w:spacing w:after="0"/>
              <w:rPr>
                <w:sz w:val="20"/>
                <w:szCs w:val="20"/>
                <w:color w:val="auto"/>
              </w:rPr>
            </w:pPr>
            <w:r>
              <w:rPr>
                <w:rFonts w:ascii="Arial" w:cs="Arial" w:eastAsia="Arial" w:hAnsi="Arial"/>
                <w:sz w:val="16"/>
                <w:szCs w:val="16"/>
                <w:color w:val="auto"/>
              </w:rPr>
              <w:t>​2.  The ratification of the</w:t>
            </w:r>
          </w:p>
        </w:tc>
        <w:tc>
          <w:tcPr>
            <w:tcW w:w="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500" w:type="dxa"/>
            <w:vAlign w:val="bottom"/>
            <w:gridSpan w:val="2"/>
          </w:tcPr>
          <w:p>
            <w:pPr>
              <w:spacing w:after="0"/>
              <w:rPr>
                <w:sz w:val="20"/>
                <w:szCs w:val="20"/>
                <w:color w:val="auto"/>
              </w:rPr>
            </w:pPr>
            <w:r>
              <w:rPr>
                <w:rFonts w:ascii="Arial" w:cs="Arial" w:eastAsia="Arial" w:hAnsi="Arial"/>
                <w:sz w:val="16"/>
                <w:szCs w:val="16"/>
                <w:color w:val="auto"/>
              </w:rPr>
              <w:t>​ You may vote “FOR” or</w:t>
            </w:r>
          </w:p>
        </w:tc>
        <w:tc>
          <w:tcPr>
            <w:tcW w:w="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520" w:type="dxa"/>
            <w:vAlign w:val="bottom"/>
            <w:gridSpan w:val="2"/>
          </w:tcPr>
          <w:p>
            <w:pPr>
              <w:spacing w:after="0"/>
              <w:rPr>
                <w:sz w:val="20"/>
                <w:szCs w:val="20"/>
                <w:color w:val="auto"/>
              </w:rPr>
            </w:pPr>
            <w:r>
              <w:rPr>
                <w:rFonts w:ascii="Arial" w:cs="Arial" w:eastAsia="Arial" w:hAnsi="Arial"/>
                <w:sz w:val="16"/>
                <w:szCs w:val="16"/>
                <w:color w:val="auto"/>
              </w:rPr>
              <w:t>​ In order for this proposal to be</w:t>
            </w:r>
          </w:p>
        </w:tc>
        <w:tc>
          <w:tcPr>
            <w:tcW w:w="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ind w:left="160"/>
              <w:spacing w:after="0"/>
              <w:rPr>
                <w:sz w:val="20"/>
                <w:szCs w:val="20"/>
                <w:color w:val="auto"/>
              </w:rPr>
            </w:pPr>
            <w:r>
              <w:rPr>
                <w:rFonts w:ascii="Arial" w:cs="Arial" w:eastAsia="Arial" w:hAnsi="Arial"/>
                <w:sz w:val="16"/>
                <w:szCs w:val="16"/>
                <w:color w:val="auto"/>
              </w:rPr>
              <w:t>appointment of</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6"/>
                <w:szCs w:val="16"/>
                <w:color w:val="auto"/>
              </w:rPr>
              <w:t>“AGAINST” the proposal, or you</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approved, it must receive a</w:t>
            </w:r>
          </w:p>
        </w:tc>
        <w:tc>
          <w:tcPr>
            <w:tcW w:w="100" w:type="dxa"/>
            <w:vAlign w:val="bottom"/>
            <w:tcBorders>
              <w:right w:val="single" w:sz="8" w:color="auto"/>
            </w:tcBorders>
          </w:tcPr>
          <w:p>
            <w:pPr>
              <w:spacing w:after="0"/>
              <w:rPr>
                <w:sz w:val="16"/>
                <w:szCs w:val="16"/>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ind w:left="160"/>
              <w:spacing w:after="0"/>
              <w:rPr>
                <w:sz w:val="20"/>
                <w:szCs w:val="20"/>
                <w:color w:val="auto"/>
              </w:rPr>
            </w:pPr>
            <w:r>
              <w:rPr>
                <w:rFonts w:ascii="Arial" w:cs="Arial" w:eastAsia="Arial" w:hAnsi="Arial"/>
                <w:sz w:val="16"/>
                <w:szCs w:val="16"/>
                <w:color w:val="auto"/>
              </w:rPr>
              <w:t>PricewaterhouseCoopers</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6"/>
                <w:szCs w:val="16"/>
                <w:color w:val="auto"/>
              </w:rPr>
              <w:t>may “ABSTAIN” from voting.</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majority of the votes cast, in</w:t>
            </w:r>
          </w:p>
        </w:tc>
        <w:tc>
          <w:tcPr>
            <w:tcW w:w="100" w:type="dxa"/>
            <w:vAlign w:val="bottom"/>
            <w:tcBorders>
              <w:right w:val="single" w:sz="8" w:color="auto"/>
            </w:tcBorders>
          </w:tcPr>
          <w:p>
            <w:pPr>
              <w:spacing w:after="0"/>
              <w:rPr>
                <w:sz w:val="16"/>
                <w:szCs w:val="16"/>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2280" w:type="dxa"/>
            <w:vAlign w:val="bottom"/>
          </w:tcPr>
          <w:p>
            <w:pPr>
              <w:ind w:left="160"/>
              <w:spacing w:after="0"/>
              <w:rPr>
                <w:sz w:val="20"/>
                <w:szCs w:val="20"/>
                <w:color w:val="auto"/>
              </w:rPr>
            </w:pPr>
            <w:r>
              <w:rPr>
                <w:rFonts w:ascii="Arial" w:cs="Arial" w:eastAsia="Arial" w:hAnsi="Arial"/>
                <w:sz w:val="16"/>
                <w:szCs w:val="16"/>
                <w:color w:val="auto"/>
              </w:rPr>
              <w:t>LLP as PAGP’s and PAA’s</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w w:val="99"/>
              </w:rPr>
              <w:t>person or by proxy, by the holders</w:t>
            </w:r>
          </w:p>
        </w:tc>
        <w:tc>
          <w:tcPr>
            <w:tcW w:w="100" w:type="dxa"/>
            <w:vAlign w:val="bottom"/>
            <w:tcBorders>
              <w:right w:val="single" w:sz="8" w:color="auto"/>
            </w:tcBorders>
          </w:tcPr>
          <w:p>
            <w:pPr>
              <w:spacing w:after="0"/>
              <w:rPr>
                <w:sz w:val="17"/>
                <w:szCs w:val="17"/>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ind w:left="160"/>
              <w:spacing w:after="0"/>
              <w:rPr>
                <w:sz w:val="20"/>
                <w:szCs w:val="20"/>
                <w:color w:val="auto"/>
              </w:rPr>
            </w:pPr>
            <w:r>
              <w:rPr>
                <w:rFonts w:ascii="Arial" w:cs="Arial" w:eastAsia="Arial" w:hAnsi="Arial"/>
                <w:sz w:val="16"/>
                <w:szCs w:val="16"/>
                <w:color w:val="auto"/>
              </w:rPr>
              <w:t>independent registered public</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of the Class A, Class B and</w:t>
            </w:r>
          </w:p>
        </w:tc>
        <w:tc>
          <w:tcPr>
            <w:tcW w:w="100" w:type="dxa"/>
            <w:vAlign w:val="bottom"/>
            <w:tcBorders>
              <w:right w:val="single" w:sz="8" w:color="auto"/>
            </w:tcBorders>
          </w:tcPr>
          <w:p>
            <w:pPr>
              <w:spacing w:after="0"/>
              <w:rPr>
                <w:sz w:val="16"/>
                <w:szCs w:val="16"/>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ind w:left="160"/>
              <w:spacing w:after="0"/>
              <w:rPr>
                <w:sz w:val="20"/>
                <w:szCs w:val="20"/>
                <w:color w:val="auto"/>
              </w:rPr>
            </w:pPr>
            <w:r>
              <w:rPr>
                <w:rFonts w:ascii="Arial" w:cs="Arial" w:eastAsia="Arial" w:hAnsi="Arial"/>
                <w:sz w:val="16"/>
                <w:szCs w:val="16"/>
                <w:color w:val="auto"/>
              </w:rPr>
              <w:t>accounting firm for the fiscal</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Class C shares present and</w:t>
            </w:r>
          </w:p>
        </w:tc>
        <w:tc>
          <w:tcPr>
            <w:tcW w:w="100" w:type="dxa"/>
            <w:vAlign w:val="bottom"/>
            <w:tcBorders>
              <w:right w:val="single" w:sz="8" w:color="auto"/>
            </w:tcBorders>
          </w:tcPr>
          <w:p>
            <w:pPr>
              <w:spacing w:after="0"/>
              <w:rPr>
                <w:sz w:val="16"/>
                <w:szCs w:val="16"/>
                <w:color w:val="auto"/>
              </w:rPr>
            </w:pPr>
          </w:p>
        </w:tc>
      </w:tr>
      <w:tr>
        <w:trPr>
          <w:trHeight w:val="202"/>
        </w:trPr>
        <w:tc>
          <w:tcPr>
            <w:tcW w:w="220" w:type="dxa"/>
            <w:vAlign w:val="bottom"/>
            <w:tcBorders>
              <w:left w:val="single" w:sz="8" w:color="auto"/>
            </w:tcBorders>
          </w:tcPr>
          <w:p>
            <w:pPr>
              <w:spacing w:after="0"/>
              <w:rPr>
                <w:sz w:val="17"/>
                <w:szCs w:val="17"/>
                <w:color w:val="auto"/>
              </w:rPr>
            </w:pPr>
          </w:p>
        </w:tc>
        <w:tc>
          <w:tcPr>
            <w:tcW w:w="2280" w:type="dxa"/>
            <w:vAlign w:val="bottom"/>
          </w:tcPr>
          <w:p>
            <w:pPr>
              <w:ind w:left="160"/>
              <w:spacing w:after="0"/>
              <w:rPr>
                <w:sz w:val="20"/>
                <w:szCs w:val="20"/>
                <w:color w:val="auto"/>
              </w:rPr>
            </w:pPr>
            <w:r>
              <w:rPr>
                <w:rFonts w:ascii="Arial" w:cs="Arial" w:eastAsia="Arial" w:hAnsi="Arial"/>
                <w:sz w:val="16"/>
                <w:szCs w:val="16"/>
                <w:color w:val="auto"/>
              </w:rPr>
              <w:t>year ending December 31,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entitled to vote, voting as a single</w:t>
            </w:r>
          </w:p>
        </w:tc>
        <w:tc>
          <w:tcPr>
            <w:tcW w:w="100" w:type="dxa"/>
            <w:vAlign w:val="bottom"/>
            <w:tcBorders>
              <w:right w:val="single" w:sz="8" w:color="auto"/>
            </w:tcBorders>
          </w:tcPr>
          <w:p>
            <w:pPr>
              <w:spacing w:after="0"/>
              <w:rPr>
                <w:sz w:val="17"/>
                <w:szCs w:val="17"/>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ind w:left="160"/>
              <w:spacing w:after="0"/>
              <w:rPr>
                <w:sz w:val="20"/>
                <w:szCs w:val="20"/>
                <w:color w:val="auto"/>
              </w:rPr>
            </w:pPr>
            <w:r>
              <w:rPr>
                <w:rFonts w:ascii="Arial" w:cs="Arial" w:eastAsia="Arial" w:hAnsi="Arial"/>
                <w:sz w:val="16"/>
                <w:szCs w:val="16"/>
                <w:color w:val="auto"/>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class. Abstentions will be counted</w:t>
            </w:r>
          </w:p>
        </w:tc>
        <w:tc>
          <w:tcPr>
            <w:tcW w:w="100" w:type="dxa"/>
            <w:vAlign w:val="bottom"/>
            <w:tcBorders>
              <w:right w:val="single" w:sz="8" w:color="auto"/>
            </w:tcBorders>
          </w:tcPr>
          <w:p>
            <w:pPr>
              <w:spacing w:after="0"/>
              <w:rPr>
                <w:sz w:val="16"/>
                <w:szCs w:val="16"/>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as votes present and entitled to</w:t>
            </w:r>
          </w:p>
        </w:tc>
        <w:tc>
          <w:tcPr>
            <w:tcW w:w="100" w:type="dxa"/>
            <w:vAlign w:val="bottom"/>
            <w:tcBorders>
              <w:right w:val="single" w:sz="8" w:color="auto"/>
            </w:tcBorders>
          </w:tcPr>
          <w:p>
            <w:pPr>
              <w:spacing w:after="0"/>
              <w:rPr>
                <w:sz w:val="16"/>
                <w:szCs w:val="16"/>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w w:val="99"/>
              </w:rPr>
              <w:t>vote and will have the same effect</w:t>
            </w:r>
          </w:p>
        </w:tc>
        <w:tc>
          <w:tcPr>
            <w:tcW w:w="100" w:type="dxa"/>
            <w:vAlign w:val="bottom"/>
            <w:tcBorders>
              <w:right w:val="single" w:sz="8" w:color="auto"/>
            </w:tcBorders>
          </w:tcPr>
          <w:p>
            <w:pPr>
              <w:spacing w:after="0"/>
              <w:rPr>
                <w:sz w:val="17"/>
                <w:szCs w:val="17"/>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as votes “AGAINST” this</w:t>
            </w:r>
          </w:p>
        </w:tc>
        <w:tc>
          <w:tcPr>
            <w:tcW w:w="100" w:type="dxa"/>
            <w:vAlign w:val="bottom"/>
            <w:tcBorders>
              <w:right w:val="single" w:sz="8" w:color="auto"/>
            </w:tcBorders>
          </w:tcPr>
          <w:p>
            <w:pPr>
              <w:spacing w:after="0"/>
              <w:rPr>
                <w:sz w:val="16"/>
                <w:szCs w:val="16"/>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proposal. We do not expect there</w:t>
            </w:r>
          </w:p>
        </w:tc>
        <w:tc>
          <w:tcPr>
            <w:tcW w:w="100" w:type="dxa"/>
            <w:vAlign w:val="bottom"/>
            <w:tcBorders>
              <w:right w:val="single" w:sz="8" w:color="auto"/>
            </w:tcBorders>
          </w:tcPr>
          <w:p>
            <w:pPr>
              <w:spacing w:after="0"/>
              <w:rPr>
                <w:sz w:val="17"/>
                <w:szCs w:val="17"/>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to be any broker non-votes for</w:t>
            </w:r>
          </w:p>
        </w:tc>
        <w:tc>
          <w:tcPr>
            <w:tcW w:w="100" w:type="dxa"/>
            <w:vAlign w:val="bottom"/>
            <w:tcBorders>
              <w:right w:val="single" w:sz="8" w:color="auto"/>
            </w:tcBorders>
          </w:tcPr>
          <w:p>
            <w:pPr>
              <w:spacing w:after="0"/>
              <w:rPr>
                <w:sz w:val="16"/>
                <w:szCs w:val="16"/>
                <w:color w:val="auto"/>
              </w:rPr>
            </w:pPr>
          </w:p>
        </w:tc>
      </w:tr>
      <w:tr>
        <w:trPr>
          <w:trHeight w:val="224"/>
        </w:trPr>
        <w:tc>
          <w:tcPr>
            <w:tcW w:w="220" w:type="dxa"/>
            <w:vAlign w:val="bottom"/>
            <w:tcBorders>
              <w:left w:val="single" w:sz="8" w:color="auto"/>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this proposal.</w:t>
            </w:r>
          </w:p>
        </w:tc>
        <w:tc>
          <w:tcPr>
            <w:tcW w:w="100" w:type="dxa"/>
            <w:vAlign w:val="bottom"/>
            <w:tcBorders>
              <w:bottom w:val="single" w:sz="8" w:color="auto"/>
              <w:right w:val="single" w:sz="8" w:color="auto"/>
            </w:tcBorders>
          </w:tcPr>
          <w:p>
            <w:pPr>
              <w:spacing w:after="0"/>
              <w:rPr>
                <w:sz w:val="19"/>
                <w:szCs w:val="19"/>
                <w:color w:val="auto"/>
              </w:rPr>
            </w:pPr>
          </w:p>
        </w:tc>
      </w:tr>
      <w:tr>
        <w:trPr>
          <w:trHeight w:val="202"/>
        </w:trPr>
        <w:tc>
          <w:tcPr>
            <w:tcW w:w="2500" w:type="dxa"/>
            <w:vAlign w:val="bottom"/>
            <w:tcBorders>
              <w:left w:val="single" w:sz="8" w:color="auto"/>
            </w:tcBorders>
            <w:gridSpan w:val="2"/>
          </w:tcPr>
          <w:p>
            <w:pPr>
              <w:ind w:left="20"/>
              <w:spacing w:after="0"/>
              <w:rPr>
                <w:sz w:val="20"/>
                <w:szCs w:val="20"/>
                <w:color w:val="auto"/>
              </w:rPr>
            </w:pPr>
            <w:r>
              <w:rPr>
                <w:rFonts w:ascii="Arial" w:cs="Arial" w:eastAsia="Arial" w:hAnsi="Arial"/>
                <w:sz w:val="16"/>
                <w:szCs w:val="16"/>
                <w:color w:val="auto"/>
              </w:rPr>
              <w:t>​3.  The approval, on a non-</w:t>
            </w:r>
          </w:p>
        </w:tc>
        <w:tc>
          <w:tcPr>
            <w:tcW w:w="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500" w:type="dxa"/>
            <w:vAlign w:val="bottom"/>
            <w:gridSpan w:val="2"/>
          </w:tcPr>
          <w:p>
            <w:pPr>
              <w:spacing w:after="0"/>
              <w:rPr>
                <w:sz w:val="20"/>
                <w:szCs w:val="20"/>
                <w:color w:val="auto"/>
              </w:rPr>
            </w:pPr>
            <w:r>
              <w:rPr>
                <w:rFonts w:ascii="Arial" w:cs="Arial" w:eastAsia="Arial" w:hAnsi="Arial"/>
                <w:sz w:val="16"/>
                <w:szCs w:val="16"/>
                <w:color w:val="auto"/>
              </w:rPr>
              <w:t>​ You may vote “FOR” or</w:t>
            </w:r>
          </w:p>
        </w:tc>
        <w:tc>
          <w:tcPr>
            <w:tcW w:w="1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p>
        </w:tc>
        <w:tc>
          <w:tcPr>
            <w:tcW w:w="2520" w:type="dxa"/>
            <w:vAlign w:val="bottom"/>
            <w:gridSpan w:val="2"/>
          </w:tcPr>
          <w:p>
            <w:pPr>
              <w:spacing w:after="0"/>
              <w:rPr>
                <w:sz w:val="20"/>
                <w:szCs w:val="20"/>
                <w:color w:val="auto"/>
              </w:rPr>
            </w:pPr>
            <w:r>
              <w:rPr>
                <w:rFonts w:ascii="Arial" w:cs="Arial" w:eastAsia="Arial" w:hAnsi="Arial"/>
                <w:sz w:val="16"/>
                <w:szCs w:val="16"/>
                <w:color w:val="auto"/>
              </w:rPr>
              <w:t>​ In order for this non-binding</w:t>
            </w:r>
          </w:p>
        </w:tc>
        <w:tc>
          <w:tcPr>
            <w:tcW w:w="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ind w:left="160"/>
              <w:spacing w:after="0"/>
              <w:rPr>
                <w:sz w:val="20"/>
                <w:szCs w:val="20"/>
                <w:color w:val="auto"/>
              </w:rPr>
            </w:pPr>
            <w:r>
              <w:rPr>
                <w:rFonts w:ascii="Arial" w:cs="Arial" w:eastAsia="Arial" w:hAnsi="Arial"/>
                <w:sz w:val="16"/>
                <w:szCs w:val="16"/>
                <w:color w:val="auto"/>
              </w:rPr>
              <w:t>binding advisory basis, of our</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6"/>
                <w:szCs w:val="16"/>
                <w:color w:val="auto"/>
              </w:rPr>
              <w:t>“AGAINST” the proposal, or you</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proposal to be approved, it must</w:t>
            </w:r>
          </w:p>
        </w:tc>
        <w:tc>
          <w:tcPr>
            <w:tcW w:w="100" w:type="dxa"/>
            <w:vAlign w:val="bottom"/>
            <w:tcBorders>
              <w:right w:val="single" w:sz="8" w:color="auto"/>
            </w:tcBorders>
          </w:tcPr>
          <w:p>
            <w:pPr>
              <w:spacing w:after="0"/>
              <w:rPr>
                <w:sz w:val="16"/>
                <w:szCs w:val="16"/>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ind w:left="160"/>
              <w:spacing w:after="0"/>
              <w:rPr>
                <w:sz w:val="20"/>
                <w:szCs w:val="20"/>
                <w:color w:val="auto"/>
              </w:rPr>
            </w:pPr>
            <w:r>
              <w:rPr>
                <w:rFonts w:ascii="Arial" w:cs="Arial" w:eastAsia="Arial" w:hAnsi="Arial"/>
                <w:sz w:val="16"/>
                <w:szCs w:val="16"/>
                <w:color w:val="auto"/>
              </w:rPr>
              <w:t>2022 named executive officer</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6"/>
                <w:szCs w:val="16"/>
                <w:color w:val="auto"/>
              </w:rPr>
              <w:t>may “ABSTAIN” from voting.</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receive a majority of the votes</w:t>
            </w:r>
          </w:p>
        </w:tc>
        <w:tc>
          <w:tcPr>
            <w:tcW w:w="100" w:type="dxa"/>
            <w:vAlign w:val="bottom"/>
            <w:tcBorders>
              <w:right w:val="single" w:sz="8" w:color="auto"/>
            </w:tcBorders>
          </w:tcPr>
          <w:p>
            <w:pPr>
              <w:spacing w:after="0"/>
              <w:rPr>
                <w:sz w:val="16"/>
                <w:szCs w:val="16"/>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2280" w:type="dxa"/>
            <w:vAlign w:val="bottom"/>
          </w:tcPr>
          <w:p>
            <w:pPr>
              <w:ind w:left="160"/>
              <w:spacing w:after="0"/>
              <w:rPr>
                <w:sz w:val="20"/>
                <w:szCs w:val="20"/>
                <w:color w:val="auto"/>
              </w:rPr>
            </w:pPr>
            <w:r>
              <w:rPr>
                <w:rFonts w:ascii="Arial" w:cs="Arial" w:eastAsia="Arial" w:hAnsi="Arial"/>
                <w:sz w:val="16"/>
                <w:szCs w:val="16"/>
                <w:color w:val="auto"/>
              </w:rPr>
              <w:t>compensation.</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w w:val="99"/>
              </w:rPr>
              <w:t>cast, in person or by proxy, by the</w:t>
            </w:r>
          </w:p>
        </w:tc>
        <w:tc>
          <w:tcPr>
            <w:tcW w:w="100" w:type="dxa"/>
            <w:vAlign w:val="bottom"/>
            <w:tcBorders>
              <w:right w:val="single" w:sz="8" w:color="auto"/>
            </w:tcBorders>
          </w:tcPr>
          <w:p>
            <w:pPr>
              <w:spacing w:after="0"/>
              <w:rPr>
                <w:sz w:val="17"/>
                <w:szCs w:val="17"/>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holders of the Class A, Class B</w:t>
            </w:r>
          </w:p>
        </w:tc>
        <w:tc>
          <w:tcPr>
            <w:tcW w:w="100" w:type="dxa"/>
            <w:vAlign w:val="bottom"/>
            <w:tcBorders>
              <w:right w:val="single" w:sz="8" w:color="auto"/>
            </w:tcBorders>
          </w:tcPr>
          <w:p>
            <w:pPr>
              <w:spacing w:after="0"/>
              <w:rPr>
                <w:sz w:val="16"/>
                <w:szCs w:val="16"/>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and Class C shares present and</w:t>
            </w:r>
          </w:p>
        </w:tc>
        <w:tc>
          <w:tcPr>
            <w:tcW w:w="100" w:type="dxa"/>
            <w:vAlign w:val="bottom"/>
            <w:tcBorders>
              <w:right w:val="single" w:sz="8" w:color="auto"/>
            </w:tcBorders>
          </w:tcPr>
          <w:p>
            <w:pPr>
              <w:spacing w:after="0"/>
              <w:rPr>
                <w:sz w:val="16"/>
                <w:szCs w:val="16"/>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entitled to vote, voting as a single</w:t>
            </w:r>
          </w:p>
        </w:tc>
        <w:tc>
          <w:tcPr>
            <w:tcW w:w="100" w:type="dxa"/>
            <w:vAlign w:val="bottom"/>
            <w:tcBorders>
              <w:right w:val="single" w:sz="8" w:color="auto"/>
            </w:tcBorders>
          </w:tcPr>
          <w:p>
            <w:pPr>
              <w:spacing w:after="0"/>
              <w:rPr>
                <w:sz w:val="17"/>
                <w:szCs w:val="17"/>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class. Abstentions will be counted</w:t>
            </w:r>
          </w:p>
        </w:tc>
        <w:tc>
          <w:tcPr>
            <w:tcW w:w="100" w:type="dxa"/>
            <w:vAlign w:val="bottom"/>
            <w:tcBorders>
              <w:right w:val="single" w:sz="8" w:color="auto"/>
            </w:tcBorders>
          </w:tcPr>
          <w:p>
            <w:pPr>
              <w:spacing w:after="0"/>
              <w:rPr>
                <w:sz w:val="16"/>
                <w:szCs w:val="16"/>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as votes present and entitled to</w:t>
            </w:r>
          </w:p>
        </w:tc>
        <w:tc>
          <w:tcPr>
            <w:tcW w:w="100" w:type="dxa"/>
            <w:vAlign w:val="bottom"/>
            <w:tcBorders>
              <w:right w:val="single" w:sz="8" w:color="auto"/>
            </w:tcBorders>
          </w:tcPr>
          <w:p>
            <w:pPr>
              <w:spacing w:after="0"/>
              <w:rPr>
                <w:sz w:val="16"/>
                <w:szCs w:val="16"/>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w w:val="99"/>
              </w:rPr>
              <w:t>vote and will have the same effect</w:t>
            </w:r>
          </w:p>
        </w:tc>
        <w:tc>
          <w:tcPr>
            <w:tcW w:w="100" w:type="dxa"/>
            <w:vAlign w:val="bottom"/>
            <w:tcBorders>
              <w:right w:val="single" w:sz="8" w:color="auto"/>
            </w:tcBorders>
          </w:tcPr>
          <w:p>
            <w:pPr>
              <w:spacing w:after="0"/>
              <w:rPr>
                <w:sz w:val="17"/>
                <w:szCs w:val="17"/>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as votes “AGAINST” this</w:t>
            </w:r>
          </w:p>
        </w:tc>
        <w:tc>
          <w:tcPr>
            <w:tcW w:w="100" w:type="dxa"/>
            <w:vAlign w:val="bottom"/>
            <w:tcBorders>
              <w:right w:val="single" w:sz="8" w:color="auto"/>
            </w:tcBorders>
          </w:tcPr>
          <w:p>
            <w:pPr>
              <w:spacing w:after="0"/>
              <w:rPr>
                <w:sz w:val="16"/>
                <w:szCs w:val="16"/>
                <w:color w:val="auto"/>
              </w:rPr>
            </w:pPr>
          </w:p>
        </w:tc>
      </w:tr>
      <w:tr>
        <w:trPr>
          <w:trHeight w:val="203"/>
        </w:trPr>
        <w:tc>
          <w:tcPr>
            <w:tcW w:w="220" w:type="dxa"/>
            <w:vAlign w:val="bottom"/>
            <w:tcBorders>
              <w:left w:val="single" w:sz="8" w:color="auto"/>
            </w:tcBorders>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proposal. Broker non-votes are</w:t>
            </w:r>
          </w:p>
        </w:tc>
        <w:tc>
          <w:tcPr>
            <w:tcW w:w="100" w:type="dxa"/>
            <w:vAlign w:val="bottom"/>
            <w:tcBorders>
              <w:right w:val="single" w:sz="8" w:color="auto"/>
            </w:tcBorders>
          </w:tcPr>
          <w:p>
            <w:pPr>
              <w:spacing w:after="0"/>
              <w:rPr>
                <w:sz w:val="17"/>
                <w:szCs w:val="17"/>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not considered votes cast and will</w:t>
            </w:r>
          </w:p>
        </w:tc>
        <w:tc>
          <w:tcPr>
            <w:tcW w:w="100" w:type="dxa"/>
            <w:vAlign w:val="bottom"/>
            <w:tcBorders>
              <w:right w:val="single" w:sz="8" w:color="auto"/>
            </w:tcBorders>
          </w:tcPr>
          <w:p>
            <w:pPr>
              <w:spacing w:after="0"/>
              <w:rPr>
                <w:sz w:val="16"/>
                <w:szCs w:val="16"/>
                <w:color w:val="auto"/>
              </w:rPr>
            </w:pPr>
          </w:p>
        </w:tc>
      </w:tr>
      <w:tr>
        <w:trPr>
          <w:trHeight w:val="189"/>
        </w:trPr>
        <w:tc>
          <w:tcPr>
            <w:tcW w:w="220" w:type="dxa"/>
            <w:vAlign w:val="bottom"/>
            <w:tcBorders>
              <w:lef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have no effect on the outcome of</w:t>
            </w:r>
          </w:p>
        </w:tc>
        <w:tc>
          <w:tcPr>
            <w:tcW w:w="100" w:type="dxa"/>
            <w:vAlign w:val="bottom"/>
            <w:tcBorders>
              <w:right w:val="single" w:sz="8" w:color="auto"/>
            </w:tcBorders>
          </w:tcPr>
          <w:p>
            <w:pPr>
              <w:spacing w:after="0"/>
              <w:rPr>
                <w:sz w:val="16"/>
                <w:szCs w:val="16"/>
                <w:color w:val="auto"/>
              </w:rPr>
            </w:pPr>
          </w:p>
        </w:tc>
      </w:tr>
      <w:tr>
        <w:trPr>
          <w:trHeight w:val="224"/>
        </w:trPr>
        <w:tc>
          <w:tcPr>
            <w:tcW w:w="220" w:type="dxa"/>
            <w:vAlign w:val="bottom"/>
            <w:tcBorders>
              <w:left w:val="single" w:sz="8" w:color="auto"/>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this proposal.</w:t>
            </w:r>
          </w:p>
        </w:tc>
        <w:tc>
          <w:tcPr>
            <w:tcW w:w="100" w:type="dxa"/>
            <w:vAlign w:val="bottom"/>
            <w:tcBorders>
              <w:bottom w:val="single" w:sz="8" w:color="auto"/>
              <w:right w:val="single" w:sz="8" w:color="auto"/>
            </w:tcBorders>
          </w:tcPr>
          <w:p>
            <w:pPr>
              <w:spacing w:after="0"/>
              <w:rPr>
                <w:sz w:val="19"/>
                <w:szCs w:val="19"/>
                <w:color w:val="auto"/>
              </w:rPr>
            </w:pPr>
          </w:p>
        </w:tc>
      </w:tr>
    </w:tbl>
    <w:p>
      <w:pPr>
        <w:spacing w:after="0" w:line="22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covers the expense of the proxy solicitation?</w:t>
      </w:r>
    </w:p>
    <w:p>
      <w:pPr>
        <w:spacing w:after="0" w:line="158" w:lineRule="exact"/>
        <w:rPr>
          <w:sz w:val="20"/>
          <w:szCs w:val="20"/>
          <w:color w:val="auto"/>
        </w:rPr>
      </w:pPr>
    </w:p>
    <w:p>
      <w:pPr>
        <w:ind w:left="1620" w:right="759" w:hanging="360"/>
        <w:spacing w:after="0" w:line="318" w:lineRule="auto"/>
        <w:tabs>
          <w:tab w:leader="none" w:pos="1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expense of preparing, printing and mailing this proxy statement and the proxies solicited hereby will be borne by us. In addition to the use of the mail, proxies may be solicited by PAGP</w:t>
      </w:r>
    </w:p>
    <w:p>
      <w:pPr>
        <w:sectPr>
          <w:pgSz w:w="11900" w:h="16838" w:orient="portrait"/>
          <w:cols w:equalWidth="0" w:num="1">
            <w:col w:w="9879"/>
          </w:cols>
          <w:pgMar w:left="580" w:top="97" w:right="1440" w:bottom="1440" w:gutter="0" w:footer="0" w:header="0"/>
        </w:sectPr>
      </w:pPr>
    </w:p>
    <w:p>
      <w:pPr>
        <w:spacing w:after="0" w:line="305"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39"/>
        <w:spacing w:after="0" w:line="254" w:lineRule="auto"/>
        <w:rPr>
          <w:sz w:val="20"/>
          <w:szCs w:val="20"/>
          <w:color w:val="auto"/>
        </w:rPr>
      </w:pPr>
      <w:r>
        <w:rPr>
          <w:rFonts w:ascii="Arial" w:cs="Arial" w:eastAsia="Arial" w:hAnsi="Arial"/>
          <w:sz w:val="18"/>
          <w:szCs w:val="18"/>
          <w:color w:val="auto"/>
        </w:rPr>
        <w:t>GP’s directors and officers, as well as by employees of GP LLC, without additional remuneration, by mail, phone, fax or in person. We will also request brokerage firms, banks, nominees, custodians and fiduciaries to forward proxy materials to the beneficial owners of our units as of the close of business on the Record Date and will provide reimbursement for the cost of forwarding the proxy materials in accordance with customary practice. Your cooperation in promptly voting</w:t>
      </w:r>
    </w:p>
    <w:p>
      <w:pPr>
        <w:spacing w:after="0" w:line="3" w:lineRule="exact"/>
        <w:rPr>
          <w:sz w:val="20"/>
          <w:szCs w:val="20"/>
          <w:color w:val="auto"/>
        </w:rPr>
      </w:pPr>
    </w:p>
    <w:p>
      <w:pPr>
        <w:jc w:val="both"/>
        <w:ind w:left="1620" w:right="539"/>
        <w:spacing w:after="0" w:line="258" w:lineRule="auto"/>
        <w:rPr>
          <w:sz w:val="20"/>
          <w:szCs w:val="20"/>
          <w:color w:val="auto"/>
        </w:rPr>
      </w:pPr>
      <w:r>
        <w:rPr>
          <w:rFonts w:ascii="Arial" w:cs="Arial" w:eastAsia="Arial" w:hAnsi="Arial"/>
          <w:sz w:val="18"/>
          <w:szCs w:val="18"/>
          <w:color w:val="auto"/>
        </w:rPr>
        <w:t>your units electronically, via the Internet or by telephone, or by signing and returning the enclosed proxy card will help to avoid additional expenses. We have hired Georgeson LLC to solicit proxies for a fee of $10,500 plus reasonable expenses for additional services.</w:t>
      </w:r>
    </w:p>
    <w:p>
      <w:pPr>
        <w:spacing w:after="0" w:line="11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if I do not mark a voting choice for some of the matters listed on my proxy card?</w:t>
      </w:r>
    </w:p>
    <w:p>
      <w:pPr>
        <w:spacing w:after="0" w:line="158" w:lineRule="exact"/>
        <w:rPr>
          <w:sz w:val="20"/>
          <w:szCs w:val="20"/>
          <w:color w:val="auto"/>
        </w:rPr>
      </w:pPr>
    </w:p>
    <w:p>
      <w:pPr>
        <w:ind w:left="1620" w:right="679" w:hanging="360"/>
        <w:spacing w:after="0" w:line="268"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you return a signed proxy card without indicating your voting choice, your units will be voted in accordance with the Board’s recommendation for each proposal with respect to which a voting choice is not indicated.</w:t>
      </w:r>
    </w:p>
    <w:p>
      <w:pPr>
        <w:spacing w:after="0" w:line="90"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will tabulate and certify the vote?</w:t>
      </w:r>
    </w:p>
    <w:p>
      <w:pPr>
        <w:spacing w:after="0" w:line="158" w:lineRule="exact"/>
        <w:rPr>
          <w:sz w:val="20"/>
          <w:szCs w:val="20"/>
          <w:color w:val="auto"/>
        </w:rPr>
      </w:pPr>
    </w:p>
    <w:p>
      <w:pPr>
        <w:ind w:left="1620" w:right="879" w:hanging="360"/>
        <w:spacing w:after="0" w:line="287"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AST will tabulate and certify the vote, and a representative of AST will act as the independent inspector of elections for the PAA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CORPORATE GOVERNANCE AND RELATED MATTERS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of Recent Changes</w:t>
      </w:r>
    </w:p>
    <w:p>
      <w:pPr>
        <w:spacing w:after="0" w:line="158" w:lineRule="exact"/>
        <w:rPr>
          <w:sz w:val="20"/>
          <w:szCs w:val="20"/>
          <w:color w:val="auto"/>
        </w:rPr>
      </w:pPr>
    </w:p>
    <w:p>
      <w:pPr>
        <w:ind w:left="1260" w:right="599" w:firstLine="360"/>
        <w:spacing w:after="0" w:line="283" w:lineRule="auto"/>
        <w:rPr>
          <w:sz w:val="20"/>
          <w:szCs w:val="20"/>
          <w:color w:val="auto"/>
        </w:rPr>
      </w:pPr>
      <w:r>
        <w:rPr>
          <w:rFonts w:ascii="Arial" w:cs="Arial" w:eastAsia="Arial" w:hAnsi="Arial"/>
          <w:sz w:val="17"/>
          <w:szCs w:val="17"/>
          <w:color w:val="auto"/>
        </w:rPr>
        <w:t>Investors have voiced a preference for certain governance practices, and over the course of the last several years, our board and governance structure has evolved and changed in ways that we believe are meaningfully beneficial to investors. Highlights of some of the key changes are as follows:</w:t>
      </w:r>
    </w:p>
    <w:p>
      <w:pPr>
        <w:spacing w:after="0" w:line="7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2016</w:t>
      </w:r>
    </w:p>
    <w:p>
      <w:pPr>
        <w:spacing w:after="0" w:line="104" w:lineRule="exact"/>
        <w:rPr>
          <w:sz w:val="20"/>
          <w:szCs w:val="20"/>
          <w:color w:val="auto"/>
        </w:rPr>
      </w:pPr>
    </w:p>
    <w:p>
      <w:pPr>
        <w:ind w:left="1800" w:right="659" w:hanging="180"/>
        <w:spacing w:after="0" w:line="28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Replaced our dual board structure for PAA and PAGP with a unified governance structure that resulted in the Board being solely responsible for the governance of PAA and PAGP;</w:t>
      </w:r>
    </w:p>
    <w:p>
      <w:pPr>
        <w:spacing w:after="0" w:line="44" w:lineRule="exact"/>
        <w:rPr>
          <w:rFonts w:ascii="Arial" w:cs="Arial" w:eastAsia="Arial" w:hAnsi="Arial"/>
          <w:sz w:val="18"/>
          <w:szCs w:val="18"/>
          <w:color w:val="auto"/>
        </w:rPr>
      </w:pPr>
    </w:p>
    <w:p>
      <w:pPr>
        <w:ind w:left="1800" w:right="839" w:hanging="180"/>
        <w:spacing w:after="0" w:line="291"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Amended our governing documents to enfranchise all shareholders of PAGP and all public common unitholders and Series A preferred unitholders of PAA by providing for shareholder elections of directors commencing in 2018 (on a staggered three-year rolling basis);</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2017</w:t>
      </w:r>
    </w:p>
    <w:p>
      <w:pPr>
        <w:spacing w:after="0" w:line="104" w:lineRule="exact"/>
        <w:rPr>
          <w:sz w:val="20"/>
          <w:szCs w:val="20"/>
          <w:color w:val="auto"/>
        </w:rPr>
      </w:pPr>
    </w:p>
    <w:p>
      <w:pPr>
        <w:ind w:left="1800" w:right="699" w:hanging="180"/>
        <w:spacing w:after="0" w:line="28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Added Asian American director to the Board (subsequently became Chairman of the Board in January 2020);</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2018</w:t>
      </w:r>
    </w:p>
    <w:p>
      <w:pPr>
        <w:spacing w:after="0" w:line="117" w:lineRule="exact"/>
        <w:rPr>
          <w:sz w:val="20"/>
          <w:szCs w:val="20"/>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Held first annual meeting for the election of directors;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Added new independent female director to the Board;</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2019</w:t>
      </w:r>
    </w:p>
    <w:p>
      <w:pPr>
        <w:spacing w:after="0" w:line="117" w:lineRule="exact"/>
        <w:rPr>
          <w:sz w:val="20"/>
          <w:szCs w:val="20"/>
          <w:color w:val="auto"/>
        </w:rPr>
      </w:pPr>
    </w:p>
    <w:p>
      <w:pPr>
        <w:ind w:left="1800" w:right="419" w:hanging="180"/>
        <w:spacing w:after="0" w:line="262"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Amended our governing documents to require that a majority of our Board satisfy applicable stock exchange independence requirements, despite the fact that as a limited partnership we are exempt from such requirements (nine out of 12 (75%) of our current Board members have been assessed by the Board and determined to be independent);</w:t>
      </w:r>
    </w:p>
    <w:p>
      <w:pPr>
        <w:spacing w:after="0" w:line="54" w:lineRule="exact"/>
        <w:rPr>
          <w:rFonts w:ascii="Arial" w:cs="Arial" w:eastAsia="Arial" w:hAnsi="Arial"/>
          <w:sz w:val="18"/>
          <w:szCs w:val="18"/>
          <w:color w:val="auto"/>
        </w:rPr>
      </w:pPr>
    </w:p>
    <w:p>
      <w:pPr>
        <w:ind w:left="1800" w:right="779" w:hanging="180"/>
        <w:spacing w:after="0" w:line="268"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Amended our governing documents to create a strong lead independent director role in connection with the retirement of our former Chairman and the re-combination of the roles of Chairman and CEO;</w:t>
      </w:r>
    </w:p>
    <w:p>
      <w:pPr>
        <w:spacing w:after="0" w:line="62" w:lineRule="exact"/>
        <w:rPr>
          <w:rFonts w:ascii="Arial" w:cs="Arial" w:eastAsia="Arial" w:hAnsi="Arial"/>
          <w:sz w:val="18"/>
          <w:szCs w:val="18"/>
          <w:color w:val="auto"/>
        </w:rPr>
      </w:pPr>
    </w:p>
    <w:p>
      <w:pPr>
        <w:ind w:left="1800" w:right="659" w:hanging="180"/>
        <w:spacing w:after="0" w:line="262"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the assistance of our Governance Committee, initiated a comprehensive board assessment, refreshment and succession planning process that includes a periodic skills and needs assessment, the development and maintenance of a formal board succession plan and annual director performance evaluations;</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2020</w:t>
      </w:r>
    </w:p>
    <w:p>
      <w:pPr>
        <w:spacing w:after="0" w:line="117" w:lineRule="exact"/>
        <w:rPr>
          <w:sz w:val="20"/>
          <w:szCs w:val="20"/>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Added new independent director to the Board;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Appointed independent chairman to Compensation Committee;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Adopted Equity Ownership Guidelines and Clawback Policy;</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2021</w:t>
      </w:r>
    </w:p>
    <w:p>
      <w:pPr>
        <w:spacing w:after="0" w:line="104" w:lineRule="exact"/>
        <w:rPr>
          <w:sz w:val="20"/>
          <w:szCs w:val="20"/>
          <w:color w:val="auto"/>
        </w:rPr>
      </w:pPr>
    </w:p>
    <w:p>
      <w:pPr>
        <w:ind w:left="1800" w:right="539" w:hanging="180"/>
        <w:spacing w:after="0" w:line="268"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Established a new committee, the Health, Safety, Environmental and Sustainability (“HSES”) Committee, to assist the Board in its oversight of various HSES matters and facilitate the efforts of management to further strengthen our focus on sustainability and ESG matters;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Mandated that the members of all Board committees be independent;</w:t>
      </w:r>
    </w:p>
    <w:p>
      <w:pPr>
        <w:spacing w:after="0" w:line="117" w:lineRule="exact"/>
        <w:rPr>
          <w:rFonts w:ascii="Arial" w:cs="Arial" w:eastAsia="Arial" w:hAnsi="Arial"/>
          <w:sz w:val="18"/>
          <w:szCs w:val="18"/>
          <w:color w:val="auto"/>
        </w:rPr>
      </w:pPr>
    </w:p>
    <w:p>
      <w:pPr>
        <w:ind w:left="1800" w:right="439" w:hanging="180"/>
        <w:spacing w:after="0" w:line="28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Amended our governing documents to increase the number of directors subject to public election by adding the three directors who are current or former members of management;</w:t>
      </w:r>
    </w:p>
    <w:p>
      <w:pPr>
        <w:spacing w:after="0" w:line="44" w:lineRule="exact"/>
        <w:rPr>
          <w:rFonts w:ascii="Arial" w:cs="Arial" w:eastAsia="Arial" w:hAnsi="Arial"/>
          <w:sz w:val="18"/>
          <w:szCs w:val="18"/>
          <w:color w:val="auto"/>
        </w:rPr>
      </w:pPr>
    </w:p>
    <w:p>
      <w:pPr>
        <w:ind w:left="1800" w:right="579" w:hanging="180"/>
        <w:spacing w:after="0" w:line="291"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Amended our governing documents to eliminate the lone remaining legacy director designation right, resulting in all Board members being subject to public election, and all non-management directors serving on the same basis in terms of rights, duties and obligations of directors; and</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2022</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Added new independent female director to the Board.</w:t>
      </w:r>
    </w:p>
    <w:p>
      <w:pPr>
        <w:spacing w:after="0" w:line="158" w:lineRule="exact"/>
        <w:rPr>
          <w:sz w:val="20"/>
          <w:szCs w:val="20"/>
          <w:color w:val="auto"/>
        </w:rPr>
      </w:pPr>
    </w:p>
    <w:p>
      <w:pPr>
        <w:ind w:left="1260" w:right="499" w:firstLine="360"/>
        <w:spacing w:after="0" w:line="247" w:lineRule="auto"/>
        <w:rPr>
          <w:sz w:val="20"/>
          <w:szCs w:val="20"/>
          <w:color w:val="auto"/>
        </w:rPr>
      </w:pPr>
      <w:r>
        <w:rPr>
          <w:rFonts w:ascii="Arial" w:cs="Arial" w:eastAsia="Arial" w:hAnsi="Arial"/>
          <w:sz w:val="18"/>
          <w:szCs w:val="18"/>
          <w:color w:val="auto"/>
        </w:rPr>
        <w:t>As described in the summary above, since 2016, the Board has taken numerous meaningful steps to provide PAGP shareholders and PAA unitholders the right to vote for members of the Board. At a special meeting of PAGP shareholders held in November 2016 in connection with our simplification transaction (the “Simplification Transaction”), PAGP shareholders overwhelmingly approved the following changes to our governing documents, among others:</w:t>
      </w:r>
    </w:p>
    <w:p>
      <w:pPr>
        <w:spacing w:after="0" w:line="69" w:lineRule="exact"/>
        <w:rPr>
          <w:sz w:val="20"/>
          <w:szCs w:val="20"/>
          <w:color w:val="auto"/>
        </w:rPr>
      </w:pPr>
    </w:p>
    <w:p>
      <w:pPr>
        <w:ind w:left="1800" w:right="859" w:hanging="180"/>
        <w:spacing w:after="0" w:line="28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for PAA and PAGP that resulted in the Board being solely responsible for the governance of PAGP and PAA; and</w:t>
      </w:r>
    </w:p>
    <w:p>
      <w:pPr>
        <w:spacing w:after="0" w:line="31" w:lineRule="exact"/>
        <w:rPr>
          <w:rFonts w:ascii="Arial" w:cs="Arial" w:eastAsia="Arial" w:hAnsi="Arial"/>
          <w:sz w:val="18"/>
          <w:szCs w:val="18"/>
          <w:color w:val="auto"/>
        </w:rPr>
      </w:pPr>
    </w:p>
    <w:p>
      <w:pPr>
        <w:ind w:left="1800" w:right="459" w:hanging="180"/>
        <w:spacing w:after="0" w:line="268"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division of the Board into three classes and the commencement of director elections by class starting in 2018, with the participation and enfranchisement of all shareholders of PAGP and all public common unitholders and Series A preferred unitholders of PAA.</w:t>
      </w:r>
    </w:p>
    <w:p>
      <w:pPr>
        <w:spacing w:after="0" w:line="90"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8"/>
          <w:szCs w:val="18"/>
          <w:color w:val="auto"/>
        </w:rPr>
        <w:t>These features distinguish us from many of our midstream master limited partnership peers. Together with the alignment of interests among investors that was created through the elimination of PAA’s incentive distribution rights in connection with the Simplification Transaction, the Board has put in place an overall governance structure that vastly improves the governance rights of our investors and which we believe is regarded by many as a structure that, together with other factors, produces a degree of alignment with our investors that places us at the top of our master limited partnership peers for the midstream sector regarding governance structure and voting rights. The Board believes that the continued implementation of the modified governance structure as approved by PAGP’s shareholders, together with the governance enhancements made in recent years, is consistent with the desires and expectations of investors in PAA and PAGP.</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Management and Governance</w:t>
      </w:r>
    </w:p>
    <w:p>
      <w:pPr>
        <w:spacing w:after="0" w:line="144" w:lineRule="exact"/>
        <w:rPr>
          <w:sz w:val="20"/>
          <w:szCs w:val="20"/>
          <w:color w:val="auto"/>
        </w:rPr>
      </w:pPr>
    </w:p>
    <w:p>
      <w:pPr>
        <w:ind w:left="1260" w:right="499" w:firstLine="360"/>
        <w:spacing w:after="0" w:line="246" w:lineRule="auto"/>
        <w:rPr>
          <w:sz w:val="20"/>
          <w:szCs w:val="20"/>
          <w:color w:val="auto"/>
        </w:rPr>
      </w:pPr>
      <w:r>
        <w:rPr>
          <w:rFonts w:ascii="Arial" w:cs="Arial" w:eastAsia="Arial" w:hAnsi="Arial"/>
          <w:sz w:val="18"/>
          <w:szCs w:val="18"/>
          <w:color w:val="auto"/>
        </w:rPr>
        <w:t>Our operations and activities are managed by GP LLC, which employs our management and operational personnel (other than our Canadian personnel, who are employed by Plains Midstream Canada ULC). GP LLC is the general partner of Plains AAP, which is the sole member of our general partner. PAGP is the sole member of GP LLC, and PAGP GP is the general partner of PAGP. PAGP does not directly own any operating assets or have any operating activities apart from those conducted by PAA. The Board of PAGP GP has responsibility for managing the business and affairs of PAGP and PAA.</w:t>
      </w:r>
    </w:p>
    <w:p>
      <w:pPr>
        <w:spacing w:after="0" w:line="108"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Our Unitholders are limited partners and do not directly or indirectly participate in our management or operation. Unlike holders of common stock in a corporation, our Unitholders have only limited voting rights on matters affecting our business or governance, subject in all cases to any specific unitholder rights contained in our partnership agreement. In connection with the Simplification Transaction completed in November 2016, we expanded the voting rights of our Unitholders to include the election of directors and, in 2018, we began holding annual meetings for this purpose.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Ownership and Voting Structure</w:t>
      </w:r>
    </w:p>
    <w:p>
      <w:pPr>
        <w:spacing w:after="0" w:line="158"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8"/>
          <w:szCs w:val="18"/>
          <w:color w:val="auto"/>
        </w:rPr>
        <w:t>The Simplification Transaction completed in November 2016 resulted in a structure that includes two public companies (PAA and PAGP) governed by a single Board. The Board is located at PAGP’s general partner, PAGP GP. The Simplification Transaction also provided that the equity holders of both PAA and PAGP would be afforded the right to vote in the election of directors.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PAGP has three classes of voting equity, as follows:</w:t>
      </w:r>
    </w:p>
    <w:p>
      <w:pPr>
        <w:spacing w:after="0" w:line="104" w:lineRule="exact"/>
        <w:rPr>
          <w:sz w:val="20"/>
          <w:szCs w:val="20"/>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PAGP Class A shares, which are listed on Nasdaq;</w:t>
      </w:r>
    </w:p>
    <w:p>
      <w:pPr>
        <w:spacing w:after="0" w:line="103" w:lineRule="exact"/>
        <w:rPr>
          <w:rFonts w:ascii="Arial" w:cs="Arial" w:eastAsia="Arial" w:hAnsi="Arial"/>
          <w:sz w:val="18"/>
          <w:szCs w:val="18"/>
          <w:color w:val="auto"/>
        </w:rPr>
      </w:pPr>
    </w:p>
    <w:p>
      <w:pPr>
        <w:ind w:left="1800" w:right="719" w:hanging="180"/>
        <w:spacing w:after="0" w:line="28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PAGP Class B shares, which represent non-economic limited partner voting interests and are privately held by certain legacy investors and management; and</w:t>
      </w:r>
    </w:p>
    <w:p>
      <w:pPr>
        <w:spacing w:after="0" w:line="31" w:lineRule="exact"/>
        <w:rPr>
          <w:rFonts w:ascii="Arial" w:cs="Arial" w:eastAsia="Arial" w:hAnsi="Arial"/>
          <w:sz w:val="18"/>
          <w:szCs w:val="18"/>
          <w:color w:val="auto"/>
        </w:rPr>
      </w:pPr>
    </w:p>
    <w:p>
      <w:pPr>
        <w:ind w:left="1800" w:right="539" w:hanging="180"/>
        <w:spacing w:after="0" w:line="262"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PAGP Class C shares, which are also non-economic limited partner voting interests. The PAGP Class C shares are held by PAA solely for the purpose of creating a mechanism through which PAA equity holders (other than Plains AAP) can participate in the election of directors of PAGP GP.</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With respect to the election of directors, the PAGP Class A, Class B and Class C shares vote</w:t>
      </w:r>
    </w:p>
    <w:p>
      <w:pPr>
        <w:spacing w:after="0" w:line="27" w:lineRule="exact"/>
        <w:rPr>
          <w:sz w:val="20"/>
          <w:szCs w:val="20"/>
          <w:color w:val="auto"/>
        </w:rPr>
      </w:pPr>
    </w:p>
    <w:p>
      <w:pPr>
        <w:ind w:left="1260" w:right="539"/>
        <w:spacing w:after="0" w:line="242" w:lineRule="auto"/>
        <w:rPr>
          <w:sz w:val="20"/>
          <w:szCs w:val="20"/>
          <w:color w:val="auto"/>
        </w:rPr>
      </w:pPr>
      <w:r>
        <w:rPr>
          <w:rFonts w:ascii="Arial" w:cs="Arial" w:eastAsia="Arial" w:hAnsi="Arial"/>
          <w:sz w:val="18"/>
          <w:szCs w:val="18"/>
          <w:color w:val="auto"/>
        </w:rPr>
        <w:t>together as a single class. PAGP equity holders vote directly at the PAGP Annual Meeting. PAA equity holders (which include holders of PAA’s publicly held Common units and Series A preferred units) vote indirectly by instructing PAA how to vote the Class C shares that it owns on their behalf at the PAGP Annual Meeting. In order to receive voting instructions from PAA voting equity holders, PAA holds its annual meeting immediately prior to the PAGP Annual Meeting. The voting instructions received at the PAA annual meeting are “passed through” by PAA by virtue of its voting of the Class C shares at the PAGP Annual Meeting in accordance with such instructions.</w:t>
      </w:r>
    </w:p>
    <w:p>
      <w:pPr>
        <w:spacing w:after="0" w:line="114" w:lineRule="exact"/>
        <w:rPr>
          <w:sz w:val="20"/>
          <w:szCs w:val="20"/>
          <w:color w:val="auto"/>
        </w:rPr>
      </w:pPr>
    </w:p>
    <w:p>
      <w:pPr>
        <w:ind w:left="1260" w:right="539" w:firstLine="360"/>
        <w:spacing w:after="0" w:line="271" w:lineRule="auto"/>
        <w:rPr>
          <w:sz w:val="20"/>
          <w:szCs w:val="20"/>
          <w:color w:val="auto"/>
        </w:rPr>
      </w:pPr>
      <w:r>
        <w:rPr>
          <w:rFonts w:ascii="Arial" w:cs="Arial" w:eastAsia="Arial" w:hAnsi="Arial"/>
          <w:sz w:val="18"/>
          <w:szCs w:val="18"/>
          <w:color w:val="auto"/>
        </w:rPr>
        <w:t>On a combined basis, as of the Record Date, the voting rights of PAGP and PAA equity holders in connection with the election of directors were allocated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92075</wp:posOffset>
            </wp:positionV>
            <wp:extent cx="3848735"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48735" cy="548640"/>
                    </a:xfrm>
                    <a:prstGeom prst="rect">
                      <a:avLst/>
                    </a:prstGeom>
                    <a:noFill/>
                  </pic:spPr>
                </pic:pic>
              </a:graphicData>
            </a:graphic>
          </wp:anchor>
        </w:drawing>
      </w:r>
    </w:p>
    <w:p>
      <w:pPr>
        <w:spacing w:after="0" w:line="105" w:lineRule="exact"/>
        <w:rPr>
          <w:sz w:val="20"/>
          <w:szCs w:val="20"/>
          <w:color w:val="auto"/>
        </w:rPr>
      </w:pPr>
    </w:p>
    <w:tbl>
      <w:tblPr>
        <w:tblLayout w:type="fixed"/>
        <w:tblInd w:w="1260" w:type="dxa"/>
        <w:tblCellMar>
          <w:top w:w="0" w:type="dxa"/>
          <w:left w:w="0" w:type="dxa"/>
          <w:bottom w:w="0" w:type="dxa"/>
          <w:right w:w="0" w:type="dxa"/>
        </w:tblCellMar>
      </w:tblPr>
      <w:tr>
        <w:trPr>
          <w:trHeight w:val="247"/>
        </w:trPr>
        <w:tc>
          <w:tcPr>
            <w:tcW w:w="20" w:type="dxa"/>
            <w:vAlign w:val="bottom"/>
            <w:tcBorders>
              <w:top w:val="single" w:sz="8" w:color="424E6A"/>
            </w:tcBorders>
          </w:tcPr>
          <w:p>
            <w:pPr>
              <w:spacing w:after="0"/>
              <w:rPr>
                <w:sz w:val="21"/>
                <w:szCs w:val="21"/>
                <w:color w:val="auto"/>
              </w:rPr>
            </w:pPr>
          </w:p>
        </w:tc>
        <w:tc>
          <w:tcPr>
            <w:tcW w:w="120" w:type="dxa"/>
            <w:vAlign w:val="bottom"/>
            <w:tcBorders>
              <w:top w:val="single" w:sz="8" w:color="424E6A"/>
            </w:tcBorders>
            <w:shd w:val="clear" w:color="auto" w:fill="424E6A"/>
          </w:tcPr>
          <w:p>
            <w:pPr>
              <w:spacing w:after="0"/>
              <w:rPr>
                <w:sz w:val="21"/>
                <w:szCs w:val="21"/>
                <w:color w:val="auto"/>
              </w:rPr>
            </w:pPr>
          </w:p>
        </w:tc>
        <w:tc>
          <w:tcPr>
            <w:tcW w:w="5700" w:type="dxa"/>
            <w:vAlign w:val="bottom"/>
            <w:tcBorders>
              <w:top w:val="single" w:sz="8" w:color="424E6A"/>
            </w:tcBorders>
            <w:shd w:val="clear" w:color="auto" w:fill="424E6A"/>
          </w:tcPr>
          <w:p>
            <w:pPr>
              <w:spacing w:after="0"/>
              <w:rPr>
                <w:sz w:val="21"/>
                <w:szCs w:val="21"/>
                <w:color w:val="auto"/>
              </w:rPr>
            </w:pPr>
          </w:p>
        </w:tc>
        <w:tc>
          <w:tcPr>
            <w:tcW w:w="220" w:type="dxa"/>
            <w:vAlign w:val="bottom"/>
            <w:tcBorders>
              <w:top w:val="single" w:sz="8" w:color="424E6A"/>
            </w:tcBorders>
            <w:shd w:val="clear" w:color="auto" w:fill="424E6A"/>
          </w:tcPr>
          <w:p>
            <w:pPr>
              <w:spacing w:after="0"/>
              <w:rPr>
                <w:sz w:val="21"/>
                <w:szCs w:val="21"/>
                <w:color w:val="auto"/>
              </w:rPr>
            </w:pPr>
          </w:p>
        </w:tc>
        <w:tc>
          <w:tcPr>
            <w:tcW w:w="1040" w:type="dxa"/>
            <w:vAlign w:val="bottom"/>
            <w:tcBorders>
              <w:top w:val="single" w:sz="8" w:color="424E6A"/>
            </w:tcBorders>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 of</w:t>
            </w:r>
          </w:p>
        </w:tc>
        <w:tc>
          <w:tcPr>
            <w:tcW w:w="60" w:type="dxa"/>
            <w:vAlign w:val="bottom"/>
            <w:tcBorders>
              <w:top w:val="single" w:sz="8" w:color="424E6A"/>
            </w:tcBorders>
            <w:shd w:val="clear" w:color="auto" w:fill="424E6A"/>
          </w:tcPr>
          <w:p>
            <w:pPr>
              <w:spacing w:after="0"/>
              <w:rPr>
                <w:sz w:val="21"/>
                <w:szCs w:val="21"/>
                <w:color w:val="auto"/>
              </w:rPr>
            </w:pPr>
          </w:p>
        </w:tc>
        <w:tc>
          <w:tcPr>
            <w:tcW w:w="1060" w:type="dxa"/>
            <w:vAlign w:val="bottom"/>
            <w:tcBorders>
              <w:top w:val="single" w:sz="8" w:color="424E6A"/>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w:t>
            </w:r>
          </w:p>
        </w:tc>
      </w:tr>
      <w:tr>
        <w:trPr>
          <w:trHeight w:val="162"/>
        </w:trPr>
        <w:tc>
          <w:tcPr>
            <w:tcW w:w="20" w:type="dxa"/>
            <w:vAlign w:val="bottom"/>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570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104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Overall Voting</w:t>
            </w:r>
          </w:p>
        </w:tc>
        <w:tc>
          <w:tcPr>
            <w:tcW w:w="60" w:type="dxa"/>
            <w:vAlign w:val="bottom"/>
            <w:shd w:val="clear" w:color="auto" w:fill="424E6A"/>
          </w:tcPr>
          <w:p>
            <w:pPr>
              <w:spacing w:after="0"/>
              <w:rPr>
                <w:sz w:val="14"/>
                <w:szCs w:val="14"/>
                <w:color w:val="auto"/>
              </w:rPr>
            </w:pPr>
          </w:p>
        </w:tc>
        <w:tc>
          <w:tcPr>
            <w:tcW w:w="106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Voting</w:t>
            </w:r>
          </w:p>
        </w:tc>
      </w:tr>
      <w:tr>
        <w:trPr>
          <w:trHeight w:val="198"/>
        </w:trPr>
        <w:tc>
          <w:tcPr>
            <w:tcW w:w="20" w:type="dxa"/>
            <w:vAlign w:val="bottom"/>
            <w:tcBorders>
              <w:bottom w:val="single" w:sz="8" w:color="424E6A"/>
            </w:tcBorders>
          </w:tcPr>
          <w:p>
            <w:pPr>
              <w:spacing w:after="0"/>
              <w:rPr>
                <w:sz w:val="17"/>
                <w:szCs w:val="17"/>
                <w:color w:val="auto"/>
              </w:rPr>
            </w:pPr>
          </w:p>
        </w:tc>
        <w:tc>
          <w:tcPr>
            <w:tcW w:w="5820" w:type="dxa"/>
            <w:vAlign w:val="bottom"/>
            <w:tcBorders>
              <w:bottom w:val="single" w:sz="8" w:color="424E6A"/>
            </w:tcBorders>
            <w:gridSpan w:val="2"/>
            <w:shd w:val="clear" w:color="auto" w:fill="424E6A"/>
          </w:tcPr>
          <w:p>
            <w:pPr>
              <w:ind w:left="2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Voting Class</w:t>
            </w:r>
          </w:p>
        </w:tc>
        <w:tc>
          <w:tcPr>
            <w:tcW w:w="420" w:type="dxa"/>
            <w:vAlign w:val="bottom"/>
            <w:tcBorders>
              <w:bottom w:val="single" w:sz="8" w:color="424E6A"/>
            </w:tcBorders>
            <w:gridSpan w:val="2"/>
            <w:shd w:val="clear" w:color="auto" w:fill="424E6A"/>
          </w:tcPr>
          <w:p>
            <w:pPr>
              <w:jc w:val="right"/>
              <w:ind w:right="45"/>
              <w:spacing w:after="0"/>
              <w:rPr>
                <w:sz w:val="20"/>
                <w:szCs w:val="20"/>
                <w:color w:val="auto"/>
              </w:rPr>
            </w:pPr>
            <w:r>
              <w:rPr>
                <w:rFonts w:ascii="Arial" w:cs="Arial" w:eastAsia="Arial" w:hAnsi="Arial"/>
                <w:sz w:val="14"/>
                <w:szCs w:val="14"/>
                <w:b w:val="1"/>
                <w:bCs w:val="1"/>
                <w:color w:val="FFFFFF"/>
              </w:rPr>
              <w:t>​​</w:t>
            </w:r>
          </w:p>
        </w:tc>
        <w:tc>
          <w:tcPr>
            <w:tcW w:w="840" w:type="dxa"/>
            <w:vAlign w:val="bottom"/>
            <w:tcBorders>
              <w:bottom w:val="single" w:sz="8" w:color="424E6A"/>
            </w:tcBorders>
            <w:gridSpan w:val="2"/>
            <w:shd w:val="clear" w:color="auto" w:fill="424E6A"/>
          </w:tcPr>
          <w:p>
            <w:pPr>
              <w:jc w:val="center"/>
              <w:ind w:right="39"/>
              <w:spacing w:after="0"/>
              <w:rPr>
                <w:sz w:val="20"/>
                <w:szCs w:val="20"/>
                <w:color w:val="auto"/>
              </w:rPr>
            </w:pPr>
            <w:r>
              <w:rPr>
                <w:rFonts w:ascii="Arial" w:cs="Arial" w:eastAsia="Arial" w:hAnsi="Arial"/>
                <w:sz w:val="14"/>
                <w:szCs w:val="14"/>
                <w:b w:val="1"/>
                <w:bCs w:val="1"/>
                <w:color w:val="FFFFFF"/>
              </w:rPr>
              <w:t>Rights</w:t>
            </w:r>
          </w:p>
        </w:tc>
        <w:tc>
          <w:tcPr>
            <w:tcW w:w="1120" w:type="dxa"/>
            <w:vAlign w:val="bottom"/>
            <w:tcBorders>
              <w:bottom w:val="single" w:sz="8" w:color="424E6A"/>
              <w:right w:val="single" w:sz="8" w:color="424E6A"/>
            </w:tcBorders>
            <w:gridSpan w:val="2"/>
            <w:shd w:val="clear" w:color="auto" w:fill="424E6A"/>
          </w:tcPr>
          <w:p>
            <w:pPr>
              <w:jc w:val="center"/>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Shares/Units</w:t>
            </w:r>
          </w:p>
        </w:tc>
      </w:tr>
      <w:tr>
        <w:trPr>
          <w:trHeight w:val="237"/>
        </w:trPr>
        <w:tc>
          <w:tcPr>
            <w:tcW w:w="20" w:type="dxa"/>
            <w:vAlign w:val="bottom"/>
            <w:tcBorders>
              <w:bottom w:val="single" w:sz="8" w:color="424E6A"/>
            </w:tcBorders>
            <w:shd w:val="clear" w:color="auto" w:fill="424E6A"/>
          </w:tcPr>
          <w:p>
            <w:pPr>
              <w:spacing w:after="0"/>
              <w:rPr>
                <w:sz w:val="20"/>
                <w:szCs w:val="20"/>
                <w:color w:val="auto"/>
              </w:rPr>
            </w:pPr>
          </w:p>
        </w:tc>
        <w:tc>
          <w:tcPr>
            <w:tcW w:w="5820" w:type="dxa"/>
            <w:vAlign w:val="bottom"/>
            <w:tcBorders>
              <w:bottom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PAGP Class A Shares (Nasdaq: PAGP)</w:t>
            </w:r>
          </w:p>
        </w:tc>
        <w:tc>
          <w:tcPr>
            <w:tcW w:w="420" w:type="dxa"/>
            <w:vAlign w:val="bottom"/>
            <w:tcBorders>
              <w:bottom w:val="single" w:sz="8" w:color="424E6A"/>
            </w:tcBorders>
            <w:gridSpan w:val="2"/>
          </w:tcPr>
          <w:p>
            <w:pPr>
              <w:jc w:val="right"/>
              <w:ind w:right="4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840" w:type="dxa"/>
            <w:vAlign w:val="bottom"/>
            <w:tcBorders>
              <w:bottom w:val="single" w:sz="8" w:color="424E6A"/>
            </w:tcBorders>
            <w:gridSpan w:val="2"/>
          </w:tcPr>
          <w:p>
            <w:pPr>
              <w:ind w:left="140"/>
              <w:spacing w:after="0" w:line="236" w:lineRule="exact"/>
              <w:rPr>
                <w:sz w:val="20"/>
                <w:szCs w:val="20"/>
                <w:color w:val="auto"/>
              </w:rPr>
            </w:pPr>
            <w:r>
              <w:rPr>
                <w:rFonts w:ascii="Arial" w:cs="Arial" w:eastAsia="Arial" w:hAnsi="Arial"/>
                <w:sz w:val="27"/>
                <w:szCs w:val="27"/>
                <w:color w:val="auto"/>
                <w:highlight w:val="lightGray"/>
                <w:vertAlign w:val="subscript"/>
              </w:rPr>
              <w:t>​</w:t>
            </w:r>
            <w:r>
              <w:rPr>
                <w:rFonts w:ascii="Arial" w:cs="Arial" w:eastAsia="Arial" w:hAnsi="Arial"/>
                <w:sz w:val="14"/>
                <w:szCs w:val="14"/>
                <w:color w:val="auto"/>
                <w:highlight w:val="lightGray"/>
              </w:rPr>
              <w:t xml:space="preserve"> 25.3%</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highlight w:val="lightGray"/>
              </w:rPr>
              <w:t>​</w:t>
            </w:r>
          </w:p>
        </w:tc>
        <w:tc>
          <w:tcPr>
            <w:tcW w:w="1060" w:type="dxa"/>
            <w:vAlign w:val="bottom"/>
            <w:tcBorders>
              <w:bottom w:val="single" w:sz="8" w:color="424E6A"/>
              <w:right w:val="single" w:sz="8" w:color="424E6A"/>
            </w:tcBorders>
          </w:tcPr>
          <w:p>
            <w:pPr>
              <w:jc w:val="center"/>
              <w:ind w:right="8"/>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highlight w:val="lightGray"/>
              </w:rPr>
              <w:t>194.4 million</w:t>
            </w:r>
          </w:p>
        </w:tc>
      </w:tr>
      <w:tr>
        <w:trPr>
          <w:trHeight w:val="236"/>
        </w:trPr>
        <w:tc>
          <w:tcPr>
            <w:tcW w:w="20" w:type="dxa"/>
            <w:vAlign w:val="bottom"/>
            <w:tcBorders>
              <w:bottom w:val="single" w:sz="8" w:color="424E6A"/>
            </w:tcBorders>
            <w:shd w:val="clear" w:color="auto" w:fill="424E6A"/>
          </w:tcPr>
          <w:p>
            <w:pPr>
              <w:spacing w:after="0"/>
              <w:rPr>
                <w:sz w:val="20"/>
                <w:szCs w:val="20"/>
                <w:color w:val="auto"/>
              </w:rPr>
            </w:pPr>
          </w:p>
        </w:tc>
        <w:tc>
          <w:tcPr>
            <w:tcW w:w="5820" w:type="dxa"/>
            <w:vAlign w:val="bottom"/>
            <w:tcBorders>
              <w:bottom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PAGP Class B Shares</w:t>
            </w:r>
          </w:p>
        </w:tc>
        <w:tc>
          <w:tcPr>
            <w:tcW w:w="420" w:type="dxa"/>
            <w:vAlign w:val="bottom"/>
            <w:tcBorders>
              <w:bottom w:val="single" w:sz="8" w:color="424E6A"/>
            </w:tcBorders>
            <w:gridSpan w:val="2"/>
          </w:tcPr>
          <w:p>
            <w:pPr>
              <w:jc w:val="right"/>
              <w:ind w:right="45"/>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jc w:val="right"/>
              <w:ind w:right="39"/>
              <w:spacing w:after="0"/>
              <w:rPr>
                <w:sz w:val="20"/>
                <w:szCs w:val="20"/>
                <w:color w:val="auto"/>
              </w:rPr>
            </w:pPr>
            <w:r>
              <w:rPr>
                <w:rFonts w:ascii="Arial" w:cs="Arial" w:eastAsia="Arial" w:hAnsi="Arial"/>
                <w:sz w:val="16"/>
                <w:szCs w:val="16"/>
                <w:color w:val="auto"/>
              </w:rPr>
              <w:t>6.1%</w:t>
            </w:r>
          </w:p>
        </w:tc>
        <w:tc>
          <w:tcPr>
            <w:tcW w:w="1120" w:type="dxa"/>
            <w:vAlign w:val="bottom"/>
            <w:tcBorders>
              <w:bottom w:val="single" w:sz="8" w:color="424E6A"/>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46.6 million</w:t>
            </w:r>
          </w:p>
        </w:tc>
      </w:tr>
      <w:tr>
        <w:trPr>
          <w:trHeight w:val="237"/>
        </w:trPr>
        <w:tc>
          <w:tcPr>
            <w:tcW w:w="20" w:type="dxa"/>
            <w:vAlign w:val="bottom"/>
            <w:tcBorders>
              <w:bottom w:val="single" w:sz="8" w:color="424E6A"/>
            </w:tcBorders>
            <w:shd w:val="clear" w:color="auto" w:fill="424E6A"/>
          </w:tcPr>
          <w:p>
            <w:pPr>
              <w:spacing w:after="0"/>
              <w:rPr>
                <w:sz w:val="20"/>
                <w:szCs w:val="20"/>
                <w:color w:val="auto"/>
              </w:rPr>
            </w:pPr>
          </w:p>
        </w:tc>
        <w:tc>
          <w:tcPr>
            <w:tcW w:w="5820" w:type="dxa"/>
            <w:vAlign w:val="bottom"/>
            <w:tcBorders>
              <w:bottom w:val="single" w:sz="8" w:color="424E6A"/>
            </w:tcBorders>
            <w:gridSpan w:val="2"/>
            <w:shd w:val="clear" w:color="auto" w:fill="D9DCE1"/>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PAGP Class C Shares</w:t>
            </w:r>
          </w:p>
        </w:tc>
        <w:tc>
          <w:tcPr>
            <w:tcW w:w="220" w:type="dxa"/>
            <w:vAlign w:val="bottom"/>
            <w:tcBorders>
              <w:bottom w:val="single" w:sz="8" w:color="424E6A"/>
            </w:tcBorders>
            <w:shd w:val="clear" w:color="auto" w:fill="D9DCE1"/>
          </w:tcPr>
          <w:p>
            <w:pPr>
              <w:spacing w:after="0"/>
              <w:rPr>
                <w:sz w:val="20"/>
                <w:szCs w:val="20"/>
                <w:color w:val="auto"/>
              </w:rPr>
            </w:pPr>
          </w:p>
        </w:tc>
        <w:tc>
          <w:tcPr>
            <w:tcW w:w="200" w:type="dxa"/>
            <w:vAlign w:val="bottom"/>
            <w:tcBorders>
              <w:bottom w:val="single" w:sz="8" w:color="424E6A"/>
            </w:tcBorders>
          </w:tcPr>
          <w:p>
            <w:pPr>
              <w:jc w:val="right"/>
              <w:ind w:right="45"/>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spacing w:after="0"/>
              <w:rPr>
                <w:sz w:val="20"/>
                <w:szCs w:val="20"/>
                <w:color w:val="auto"/>
              </w:rPr>
            </w:pPr>
          </w:p>
        </w:tc>
        <w:tc>
          <w:tcPr>
            <w:tcW w:w="1120" w:type="dxa"/>
            <w:vAlign w:val="bottom"/>
            <w:tcBorders>
              <w:bottom w:val="single" w:sz="8" w:color="424E6A"/>
              <w:right w:val="single" w:sz="8" w:color="424E6A"/>
            </w:tcBorders>
            <w:gridSpan w:val="2"/>
          </w:tcPr>
          <w:p>
            <w:pPr>
              <w:ind w:left="20"/>
              <w:spacing w:after="0"/>
              <w:rPr>
                <w:sz w:val="20"/>
                <w:szCs w:val="20"/>
                <w:color w:val="auto"/>
              </w:rPr>
            </w:pPr>
            <w:r>
              <w:rPr>
                <w:rFonts w:ascii="Arial" w:cs="Arial" w:eastAsia="Arial" w:hAnsi="Arial"/>
                <w:sz w:val="16"/>
                <w:szCs w:val="16"/>
                <w:color w:val="auto"/>
              </w:rPr>
              <w:t>​​​</w:t>
            </w:r>
          </w:p>
        </w:tc>
      </w:tr>
      <w:tr>
        <w:trPr>
          <w:trHeight w:val="182"/>
        </w:trPr>
        <w:tc>
          <w:tcPr>
            <w:tcW w:w="20" w:type="dxa"/>
            <w:vAlign w:val="bottom"/>
            <w:shd w:val="clear" w:color="auto" w:fill="424E6A"/>
          </w:tcPr>
          <w:p>
            <w:pPr>
              <w:spacing w:after="0"/>
              <w:rPr>
                <w:sz w:val="15"/>
                <w:szCs w:val="15"/>
                <w:color w:val="auto"/>
              </w:rPr>
            </w:pPr>
          </w:p>
        </w:tc>
        <w:tc>
          <w:tcPr>
            <w:tcW w:w="120" w:type="dxa"/>
            <w:vAlign w:val="bottom"/>
          </w:tcPr>
          <w:p>
            <w:pPr>
              <w:spacing w:after="0"/>
              <w:rPr>
                <w:sz w:val="15"/>
                <w:szCs w:val="15"/>
                <w:color w:val="auto"/>
              </w:rPr>
            </w:pPr>
          </w:p>
        </w:tc>
        <w:tc>
          <w:tcPr>
            <w:tcW w:w="5700" w:type="dxa"/>
            <w:vAlign w:val="bottom"/>
          </w:tcPr>
          <w:p>
            <w:pPr>
              <w:ind w:left="80"/>
              <w:spacing w:after="0" w:line="182" w:lineRule="exact"/>
              <w:rPr>
                <w:sz w:val="20"/>
                <w:szCs w:val="20"/>
                <w:color w:val="auto"/>
              </w:rPr>
            </w:pPr>
            <w:r>
              <w:rPr>
                <w:rFonts w:ascii="Arial" w:cs="Arial" w:eastAsia="Arial" w:hAnsi="Arial"/>
                <w:sz w:val="16"/>
                <w:szCs w:val="16"/>
                <w:color w:val="auto"/>
              </w:rPr>
              <w:t>•  On Behalf of PAA Common Unitholders (excluding Plains AAP) (Nasdaq:</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Borders>
              <w:right w:val="single" w:sz="8" w:color="424E6A"/>
            </w:tcBorders>
          </w:tcPr>
          <w:p>
            <w:pPr>
              <w:spacing w:after="0"/>
              <w:rPr>
                <w:sz w:val="15"/>
                <w:szCs w:val="15"/>
                <w:color w:val="auto"/>
              </w:rPr>
            </w:pPr>
          </w:p>
        </w:tc>
      </w:tr>
      <w:tr>
        <w:trPr>
          <w:trHeight w:val="244"/>
        </w:trPr>
        <w:tc>
          <w:tcPr>
            <w:tcW w:w="20" w:type="dxa"/>
            <w:vAlign w:val="bottom"/>
            <w:tcBorders>
              <w:bottom w:val="single" w:sz="8" w:color="424E6A"/>
            </w:tcBorders>
            <w:shd w:val="clear" w:color="auto" w:fill="424E6A"/>
          </w:tcPr>
          <w:p>
            <w:pPr>
              <w:spacing w:after="0"/>
              <w:rPr>
                <w:sz w:val="21"/>
                <w:szCs w:val="21"/>
                <w:color w:val="auto"/>
              </w:rPr>
            </w:pP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5700" w:type="dxa"/>
            <w:vAlign w:val="bottom"/>
            <w:tcBorders>
              <w:bottom w:val="single" w:sz="8" w:color="424E6A"/>
            </w:tcBorders>
          </w:tcPr>
          <w:p>
            <w:pPr>
              <w:ind w:left="300"/>
              <w:spacing w:after="0"/>
              <w:rPr>
                <w:sz w:val="20"/>
                <w:szCs w:val="20"/>
                <w:color w:val="auto"/>
              </w:rPr>
            </w:pPr>
            <w:r>
              <w:rPr>
                <w:rFonts w:ascii="Arial" w:cs="Arial" w:eastAsia="Arial" w:hAnsi="Arial"/>
                <w:sz w:val="16"/>
                <w:szCs w:val="16"/>
                <w:color w:val="auto"/>
              </w:rPr>
              <w:t>PAA)</w:t>
            </w:r>
          </w:p>
        </w:tc>
        <w:tc>
          <w:tcPr>
            <w:tcW w:w="420" w:type="dxa"/>
            <w:vAlign w:val="bottom"/>
            <w:tcBorders>
              <w:bottom w:val="single" w:sz="8" w:color="424E6A"/>
            </w:tcBorders>
            <w:gridSpan w:val="2"/>
          </w:tcPr>
          <w:p>
            <w:pPr>
              <w:jc w:val="right"/>
              <w:ind w:right="45"/>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24E6A"/>
            </w:tcBorders>
            <w:gridSpan w:val="2"/>
          </w:tcPr>
          <w:p>
            <w:pPr>
              <w:ind w:left="140"/>
              <w:spacing w:after="0"/>
              <w:rPr>
                <w:sz w:val="20"/>
                <w:szCs w:val="20"/>
                <w:color w:val="auto"/>
              </w:rPr>
            </w:pPr>
            <w:r>
              <w:rPr>
                <w:rFonts w:ascii="Arial" w:cs="Arial" w:eastAsia="Arial" w:hAnsi="Arial"/>
                <w:sz w:val="16"/>
                <w:szCs w:val="16"/>
                <w:color w:val="auto"/>
              </w:rPr>
              <w:t>​ 59.4%</w:t>
            </w:r>
          </w:p>
        </w:tc>
        <w:tc>
          <w:tcPr>
            <w:tcW w:w="1120" w:type="dxa"/>
            <w:vAlign w:val="bottom"/>
            <w:tcBorders>
              <w:bottom w:val="single" w:sz="8" w:color="424E6A"/>
              <w:right w:val="single" w:sz="8" w:color="424E6A"/>
            </w:tcBorders>
            <w:gridSpan w:val="2"/>
          </w:tcPr>
          <w:p>
            <w:pPr>
              <w:jc w:val="center"/>
              <w:spacing w:after="0"/>
              <w:rPr>
                <w:sz w:val="20"/>
                <w:szCs w:val="20"/>
                <w:color w:val="auto"/>
              </w:rPr>
            </w:pPr>
            <w:r>
              <w:rPr>
                <w:rFonts w:ascii="Arial" w:cs="Arial" w:eastAsia="Arial" w:hAnsi="Arial"/>
                <w:sz w:val="16"/>
                <w:szCs w:val="16"/>
                <w:color w:val="auto"/>
              </w:rPr>
              <w:t>​​​457.4 million</w:t>
            </w:r>
          </w:p>
        </w:tc>
      </w:tr>
      <w:tr>
        <w:trPr>
          <w:trHeight w:val="237"/>
        </w:trPr>
        <w:tc>
          <w:tcPr>
            <w:tcW w:w="20" w:type="dxa"/>
            <w:vAlign w:val="bottom"/>
            <w:tcBorders>
              <w:bottom w:val="single" w:sz="8" w:color="424E6A"/>
            </w:tcBorders>
            <w:shd w:val="clear" w:color="auto" w:fill="424E6A"/>
          </w:tcPr>
          <w:p>
            <w:pPr>
              <w:spacing w:after="0"/>
              <w:rPr>
                <w:sz w:val="20"/>
                <w:szCs w:val="20"/>
                <w:color w:val="auto"/>
              </w:rPr>
            </w:pP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570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  On Behalf of PAA Series A Preferred Unitholders</w:t>
            </w:r>
          </w:p>
        </w:tc>
        <w:tc>
          <w:tcPr>
            <w:tcW w:w="420" w:type="dxa"/>
            <w:vAlign w:val="bottom"/>
            <w:tcBorders>
              <w:bottom w:val="single" w:sz="8" w:color="424E6A"/>
            </w:tcBorders>
            <w:gridSpan w:val="2"/>
          </w:tcPr>
          <w:p>
            <w:pPr>
              <w:jc w:val="right"/>
              <w:ind w:right="4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26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highlight w:val="lightGray"/>
              </w:rPr>
              <w:t>​</w:t>
            </w:r>
          </w:p>
        </w:tc>
        <w:tc>
          <w:tcPr>
            <w:tcW w:w="580" w:type="dxa"/>
            <w:vAlign w:val="bottom"/>
            <w:tcBorders>
              <w:bottom w:val="single" w:sz="8" w:color="424E6A"/>
            </w:tcBorders>
          </w:tcPr>
          <w:p>
            <w:pPr>
              <w:jc w:val="right"/>
              <w:ind w:right="39"/>
              <w:spacing w:after="0"/>
              <w:rPr>
                <w:sz w:val="20"/>
                <w:szCs w:val="20"/>
                <w:color w:val="auto"/>
              </w:rPr>
            </w:pPr>
            <w:r>
              <w:rPr>
                <w:rFonts w:ascii="Arial" w:cs="Arial" w:eastAsia="Arial" w:hAnsi="Arial"/>
                <w:sz w:val="16"/>
                <w:szCs w:val="16"/>
                <w:color w:val="auto"/>
                <w:highlight w:val="lightGray"/>
              </w:rPr>
              <w:t>9.2%</w:t>
            </w:r>
          </w:p>
        </w:tc>
        <w:tc>
          <w:tcPr>
            <w:tcW w:w="6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highlight w:val="lightGray"/>
              </w:rPr>
              <w:t>​</w:t>
            </w:r>
          </w:p>
        </w:tc>
        <w:tc>
          <w:tcPr>
            <w:tcW w:w="1060" w:type="dxa"/>
            <w:vAlign w:val="bottom"/>
            <w:tcBorders>
              <w:bottom w:val="single" w:sz="8" w:color="424E6A"/>
              <w:right w:val="single" w:sz="8" w:color="424E6A"/>
            </w:tcBorders>
          </w:tcPr>
          <w:p>
            <w:pPr>
              <w:jc w:val="center"/>
              <w:ind w:right="68"/>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71.1 million</w:t>
            </w:r>
          </w:p>
        </w:tc>
      </w:tr>
      <w:tr>
        <w:trPr>
          <w:trHeight w:val="236"/>
        </w:trPr>
        <w:tc>
          <w:tcPr>
            <w:tcW w:w="20" w:type="dxa"/>
            <w:vAlign w:val="bottom"/>
            <w:tcBorders>
              <w:bottom w:val="single" w:sz="8" w:color="424E6A"/>
            </w:tcBorders>
            <w:shd w:val="clear" w:color="auto" w:fill="424E6A"/>
          </w:tcPr>
          <w:p>
            <w:pPr>
              <w:spacing w:after="0"/>
              <w:rPr>
                <w:sz w:val="20"/>
                <w:szCs w:val="20"/>
                <w:color w:val="auto"/>
              </w:rPr>
            </w:pP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570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424E6A"/>
            </w:tcBorders>
            <w:gridSpan w:val="2"/>
          </w:tcPr>
          <w:p>
            <w:pPr>
              <w:jc w:val="right"/>
              <w:ind w:right="45"/>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24E6A"/>
            </w:tcBorders>
            <w:gridSpan w:val="2"/>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100.0%</w:t>
            </w:r>
          </w:p>
        </w:tc>
        <w:tc>
          <w:tcPr>
            <w:tcW w:w="1120" w:type="dxa"/>
            <w:vAlign w:val="bottom"/>
            <w:tcBorders>
              <w:bottom w:val="single" w:sz="8" w:color="424E6A"/>
              <w:right w:val="single" w:sz="8" w:color="424E6A"/>
            </w:tcBorders>
            <w:gridSpan w:val="2"/>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769.5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-1105535</wp:posOffset>
            </wp:positionV>
            <wp:extent cx="5194935" cy="1106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94935" cy="110617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chart further illustrates our ownership structure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1348740</wp:posOffset>
            </wp:positionH>
            <wp:positionV relativeFrom="paragraph">
              <wp:posOffset>128905</wp:posOffset>
            </wp:positionV>
            <wp:extent cx="4114800" cy="3711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14800"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Considering the overall consolidated ownership and voting structure of PAGP and PAA, the following table lists who we believe are the top 10 holders of our voting securities based on combined holdings of PAGP Class A Shares, PAGP Class B Shares, PAA Common Units (excluding Plains AAP)</w:t>
      </w:r>
    </w:p>
    <w:p>
      <w:pPr>
        <w:sectPr>
          <w:pgSz w:w="11900" w:h="16838" w:orient="portrait"/>
          <w:cols w:equalWidth="0" w:num="1">
            <w:col w:w="9879"/>
          </w:cols>
          <w:pgMar w:left="580" w:top="97"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PAA Series A Preferred Units. These holdings are based on Schedule 13F filings as of</w:t>
      </w:r>
    </w:p>
    <w:p>
      <w:pPr>
        <w:spacing w:after="0" w:line="27"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December 31, 2022 and other publicly available information; the table below does not take into account the holdings of investors who are not required to file a Schedule 13F or who do not otherwise publicly disclose their holdings. It should be noted that Schedule 13F requires certain institutional investment managers to report holdings over which they exercise investment discretion (i.e., the power to buy or sell securities); such institutional investment managers may or may not also have voting discretion with respect to such holdings. (Holdings in 000s)</w:t>
      </w:r>
    </w:p>
    <w:p>
      <w:pPr>
        <w:spacing w:after="0" w:line="177"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3080" w:type="dxa"/>
            <w:vAlign w:val="bottom"/>
            <w:tcBorders>
              <w:left w:val="single" w:sz="8" w:color="424E6A"/>
            </w:tcBorders>
            <w:shd w:val="clear" w:color="auto" w:fill="424E6A"/>
          </w:tcPr>
          <w:p>
            <w:pPr>
              <w:spacing w:after="0"/>
              <w:rPr>
                <w:sz w:val="21"/>
                <w:szCs w:val="21"/>
                <w:color w:val="auto"/>
              </w:rPr>
            </w:pPr>
          </w:p>
        </w:tc>
        <w:tc>
          <w:tcPr>
            <w:tcW w:w="580" w:type="dxa"/>
            <w:vAlign w:val="bottom"/>
            <w:shd w:val="clear" w:color="auto" w:fill="424E6A"/>
          </w:tcPr>
          <w:p>
            <w:pPr>
              <w:spacing w:after="0"/>
              <w:rPr>
                <w:sz w:val="21"/>
                <w:szCs w:val="21"/>
                <w:color w:val="auto"/>
              </w:rPr>
            </w:pPr>
          </w:p>
        </w:tc>
        <w:tc>
          <w:tcPr>
            <w:tcW w:w="480" w:type="dxa"/>
            <w:vAlign w:val="bottom"/>
            <w:shd w:val="clear" w:color="auto" w:fill="424E6A"/>
          </w:tcPr>
          <w:p>
            <w:pPr>
              <w:spacing w:after="0"/>
              <w:rPr>
                <w:sz w:val="21"/>
                <w:szCs w:val="21"/>
                <w:color w:val="auto"/>
              </w:rPr>
            </w:pPr>
          </w:p>
        </w:tc>
        <w:tc>
          <w:tcPr>
            <w:tcW w:w="180" w:type="dxa"/>
            <w:vAlign w:val="bottom"/>
            <w:shd w:val="clear" w:color="auto" w:fill="424E6A"/>
          </w:tcPr>
          <w:p>
            <w:pPr>
              <w:spacing w:after="0"/>
              <w:rPr>
                <w:sz w:val="21"/>
                <w:szCs w:val="21"/>
                <w:color w:val="auto"/>
              </w:rPr>
            </w:pPr>
          </w:p>
        </w:tc>
        <w:tc>
          <w:tcPr>
            <w:tcW w:w="480" w:type="dxa"/>
            <w:vAlign w:val="bottom"/>
            <w:shd w:val="clear" w:color="auto" w:fill="424E6A"/>
          </w:tcPr>
          <w:p>
            <w:pPr>
              <w:spacing w:after="0"/>
              <w:rPr>
                <w:sz w:val="21"/>
                <w:szCs w:val="21"/>
                <w:color w:val="auto"/>
              </w:rPr>
            </w:pPr>
          </w:p>
        </w:tc>
        <w:tc>
          <w:tcPr>
            <w:tcW w:w="240" w:type="dxa"/>
            <w:vAlign w:val="bottom"/>
            <w:shd w:val="clear" w:color="auto" w:fill="424E6A"/>
          </w:tcPr>
          <w:p>
            <w:pPr>
              <w:spacing w:after="0"/>
              <w:rPr>
                <w:sz w:val="21"/>
                <w:szCs w:val="21"/>
                <w:color w:val="auto"/>
              </w:rPr>
            </w:pPr>
          </w:p>
        </w:tc>
        <w:tc>
          <w:tcPr>
            <w:tcW w:w="520" w:type="dxa"/>
            <w:vAlign w:val="bottom"/>
            <w:shd w:val="clear" w:color="auto" w:fill="424E6A"/>
          </w:tcPr>
          <w:p>
            <w:pPr>
              <w:spacing w:after="0"/>
              <w:rPr>
                <w:sz w:val="21"/>
                <w:szCs w:val="21"/>
                <w:color w:val="auto"/>
              </w:rPr>
            </w:pPr>
          </w:p>
        </w:tc>
        <w:tc>
          <w:tcPr>
            <w:tcW w:w="60" w:type="dxa"/>
            <w:vAlign w:val="bottom"/>
            <w:shd w:val="clear" w:color="auto" w:fill="424E6A"/>
          </w:tcPr>
          <w:p>
            <w:pPr>
              <w:spacing w:after="0"/>
              <w:rPr>
                <w:sz w:val="21"/>
                <w:szCs w:val="21"/>
                <w:color w:val="auto"/>
              </w:rPr>
            </w:pPr>
          </w:p>
        </w:tc>
        <w:tc>
          <w:tcPr>
            <w:tcW w:w="200" w:type="dxa"/>
            <w:vAlign w:val="bottom"/>
            <w:shd w:val="clear" w:color="auto" w:fill="424E6A"/>
          </w:tcPr>
          <w:p>
            <w:pPr>
              <w:spacing w:after="0"/>
              <w:rPr>
                <w:sz w:val="21"/>
                <w:szCs w:val="21"/>
                <w:color w:val="auto"/>
              </w:rPr>
            </w:pPr>
          </w:p>
        </w:tc>
        <w:tc>
          <w:tcPr>
            <w:tcW w:w="520" w:type="dxa"/>
            <w:vAlign w:val="bottom"/>
            <w:shd w:val="clear" w:color="auto" w:fill="424E6A"/>
          </w:tcPr>
          <w:p>
            <w:pPr>
              <w:jc w:val="center"/>
              <w:ind w:right="81"/>
              <w:spacing w:after="0"/>
              <w:rPr>
                <w:sz w:val="20"/>
                <w:szCs w:val="20"/>
                <w:color w:val="auto"/>
              </w:rPr>
            </w:pPr>
            <w:r>
              <w:rPr>
                <w:rFonts w:ascii="Arial" w:cs="Arial" w:eastAsia="Arial" w:hAnsi="Arial"/>
                <w:sz w:val="14"/>
                <w:szCs w:val="14"/>
                <w:b w:val="1"/>
                <w:bCs w:val="1"/>
                <w:color w:val="FFFFFF"/>
                <w:w w:val="94"/>
              </w:rPr>
              <w:t>PAA</w:t>
            </w:r>
          </w:p>
        </w:tc>
        <w:tc>
          <w:tcPr>
            <w:tcW w:w="60" w:type="dxa"/>
            <w:vAlign w:val="bottom"/>
            <w:shd w:val="clear" w:color="auto" w:fill="424E6A"/>
          </w:tcPr>
          <w:p>
            <w:pPr>
              <w:spacing w:after="0"/>
              <w:rPr>
                <w:sz w:val="21"/>
                <w:szCs w:val="21"/>
                <w:color w:val="auto"/>
              </w:rPr>
            </w:pPr>
          </w:p>
        </w:tc>
        <w:tc>
          <w:tcPr>
            <w:tcW w:w="660" w:type="dxa"/>
            <w:vAlign w:val="bottom"/>
            <w:shd w:val="clear" w:color="auto" w:fill="424E6A"/>
          </w:tcPr>
          <w:p>
            <w:pPr>
              <w:spacing w:after="0"/>
              <w:rPr>
                <w:sz w:val="21"/>
                <w:szCs w:val="21"/>
                <w:color w:val="auto"/>
              </w:rPr>
            </w:pPr>
          </w:p>
        </w:tc>
        <w:tc>
          <w:tcPr>
            <w:tcW w:w="60" w:type="dxa"/>
            <w:vAlign w:val="bottom"/>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8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 of</w:t>
            </w:r>
          </w:p>
        </w:tc>
        <w:tc>
          <w:tcPr>
            <w:tcW w:w="120" w:type="dxa"/>
            <w:vAlign w:val="bottom"/>
            <w:tcBorders>
              <w:right w:val="single" w:sz="8" w:color="424E6A"/>
            </w:tcBorders>
            <w:shd w:val="clear" w:color="auto" w:fill="424E6A"/>
          </w:tcPr>
          <w:p>
            <w:pPr>
              <w:spacing w:after="0"/>
              <w:rPr>
                <w:sz w:val="21"/>
                <w:szCs w:val="21"/>
                <w:color w:val="auto"/>
              </w:rPr>
            </w:pPr>
          </w:p>
        </w:tc>
      </w:tr>
      <w:tr>
        <w:trPr>
          <w:trHeight w:val="162"/>
        </w:trPr>
        <w:tc>
          <w:tcPr>
            <w:tcW w:w="3080" w:type="dxa"/>
            <w:vAlign w:val="bottom"/>
            <w:tcBorders>
              <w:left w:val="single" w:sz="8" w:color="424E6A"/>
            </w:tcBorders>
            <w:shd w:val="clear" w:color="auto" w:fill="424E6A"/>
          </w:tcPr>
          <w:p>
            <w:pPr>
              <w:spacing w:after="0"/>
              <w:rPr>
                <w:sz w:val="14"/>
                <w:szCs w:val="14"/>
                <w:color w:val="auto"/>
              </w:rPr>
            </w:pPr>
          </w:p>
        </w:tc>
        <w:tc>
          <w:tcPr>
            <w:tcW w:w="580" w:type="dxa"/>
            <w:vAlign w:val="bottom"/>
            <w:shd w:val="clear" w:color="auto" w:fill="424E6A"/>
          </w:tcPr>
          <w:p>
            <w:pPr>
              <w:spacing w:after="0"/>
              <w:rPr>
                <w:sz w:val="14"/>
                <w:szCs w:val="14"/>
                <w:color w:val="auto"/>
              </w:rPr>
            </w:pPr>
          </w:p>
        </w:tc>
        <w:tc>
          <w:tcPr>
            <w:tcW w:w="480" w:type="dxa"/>
            <w:vAlign w:val="bottom"/>
            <w:shd w:val="clear" w:color="auto" w:fill="424E6A"/>
          </w:tcPr>
          <w:p>
            <w:pPr>
              <w:jc w:val="right"/>
              <w:ind w:right="2"/>
              <w:spacing w:after="0"/>
              <w:rPr>
                <w:sz w:val="20"/>
                <w:szCs w:val="20"/>
                <w:color w:val="auto"/>
              </w:rPr>
            </w:pPr>
            <w:r>
              <w:rPr>
                <w:rFonts w:ascii="Arial" w:cs="Arial" w:eastAsia="Arial" w:hAnsi="Arial"/>
                <w:sz w:val="14"/>
                <w:szCs w:val="14"/>
                <w:b w:val="1"/>
                <w:bCs w:val="1"/>
                <w:color w:val="FFFFFF"/>
                <w:w w:val="95"/>
              </w:rPr>
              <w:t>PAGP</w:t>
            </w:r>
          </w:p>
        </w:tc>
        <w:tc>
          <w:tcPr>
            <w:tcW w:w="180" w:type="dxa"/>
            <w:vAlign w:val="bottom"/>
            <w:shd w:val="clear" w:color="auto" w:fill="424E6A"/>
          </w:tcPr>
          <w:p>
            <w:pPr>
              <w:spacing w:after="0"/>
              <w:rPr>
                <w:sz w:val="14"/>
                <w:szCs w:val="14"/>
                <w:color w:val="auto"/>
              </w:rPr>
            </w:pPr>
          </w:p>
        </w:tc>
        <w:tc>
          <w:tcPr>
            <w:tcW w:w="480" w:type="dxa"/>
            <w:vAlign w:val="bottom"/>
            <w:shd w:val="clear" w:color="auto" w:fill="424E6A"/>
          </w:tcPr>
          <w:p>
            <w:pPr>
              <w:jc w:val="right"/>
              <w:spacing w:after="0"/>
              <w:rPr>
                <w:sz w:val="20"/>
                <w:szCs w:val="20"/>
                <w:color w:val="auto"/>
              </w:rPr>
            </w:pPr>
            <w:r>
              <w:rPr>
                <w:rFonts w:ascii="Arial" w:cs="Arial" w:eastAsia="Arial" w:hAnsi="Arial"/>
                <w:sz w:val="14"/>
                <w:szCs w:val="14"/>
                <w:b w:val="1"/>
                <w:bCs w:val="1"/>
                <w:color w:val="FFFFFF"/>
                <w:w w:val="95"/>
              </w:rPr>
              <w:t>PAGP</w:t>
            </w:r>
          </w:p>
        </w:tc>
        <w:tc>
          <w:tcPr>
            <w:tcW w:w="240" w:type="dxa"/>
            <w:vAlign w:val="bottom"/>
            <w:shd w:val="clear" w:color="auto" w:fill="424E6A"/>
          </w:tcPr>
          <w:p>
            <w:pPr>
              <w:spacing w:after="0"/>
              <w:rPr>
                <w:sz w:val="14"/>
                <w:szCs w:val="14"/>
                <w:color w:val="auto"/>
              </w:rPr>
            </w:pPr>
          </w:p>
        </w:tc>
        <w:tc>
          <w:tcPr>
            <w:tcW w:w="520" w:type="dxa"/>
            <w:vAlign w:val="bottom"/>
            <w:shd w:val="clear" w:color="auto" w:fill="424E6A"/>
          </w:tcPr>
          <w:p>
            <w:pPr>
              <w:jc w:val="center"/>
              <w:ind w:right="64"/>
              <w:spacing w:after="0"/>
              <w:rPr>
                <w:sz w:val="20"/>
                <w:szCs w:val="20"/>
                <w:color w:val="auto"/>
              </w:rPr>
            </w:pPr>
            <w:r>
              <w:rPr>
                <w:rFonts w:ascii="Arial" w:cs="Arial" w:eastAsia="Arial" w:hAnsi="Arial"/>
                <w:sz w:val="14"/>
                <w:szCs w:val="14"/>
                <w:b w:val="1"/>
                <w:bCs w:val="1"/>
                <w:color w:val="FFFFFF"/>
              </w:rPr>
              <w:t>PAA</w:t>
            </w:r>
          </w:p>
        </w:tc>
        <w:tc>
          <w:tcPr>
            <w:tcW w:w="60" w:type="dxa"/>
            <w:vAlign w:val="bottom"/>
            <w:shd w:val="clear" w:color="auto" w:fill="424E6A"/>
          </w:tcPr>
          <w:p>
            <w:pPr>
              <w:spacing w:after="0"/>
              <w:rPr>
                <w:sz w:val="14"/>
                <w:szCs w:val="14"/>
                <w:color w:val="auto"/>
              </w:rPr>
            </w:pPr>
          </w:p>
        </w:tc>
        <w:tc>
          <w:tcPr>
            <w:tcW w:w="7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Series A</w:t>
            </w:r>
          </w:p>
        </w:tc>
        <w:tc>
          <w:tcPr>
            <w:tcW w:w="60" w:type="dxa"/>
            <w:vAlign w:val="bottom"/>
            <w:shd w:val="clear" w:color="auto" w:fill="424E6A"/>
          </w:tcPr>
          <w:p>
            <w:pPr>
              <w:spacing w:after="0"/>
              <w:rPr>
                <w:sz w:val="14"/>
                <w:szCs w:val="14"/>
                <w:color w:val="auto"/>
              </w:rPr>
            </w:pPr>
          </w:p>
        </w:tc>
        <w:tc>
          <w:tcPr>
            <w:tcW w:w="660" w:type="dxa"/>
            <w:vAlign w:val="bottom"/>
            <w:shd w:val="clear" w:color="auto" w:fill="424E6A"/>
          </w:tcPr>
          <w:p>
            <w:pPr>
              <w:spacing w:after="0"/>
              <w:rPr>
                <w:sz w:val="14"/>
                <w:szCs w:val="14"/>
                <w:color w:val="auto"/>
              </w:rPr>
            </w:pPr>
          </w:p>
        </w:tc>
        <w:tc>
          <w:tcPr>
            <w:tcW w:w="6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Consolidated</w:t>
            </w:r>
          </w:p>
        </w:tc>
        <w:tc>
          <w:tcPr>
            <w:tcW w:w="120" w:type="dxa"/>
            <w:vAlign w:val="bottom"/>
            <w:tcBorders>
              <w:right w:val="single" w:sz="8" w:color="424E6A"/>
            </w:tcBorders>
            <w:shd w:val="clear" w:color="auto" w:fill="424E6A"/>
          </w:tcPr>
          <w:p>
            <w:pPr>
              <w:spacing w:after="0"/>
              <w:rPr>
                <w:sz w:val="14"/>
                <w:szCs w:val="14"/>
                <w:color w:val="auto"/>
              </w:rPr>
            </w:pPr>
          </w:p>
        </w:tc>
      </w:tr>
      <w:tr>
        <w:trPr>
          <w:trHeight w:val="162"/>
        </w:trPr>
        <w:tc>
          <w:tcPr>
            <w:tcW w:w="3080" w:type="dxa"/>
            <w:vAlign w:val="bottom"/>
            <w:tcBorders>
              <w:left w:val="single" w:sz="8" w:color="424E6A"/>
            </w:tcBorders>
            <w:shd w:val="clear" w:color="auto" w:fill="424E6A"/>
          </w:tcPr>
          <w:p>
            <w:pPr>
              <w:spacing w:after="0"/>
              <w:rPr>
                <w:sz w:val="14"/>
                <w:szCs w:val="14"/>
                <w:color w:val="auto"/>
              </w:rPr>
            </w:pPr>
          </w:p>
        </w:tc>
        <w:tc>
          <w:tcPr>
            <w:tcW w:w="106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Class A</w:t>
            </w:r>
          </w:p>
        </w:tc>
        <w:tc>
          <w:tcPr>
            <w:tcW w:w="66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Class B</w:t>
            </w:r>
          </w:p>
        </w:tc>
        <w:tc>
          <w:tcPr>
            <w:tcW w:w="760" w:type="dxa"/>
            <w:vAlign w:val="bottom"/>
            <w:gridSpan w:val="2"/>
            <w:shd w:val="clear" w:color="auto" w:fill="424E6A"/>
          </w:tcPr>
          <w:p>
            <w:pPr>
              <w:jc w:val="center"/>
              <w:ind w:left="20"/>
              <w:spacing w:after="0"/>
              <w:rPr>
                <w:sz w:val="20"/>
                <w:szCs w:val="20"/>
                <w:color w:val="auto"/>
              </w:rPr>
            </w:pPr>
            <w:r>
              <w:rPr>
                <w:rFonts w:ascii="Arial" w:cs="Arial" w:eastAsia="Arial" w:hAnsi="Arial"/>
                <w:sz w:val="14"/>
                <w:szCs w:val="14"/>
                <w:b w:val="1"/>
                <w:bCs w:val="1"/>
                <w:color w:val="FFFFFF"/>
              </w:rPr>
              <w:t>Common</w:t>
            </w:r>
          </w:p>
        </w:tc>
        <w:tc>
          <w:tcPr>
            <w:tcW w:w="60" w:type="dxa"/>
            <w:vAlign w:val="bottom"/>
            <w:shd w:val="clear" w:color="auto" w:fill="424E6A"/>
          </w:tcPr>
          <w:p>
            <w:pPr>
              <w:spacing w:after="0"/>
              <w:rPr>
                <w:sz w:val="14"/>
                <w:szCs w:val="14"/>
                <w:color w:val="auto"/>
              </w:rPr>
            </w:pPr>
          </w:p>
        </w:tc>
        <w:tc>
          <w:tcPr>
            <w:tcW w:w="7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Preferred</w:t>
            </w:r>
          </w:p>
        </w:tc>
        <w:tc>
          <w:tcPr>
            <w:tcW w:w="60" w:type="dxa"/>
            <w:vAlign w:val="bottom"/>
            <w:shd w:val="clear" w:color="auto" w:fill="424E6A"/>
          </w:tcPr>
          <w:p>
            <w:pPr>
              <w:spacing w:after="0"/>
              <w:rPr>
                <w:sz w:val="14"/>
                <w:szCs w:val="14"/>
                <w:color w:val="auto"/>
              </w:rPr>
            </w:pPr>
          </w:p>
        </w:tc>
        <w:tc>
          <w:tcPr>
            <w:tcW w:w="660" w:type="dxa"/>
            <w:vAlign w:val="bottom"/>
            <w:shd w:val="clear" w:color="auto" w:fill="424E6A"/>
          </w:tcPr>
          <w:p>
            <w:pPr>
              <w:ind w:left="180"/>
              <w:spacing w:after="0"/>
              <w:rPr>
                <w:sz w:val="20"/>
                <w:szCs w:val="20"/>
                <w:color w:val="auto"/>
              </w:rPr>
            </w:pPr>
            <w:r>
              <w:rPr>
                <w:rFonts w:ascii="Arial" w:cs="Arial" w:eastAsia="Arial" w:hAnsi="Arial"/>
                <w:sz w:val="14"/>
                <w:szCs w:val="14"/>
                <w:b w:val="1"/>
                <w:bCs w:val="1"/>
                <w:color w:val="FFFFFF"/>
              </w:rPr>
              <w:t>Total</w:t>
            </w:r>
          </w:p>
        </w:tc>
        <w:tc>
          <w:tcPr>
            <w:tcW w:w="60" w:type="dxa"/>
            <w:vAlign w:val="bottom"/>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8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Voting</w:t>
            </w:r>
          </w:p>
        </w:tc>
        <w:tc>
          <w:tcPr>
            <w:tcW w:w="120" w:type="dxa"/>
            <w:vAlign w:val="bottom"/>
            <w:tcBorders>
              <w:right w:val="single" w:sz="8" w:color="424E6A"/>
            </w:tcBorders>
            <w:shd w:val="clear" w:color="auto" w:fill="424E6A"/>
          </w:tcPr>
          <w:p>
            <w:pPr>
              <w:spacing w:after="0"/>
              <w:rPr>
                <w:sz w:val="14"/>
                <w:szCs w:val="14"/>
                <w:color w:val="auto"/>
              </w:rPr>
            </w:pPr>
          </w:p>
        </w:tc>
      </w:tr>
      <w:tr>
        <w:trPr>
          <w:trHeight w:val="185"/>
        </w:trPr>
        <w:tc>
          <w:tcPr>
            <w:tcW w:w="308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w:t>
            </w:r>
          </w:p>
        </w:tc>
        <w:tc>
          <w:tcPr>
            <w:tcW w:w="1960" w:type="dxa"/>
            <w:vAlign w:val="bottom"/>
            <w:gridSpan w:val="5"/>
            <w:shd w:val="clear" w:color="auto" w:fill="424E6A"/>
          </w:tcPr>
          <w:p>
            <w:pPr>
              <w:ind w:left="440"/>
              <w:spacing w:after="0"/>
              <w:rPr>
                <w:sz w:val="20"/>
                <w:szCs w:val="20"/>
                <w:color w:val="auto"/>
              </w:rPr>
            </w:pPr>
            <w:r>
              <w:rPr>
                <w:rFonts w:ascii="Arial" w:cs="Arial" w:eastAsia="Arial" w:hAnsi="Arial"/>
                <w:sz w:val="14"/>
                <w:szCs w:val="14"/>
                <w:b w:val="1"/>
                <w:bCs w:val="1"/>
                <w:color w:val="FFFFFF"/>
              </w:rPr>
              <w:t>​​ Shares ​​ Shares ​​</w:t>
            </w:r>
          </w:p>
        </w:tc>
        <w:tc>
          <w:tcPr>
            <w:tcW w:w="520" w:type="dxa"/>
            <w:vAlign w:val="bottom"/>
            <w:shd w:val="clear" w:color="auto" w:fill="424E6A"/>
          </w:tcPr>
          <w:p>
            <w:pPr>
              <w:jc w:val="center"/>
              <w:ind w:right="44"/>
              <w:spacing w:after="0"/>
              <w:rPr>
                <w:sz w:val="20"/>
                <w:szCs w:val="20"/>
                <w:color w:val="auto"/>
              </w:rPr>
            </w:pPr>
            <w:r>
              <w:rPr>
                <w:rFonts w:ascii="Arial" w:cs="Arial" w:eastAsia="Arial" w:hAnsi="Arial"/>
                <w:sz w:val="14"/>
                <w:szCs w:val="14"/>
                <w:b w:val="1"/>
                <w:bCs w:val="1"/>
                <w:color w:val="FFFFFF"/>
              </w:rPr>
              <w:t>Units</w:t>
            </w:r>
          </w:p>
        </w:tc>
        <w:tc>
          <w:tcPr>
            <w:tcW w:w="260" w:type="dxa"/>
            <w:vAlign w:val="bottom"/>
            <w:gridSpan w:val="2"/>
            <w:shd w:val="clear" w:color="auto" w:fill="424E6A"/>
          </w:tcPr>
          <w:p>
            <w:pPr>
              <w:jc w:val="right"/>
              <w:ind w:right="62"/>
              <w:spacing w:after="0"/>
              <w:rPr>
                <w:sz w:val="20"/>
                <w:szCs w:val="20"/>
                <w:color w:val="auto"/>
              </w:rPr>
            </w:pPr>
            <w:r>
              <w:rPr>
                <w:rFonts w:ascii="Arial" w:cs="Arial" w:eastAsia="Arial" w:hAnsi="Arial"/>
                <w:sz w:val="14"/>
                <w:szCs w:val="14"/>
                <w:b w:val="1"/>
                <w:bCs w:val="1"/>
                <w:color w:val="FFFFFF"/>
              </w:rPr>
              <w:t>​​</w:t>
            </w:r>
          </w:p>
        </w:tc>
        <w:tc>
          <w:tcPr>
            <w:tcW w:w="520" w:type="dxa"/>
            <w:vAlign w:val="bottom"/>
            <w:shd w:val="clear" w:color="auto" w:fill="424E6A"/>
          </w:tcPr>
          <w:p>
            <w:pPr>
              <w:jc w:val="center"/>
              <w:ind w:right="41"/>
              <w:spacing w:after="0"/>
              <w:rPr>
                <w:sz w:val="20"/>
                <w:szCs w:val="20"/>
                <w:color w:val="auto"/>
              </w:rPr>
            </w:pPr>
            <w:r>
              <w:rPr>
                <w:rFonts w:ascii="Arial" w:cs="Arial" w:eastAsia="Arial" w:hAnsi="Arial"/>
                <w:sz w:val="14"/>
                <w:szCs w:val="14"/>
                <w:b w:val="1"/>
                <w:bCs w:val="1"/>
                <w:color w:val="FFFFFF"/>
              </w:rPr>
              <w:t>Units</w:t>
            </w:r>
          </w:p>
        </w:tc>
        <w:tc>
          <w:tcPr>
            <w:tcW w:w="900" w:type="dxa"/>
            <w:vAlign w:val="bottom"/>
            <w:gridSpan w:val="4"/>
            <w:shd w:val="clear" w:color="auto" w:fill="424E6A"/>
          </w:tcPr>
          <w:p>
            <w:pPr>
              <w:ind w:left="40"/>
              <w:spacing w:after="0"/>
              <w:rPr>
                <w:sz w:val="20"/>
                <w:szCs w:val="20"/>
                <w:color w:val="auto"/>
              </w:rPr>
            </w:pPr>
            <w:r>
              <w:rPr>
                <w:rFonts w:ascii="Arial" w:cs="Arial" w:eastAsia="Arial" w:hAnsi="Arial"/>
                <w:sz w:val="14"/>
                <w:szCs w:val="14"/>
                <w:b w:val="1"/>
                <w:bCs w:val="1"/>
                <w:color w:val="FFFFFF"/>
              </w:rPr>
              <w:t>​​Holdings ​​</w:t>
            </w:r>
          </w:p>
        </w:tc>
        <w:tc>
          <w:tcPr>
            <w:tcW w:w="8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Structure</w:t>
            </w:r>
          </w:p>
        </w:tc>
        <w:tc>
          <w:tcPr>
            <w:tcW w:w="120" w:type="dxa"/>
            <w:vAlign w:val="bottom"/>
            <w:tcBorders>
              <w:right w:val="single" w:sz="8" w:color="424E6A"/>
            </w:tcBorders>
            <w:shd w:val="clear" w:color="auto" w:fill="424E6A"/>
          </w:tcPr>
          <w:p>
            <w:pPr>
              <w:spacing w:after="0"/>
              <w:rPr>
                <w:sz w:val="16"/>
                <w:szCs w:val="16"/>
                <w:color w:val="auto"/>
              </w:rPr>
            </w:pPr>
          </w:p>
        </w:tc>
      </w:tr>
      <w:tr>
        <w:trPr>
          <w:trHeight w:val="189"/>
        </w:trPr>
        <w:tc>
          <w:tcPr>
            <w:tcW w:w="308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​Alps Advisors</w:t>
            </w:r>
          </w:p>
        </w:tc>
        <w:tc>
          <w:tcPr>
            <w:tcW w:w="1060" w:type="dxa"/>
            <w:vAlign w:val="bottom"/>
            <w:tcBorders>
              <w:bottom w:val="single" w:sz="8" w:color="424E6A"/>
            </w:tcBorders>
            <w:gridSpan w:val="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 1,029</w:t>
            </w:r>
          </w:p>
        </w:tc>
        <w:tc>
          <w:tcPr>
            <w:tcW w:w="1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1240" w:type="dxa"/>
            <w:vAlign w:val="bottom"/>
            <w:tcBorders>
              <w:bottom w:val="single" w:sz="8" w:color="424E6A"/>
            </w:tcBorders>
            <w:gridSpan w:val="3"/>
          </w:tcPr>
          <w:p>
            <w:pPr>
              <w:jc w:val="right"/>
              <w:spacing w:after="0"/>
              <w:rPr>
                <w:sz w:val="20"/>
                <w:szCs w:val="20"/>
                <w:color w:val="auto"/>
              </w:rPr>
            </w:pPr>
            <w:r>
              <w:rPr>
                <w:rFonts w:ascii="Arial" w:cs="Arial" w:eastAsia="Arial" w:hAnsi="Arial"/>
                <w:sz w:val="16"/>
                <w:szCs w:val="16"/>
                <w:color w:val="auto"/>
                <w:highlight w:val="lightGray"/>
              </w:rPr>
              <w:t>— ​</w:t>
            </w:r>
            <w:r>
              <w:rPr>
                <w:rFonts w:ascii="Arial" w:cs="Arial" w:eastAsia="Arial" w:hAnsi="Arial"/>
                <w:sz w:val="16"/>
                <w:szCs w:val="16"/>
                <w:color w:val="auto"/>
              </w:rPr>
              <w:t>​</w:t>
            </w:r>
            <w:r>
              <w:rPr>
                <w:rFonts w:ascii="Arial" w:cs="Arial" w:eastAsia="Arial" w:hAnsi="Arial"/>
                <w:sz w:val="16"/>
                <w:szCs w:val="16"/>
                <w:color w:val="auto"/>
                <w:highlight w:val="lightGray"/>
              </w:rPr>
              <w:t>​ ​55,337</w:t>
            </w:r>
          </w:p>
        </w:tc>
        <w:tc>
          <w:tcPr>
            <w:tcW w:w="6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highlight w:val="lightGray"/>
              </w:rPr>
              <w:t>​</w:t>
            </w:r>
          </w:p>
        </w:tc>
        <w:tc>
          <w:tcPr>
            <w:tcW w:w="2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424E6A"/>
            </w:tcBorders>
            <w:gridSpan w:val="2"/>
          </w:tcPr>
          <w:p>
            <w:pPr>
              <w:jc w:val="right"/>
              <w:spacing w:after="0"/>
              <w:rPr>
                <w:sz w:val="20"/>
                <w:szCs w:val="20"/>
                <w:color w:val="auto"/>
              </w:rPr>
            </w:pPr>
            <w:r>
              <w:rPr>
                <w:rFonts w:ascii="Arial" w:cs="Arial" w:eastAsia="Arial" w:hAnsi="Arial"/>
                <w:sz w:val="16"/>
                <w:szCs w:val="16"/>
                <w:color w:val="auto"/>
                <w:highlight w:val="lightGray"/>
              </w:rPr>
              <w:t>​​ ​56,366 ​</w:t>
            </w: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424E6A"/>
            </w:tcBorders>
          </w:tcPr>
          <w:p>
            <w:pPr>
              <w:ind w:left="280"/>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r>
      <w:tr>
        <w:trPr>
          <w:trHeight w:val="183"/>
        </w:trPr>
        <w:tc>
          <w:tcPr>
            <w:tcW w:w="3080" w:type="dxa"/>
            <w:vAlign w:val="bottom"/>
            <w:tcBorders>
              <w:left w:val="single" w:sz="8" w:color="424E6A"/>
              <w:bottom w:val="single" w:sz="8" w:color="424E6A"/>
            </w:tcBorders>
          </w:tcPr>
          <w:p>
            <w:pPr>
              <w:ind w:left="40"/>
              <w:spacing w:after="0" w:line="183" w:lineRule="exact"/>
              <w:rPr>
                <w:sz w:val="20"/>
                <w:szCs w:val="20"/>
                <w:color w:val="auto"/>
              </w:rPr>
            </w:pPr>
            <w:r>
              <w:rPr>
                <w:rFonts w:ascii="Arial" w:cs="Arial" w:eastAsia="Arial" w:hAnsi="Arial"/>
                <w:sz w:val="16"/>
                <w:szCs w:val="16"/>
                <w:color w:val="auto"/>
              </w:rPr>
              <w:t>​EMG Investments/John Raymond</w:t>
            </w:r>
          </w:p>
        </w:tc>
        <w:tc>
          <w:tcPr>
            <w:tcW w:w="580" w:type="dxa"/>
            <w:vAlign w:val="bottom"/>
            <w:tcBorders>
              <w:bottom w:val="single" w:sz="8" w:color="424E6A"/>
            </w:tcBorders>
          </w:tcPr>
          <w:p>
            <w:pPr>
              <w:ind w:left="440"/>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257</w:t>
            </w:r>
          </w:p>
        </w:tc>
        <w:tc>
          <w:tcPr>
            <w:tcW w:w="660" w:type="dxa"/>
            <w:vAlign w:val="bottom"/>
            <w:tcBorders>
              <w:bottom w:val="single" w:sz="8" w:color="424E6A"/>
            </w:tcBorders>
            <w:gridSpan w:val="2"/>
          </w:tcPr>
          <w:p>
            <w:pPr>
              <w:spacing w:after="0" w:line="183" w:lineRule="exact"/>
              <w:rPr>
                <w:sz w:val="20"/>
                <w:szCs w:val="20"/>
                <w:color w:val="auto"/>
              </w:rPr>
            </w:pPr>
            <w:r>
              <w:rPr>
                <w:rFonts w:ascii="Arial" w:cs="Arial" w:eastAsia="Arial" w:hAnsi="Arial"/>
                <w:sz w:val="16"/>
                <w:szCs w:val="16"/>
                <w:color w:val="auto"/>
              </w:rPr>
              <w:t>​​​​11,459</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 1,603</w:t>
            </w:r>
          </w:p>
        </w:tc>
        <w:tc>
          <w:tcPr>
            <w:tcW w:w="780" w:type="dxa"/>
            <w:vAlign w:val="bottom"/>
            <w:tcBorders>
              <w:bottom w:val="single" w:sz="8" w:color="424E6A"/>
            </w:tcBorders>
            <w:gridSpan w:val="3"/>
          </w:tcPr>
          <w:p>
            <w:pPr>
              <w:jc w:val="right"/>
              <w:ind w:right="1"/>
              <w:spacing w:after="0" w:line="183" w:lineRule="exact"/>
              <w:rPr>
                <w:sz w:val="20"/>
                <w:szCs w:val="20"/>
                <w:color w:val="auto"/>
              </w:rPr>
            </w:pPr>
            <w:r>
              <w:rPr>
                <w:rFonts w:ascii="Arial" w:cs="Arial" w:eastAsia="Arial" w:hAnsi="Arial"/>
                <w:sz w:val="16"/>
                <w:szCs w:val="16"/>
                <w:color w:val="auto"/>
              </w:rPr>
              <w:t>​​​ ​20,376</w:t>
            </w:r>
          </w:p>
        </w:tc>
        <w:tc>
          <w:tcPr>
            <w:tcW w:w="900" w:type="dxa"/>
            <w:vAlign w:val="bottom"/>
            <w:tcBorders>
              <w:bottom w:val="single" w:sz="8" w:color="424E6A"/>
            </w:tcBorders>
            <w:gridSpan w:val="4"/>
          </w:tcPr>
          <w:p>
            <w:pPr>
              <w:jc w:val="right"/>
              <w:spacing w:after="0" w:line="183" w:lineRule="exact"/>
              <w:rPr>
                <w:sz w:val="20"/>
                <w:szCs w:val="20"/>
                <w:color w:val="auto"/>
              </w:rPr>
            </w:pPr>
            <w:r>
              <w:rPr>
                <w:rFonts w:ascii="Arial" w:cs="Arial" w:eastAsia="Arial" w:hAnsi="Arial"/>
                <w:sz w:val="16"/>
                <w:szCs w:val="16"/>
                <w:color w:val="auto"/>
              </w:rPr>
              <w:t>​​​ ​33,695 ​​​</w:t>
            </w:r>
          </w:p>
        </w:tc>
        <w:tc>
          <w:tcPr>
            <w:tcW w:w="860" w:type="dxa"/>
            <w:vAlign w:val="bottom"/>
            <w:tcBorders>
              <w:bottom w:val="single" w:sz="8" w:color="424E6A"/>
            </w:tcBorders>
          </w:tcPr>
          <w:p>
            <w:pPr>
              <w:ind w:left="280"/>
              <w:spacing w:after="0" w:line="183" w:lineRule="exact"/>
              <w:rPr>
                <w:sz w:val="20"/>
                <w:szCs w:val="20"/>
                <w:color w:val="auto"/>
              </w:rPr>
            </w:pPr>
            <w:r>
              <w:rPr>
                <w:rFonts w:ascii="Arial" w:cs="Arial" w:eastAsia="Arial" w:hAnsi="Arial"/>
                <w:sz w:val="16"/>
                <w:szCs w:val="16"/>
                <w:color w:val="auto"/>
              </w:rPr>
              <w:t>​4.3%</w:t>
            </w:r>
          </w:p>
        </w:tc>
        <w:tc>
          <w:tcPr>
            <w:tcW w:w="120" w:type="dxa"/>
            <w:vAlign w:val="bottom"/>
            <w:tcBorders>
              <w:bottom w:val="single" w:sz="8" w:color="424E6A"/>
              <w:right w:val="single" w:sz="8" w:color="424E6A"/>
            </w:tcBorders>
          </w:tcPr>
          <w:p>
            <w:pPr>
              <w:ind w:left="20"/>
              <w:spacing w:after="0" w:line="183" w:lineRule="exact"/>
              <w:rPr>
                <w:sz w:val="20"/>
                <w:szCs w:val="20"/>
                <w:color w:val="auto"/>
              </w:rPr>
            </w:pPr>
            <w:r>
              <w:rPr>
                <w:rFonts w:ascii="Arial" w:cs="Arial" w:eastAsia="Arial" w:hAnsi="Arial"/>
                <w:sz w:val="16"/>
                <w:szCs w:val="16"/>
                <w:color w:val="auto"/>
              </w:rPr>
              <w:t>​</w:t>
            </w:r>
          </w:p>
        </w:tc>
      </w:tr>
      <w:tr>
        <w:trPr>
          <w:trHeight w:val="183"/>
        </w:trPr>
        <w:tc>
          <w:tcPr>
            <w:tcW w:w="3080" w:type="dxa"/>
            <w:vAlign w:val="bottom"/>
            <w:tcBorders>
              <w:left w:val="single" w:sz="8" w:color="424E6A"/>
              <w:bottom w:val="single" w:sz="8" w:color="424E6A"/>
            </w:tcBorders>
          </w:tcPr>
          <w:p>
            <w:pPr>
              <w:ind w:left="40"/>
              <w:spacing w:after="0" w:line="183" w:lineRule="exact"/>
              <w:rPr>
                <w:sz w:val="20"/>
                <w:szCs w:val="20"/>
                <w:color w:val="auto"/>
              </w:rPr>
            </w:pPr>
            <w:r>
              <w:rPr>
                <w:rFonts w:ascii="Arial" w:cs="Arial" w:eastAsia="Arial" w:hAnsi="Arial"/>
                <w:sz w:val="16"/>
                <w:szCs w:val="16"/>
                <w:color w:val="auto"/>
              </w:rPr>
              <w:t>​Tortoise Capital Advisors</w:t>
            </w:r>
          </w:p>
        </w:tc>
        <w:tc>
          <w:tcPr>
            <w:tcW w:w="10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​​12,781</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highlight w:val="lightGray"/>
              </w:rPr>
              <w:t>—</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 ​19,667</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p>
        </w:tc>
        <w:tc>
          <w:tcPr>
            <w:tcW w:w="20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highlight w:val="lightGray"/>
              </w:rPr>
              <w:t>​​ ​32,448 ​</w:t>
            </w:r>
          </w:p>
        </w:tc>
        <w:tc>
          <w:tcPr>
            <w:tcW w:w="12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424E6A"/>
            </w:tcBorders>
          </w:tcPr>
          <w:p>
            <w:pPr>
              <w:ind w:left="280"/>
              <w:spacing w:after="0" w:line="183" w:lineRule="exact"/>
              <w:rPr>
                <w:sz w:val="20"/>
                <w:szCs w:val="20"/>
                <w:color w:val="auto"/>
              </w:rPr>
            </w:pPr>
            <w:r>
              <w:rPr>
                <w:rFonts w:ascii="Arial" w:cs="Arial" w:eastAsia="Arial" w:hAnsi="Arial"/>
                <w:sz w:val="16"/>
                <w:szCs w:val="16"/>
                <w:color w:val="auto"/>
              </w:rPr>
              <w:t>​4.2%</w:t>
            </w:r>
          </w:p>
        </w:tc>
        <w:tc>
          <w:tcPr>
            <w:tcW w:w="120" w:type="dxa"/>
            <w:vAlign w:val="bottom"/>
            <w:tcBorders>
              <w:bottom w:val="single" w:sz="8" w:color="424E6A"/>
              <w:right w:val="single" w:sz="8" w:color="424E6A"/>
            </w:tcBorders>
          </w:tcPr>
          <w:p>
            <w:pPr>
              <w:ind w:left="20"/>
              <w:spacing w:after="0" w:line="183" w:lineRule="exact"/>
              <w:rPr>
                <w:sz w:val="20"/>
                <w:szCs w:val="20"/>
                <w:color w:val="auto"/>
              </w:rPr>
            </w:pPr>
            <w:r>
              <w:rPr>
                <w:rFonts w:ascii="Arial" w:cs="Arial" w:eastAsia="Arial" w:hAnsi="Arial"/>
                <w:sz w:val="16"/>
                <w:szCs w:val="16"/>
                <w:color w:val="auto"/>
              </w:rPr>
              <w:t>​</w:t>
            </w:r>
          </w:p>
        </w:tc>
      </w:tr>
      <w:tr>
        <w:trPr>
          <w:trHeight w:val="183"/>
        </w:trPr>
        <w:tc>
          <w:tcPr>
            <w:tcW w:w="3080" w:type="dxa"/>
            <w:vAlign w:val="bottom"/>
            <w:tcBorders>
              <w:left w:val="single" w:sz="8" w:color="424E6A"/>
              <w:bottom w:val="single" w:sz="8" w:color="424E6A"/>
            </w:tcBorders>
          </w:tcPr>
          <w:p>
            <w:pPr>
              <w:ind w:left="40"/>
              <w:spacing w:after="0" w:line="183" w:lineRule="exact"/>
              <w:rPr>
                <w:sz w:val="20"/>
                <w:szCs w:val="20"/>
                <w:color w:val="auto"/>
              </w:rPr>
            </w:pPr>
            <w:r>
              <w:rPr>
                <w:rFonts w:ascii="Arial" w:cs="Arial" w:eastAsia="Arial" w:hAnsi="Arial"/>
                <w:sz w:val="16"/>
                <w:szCs w:val="16"/>
                <w:color w:val="auto"/>
              </w:rPr>
              <w:t>​Kayne Anderson Capital Advisors</w:t>
            </w:r>
          </w:p>
        </w:tc>
        <w:tc>
          <w:tcPr>
            <w:tcW w:w="10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4,378</w:t>
            </w:r>
          </w:p>
        </w:tc>
        <w:tc>
          <w:tcPr>
            <w:tcW w:w="660" w:type="dxa"/>
            <w:vAlign w:val="bottom"/>
            <w:tcBorders>
              <w:bottom w:val="single" w:sz="8" w:color="424E6A"/>
            </w:tcBorders>
            <w:gridSpan w:val="2"/>
          </w:tcPr>
          <w:p>
            <w:pPr>
              <w:spacing w:after="0" w:line="183" w:lineRule="exact"/>
              <w:rPr>
                <w:sz w:val="20"/>
                <w:szCs w:val="20"/>
                <w:color w:val="auto"/>
              </w:rPr>
            </w:pPr>
            <w:r>
              <w:rPr>
                <w:rFonts w:ascii="Arial" w:cs="Arial" w:eastAsia="Arial" w:hAnsi="Arial"/>
                <w:sz w:val="16"/>
                <w:szCs w:val="16"/>
                <w:color w:val="auto"/>
              </w:rPr>
              <w:t>​​​​13,965</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 9,984</w:t>
            </w:r>
          </w:p>
        </w:tc>
        <w:tc>
          <w:tcPr>
            <w:tcW w:w="780" w:type="dxa"/>
            <w:vAlign w:val="bottom"/>
            <w:tcBorders>
              <w:bottom w:val="single" w:sz="8" w:color="424E6A"/>
            </w:tcBorders>
            <w:gridSpan w:val="3"/>
          </w:tcPr>
          <w:p>
            <w:pPr>
              <w:jc w:val="right"/>
              <w:ind w:right="1"/>
              <w:spacing w:after="0" w:line="183" w:lineRule="exact"/>
              <w:rPr>
                <w:sz w:val="20"/>
                <w:szCs w:val="20"/>
                <w:color w:val="auto"/>
              </w:rPr>
            </w:pPr>
            <w:r>
              <w:rPr>
                <w:rFonts w:ascii="Arial" w:cs="Arial" w:eastAsia="Arial" w:hAnsi="Arial"/>
                <w:sz w:val="16"/>
                <w:szCs w:val="16"/>
                <w:color w:val="auto"/>
              </w:rPr>
              <w:t>​​​ ​ 1,358</w:t>
            </w:r>
          </w:p>
        </w:tc>
        <w:tc>
          <w:tcPr>
            <w:tcW w:w="900" w:type="dxa"/>
            <w:vAlign w:val="bottom"/>
            <w:tcBorders>
              <w:bottom w:val="single" w:sz="8" w:color="424E6A"/>
            </w:tcBorders>
            <w:gridSpan w:val="4"/>
          </w:tcPr>
          <w:p>
            <w:pPr>
              <w:jc w:val="right"/>
              <w:spacing w:after="0" w:line="183" w:lineRule="exact"/>
              <w:rPr>
                <w:sz w:val="20"/>
                <w:szCs w:val="20"/>
                <w:color w:val="auto"/>
              </w:rPr>
            </w:pPr>
            <w:r>
              <w:rPr>
                <w:rFonts w:ascii="Arial" w:cs="Arial" w:eastAsia="Arial" w:hAnsi="Arial"/>
                <w:sz w:val="16"/>
                <w:szCs w:val="16"/>
                <w:color w:val="auto"/>
              </w:rPr>
              <w:t>​​​ ​29,685 ​​​</w:t>
            </w:r>
          </w:p>
        </w:tc>
        <w:tc>
          <w:tcPr>
            <w:tcW w:w="860" w:type="dxa"/>
            <w:vAlign w:val="bottom"/>
            <w:tcBorders>
              <w:bottom w:val="single" w:sz="8" w:color="424E6A"/>
            </w:tcBorders>
          </w:tcPr>
          <w:p>
            <w:pPr>
              <w:ind w:left="280"/>
              <w:spacing w:after="0" w:line="183" w:lineRule="exact"/>
              <w:rPr>
                <w:sz w:val="20"/>
                <w:szCs w:val="20"/>
                <w:color w:val="auto"/>
              </w:rPr>
            </w:pPr>
            <w:r>
              <w:rPr>
                <w:rFonts w:ascii="Arial" w:cs="Arial" w:eastAsia="Arial" w:hAnsi="Arial"/>
                <w:sz w:val="16"/>
                <w:szCs w:val="16"/>
                <w:color w:val="auto"/>
              </w:rPr>
              <w:t>​3.9%</w:t>
            </w:r>
          </w:p>
        </w:tc>
        <w:tc>
          <w:tcPr>
            <w:tcW w:w="120" w:type="dxa"/>
            <w:vAlign w:val="bottom"/>
            <w:tcBorders>
              <w:bottom w:val="single" w:sz="8" w:color="424E6A"/>
              <w:right w:val="single" w:sz="8" w:color="424E6A"/>
            </w:tcBorders>
          </w:tcPr>
          <w:p>
            <w:pPr>
              <w:ind w:left="20"/>
              <w:spacing w:after="0" w:line="183" w:lineRule="exact"/>
              <w:rPr>
                <w:sz w:val="20"/>
                <w:szCs w:val="20"/>
                <w:color w:val="auto"/>
              </w:rPr>
            </w:pPr>
            <w:r>
              <w:rPr>
                <w:rFonts w:ascii="Arial" w:cs="Arial" w:eastAsia="Arial" w:hAnsi="Arial"/>
                <w:sz w:val="16"/>
                <w:szCs w:val="16"/>
                <w:color w:val="auto"/>
              </w:rPr>
              <w:t>​</w:t>
            </w:r>
          </w:p>
        </w:tc>
      </w:tr>
      <w:tr>
        <w:trPr>
          <w:trHeight w:val="183"/>
        </w:trPr>
        <w:tc>
          <w:tcPr>
            <w:tcW w:w="3080" w:type="dxa"/>
            <w:vAlign w:val="bottom"/>
            <w:tcBorders>
              <w:left w:val="single" w:sz="8" w:color="424E6A"/>
              <w:bottom w:val="single" w:sz="8" w:color="424E6A"/>
            </w:tcBorders>
          </w:tcPr>
          <w:p>
            <w:pPr>
              <w:ind w:left="40"/>
              <w:spacing w:after="0" w:line="183" w:lineRule="exact"/>
              <w:rPr>
                <w:sz w:val="20"/>
                <w:szCs w:val="20"/>
                <w:color w:val="auto"/>
              </w:rPr>
            </w:pPr>
            <w:r>
              <w:rPr>
                <w:rFonts w:ascii="Arial" w:cs="Arial" w:eastAsia="Arial" w:hAnsi="Arial"/>
                <w:sz w:val="16"/>
                <w:szCs w:val="16"/>
                <w:color w:val="auto"/>
              </w:rPr>
              <w:t>​Invesco Advisors</w:t>
            </w:r>
          </w:p>
        </w:tc>
        <w:tc>
          <w:tcPr>
            <w:tcW w:w="10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 1,921</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highlight w:val="lightGray"/>
              </w:rPr>
              <w:t>—</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 ​26,797</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p>
        </w:tc>
        <w:tc>
          <w:tcPr>
            <w:tcW w:w="20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highlight w:val="lightGray"/>
              </w:rPr>
              <w:t>​​ ​28,718 ​</w:t>
            </w:r>
          </w:p>
        </w:tc>
        <w:tc>
          <w:tcPr>
            <w:tcW w:w="12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424E6A"/>
            </w:tcBorders>
          </w:tcPr>
          <w:p>
            <w:pPr>
              <w:ind w:left="280"/>
              <w:spacing w:after="0" w:line="183" w:lineRule="exact"/>
              <w:rPr>
                <w:sz w:val="20"/>
                <w:szCs w:val="20"/>
                <w:color w:val="auto"/>
              </w:rPr>
            </w:pPr>
            <w:r>
              <w:rPr>
                <w:rFonts w:ascii="Arial" w:cs="Arial" w:eastAsia="Arial" w:hAnsi="Arial"/>
                <w:sz w:val="16"/>
                <w:szCs w:val="16"/>
                <w:color w:val="auto"/>
              </w:rPr>
              <w:t>​3.7%</w:t>
            </w:r>
          </w:p>
        </w:tc>
        <w:tc>
          <w:tcPr>
            <w:tcW w:w="120" w:type="dxa"/>
            <w:vAlign w:val="bottom"/>
            <w:tcBorders>
              <w:bottom w:val="single" w:sz="8" w:color="424E6A"/>
              <w:right w:val="single" w:sz="8" w:color="424E6A"/>
            </w:tcBorders>
          </w:tcPr>
          <w:p>
            <w:pPr>
              <w:ind w:left="20"/>
              <w:spacing w:after="0" w:line="183" w:lineRule="exact"/>
              <w:rPr>
                <w:sz w:val="20"/>
                <w:szCs w:val="20"/>
                <w:color w:val="auto"/>
              </w:rPr>
            </w:pPr>
            <w:r>
              <w:rPr>
                <w:rFonts w:ascii="Arial" w:cs="Arial" w:eastAsia="Arial" w:hAnsi="Arial"/>
                <w:sz w:val="16"/>
                <w:szCs w:val="16"/>
                <w:color w:val="auto"/>
              </w:rPr>
              <w:t>​</w:t>
            </w:r>
          </w:p>
        </w:tc>
      </w:tr>
      <w:tr>
        <w:trPr>
          <w:trHeight w:val="183"/>
        </w:trPr>
        <w:tc>
          <w:tcPr>
            <w:tcW w:w="3080" w:type="dxa"/>
            <w:vAlign w:val="bottom"/>
            <w:tcBorders>
              <w:left w:val="single" w:sz="8" w:color="424E6A"/>
              <w:bottom w:val="single" w:sz="8" w:color="424E6A"/>
            </w:tcBorders>
          </w:tcPr>
          <w:p>
            <w:pPr>
              <w:ind w:left="40"/>
              <w:spacing w:after="0" w:line="183" w:lineRule="exact"/>
              <w:rPr>
                <w:sz w:val="20"/>
                <w:szCs w:val="20"/>
                <w:color w:val="auto"/>
              </w:rPr>
            </w:pPr>
            <w:r>
              <w:rPr>
                <w:rFonts w:ascii="Arial" w:cs="Arial" w:eastAsia="Arial" w:hAnsi="Arial"/>
                <w:sz w:val="16"/>
                <w:szCs w:val="16"/>
                <w:color w:val="auto"/>
              </w:rPr>
              <w:t>​EnCap</w:t>
            </w:r>
          </w:p>
        </w:tc>
        <w:tc>
          <w:tcPr>
            <w:tcW w:w="580" w:type="dxa"/>
            <w:vAlign w:val="bottom"/>
            <w:tcBorders>
              <w:bottom w:val="single" w:sz="8" w:color="424E6A"/>
            </w:tcBorders>
          </w:tcPr>
          <w:p>
            <w:pPr>
              <w:ind w:left="440"/>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424E6A"/>
            </w:tcBorders>
            <w:gridSpan w:val="3"/>
          </w:tcPr>
          <w:p>
            <w:pPr>
              <w:jc w:val="right"/>
              <w:ind w:right="1"/>
              <w:spacing w:after="0" w:line="183" w:lineRule="exact"/>
              <w:rPr>
                <w:sz w:val="20"/>
                <w:szCs w:val="20"/>
                <w:color w:val="auto"/>
              </w:rPr>
            </w:pPr>
            <w:r>
              <w:rPr>
                <w:rFonts w:ascii="Arial" w:cs="Arial" w:eastAsia="Arial" w:hAnsi="Arial"/>
                <w:sz w:val="16"/>
                <w:szCs w:val="16"/>
                <w:color w:val="auto"/>
              </w:rPr>
              <w:t>​​​ ​25,357</w:t>
            </w:r>
          </w:p>
        </w:tc>
        <w:tc>
          <w:tcPr>
            <w:tcW w:w="900" w:type="dxa"/>
            <w:vAlign w:val="bottom"/>
            <w:tcBorders>
              <w:bottom w:val="single" w:sz="8" w:color="424E6A"/>
            </w:tcBorders>
            <w:gridSpan w:val="4"/>
          </w:tcPr>
          <w:p>
            <w:pPr>
              <w:jc w:val="right"/>
              <w:spacing w:after="0" w:line="183" w:lineRule="exact"/>
              <w:rPr>
                <w:sz w:val="20"/>
                <w:szCs w:val="20"/>
                <w:color w:val="auto"/>
              </w:rPr>
            </w:pPr>
            <w:r>
              <w:rPr>
                <w:rFonts w:ascii="Arial" w:cs="Arial" w:eastAsia="Arial" w:hAnsi="Arial"/>
                <w:sz w:val="16"/>
                <w:szCs w:val="16"/>
                <w:color w:val="auto"/>
              </w:rPr>
              <w:t>​​​ ​25,357 ​​​</w:t>
            </w:r>
          </w:p>
        </w:tc>
        <w:tc>
          <w:tcPr>
            <w:tcW w:w="860" w:type="dxa"/>
            <w:vAlign w:val="bottom"/>
            <w:tcBorders>
              <w:bottom w:val="single" w:sz="8" w:color="424E6A"/>
            </w:tcBorders>
          </w:tcPr>
          <w:p>
            <w:pPr>
              <w:ind w:left="280"/>
              <w:spacing w:after="0" w:line="183" w:lineRule="exact"/>
              <w:rPr>
                <w:sz w:val="20"/>
                <w:szCs w:val="20"/>
                <w:color w:val="auto"/>
              </w:rPr>
            </w:pPr>
            <w:r>
              <w:rPr>
                <w:rFonts w:ascii="Arial" w:cs="Arial" w:eastAsia="Arial" w:hAnsi="Arial"/>
                <w:sz w:val="16"/>
                <w:szCs w:val="16"/>
                <w:color w:val="auto"/>
              </w:rPr>
              <w:t>​3.3%</w:t>
            </w:r>
          </w:p>
        </w:tc>
        <w:tc>
          <w:tcPr>
            <w:tcW w:w="120" w:type="dxa"/>
            <w:vAlign w:val="bottom"/>
            <w:tcBorders>
              <w:bottom w:val="single" w:sz="8" w:color="424E6A"/>
              <w:right w:val="single" w:sz="8" w:color="424E6A"/>
            </w:tcBorders>
          </w:tcPr>
          <w:p>
            <w:pPr>
              <w:ind w:left="20"/>
              <w:spacing w:after="0" w:line="183" w:lineRule="exact"/>
              <w:rPr>
                <w:sz w:val="20"/>
                <w:szCs w:val="20"/>
                <w:color w:val="auto"/>
              </w:rPr>
            </w:pPr>
            <w:r>
              <w:rPr>
                <w:rFonts w:ascii="Arial" w:cs="Arial" w:eastAsia="Arial" w:hAnsi="Arial"/>
                <w:sz w:val="16"/>
                <w:szCs w:val="16"/>
                <w:color w:val="auto"/>
              </w:rPr>
              <w:t>​</w:t>
            </w:r>
          </w:p>
        </w:tc>
      </w:tr>
      <w:tr>
        <w:trPr>
          <w:trHeight w:val="183"/>
        </w:trPr>
        <w:tc>
          <w:tcPr>
            <w:tcW w:w="3080" w:type="dxa"/>
            <w:vAlign w:val="bottom"/>
            <w:tcBorders>
              <w:left w:val="single" w:sz="8" w:color="424E6A"/>
              <w:bottom w:val="single" w:sz="8" w:color="424E6A"/>
            </w:tcBorders>
          </w:tcPr>
          <w:p>
            <w:pPr>
              <w:ind w:left="40"/>
              <w:spacing w:after="0" w:line="183" w:lineRule="exact"/>
              <w:rPr>
                <w:sz w:val="20"/>
                <w:szCs w:val="20"/>
                <w:color w:val="auto"/>
              </w:rPr>
            </w:pPr>
            <w:r>
              <w:rPr>
                <w:rFonts w:ascii="Arial" w:cs="Arial" w:eastAsia="Arial" w:hAnsi="Arial"/>
                <w:sz w:val="16"/>
                <w:szCs w:val="16"/>
                <w:color w:val="auto"/>
              </w:rPr>
              <w:t>​Goldman Sachs Asset Management</w:t>
            </w:r>
          </w:p>
        </w:tc>
        <w:tc>
          <w:tcPr>
            <w:tcW w:w="10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 9,120</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highlight w:val="lightGray"/>
              </w:rPr>
              <w:t>—</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 ​13,605</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p>
        </w:tc>
        <w:tc>
          <w:tcPr>
            <w:tcW w:w="20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highlight w:val="lightGray"/>
              </w:rPr>
              <w:t>​​ ​22,725 ​</w:t>
            </w:r>
          </w:p>
        </w:tc>
        <w:tc>
          <w:tcPr>
            <w:tcW w:w="12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424E6A"/>
            </w:tcBorders>
          </w:tcPr>
          <w:p>
            <w:pPr>
              <w:ind w:left="280"/>
              <w:spacing w:after="0" w:line="183" w:lineRule="exact"/>
              <w:rPr>
                <w:sz w:val="20"/>
                <w:szCs w:val="20"/>
                <w:color w:val="auto"/>
              </w:rPr>
            </w:pPr>
            <w:r>
              <w:rPr>
                <w:rFonts w:ascii="Arial" w:cs="Arial" w:eastAsia="Arial" w:hAnsi="Arial"/>
                <w:sz w:val="16"/>
                <w:szCs w:val="16"/>
                <w:color w:val="auto"/>
              </w:rPr>
              <w:t>​3.0%</w:t>
            </w:r>
          </w:p>
        </w:tc>
        <w:tc>
          <w:tcPr>
            <w:tcW w:w="120" w:type="dxa"/>
            <w:vAlign w:val="bottom"/>
            <w:tcBorders>
              <w:bottom w:val="single" w:sz="8" w:color="424E6A"/>
              <w:right w:val="single" w:sz="8" w:color="424E6A"/>
            </w:tcBorders>
          </w:tcPr>
          <w:p>
            <w:pPr>
              <w:ind w:left="20"/>
              <w:spacing w:after="0" w:line="183" w:lineRule="exact"/>
              <w:rPr>
                <w:sz w:val="20"/>
                <w:szCs w:val="20"/>
                <w:color w:val="auto"/>
              </w:rPr>
            </w:pPr>
            <w:r>
              <w:rPr>
                <w:rFonts w:ascii="Arial" w:cs="Arial" w:eastAsia="Arial" w:hAnsi="Arial"/>
                <w:sz w:val="16"/>
                <w:szCs w:val="16"/>
                <w:color w:val="auto"/>
              </w:rPr>
              <w:t>​</w:t>
            </w:r>
          </w:p>
        </w:tc>
      </w:tr>
      <w:tr>
        <w:trPr>
          <w:trHeight w:val="183"/>
        </w:trPr>
        <w:tc>
          <w:tcPr>
            <w:tcW w:w="3080" w:type="dxa"/>
            <w:vAlign w:val="bottom"/>
            <w:tcBorders>
              <w:left w:val="single" w:sz="8" w:color="424E6A"/>
              <w:bottom w:val="single" w:sz="8" w:color="424E6A"/>
            </w:tcBorders>
          </w:tcPr>
          <w:p>
            <w:pPr>
              <w:ind w:left="40"/>
              <w:spacing w:after="0" w:line="183" w:lineRule="exact"/>
              <w:rPr>
                <w:sz w:val="20"/>
                <w:szCs w:val="20"/>
                <w:color w:val="auto"/>
              </w:rPr>
            </w:pPr>
            <w:r>
              <w:rPr>
                <w:rFonts w:ascii="Arial" w:cs="Arial" w:eastAsia="Arial" w:hAnsi="Arial"/>
                <w:sz w:val="16"/>
                <w:szCs w:val="16"/>
                <w:color w:val="auto"/>
              </w:rPr>
              <w:t>​ClearBridge Investments</w:t>
            </w:r>
          </w:p>
        </w:tc>
        <w:tc>
          <w:tcPr>
            <w:tcW w:w="10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8,211</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 6,838</w:t>
            </w:r>
          </w:p>
        </w:tc>
        <w:tc>
          <w:tcPr>
            <w:tcW w:w="2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424E6A"/>
            </w:tcBorders>
            <w:gridSpan w:val="2"/>
          </w:tcPr>
          <w:p>
            <w:pPr>
              <w:spacing w:after="0" w:line="183" w:lineRule="exact"/>
              <w:rPr>
                <w:sz w:val="20"/>
                <w:szCs w:val="20"/>
                <w:color w:val="auto"/>
              </w:rPr>
            </w:pPr>
            <w:r>
              <w:rPr>
                <w:rFonts w:ascii="Arial" w:cs="Arial" w:eastAsia="Arial" w:hAnsi="Arial"/>
                <w:sz w:val="16"/>
                <w:szCs w:val="16"/>
                <w:color w:val="auto"/>
              </w:rPr>
              <w:t>​​​ ​15,049</w:t>
            </w:r>
          </w:p>
        </w:tc>
        <w:tc>
          <w:tcPr>
            <w:tcW w:w="18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424E6A"/>
            </w:tcBorders>
          </w:tcPr>
          <w:p>
            <w:pPr>
              <w:ind w:left="280"/>
              <w:spacing w:after="0" w:line="183" w:lineRule="exact"/>
              <w:rPr>
                <w:sz w:val="20"/>
                <w:szCs w:val="20"/>
                <w:color w:val="auto"/>
              </w:rPr>
            </w:pPr>
            <w:r>
              <w:rPr>
                <w:rFonts w:ascii="Arial" w:cs="Arial" w:eastAsia="Arial" w:hAnsi="Arial"/>
                <w:sz w:val="16"/>
                <w:szCs w:val="16"/>
                <w:color w:val="auto"/>
              </w:rPr>
              <w:t>​2.0%</w:t>
            </w:r>
          </w:p>
        </w:tc>
        <w:tc>
          <w:tcPr>
            <w:tcW w:w="120" w:type="dxa"/>
            <w:vAlign w:val="bottom"/>
            <w:tcBorders>
              <w:bottom w:val="single" w:sz="8" w:color="424E6A"/>
              <w:right w:val="single" w:sz="8" w:color="424E6A"/>
            </w:tcBorders>
          </w:tcPr>
          <w:p>
            <w:pPr>
              <w:ind w:left="20"/>
              <w:spacing w:after="0" w:line="183" w:lineRule="exact"/>
              <w:rPr>
                <w:sz w:val="20"/>
                <w:szCs w:val="20"/>
                <w:color w:val="auto"/>
              </w:rPr>
            </w:pPr>
            <w:r>
              <w:rPr>
                <w:rFonts w:ascii="Arial" w:cs="Arial" w:eastAsia="Arial" w:hAnsi="Arial"/>
                <w:sz w:val="16"/>
                <w:szCs w:val="16"/>
                <w:color w:val="auto"/>
              </w:rPr>
              <w:t>​</w:t>
            </w:r>
          </w:p>
        </w:tc>
      </w:tr>
      <w:tr>
        <w:trPr>
          <w:trHeight w:val="183"/>
        </w:trPr>
        <w:tc>
          <w:tcPr>
            <w:tcW w:w="3080" w:type="dxa"/>
            <w:vAlign w:val="bottom"/>
            <w:tcBorders>
              <w:left w:val="single" w:sz="8" w:color="424E6A"/>
              <w:bottom w:val="single" w:sz="8" w:color="424E6A"/>
            </w:tcBorders>
          </w:tcPr>
          <w:p>
            <w:pPr>
              <w:ind w:left="40"/>
              <w:spacing w:after="0" w:line="183" w:lineRule="exact"/>
              <w:rPr>
                <w:sz w:val="20"/>
                <w:szCs w:val="20"/>
                <w:color w:val="auto"/>
              </w:rPr>
            </w:pPr>
            <w:r>
              <w:rPr>
                <w:rFonts w:ascii="Arial" w:cs="Arial" w:eastAsia="Arial" w:hAnsi="Arial"/>
                <w:sz w:val="16"/>
                <w:szCs w:val="16"/>
                <w:color w:val="auto"/>
              </w:rPr>
              <w:t>​Energy Income Partners</w:t>
            </w:r>
          </w:p>
        </w:tc>
        <w:tc>
          <w:tcPr>
            <w:tcW w:w="10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​​10,874</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highlight w:val="lightGray"/>
              </w:rPr>
              <w:t>—</w:t>
            </w:r>
          </w:p>
        </w:tc>
        <w:tc>
          <w:tcPr>
            <w:tcW w:w="7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 ​ 3,005</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w:t>
            </w:r>
          </w:p>
        </w:tc>
        <w:tc>
          <w:tcPr>
            <w:tcW w:w="20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highlight w:val="lightGray"/>
              </w:rPr>
              <w:t>​​ ​13,879</w:t>
            </w:r>
          </w:p>
        </w:tc>
        <w:tc>
          <w:tcPr>
            <w:tcW w:w="6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highlight w:val="lightGray"/>
              </w:rPr>
              <w:t>​</w:t>
            </w:r>
          </w:p>
        </w:tc>
        <w:tc>
          <w:tcPr>
            <w:tcW w:w="12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424E6A"/>
            </w:tcBorders>
          </w:tcPr>
          <w:p>
            <w:pPr>
              <w:ind w:left="280"/>
              <w:spacing w:after="0" w:line="183" w:lineRule="exact"/>
              <w:rPr>
                <w:sz w:val="20"/>
                <w:szCs w:val="20"/>
                <w:color w:val="auto"/>
              </w:rPr>
            </w:pPr>
            <w:r>
              <w:rPr>
                <w:rFonts w:ascii="Arial" w:cs="Arial" w:eastAsia="Arial" w:hAnsi="Arial"/>
                <w:sz w:val="16"/>
                <w:szCs w:val="16"/>
                <w:color w:val="auto"/>
              </w:rPr>
              <w:t>​1.8%</w:t>
            </w:r>
          </w:p>
        </w:tc>
        <w:tc>
          <w:tcPr>
            <w:tcW w:w="120" w:type="dxa"/>
            <w:vAlign w:val="bottom"/>
            <w:tcBorders>
              <w:bottom w:val="single" w:sz="8" w:color="424E6A"/>
              <w:right w:val="single" w:sz="8" w:color="424E6A"/>
            </w:tcBorders>
          </w:tcPr>
          <w:p>
            <w:pPr>
              <w:ind w:left="20"/>
              <w:spacing w:after="0" w:line="183" w:lineRule="exact"/>
              <w:rPr>
                <w:sz w:val="20"/>
                <w:szCs w:val="20"/>
                <w:color w:val="auto"/>
              </w:rPr>
            </w:pPr>
            <w:r>
              <w:rPr>
                <w:rFonts w:ascii="Arial" w:cs="Arial" w:eastAsia="Arial" w:hAnsi="Arial"/>
                <w:sz w:val="16"/>
                <w:szCs w:val="16"/>
                <w:color w:val="auto"/>
              </w:rPr>
              <w:t>​</w:t>
            </w:r>
          </w:p>
        </w:tc>
      </w:tr>
      <w:tr>
        <w:trPr>
          <w:trHeight w:val="183"/>
        </w:trPr>
        <w:tc>
          <w:tcPr>
            <w:tcW w:w="3080" w:type="dxa"/>
            <w:vAlign w:val="bottom"/>
            <w:tcBorders>
              <w:left w:val="single" w:sz="8" w:color="424E6A"/>
              <w:bottom w:val="single" w:sz="8" w:color="424E6A"/>
            </w:tcBorders>
          </w:tcPr>
          <w:p>
            <w:pPr>
              <w:ind w:left="40"/>
              <w:spacing w:after="0" w:line="183" w:lineRule="exact"/>
              <w:rPr>
                <w:sz w:val="20"/>
                <w:szCs w:val="20"/>
                <w:color w:val="auto"/>
              </w:rPr>
            </w:pPr>
            <w:r>
              <w:rPr>
                <w:rFonts w:ascii="Arial" w:cs="Arial" w:eastAsia="Arial" w:hAnsi="Arial"/>
                <w:sz w:val="16"/>
                <w:szCs w:val="16"/>
                <w:color w:val="auto"/>
              </w:rPr>
              <w:t>​MFS Investment Management</w:t>
            </w:r>
          </w:p>
        </w:tc>
        <w:tc>
          <w:tcPr>
            <w:tcW w:w="10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​​​13,007</w:t>
            </w:r>
          </w:p>
        </w:tc>
        <w:tc>
          <w:tcPr>
            <w:tcW w:w="18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tcBorders>
              <w:bottom w:val="single" w:sz="8" w:color="424E6A"/>
            </w:tcBorders>
          </w:tcPr>
          <w:p>
            <w:pPr>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spacing w:after="0" w:line="183" w:lineRule="exact"/>
              <w:rPr>
                <w:sz w:val="20"/>
                <w:szCs w:val="20"/>
                <w:color w:val="auto"/>
              </w:rPr>
            </w:pPr>
            <w:r>
              <w:rPr>
                <w:rFonts w:ascii="Arial" w:cs="Arial" w:eastAsia="Arial" w:hAnsi="Arial"/>
                <w:sz w:val="16"/>
                <w:szCs w:val="16"/>
                <w:color w:val="auto"/>
              </w:rPr>
              <w:t>78</w:t>
            </w:r>
          </w:p>
        </w:tc>
        <w:tc>
          <w:tcPr>
            <w:tcW w:w="26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424E6A"/>
            </w:tcBorders>
            <w:gridSpan w:val="2"/>
          </w:tcPr>
          <w:p>
            <w:pPr>
              <w:spacing w:after="0" w:line="183" w:lineRule="exact"/>
              <w:rPr>
                <w:sz w:val="20"/>
                <w:szCs w:val="20"/>
                <w:color w:val="auto"/>
              </w:rPr>
            </w:pPr>
            <w:r>
              <w:rPr>
                <w:rFonts w:ascii="Arial" w:cs="Arial" w:eastAsia="Arial" w:hAnsi="Arial"/>
                <w:sz w:val="16"/>
                <w:szCs w:val="16"/>
                <w:color w:val="auto"/>
              </w:rPr>
              <w:t>​​​ ​13,085</w:t>
            </w:r>
          </w:p>
        </w:tc>
        <w:tc>
          <w:tcPr>
            <w:tcW w:w="180" w:type="dxa"/>
            <w:vAlign w:val="bottom"/>
            <w:tcBorders>
              <w:bottom w:val="single" w:sz="8" w:color="424E6A"/>
            </w:tcBorders>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424E6A"/>
            </w:tcBorders>
          </w:tcPr>
          <w:p>
            <w:pPr>
              <w:ind w:left="280"/>
              <w:spacing w:after="0" w:line="183" w:lineRule="exact"/>
              <w:rPr>
                <w:sz w:val="20"/>
                <w:szCs w:val="20"/>
                <w:color w:val="auto"/>
              </w:rPr>
            </w:pPr>
            <w:r>
              <w:rPr>
                <w:rFonts w:ascii="Arial" w:cs="Arial" w:eastAsia="Arial" w:hAnsi="Arial"/>
                <w:sz w:val="16"/>
                <w:szCs w:val="16"/>
                <w:color w:val="auto"/>
              </w:rPr>
              <w:t>​1.7%</w:t>
            </w:r>
          </w:p>
        </w:tc>
        <w:tc>
          <w:tcPr>
            <w:tcW w:w="120" w:type="dxa"/>
            <w:vAlign w:val="bottom"/>
            <w:tcBorders>
              <w:bottom w:val="single" w:sz="8" w:color="424E6A"/>
              <w:right w:val="single" w:sz="8" w:color="424E6A"/>
            </w:tcBorders>
          </w:tcPr>
          <w:p>
            <w:pPr>
              <w:ind w:left="20"/>
              <w:spacing w:after="0" w:line="183" w:lineRule="exact"/>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-1294130</wp:posOffset>
            </wp:positionV>
            <wp:extent cx="5194935" cy="129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94935" cy="1294765"/>
                    </a:xfrm>
                    <a:prstGeom prst="rect">
                      <a:avLst/>
                    </a:prstGeom>
                    <a:noFill/>
                  </pic:spPr>
                </pic:pic>
              </a:graphicData>
            </a:graphic>
          </wp:anchor>
        </w:drawing>
      </w:r>
    </w:p>
    <w:p>
      <w:pPr>
        <w:spacing w:after="0" w:line="96"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8"/>
          <w:szCs w:val="18"/>
          <w:color w:val="auto"/>
        </w:rPr>
        <w:t>See “Security Ownership of Certain Beneficial Owners and Management” beginning on page 65 for additional information regarding beneficial ownership of our securities, including ownership by our Directors and executive officers.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w:t>
      </w:r>
    </w:p>
    <w:p>
      <w:pPr>
        <w:spacing w:after="0" w:line="15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Mr. Chiang serves as Chairman of the Board and as CEO, and Mr. Shackouls serves as Lead Director. Our governing documents require that for so long as the Board Chair and CEO roles are held by the same person, one of our independent directors must serve as the Lead Director, and such governing documents also clearly delineate the respective responsibilities of the Board Chair and the Lead Director. The Lead Director is responsible for, among other things, developing and communicating the agenda for, and presiding at, meetings of the non-management directors, collaborating with the Board Chair on Board meeting agendas, working with the Board Chair to establish parameters for the quality, amount and timeliness of the information flow between management and the Board, and generally acting as a liaison between the non-management directors and the Board Chair. The Board has no set policy with respect to the separation of the offices of Board Chair and CEO; rather the Board believes it is in the best interests of PAA and PAGP for the Board to review ongoing conditions and circumstances and make an appropriate determination to separate, or maintain as combined, the CEO and Board Chair roles at the time a new CEO succeeds the current CEO, or upon a significant change in circumstances. The Board Chair/CEO regularly communicates with the Lead Director to make sure the Board is receiving the information it needs and has the opportunity to provide feedback and input to management, in each case as required for the Board to discharge its oversight role.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Role in Risk Oversight</w:t>
      </w:r>
    </w:p>
    <w:p>
      <w:pPr>
        <w:spacing w:after="0" w:line="158"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With respect to the management of enterprise-level risk (ELR), which is the process of identifying, managing and monitoring events that present opportunities and risks with respect to the operation of our business and the creation of value for our unitholders, the Board has delegated primary responsibility to management while retaining oversight responsibility. Management provides a formal ELR assessment to the Board at least once every year and provides updates on other areas of potential risk on at least a quarterly basis.</w:t>
      </w:r>
    </w:p>
    <w:p>
      <w:pPr>
        <w:spacing w:after="0" w:line="101" w:lineRule="exact"/>
        <w:rPr>
          <w:sz w:val="20"/>
          <w:szCs w:val="20"/>
          <w:color w:val="auto"/>
        </w:rPr>
      </w:pPr>
    </w:p>
    <w:p>
      <w:pPr>
        <w:jc w:val="both"/>
        <w:ind w:left="1260" w:right="499" w:firstLine="360"/>
        <w:spacing w:after="0" w:line="291" w:lineRule="auto"/>
        <w:rPr>
          <w:sz w:val="20"/>
          <w:szCs w:val="20"/>
          <w:color w:val="auto"/>
        </w:rPr>
      </w:pPr>
      <w:r>
        <w:rPr>
          <w:rFonts w:ascii="Arial" w:cs="Arial" w:eastAsia="Arial" w:hAnsi="Arial"/>
          <w:sz w:val="17"/>
          <w:szCs w:val="17"/>
          <w:color w:val="auto"/>
        </w:rPr>
        <w:t>We believe that our Board leadership and committee structure supports the Board’s risk oversight function by facilitating open and regular communication between management and the directors, which allows informed oversight of management’s processes for identifying and managing significant risks</w:t>
      </w:r>
    </w:p>
    <w:p>
      <w:pPr>
        <w:sectPr>
          <w:pgSz w:w="11900" w:h="16838" w:orient="portrait"/>
          <w:cols w:equalWidth="0" w:num="1">
            <w:col w:w="9879"/>
          </w:cols>
          <w:pgMar w:left="580" w:top="97" w:right="1440" w:bottom="1440" w:gutter="0" w:footer="0" w:header="0"/>
        </w:sectPr>
      </w:pPr>
    </w:p>
    <w:p>
      <w:pPr>
        <w:spacing w:after="0" w:line="34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19"/>
        <w:spacing w:after="0" w:line="268" w:lineRule="auto"/>
        <w:rPr>
          <w:sz w:val="20"/>
          <w:szCs w:val="20"/>
          <w:color w:val="auto"/>
        </w:rPr>
      </w:pPr>
      <w:r>
        <w:rPr>
          <w:rFonts w:ascii="Arial" w:cs="Arial" w:eastAsia="Arial" w:hAnsi="Arial"/>
          <w:sz w:val="18"/>
          <w:szCs w:val="18"/>
          <w:color w:val="auto"/>
        </w:rPr>
        <w:t>and their impact on PAA’s business. The Board’s various committees (Audit, Governance, Compensation and HSES) assist the Board with respect to its oversight of risks related to the specific areas of focus for each committee.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158" w:lineRule="exact"/>
        <w:rPr>
          <w:sz w:val="20"/>
          <w:szCs w:val="20"/>
          <w:color w:val="auto"/>
        </w:rPr>
      </w:pPr>
    </w:p>
    <w:p>
      <w:pPr>
        <w:jc w:val="both"/>
        <w:ind w:left="1260" w:right="939" w:firstLine="360"/>
        <w:spacing w:after="0" w:line="291" w:lineRule="auto"/>
        <w:rPr>
          <w:sz w:val="20"/>
          <w:szCs w:val="20"/>
          <w:color w:val="auto"/>
        </w:rPr>
      </w:pPr>
      <w:r>
        <w:rPr>
          <w:rFonts w:ascii="Arial" w:cs="Arial" w:eastAsia="Arial" w:hAnsi="Arial"/>
          <w:sz w:val="17"/>
          <w:szCs w:val="17"/>
          <w:color w:val="auto"/>
        </w:rPr>
        <w:t>Non-management directors meet in executive session in connection with each regular Board meeting. These sessions are presided over by the Lead Director. As circumstances warrant, non-management directors may also meet in executive sessions of special meetings of the Board.</w:t>
      </w:r>
    </w:p>
    <w:p>
      <w:pPr>
        <w:spacing w:after="0" w:line="85"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8"/>
          <w:szCs w:val="18"/>
          <w:color w:val="auto"/>
        </w:rPr>
        <w:t>Interested Unitholders can communicate with non-management directors regarding PAA’s business and affairs by mail in care of the General Counsel and Secretary or in care of the Vice President of Internal Audit at Plains All American Pipeline, L.P., 333 Clay Street, Suite 1600, Houston, Texas 77002. Commercial solicitations or communications will be disregarded.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Independence Determinations</w:t>
      </w:r>
    </w:p>
    <w:p>
      <w:pPr>
        <w:spacing w:after="0" w:line="14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Because we are a limited partnership, the listing standards of Nasdaq do not require that we or our general partner have a majority of independent directors on the Board. Nonetheless, the PAGP GP LLC Agreement was amended in 2019 to require that our Board have a majority of directors who are independent as defined in applicable Nasdaq and SEC rules. To be considered independent under Nasdaq listing standards, our Board must determine that a director has no relationship with us that would interfere with the exercise of independent judgement in carrying out his or her responsibilities as a director. The applicable Nasdaq and SEC rules specify the criteria by which the independence of directors must be determined, including guidelines for directors and their immediate family members with respect to employment or affiliation with us or with our independent public accountants. The Board has assessed the independence of the nine directors who are not current or former members of management (Messrs. Burk, McCarthy, Petersen, Raymond, Shackouls, Temple and Ziemba,</w:t>
      </w:r>
    </w:p>
    <w:p>
      <w:pPr>
        <w:spacing w:after="0" w:line="3" w:lineRule="exact"/>
        <w:rPr>
          <w:sz w:val="20"/>
          <w:szCs w:val="20"/>
          <w:color w:val="auto"/>
        </w:rPr>
      </w:pPr>
    </w:p>
    <w:p>
      <w:pPr>
        <w:ind w:left="1260" w:right="799"/>
        <w:spacing w:after="0" w:line="266" w:lineRule="auto"/>
        <w:rPr>
          <w:sz w:val="20"/>
          <w:szCs w:val="20"/>
          <w:color w:val="auto"/>
        </w:rPr>
      </w:pPr>
      <w:r>
        <w:rPr>
          <w:rFonts w:ascii="Arial" w:cs="Arial" w:eastAsia="Arial" w:hAnsi="Arial"/>
          <w:sz w:val="18"/>
          <w:szCs w:val="18"/>
          <w:color w:val="auto"/>
        </w:rPr>
        <w:t>Ms. DeSanctis and Ms. Pruner) and has concluded that all of such directors are independent under applicable Nasdaq and SEC standards.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Our Audit Committee reviews our external financial reporting, engages our independent auditors, and reviews the adequacy of our internal accounting controls. The charter of our Audit Committee is available on our website. See “— Meetings and Other Information” for information on how to access or obtain copies of this charter. The Board has determined that each member of our Audit Committee (Messrs. Burk (chair) and Ziemba, Ms. DeSanctis and Ms. Pruner) is (i) independent under applicable Nasdaq and SEC rules, and (ii) financially literate. The Board has also determined that each of Mr. Burk and Ms. Pruner qualifies as an Audit Committee Financial Expert as that term is defined in Item 407 of Regulation S-K.</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Compensation Committee Interlocks and Insider Participation</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Although not required by Nasdaq listing standards, we have a Compensation Committee that reviews and makes recommendations to the Board regarding the compensation for our executive officers and administers our long-term equity incentive plans for officers and key employees. The Compensation Committee has delegated limited authority to the CEO to administer our long-term incentive plans with respect to employees and non-Section 16 officers below the Senior Vice President level. The charter of our Compensation Committee is available on our website. See “— Meetings and Other Information” for information on how to access or obtain copies of this charter. The Compensation Committee currently consists of Messrs. Raymond (chair), Petersen and Temple. Under applicable Nasdaq rules, none of the members of our Compensation Committee are required to be independent; however, the charter of our Compensation Committee requires that all members of the committee be independent and the Board has determined that all of the current members of the Compensation Committee are independent under applicable Nasdaq and SEC standards. The Compensation Committee has the sole authority to retain any compensation consultants to assist the committee. Since 2019, the Compensation Committee</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1019"/>
        <w:spacing w:after="0" w:line="287" w:lineRule="auto"/>
        <w:rPr>
          <w:sz w:val="20"/>
          <w:szCs w:val="20"/>
          <w:color w:val="auto"/>
        </w:rPr>
      </w:pPr>
      <w:r>
        <w:rPr>
          <w:rFonts w:ascii="Arial" w:cs="Arial" w:eastAsia="Arial" w:hAnsi="Arial"/>
          <w:sz w:val="18"/>
          <w:szCs w:val="18"/>
          <w:color w:val="auto"/>
        </w:rPr>
        <w:t>has engaged Meridian Compensation Partners, LLC (“Meridian”) to conduct independent annual reviews and benchmark studies of our executive compensation program and practices.</w:t>
      </w:r>
    </w:p>
    <w:p>
      <w:pPr>
        <w:spacing w:after="0" w:line="72"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During 2022, none of the members of the Compensation Committee was an officer or employee of ours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Raymond is associated with The Energy &amp; Minerals Group (“EMG”) and Mr. Petersen is associated with EnCap Investments LP (“EnCap”). We have ordinary course business relationships with entities affiliated with EMG and EnCap; however, the Board has determined that these relationships do not impact</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Raymond’s or Mr. Petersen’s independence. See “Certain Relationships and Related Transactions.”</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Governance Committee</w:t>
      </w:r>
    </w:p>
    <w:p>
      <w:pPr>
        <w:spacing w:after="0" w:line="158"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Although not required by Nasdaq listing standards, we also have a Governance Committee that periodically reviews our governance structure, policies and principles, oversees the Board’s annual self-assessment and committee evaluation process, and assists with succession planning and other governance-related activities, including identifying and assessing director nominees. See “Proposal 1 — Election of Class I Directors — Director and Nominee Experience and Qualifications” for additional information regarding activities of our Governance Committee. The charter of our Governance Committee is available on our website. See “— Meetings and Other Information” for information on how to access or obtain copies of this charter. The Governance Committee currently consists of Messrs. Shackouls (chair), McCarthy and Petersen and Ms. Pruner. Under applicable Nasdaq rules, none of the members of our Governance Committee are required to be independent; however, the charter of our Governance Committee requires that all members of the committee be independent and the Board has determined that all of the current members of the Governance Committee are independent under applicable Nasdaq and SEC standards.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HSES Committee</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In February 2021, the Board established the HSES Committee to assist the Board in its evaluation and oversight of our (i) management of HSES matters, including compliance with applicable laws and regulations; (ii) management of systems and plans to protect the health and safety of employees, contractors, customers, the environment, the communities where we operate, our assets, and our reputation; and (iii) plans to adjust to HSES trends and related risks to more effectively achieve our long-term business and sustainability objectives. Through the discharge of its oversight responsibilities, the HSES Committee facilitates the efforts of management to further strengthen our focus on sustainability and ESG matters. The charter of our HSES Committee is available on our website. See “— Meetings and Other Information” for information on how to access or obtain copies of this charter. The HSES Committee currently consists of Messrs. Ziemba (chair) and Temple and Ms. DeSanctis. The Board has determined that all of the current members of the HSES Committee are independent under applicable Nasdaq and SEC standards.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Meetings and Other Information</w:t>
      </w:r>
    </w:p>
    <w:p>
      <w:pPr>
        <w:spacing w:after="0" w:line="144" w:lineRule="exact"/>
        <w:rPr>
          <w:sz w:val="20"/>
          <w:szCs w:val="20"/>
          <w:color w:val="auto"/>
        </w:rPr>
      </w:pPr>
    </w:p>
    <w:p>
      <w:pPr>
        <w:ind w:left="1260" w:right="519" w:firstLine="360"/>
        <w:spacing w:after="0" w:line="244" w:lineRule="auto"/>
        <w:rPr>
          <w:sz w:val="20"/>
          <w:szCs w:val="20"/>
          <w:color w:val="auto"/>
        </w:rPr>
      </w:pPr>
      <w:r>
        <w:rPr>
          <w:rFonts w:ascii="Arial" w:cs="Arial" w:eastAsia="Arial" w:hAnsi="Arial"/>
          <w:sz w:val="18"/>
          <w:szCs w:val="18"/>
          <w:color w:val="auto"/>
        </w:rPr>
        <w:t>During 2022, our Board had six meetings, our Audit Committee had ten meetings, our Compensation Committee had two meetings, our Governance Committee had one meeting and our HSES Committee had six meetings. In addition, members of our Compensation Committee and Governance Committee held numerous conference calls and discussions throughout the year on various compensation and governance-related matters. All directors have access to members of management, and a substantial amount of information transfer and informal communication occurs between meetings. In 2022, all of our directors attended all meetings of the Board and applicable committees of the Board on which the director served, other than two directors who each missed one Board meeting, and another director who missed one committee meeting. Board members are encouraged, but not required, to attend our annual meetings; five Board members attended our annual meeting in 2022.</w:t>
      </w:r>
    </w:p>
    <w:p>
      <w:pPr>
        <w:spacing w:after="0" w:line="115" w:lineRule="exact"/>
        <w:rPr>
          <w:sz w:val="20"/>
          <w:szCs w:val="20"/>
          <w:color w:val="auto"/>
        </w:rPr>
      </w:pPr>
    </w:p>
    <w:p>
      <w:pPr>
        <w:ind w:left="1260" w:right="519" w:firstLine="360"/>
        <w:spacing w:after="0" w:line="301" w:lineRule="auto"/>
        <w:rPr>
          <w:sz w:val="20"/>
          <w:szCs w:val="20"/>
          <w:color w:val="auto"/>
        </w:rPr>
      </w:pPr>
      <w:r>
        <w:rPr>
          <w:rFonts w:ascii="Arial" w:cs="Arial" w:eastAsia="Arial" w:hAnsi="Arial"/>
          <w:sz w:val="17"/>
          <w:szCs w:val="17"/>
          <w:color w:val="auto"/>
        </w:rPr>
        <w:t>All of our standing committees have charters. Our committee charters and governance guidelines, as well as our Code of Business Conduct (which describes our Core Values) and our Code of Ethics</w:t>
      </w:r>
    </w:p>
    <w:p>
      <w:pPr>
        <w:sectPr>
          <w:pgSz w:w="11900" w:h="16838" w:orient="portrait"/>
          <w:cols w:equalWidth="0" w:num="1">
            <w:col w:w="9879"/>
          </w:cols>
          <w:pgMar w:left="580" w:top="97" w:right="1440" w:bottom="1440" w:gutter="0" w:footer="0" w:header="0"/>
        </w:sectPr>
      </w:pP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 xml:space="preserve">for Senior Financial Officers (which applies to our principal executive officer, principal financial officer and principal accounting officer), are available under the Structure and Governance tab in the Investor Relations section of our Internet website at </w:t>
      </w:r>
      <w:r>
        <w:rPr>
          <w:rFonts w:ascii="Arial" w:cs="Arial" w:eastAsia="Arial" w:hAnsi="Arial"/>
          <w:sz w:val="18"/>
          <w:szCs w:val="18"/>
          <w:i w:val="1"/>
          <w:iCs w:val="1"/>
          <w:color w:val="auto"/>
        </w:rPr>
        <w:t>http://www.plains.com</w:t>
      </w:r>
      <w:r>
        <w:rPr>
          <w:rFonts w:ascii="Arial" w:cs="Arial" w:eastAsia="Arial" w:hAnsi="Arial"/>
          <w:sz w:val="18"/>
          <w:szCs w:val="18"/>
          <w:color w:val="auto"/>
        </w:rPr>
        <w:t>. We intend to disclose any amendment to or waiver of the Code of Ethics for Senior Financial Officers and any waiver of our Code of Business Conduct on behalf of an executive officer or director either on our Internet website or in an 8-K filing. We regularly post important information on our website, including information regarding our sustainability efforts.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Committee/Fiduciary Duties</w:t>
      </w:r>
    </w:p>
    <w:p>
      <w:pPr>
        <w:spacing w:after="0" w:line="158" w:lineRule="exact"/>
        <w:rPr>
          <w:sz w:val="20"/>
          <w:szCs w:val="20"/>
          <w:color w:val="auto"/>
        </w:rPr>
      </w:pPr>
    </w:p>
    <w:p>
      <w:pPr>
        <w:ind w:left="1260" w:right="539" w:firstLine="360"/>
        <w:spacing w:after="0" w:line="274" w:lineRule="auto"/>
        <w:rPr>
          <w:sz w:val="20"/>
          <w:szCs w:val="20"/>
          <w:color w:val="auto"/>
        </w:rPr>
      </w:pPr>
      <w:r>
        <w:rPr>
          <w:rFonts w:ascii="Arial" w:cs="Arial" w:eastAsia="Arial" w:hAnsi="Arial"/>
          <w:sz w:val="17"/>
          <w:szCs w:val="17"/>
          <w:color w:val="auto"/>
        </w:rPr>
        <w:t>Our partnership agreement allows for the establishment or activation of a conflicts committee as circumstances warrant to review conflicts of interest between us and our general partner or its owners. Such committee will typically consist of a minimum of two independent, non-employee members of the Board. Our partnership agreement provides that any matters approved by the conflicts committee will be conclusively deemed to be fair and reasonable to us, approved by all of our partners, and not a breach by our general partner of any duties owed to us or our Unitholders. See “Certain Relationships and Related Transactions — Review, Approval or Ratification of Transactions with Related Persons.”</w:t>
      </w:r>
    </w:p>
    <w:p>
      <w:pPr>
        <w:spacing w:after="0" w:line="98"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Our partnership agreement limits any fiduciary duties our general partner might owe to our Unitholders.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may exercise such discretion again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1 — ELECTION OF CLASS I DIRECTORS</w:t>
      </w:r>
    </w:p>
    <w:p>
      <w:pPr>
        <w:spacing w:after="0" w:line="225" w:lineRule="exact"/>
        <w:rPr>
          <w:sz w:val="20"/>
          <w:szCs w:val="20"/>
          <w:color w:val="auto"/>
        </w:rPr>
      </w:pPr>
    </w:p>
    <w:p>
      <w:pPr>
        <w:jc w:val="center"/>
        <w:ind w:left="1860" w:right="300"/>
        <w:spacing w:after="0" w:line="265" w:lineRule="auto"/>
        <w:rPr>
          <w:sz w:val="20"/>
          <w:szCs w:val="20"/>
          <w:color w:val="auto"/>
        </w:rPr>
      </w:pPr>
      <w:r>
        <w:rPr>
          <w:rFonts w:ascii="Arial" w:cs="Arial" w:eastAsia="Arial" w:hAnsi="Arial"/>
          <w:sz w:val="18"/>
          <w:szCs w:val="18"/>
          <w:b w:val="1"/>
          <w:bCs w:val="1"/>
          <w:color w:val="auto"/>
        </w:rPr>
        <w:t>THE BOARD OF DIRECTORS UNANIMOUSLY RECOMMENDS THAT YOU VOTE “FOR” THE ELECTION OF EACH OF WILLIE CHIANG, ELLEN DESANCTIS, ALEXANDRA PRUNER AND LAWRENCE ZIEMBA TO SERVE AS A CLASS I DIRECTOR ON OUR GENERAL PARTNER’S BOARD OF DIRECTORS UNTIL THE 2026 ANNUAL MEETING.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Structure</w:t>
      </w:r>
    </w:p>
    <w:p>
      <w:pPr>
        <w:spacing w:after="0" w:line="158"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i w:val="1"/>
          <w:iCs w:val="1"/>
          <w:color w:val="auto"/>
        </w:rPr>
        <w:t xml:space="preserve">General Overview and Board Makeup. </w:t>
      </w:r>
      <w:r>
        <w:rPr>
          <w:rFonts w:ascii="Arial" w:cs="Arial" w:eastAsia="Arial" w:hAnsi="Arial"/>
          <w:sz w:val="18"/>
          <w:szCs w:val="18"/>
          <w:color w:val="auto"/>
        </w:rPr>
        <w:t>Our Board has responsibility for managing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and affairs of PAGP and PAA. The Board currently has 12 members, including the CEO, who currently serves as Chairman of the Board. As contemplated by our governing documents, because the roles of CEO and Board Chair are held by the same person, the Board has designated one of our independent directors (Bobby Shackouls) to serve as Lead Director. Our governing documents also require that at least a majority of directors must meet the independence requirements of the national securities exchange on which the securities of PAA and PAGP are listed (currently Nasdaq).</w:t>
      </w:r>
    </w:p>
    <w:p>
      <w:pPr>
        <w:spacing w:after="0" w:line="115"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The Board is divided into three staggered classes such that the terms for the directors within each class expire on a rotating three-year basis, as set forth below. The Board (excluding directors whose terms are expiring) and, subject to certain ownership and notice requirements, holders of common units have the right to nominate individuals to stand for election at an annual meeting. For a description of such ownership and notice requirements, see “Director Nominations and Unitholder Proposals for the 2024 Annual Meeting” on page 78.</w:t>
      </w:r>
    </w:p>
    <w:p>
      <w:pPr>
        <w:spacing w:after="0" w:line="101"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Individuals elected at an annual meeting will serve for a term of three years, subject to their earlier resignation, death or removal. If an individual is elected to the Board to fill a vacancy, that director will have the same remaining term as his or her predecessor. All directors standing for election at the PAA and PAGP Annual Meetings were nominated by the Board (excluding the vote of the directors whose terms are expiring); to our knowledge, no holder of our common units met the required ownership threshold and thus no nominations were received from holders of our common units.</w:t>
      </w:r>
    </w:p>
    <w:p>
      <w:pPr>
        <w:spacing w:after="0" w:line="160"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20" w:type="dxa"/>
            <w:vAlign w:val="bottom"/>
            <w:tcBorders>
              <w:left w:val="single" w:sz="8" w:color="424E6A"/>
            </w:tcBorders>
            <w:shd w:val="clear" w:color="auto" w:fill="424E6A"/>
          </w:tcPr>
          <w:p>
            <w:pPr>
              <w:spacing w:after="0"/>
              <w:rPr>
                <w:sz w:val="21"/>
                <w:szCs w:val="21"/>
                <w:color w:val="auto"/>
              </w:rPr>
            </w:pPr>
          </w:p>
        </w:tc>
        <w:tc>
          <w:tcPr>
            <w:tcW w:w="1740" w:type="dxa"/>
            <w:vAlign w:val="bottom"/>
            <w:tcBorders>
              <w:right w:val="single" w:sz="8" w:color="424E6A"/>
            </w:tcBorders>
            <w:shd w:val="clear" w:color="auto" w:fill="424E6A"/>
          </w:tcPr>
          <w:p>
            <w:pPr>
              <w:spacing w:after="0"/>
              <w:rPr>
                <w:sz w:val="21"/>
                <w:szCs w:val="21"/>
                <w:color w:val="auto"/>
              </w:rPr>
            </w:pPr>
          </w:p>
        </w:tc>
        <w:tc>
          <w:tcPr>
            <w:tcW w:w="960" w:type="dxa"/>
            <w:vAlign w:val="bottom"/>
            <w:tcBorders>
              <w:right w:val="single" w:sz="8" w:color="424E6A"/>
            </w:tcBorders>
            <w:shd w:val="clear" w:color="auto" w:fill="424E6A"/>
          </w:tcPr>
          <w:p>
            <w:pPr>
              <w:spacing w:after="0"/>
              <w:rPr>
                <w:sz w:val="21"/>
                <w:szCs w:val="21"/>
                <w:color w:val="auto"/>
              </w:rPr>
            </w:pPr>
          </w:p>
        </w:tc>
        <w:tc>
          <w:tcPr>
            <w:tcW w:w="840" w:type="dxa"/>
            <w:vAlign w:val="bottom"/>
            <w:tcBorders>
              <w:right w:val="single" w:sz="8" w:color="424E6A"/>
            </w:tcBorders>
            <w:shd w:val="clear" w:color="auto" w:fill="424E6A"/>
          </w:tcPr>
          <w:p>
            <w:pPr>
              <w:ind w:left="200"/>
              <w:spacing w:after="0"/>
              <w:rPr>
                <w:sz w:val="20"/>
                <w:szCs w:val="20"/>
                <w:color w:val="auto"/>
              </w:rPr>
            </w:pPr>
            <w:r>
              <w:rPr>
                <w:rFonts w:ascii="Arial" w:cs="Arial" w:eastAsia="Arial" w:hAnsi="Arial"/>
                <w:sz w:val="14"/>
                <w:szCs w:val="14"/>
                <w:b w:val="1"/>
                <w:bCs w:val="1"/>
                <w:color w:val="FFFFFF"/>
              </w:rPr>
              <w:t>Audit</w:t>
            </w:r>
          </w:p>
        </w:tc>
        <w:tc>
          <w:tcPr>
            <w:tcW w:w="1100" w:type="dxa"/>
            <w:vAlign w:val="bottom"/>
            <w:tcBorders>
              <w:righ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Compensation</w:t>
            </w:r>
          </w:p>
        </w:tc>
        <w:tc>
          <w:tcPr>
            <w:tcW w:w="940" w:type="dxa"/>
            <w:vAlign w:val="bottom"/>
            <w:tcBorders>
              <w:righ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Governance</w:t>
            </w:r>
          </w:p>
        </w:tc>
        <w:tc>
          <w:tcPr>
            <w:tcW w:w="140" w:type="dxa"/>
            <w:vAlign w:val="bottom"/>
            <w:shd w:val="clear" w:color="auto" w:fill="424E6A"/>
          </w:tcPr>
          <w:p>
            <w:pPr>
              <w:spacing w:after="0"/>
              <w:rPr>
                <w:sz w:val="21"/>
                <w:szCs w:val="21"/>
                <w:color w:val="auto"/>
              </w:rPr>
            </w:pPr>
          </w:p>
        </w:tc>
        <w:tc>
          <w:tcPr>
            <w:tcW w:w="580" w:type="dxa"/>
            <w:vAlign w:val="bottom"/>
            <w:shd w:val="clear" w:color="auto" w:fill="424E6A"/>
          </w:tcPr>
          <w:p>
            <w:pPr>
              <w:ind w:left="80"/>
              <w:spacing w:after="0"/>
              <w:rPr>
                <w:sz w:val="20"/>
                <w:szCs w:val="20"/>
                <w:color w:val="auto"/>
              </w:rPr>
            </w:pPr>
            <w:r>
              <w:rPr>
                <w:rFonts w:ascii="Arial" w:cs="Arial" w:eastAsia="Arial" w:hAnsi="Arial"/>
                <w:sz w:val="14"/>
                <w:szCs w:val="14"/>
                <w:b w:val="1"/>
                <w:bCs w:val="1"/>
                <w:color w:val="FFFFFF"/>
              </w:rPr>
              <w:t>HSES</w:t>
            </w:r>
          </w:p>
        </w:tc>
        <w:tc>
          <w:tcPr>
            <w:tcW w:w="140" w:type="dxa"/>
            <w:vAlign w:val="bottom"/>
            <w:shd w:val="clear" w:color="auto" w:fill="424E6A"/>
          </w:tcPr>
          <w:p>
            <w:pPr>
              <w:spacing w:after="0"/>
              <w:rPr>
                <w:sz w:val="21"/>
                <w:szCs w:val="21"/>
                <w:color w:val="auto"/>
              </w:rPr>
            </w:pPr>
          </w:p>
        </w:tc>
        <w:tc>
          <w:tcPr>
            <w:tcW w:w="280" w:type="dxa"/>
            <w:vAlign w:val="bottom"/>
            <w:shd w:val="clear" w:color="auto" w:fill="424E6A"/>
          </w:tcPr>
          <w:p>
            <w:pPr>
              <w:spacing w:after="0"/>
              <w:rPr>
                <w:sz w:val="21"/>
                <w:szCs w:val="21"/>
                <w:color w:val="auto"/>
              </w:rPr>
            </w:pPr>
          </w:p>
        </w:tc>
        <w:tc>
          <w:tcPr>
            <w:tcW w:w="660" w:type="dxa"/>
            <w:vAlign w:val="bottom"/>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60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Lead</w:t>
            </w:r>
          </w:p>
        </w:tc>
        <w:tc>
          <w:tcPr>
            <w:tcW w:w="0" w:type="dxa"/>
            <w:vAlign w:val="bottom"/>
          </w:tcPr>
          <w:p>
            <w:pPr>
              <w:spacing w:after="0"/>
              <w:rPr>
                <w:sz w:val="1"/>
                <w:szCs w:val="1"/>
                <w:color w:val="auto"/>
              </w:rPr>
            </w:pPr>
          </w:p>
        </w:tc>
      </w:tr>
      <w:tr>
        <w:trPr>
          <w:trHeight w:val="185"/>
        </w:trPr>
        <w:tc>
          <w:tcPr>
            <w:tcW w:w="120" w:type="dxa"/>
            <w:vAlign w:val="bottom"/>
            <w:tcBorders>
              <w:lef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w:t>
            </w:r>
          </w:p>
        </w:tc>
        <w:tc>
          <w:tcPr>
            <w:tcW w:w="1740" w:type="dxa"/>
            <w:vAlign w:val="bottom"/>
            <w:tcBorders>
              <w:right w:val="single" w:sz="8" w:color="424E6A"/>
            </w:tcBorders>
            <w:shd w:val="clear" w:color="auto" w:fill="424E6A"/>
          </w:tcPr>
          <w:p>
            <w:pPr>
              <w:spacing w:after="0"/>
              <w:rPr>
                <w:sz w:val="16"/>
                <w:szCs w:val="16"/>
                <w:color w:val="auto"/>
              </w:rPr>
            </w:pPr>
          </w:p>
        </w:tc>
        <w:tc>
          <w:tcPr>
            <w:tcW w:w="96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Independent</w:t>
            </w:r>
          </w:p>
        </w:tc>
        <w:tc>
          <w:tcPr>
            <w:tcW w:w="840" w:type="dxa"/>
            <w:vAlign w:val="bottom"/>
            <w:tcBorders>
              <w:righ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Committee</w:t>
            </w:r>
          </w:p>
        </w:tc>
        <w:tc>
          <w:tcPr>
            <w:tcW w:w="1100" w:type="dxa"/>
            <w:vAlign w:val="bottom"/>
            <w:tcBorders>
              <w:right w:val="single" w:sz="8" w:color="424E6A"/>
            </w:tcBorders>
            <w:shd w:val="clear" w:color="auto" w:fill="424E6A"/>
          </w:tcPr>
          <w:p>
            <w:pPr>
              <w:ind w:left="160"/>
              <w:spacing w:after="0"/>
              <w:rPr>
                <w:sz w:val="20"/>
                <w:szCs w:val="20"/>
                <w:color w:val="auto"/>
              </w:rPr>
            </w:pPr>
            <w:r>
              <w:rPr>
                <w:rFonts w:ascii="Arial" w:cs="Arial" w:eastAsia="Arial" w:hAnsi="Arial"/>
                <w:sz w:val="14"/>
                <w:szCs w:val="14"/>
                <w:b w:val="1"/>
                <w:bCs w:val="1"/>
                <w:color w:val="FFFFFF"/>
              </w:rPr>
              <w:t>Committee</w:t>
            </w:r>
          </w:p>
        </w:tc>
        <w:tc>
          <w:tcPr>
            <w:tcW w:w="940" w:type="dxa"/>
            <w:vAlign w:val="bottom"/>
            <w:tcBorders>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Committee</w:t>
            </w:r>
          </w:p>
        </w:tc>
        <w:tc>
          <w:tcPr>
            <w:tcW w:w="2520" w:type="dxa"/>
            <w:vAlign w:val="bottom"/>
            <w:tcBorders>
              <w:right w:val="single" w:sz="8" w:color="424E6A"/>
            </w:tcBorders>
            <w:gridSpan w:val="7"/>
            <w:shd w:val="clear" w:color="auto" w:fill="424E6A"/>
          </w:tcPr>
          <w:p>
            <w:pPr>
              <w:spacing w:after="0"/>
              <w:rPr>
                <w:sz w:val="20"/>
                <w:szCs w:val="20"/>
                <w:color w:val="auto"/>
              </w:rPr>
            </w:pPr>
            <w:r>
              <w:rPr>
                <w:rFonts w:ascii="Arial" w:cs="Arial" w:eastAsia="Arial" w:hAnsi="Arial"/>
                <w:sz w:val="14"/>
                <w:szCs w:val="14"/>
                <w:b w:val="1"/>
                <w:bCs w:val="1"/>
                <w:color w:val="FFFFFF"/>
              </w:rPr>
              <w:t>​​Committee ​​Board Chair ​​Director</w:t>
            </w:r>
          </w:p>
        </w:tc>
        <w:tc>
          <w:tcPr>
            <w:tcW w:w="0" w:type="dxa"/>
            <w:vAlign w:val="bottom"/>
          </w:tcPr>
          <w:p>
            <w:pPr>
              <w:spacing w:after="0"/>
              <w:rPr>
                <w:sz w:val="1"/>
                <w:szCs w:val="1"/>
                <w:color w:val="auto"/>
              </w:rPr>
            </w:pPr>
          </w:p>
        </w:tc>
      </w:tr>
      <w:tr>
        <w:trPr>
          <w:trHeight w:val="162"/>
        </w:trPr>
        <w:tc>
          <w:tcPr>
            <w:tcW w:w="1860" w:type="dxa"/>
            <w:vAlign w:val="bottom"/>
            <w:tcBorders>
              <w:left w:val="single" w:sz="8" w:color="424E6A"/>
              <w:right w:val="single" w:sz="8" w:color="424E6A"/>
            </w:tcBorders>
            <w:gridSpan w:val="2"/>
            <w:shd w:val="clear" w:color="auto" w:fill="D9DCE1"/>
          </w:tcPr>
          <w:p>
            <w:pPr>
              <w:ind w:left="20"/>
              <w:spacing w:after="0" w:line="162" w:lineRule="exact"/>
              <w:rPr>
                <w:sz w:val="20"/>
                <w:szCs w:val="20"/>
                <w:color w:val="auto"/>
              </w:rPr>
            </w:pPr>
            <w:r>
              <w:rPr>
                <w:rFonts w:ascii="Arial" w:cs="Arial" w:eastAsia="Arial" w:hAnsi="Arial"/>
                <w:sz w:val="16"/>
                <w:szCs w:val="16"/>
                <w:color w:val="auto"/>
              </w:rPr>
              <w:t>Class I Directors</w:t>
            </w:r>
          </w:p>
        </w:tc>
        <w:tc>
          <w:tcPr>
            <w:tcW w:w="960" w:type="dxa"/>
            <w:vAlign w:val="bottom"/>
            <w:tcBorders>
              <w:right w:val="single" w:sz="8" w:color="424E6A"/>
            </w:tcBorders>
            <w:shd w:val="clear" w:color="auto" w:fill="D9DCE1"/>
          </w:tcPr>
          <w:p>
            <w:pPr>
              <w:spacing w:after="0"/>
              <w:rPr>
                <w:sz w:val="14"/>
                <w:szCs w:val="14"/>
                <w:color w:val="auto"/>
              </w:rPr>
            </w:pPr>
          </w:p>
        </w:tc>
        <w:tc>
          <w:tcPr>
            <w:tcW w:w="840" w:type="dxa"/>
            <w:vAlign w:val="bottom"/>
            <w:tcBorders>
              <w:right w:val="single" w:sz="8" w:color="424E6A"/>
            </w:tcBorders>
            <w:shd w:val="clear" w:color="auto" w:fill="D9DCE1"/>
          </w:tcPr>
          <w:p>
            <w:pPr>
              <w:spacing w:after="0"/>
              <w:rPr>
                <w:sz w:val="14"/>
                <w:szCs w:val="14"/>
                <w:color w:val="auto"/>
              </w:rPr>
            </w:pPr>
          </w:p>
        </w:tc>
        <w:tc>
          <w:tcPr>
            <w:tcW w:w="1100" w:type="dxa"/>
            <w:vAlign w:val="bottom"/>
            <w:tcBorders>
              <w:right w:val="single" w:sz="8" w:color="424E6A"/>
            </w:tcBorders>
            <w:shd w:val="clear" w:color="auto" w:fill="D9DCE1"/>
          </w:tcPr>
          <w:p>
            <w:pPr>
              <w:spacing w:after="0"/>
              <w:rPr>
                <w:sz w:val="14"/>
                <w:szCs w:val="14"/>
                <w:color w:val="auto"/>
              </w:rPr>
            </w:pPr>
          </w:p>
        </w:tc>
        <w:tc>
          <w:tcPr>
            <w:tcW w:w="940" w:type="dxa"/>
            <w:vAlign w:val="bottom"/>
            <w:tcBorders>
              <w:right w:val="single" w:sz="8" w:color="D9DCE1"/>
            </w:tcBorders>
            <w:shd w:val="clear" w:color="auto" w:fill="D9DCE1"/>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right w:val="single" w:sz="8" w:color="424E6A"/>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20" w:type="dxa"/>
            <w:vAlign w:val="bottom"/>
            <w:tcBorders>
              <w:left w:val="single" w:sz="8" w:color="424E6A"/>
              <w:bottom w:val="single" w:sz="8" w:color="424E6A"/>
            </w:tcBorders>
            <w:shd w:val="clear" w:color="auto" w:fill="D9DCE1"/>
          </w:tcPr>
          <w:p>
            <w:pPr>
              <w:ind w:left="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6"/>
                <w:szCs w:val="16"/>
                <w:color w:val="auto"/>
              </w:rPr>
              <w:t>(Term expires 2023)</w:t>
            </w:r>
          </w:p>
        </w:tc>
        <w:tc>
          <w:tcPr>
            <w:tcW w:w="960" w:type="dxa"/>
            <w:vAlign w:val="bottom"/>
            <w:tcBorders>
              <w:bottom w:val="single" w:sz="8" w:color="424E6A"/>
              <w:right w:val="single" w:sz="8" w:color="424E6A"/>
            </w:tcBorders>
            <w:shd w:val="clear" w:color="auto" w:fill="D9DCE1"/>
          </w:tcPr>
          <w:p>
            <w:pPr>
              <w:spacing w:after="0"/>
              <w:rPr>
                <w:sz w:val="21"/>
                <w:szCs w:val="21"/>
                <w:color w:val="auto"/>
              </w:rPr>
            </w:pPr>
          </w:p>
        </w:tc>
        <w:tc>
          <w:tcPr>
            <w:tcW w:w="840" w:type="dxa"/>
            <w:vAlign w:val="bottom"/>
            <w:tcBorders>
              <w:bottom w:val="single" w:sz="8" w:color="424E6A"/>
              <w:right w:val="single" w:sz="8" w:color="424E6A"/>
            </w:tcBorders>
            <w:shd w:val="clear" w:color="auto" w:fill="D9DCE1"/>
          </w:tcPr>
          <w:p>
            <w:pPr>
              <w:ind w:left="4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24E6A"/>
              <w:right w:val="single" w:sz="8" w:color="424E6A"/>
            </w:tcBorders>
            <w:shd w:val="clear" w:color="auto" w:fill="D9DCE1"/>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right w:val="single" w:sz="8" w:color="D9DCE1"/>
            </w:tcBorders>
            <w:shd w:val="clear" w:color="auto" w:fill="D9DCE1"/>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ind w:lef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1"/>
                <w:szCs w:val="21"/>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20" w:type="dxa"/>
            <w:vAlign w:val="bottom"/>
            <w:tcBorders>
              <w:lef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740" w:type="dxa"/>
            <w:vAlign w:val="bottom"/>
            <w:tcBorders>
              <w:right w:val="single" w:sz="8" w:color="424E6A"/>
            </w:tcBorders>
          </w:tcPr>
          <w:p>
            <w:pPr>
              <w:ind w:left="60"/>
              <w:spacing w:after="0"/>
              <w:rPr>
                <w:sz w:val="20"/>
                <w:szCs w:val="20"/>
                <w:color w:val="auto"/>
              </w:rPr>
            </w:pPr>
            <w:r>
              <w:rPr>
                <w:rFonts w:ascii="Arial" w:cs="Arial" w:eastAsia="Arial" w:hAnsi="Arial"/>
                <w:sz w:val="16"/>
                <w:szCs w:val="16"/>
                <w:color w:val="auto"/>
              </w:rPr>
              <w:t>Willie Chiang,</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vMerge w:val="restart"/>
          </w:tcPr>
          <w:p>
            <w:pPr>
              <w:ind w:left="40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424E6A"/>
            </w:tcBorders>
            <w:vMerge w:val="restart"/>
          </w:tcPr>
          <w:p>
            <w:pPr>
              <w:ind w:left="54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ind w:left="46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80" w:type="dxa"/>
            <w:vAlign w:val="bottom"/>
            <w:vMerge w:val="restart"/>
          </w:tcPr>
          <w:p>
            <w:pPr>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vMerge w:val="restart"/>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20" w:type="dxa"/>
            <w:vAlign w:val="bottom"/>
            <w:tcBorders>
              <w:left w:val="single" w:sz="8" w:color="424E6A"/>
            </w:tcBorders>
            <w:vMerge w:val="continue"/>
          </w:tcPr>
          <w:p>
            <w:pPr>
              <w:spacing w:after="0"/>
              <w:rPr>
                <w:sz w:val="16"/>
                <w:szCs w:val="16"/>
                <w:color w:val="auto"/>
              </w:rPr>
            </w:pPr>
          </w:p>
        </w:tc>
        <w:tc>
          <w:tcPr>
            <w:tcW w:w="1740" w:type="dxa"/>
            <w:vAlign w:val="bottom"/>
            <w:tcBorders>
              <w:right w:val="single" w:sz="8" w:color="424E6A"/>
            </w:tcBorders>
          </w:tcPr>
          <w:p>
            <w:pPr>
              <w:ind w:left="240"/>
              <w:spacing w:after="0"/>
              <w:rPr>
                <w:sz w:val="20"/>
                <w:szCs w:val="20"/>
                <w:color w:val="auto"/>
              </w:rPr>
            </w:pPr>
            <w:r>
              <w:rPr>
                <w:rFonts w:ascii="Arial" w:cs="Arial" w:eastAsia="Arial" w:hAnsi="Arial"/>
                <w:sz w:val="16"/>
                <w:szCs w:val="16"/>
                <w:color w:val="auto"/>
              </w:rPr>
              <w:t>Chairman of the</w:t>
            </w:r>
          </w:p>
        </w:tc>
        <w:tc>
          <w:tcPr>
            <w:tcW w:w="96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vMerge w:val="continue"/>
          </w:tcPr>
          <w:p>
            <w:pPr>
              <w:spacing w:after="0"/>
              <w:rPr>
                <w:sz w:val="16"/>
                <w:szCs w:val="16"/>
                <w:color w:val="auto"/>
              </w:rPr>
            </w:pPr>
          </w:p>
        </w:tc>
        <w:tc>
          <w:tcPr>
            <w:tcW w:w="1100" w:type="dxa"/>
            <w:vAlign w:val="bottom"/>
            <w:tcBorders>
              <w:right w:val="single" w:sz="8" w:color="424E6A"/>
            </w:tcBorders>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00" w:type="dxa"/>
            <w:vAlign w:val="bottom"/>
            <w:tcBorders>
              <w:right w:val="single" w:sz="8" w:color="424E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424E6A"/>
              <w:bottom w:val="single" w:sz="8" w:color="424E6A"/>
            </w:tcBorders>
          </w:tcPr>
          <w:p>
            <w:pPr>
              <w:spacing w:after="0"/>
              <w:rPr>
                <w:sz w:val="18"/>
                <w:szCs w:val="18"/>
                <w:color w:val="auto"/>
              </w:rPr>
            </w:pPr>
          </w:p>
        </w:tc>
        <w:tc>
          <w:tcPr>
            <w:tcW w:w="174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Board and CEO*</w:t>
            </w:r>
          </w:p>
        </w:tc>
        <w:tc>
          <w:tcPr>
            <w:tcW w:w="960" w:type="dxa"/>
            <w:vAlign w:val="bottom"/>
            <w:tcBorders>
              <w:bottom w:val="single" w:sz="8" w:color="424E6A"/>
              <w:right w:val="single" w:sz="8" w:color="424E6A"/>
            </w:tcBorders>
          </w:tcPr>
          <w:p>
            <w:pPr>
              <w:spacing w:after="0"/>
              <w:rPr>
                <w:sz w:val="18"/>
                <w:szCs w:val="18"/>
                <w:color w:val="auto"/>
              </w:rPr>
            </w:pPr>
          </w:p>
        </w:tc>
        <w:tc>
          <w:tcPr>
            <w:tcW w:w="840" w:type="dxa"/>
            <w:vAlign w:val="bottom"/>
            <w:tcBorders>
              <w:bottom w:val="single" w:sz="8" w:color="424E6A"/>
              <w:right w:val="single" w:sz="8" w:color="424E6A"/>
            </w:tcBorders>
          </w:tcPr>
          <w:p>
            <w:pPr>
              <w:spacing w:after="0"/>
              <w:rPr>
                <w:sz w:val="18"/>
                <w:szCs w:val="18"/>
                <w:color w:val="auto"/>
              </w:rPr>
            </w:pPr>
          </w:p>
        </w:tc>
        <w:tc>
          <w:tcPr>
            <w:tcW w:w="1100" w:type="dxa"/>
            <w:vAlign w:val="bottom"/>
            <w:tcBorders>
              <w:bottom w:val="single" w:sz="8" w:color="424E6A"/>
              <w:right w:val="single" w:sz="8" w:color="424E6A"/>
            </w:tcBorders>
          </w:tcPr>
          <w:p>
            <w:pPr>
              <w:spacing w:after="0"/>
              <w:rPr>
                <w:sz w:val="18"/>
                <w:szCs w:val="18"/>
                <w:color w:val="auto"/>
              </w:rPr>
            </w:pPr>
          </w:p>
        </w:tc>
        <w:tc>
          <w:tcPr>
            <w:tcW w:w="940" w:type="dxa"/>
            <w:vAlign w:val="bottom"/>
            <w:tcBorders>
              <w:bottom w:val="single" w:sz="8" w:color="424E6A"/>
            </w:tcBorders>
          </w:tcPr>
          <w:p>
            <w:pPr>
              <w:spacing w:after="0"/>
              <w:rPr>
                <w:sz w:val="18"/>
                <w:szCs w:val="18"/>
                <w:color w:val="auto"/>
              </w:rPr>
            </w:pPr>
          </w:p>
        </w:tc>
        <w:tc>
          <w:tcPr>
            <w:tcW w:w="140" w:type="dxa"/>
            <w:vAlign w:val="bottom"/>
            <w:tcBorders>
              <w:bottom w:val="single" w:sz="8" w:color="424E6A"/>
            </w:tcBorders>
          </w:tcPr>
          <w:p>
            <w:pPr>
              <w:spacing w:after="0"/>
              <w:rPr>
                <w:sz w:val="18"/>
                <w:szCs w:val="18"/>
                <w:color w:val="auto"/>
              </w:rPr>
            </w:pPr>
          </w:p>
        </w:tc>
        <w:tc>
          <w:tcPr>
            <w:tcW w:w="580" w:type="dxa"/>
            <w:vAlign w:val="bottom"/>
            <w:tcBorders>
              <w:bottom w:val="single" w:sz="8" w:color="424E6A"/>
            </w:tcBorders>
          </w:tcPr>
          <w:p>
            <w:pPr>
              <w:spacing w:after="0"/>
              <w:rPr>
                <w:sz w:val="18"/>
                <w:szCs w:val="18"/>
                <w:color w:val="auto"/>
              </w:rPr>
            </w:pPr>
          </w:p>
        </w:tc>
        <w:tc>
          <w:tcPr>
            <w:tcW w:w="140" w:type="dxa"/>
            <w:vAlign w:val="bottom"/>
            <w:tcBorders>
              <w:bottom w:val="single" w:sz="8" w:color="424E6A"/>
            </w:tcBorders>
          </w:tcPr>
          <w:p>
            <w:pPr>
              <w:spacing w:after="0"/>
              <w:rPr>
                <w:sz w:val="18"/>
                <w:szCs w:val="18"/>
                <w:color w:val="auto"/>
              </w:rPr>
            </w:pPr>
          </w:p>
        </w:tc>
        <w:tc>
          <w:tcPr>
            <w:tcW w:w="280" w:type="dxa"/>
            <w:vAlign w:val="bottom"/>
            <w:tcBorders>
              <w:bottom w:val="single" w:sz="8" w:color="424E6A"/>
            </w:tcBorders>
          </w:tcPr>
          <w:p>
            <w:pPr>
              <w:spacing w:after="0"/>
              <w:rPr>
                <w:sz w:val="18"/>
                <w:szCs w:val="18"/>
                <w:color w:val="auto"/>
              </w:rPr>
            </w:pPr>
          </w:p>
        </w:tc>
        <w:tc>
          <w:tcPr>
            <w:tcW w:w="660" w:type="dxa"/>
            <w:vAlign w:val="bottom"/>
            <w:tcBorders>
              <w:bottom w:val="single" w:sz="8" w:color="424E6A"/>
            </w:tcBorders>
          </w:tcPr>
          <w:p>
            <w:pPr>
              <w:spacing w:after="0"/>
              <w:rPr>
                <w:sz w:val="18"/>
                <w:szCs w:val="18"/>
                <w:color w:val="auto"/>
              </w:rPr>
            </w:pPr>
          </w:p>
        </w:tc>
        <w:tc>
          <w:tcPr>
            <w:tcW w:w="120" w:type="dxa"/>
            <w:vAlign w:val="bottom"/>
            <w:tcBorders>
              <w:bottom w:val="single" w:sz="8" w:color="424E6A"/>
            </w:tcBorders>
          </w:tcPr>
          <w:p>
            <w:pPr>
              <w:spacing w:after="0"/>
              <w:rPr>
                <w:sz w:val="18"/>
                <w:szCs w:val="18"/>
                <w:color w:val="auto"/>
              </w:rPr>
            </w:pPr>
          </w:p>
        </w:tc>
        <w:tc>
          <w:tcPr>
            <w:tcW w:w="600" w:type="dxa"/>
            <w:vAlign w:val="bottom"/>
            <w:tcBorders>
              <w:bottom w:val="single" w:sz="8" w:color="424E6A"/>
              <w:right w:val="single" w:sz="8" w:color="424E6A"/>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424E6A"/>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Ellen DeSanctis*</w:t>
            </w:r>
          </w:p>
        </w:tc>
        <w:tc>
          <w:tcPr>
            <w:tcW w:w="960" w:type="dxa"/>
            <w:vAlign w:val="bottom"/>
            <w:tcBorders>
              <w:bottom w:val="single" w:sz="8" w:color="424E6A"/>
              <w:right w:val="single" w:sz="8" w:color="424E6A"/>
            </w:tcBorders>
          </w:tcPr>
          <w:p>
            <w:pPr>
              <w:spacing w:after="0"/>
              <w:rPr>
                <w:sz w:val="20"/>
                <w:szCs w:val="20"/>
                <w:color w:val="auto"/>
              </w:rPr>
            </w:pPr>
          </w:p>
        </w:tc>
        <w:tc>
          <w:tcPr>
            <w:tcW w:w="840" w:type="dxa"/>
            <w:vAlign w:val="bottom"/>
            <w:tcBorders>
              <w:bottom w:val="single" w:sz="8" w:color="424E6A"/>
              <w:right w:val="single" w:sz="8" w:color="424E6A"/>
            </w:tcBorders>
          </w:tcPr>
          <w:p>
            <w:pPr>
              <w:spacing w:after="0"/>
              <w:rPr>
                <w:sz w:val="20"/>
                <w:szCs w:val="20"/>
                <w:color w:val="auto"/>
              </w:rPr>
            </w:pPr>
          </w:p>
        </w:tc>
        <w:tc>
          <w:tcPr>
            <w:tcW w:w="110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tcBorders>
          </w:tcPr>
          <w:p>
            <w:pPr>
              <w:spacing w:after="0"/>
              <w:rPr>
                <w:sz w:val="20"/>
                <w:szCs w:val="20"/>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20" w:type="dxa"/>
            <w:vAlign w:val="bottom"/>
            <w:tcBorders>
              <w:left w:val="single" w:sz="8" w:color="424E6A"/>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Alexandra D. Pruner*</w:t>
            </w:r>
          </w:p>
        </w:tc>
        <w:tc>
          <w:tcPr>
            <w:tcW w:w="960" w:type="dxa"/>
            <w:vAlign w:val="bottom"/>
            <w:tcBorders>
              <w:bottom w:val="single" w:sz="8" w:color="424E6A"/>
              <w:right w:val="single" w:sz="8" w:color="424E6A"/>
            </w:tcBorders>
          </w:tcPr>
          <w:p>
            <w:pPr>
              <w:spacing w:after="0"/>
              <w:rPr>
                <w:sz w:val="20"/>
                <w:szCs w:val="20"/>
                <w:color w:val="auto"/>
              </w:rPr>
            </w:pPr>
          </w:p>
        </w:tc>
        <w:tc>
          <w:tcPr>
            <w:tcW w:w="840" w:type="dxa"/>
            <w:vAlign w:val="bottom"/>
            <w:tcBorders>
              <w:bottom w:val="single" w:sz="8" w:color="424E6A"/>
              <w:right w:val="single" w:sz="8" w:color="424E6A"/>
            </w:tcBorders>
          </w:tcPr>
          <w:p>
            <w:pPr>
              <w:spacing w:after="0"/>
              <w:rPr>
                <w:sz w:val="20"/>
                <w:szCs w:val="20"/>
                <w:color w:val="auto"/>
              </w:rPr>
            </w:pPr>
          </w:p>
        </w:tc>
        <w:tc>
          <w:tcPr>
            <w:tcW w:w="110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ind w:lef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0"/>
                <w:szCs w:val="20"/>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20" w:type="dxa"/>
            <w:vAlign w:val="bottom"/>
            <w:tcBorders>
              <w:left w:val="single" w:sz="8" w:color="424E6A"/>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Lawrence M. Ziemba*</w:t>
            </w:r>
          </w:p>
        </w:tc>
        <w:tc>
          <w:tcPr>
            <w:tcW w:w="960" w:type="dxa"/>
            <w:vAlign w:val="bottom"/>
            <w:tcBorders>
              <w:bottom w:val="single" w:sz="8" w:color="424E6A"/>
              <w:right w:val="single" w:sz="8" w:color="424E6A"/>
            </w:tcBorders>
          </w:tcPr>
          <w:p>
            <w:pPr>
              <w:spacing w:after="0"/>
              <w:rPr>
                <w:sz w:val="20"/>
                <w:szCs w:val="20"/>
                <w:color w:val="auto"/>
              </w:rPr>
            </w:pPr>
          </w:p>
        </w:tc>
        <w:tc>
          <w:tcPr>
            <w:tcW w:w="840" w:type="dxa"/>
            <w:vAlign w:val="bottom"/>
            <w:tcBorders>
              <w:bottom w:val="single" w:sz="8" w:color="424E6A"/>
              <w:right w:val="single" w:sz="8" w:color="424E6A"/>
            </w:tcBorders>
          </w:tcPr>
          <w:p>
            <w:pPr>
              <w:spacing w:after="0"/>
              <w:rPr>
                <w:sz w:val="20"/>
                <w:szCs w:val="20"/>
                <w:color w:val="auto"/>
              </w:rPr>
            </w:pPr>
          </w:p>
        </w:tc>
        <w:tc>
          <w:tcPr>
            <w:tcW w:w="110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tcBorders>
          </w:tcPr>
          <w:p>
            <w:pPr>
              <w:spacing w:after="0"/>
              <w:rPr>
                <w:sz w:val="20"/>
                <w:szCs w:val="20"/>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1860" w:type="dxa"/>
            <w:vAlign w:val="bottom"/>
            <w:tcBorders>
              <w:left w:val="single" w:sz="8" w:color="424E6A"/>
              <w:right w:val="single" w:sz="8" w:color="424E6A"/>
            </w:tcBorders>
            <w:gridSpan w:val="2"/>
            <w:shd w:val="clear" w:color="auto" w:fill="D9DCE1"/>
          </w:tcPr>
          <w:p>
            <w:pPr>
              <w:ind w:left="20"/>
              <w:spacing w:after="0" w:line="170" w:lineRule="exact"/>
              <w:rPr>
                <w:sz w:val="20"/>
                <w:szCs w:val="20"/>
                <w:color w:val="auto"/>
              </w:rPr>
            </w:pPr>
            <w:r>
              <w:rPr>
                <w:rFonts w:ascii="Arial" w:cs="Arial" w:eastAsia="Arial" w:hAnsi="Arial"/>
                <w:sz w:val="16"/>
                <w:szCs w:val="16"/>
                <w:color w:val="auto"/>
              </w:rPr>
              <w:t>Class II Directors</w:t>
            </w:r>
          </w:p>
        </w:tc>
        <w:tc>
          <w:tcPr>
            <w:tcW w:w="960" w:type="dxa"/>
            <w:vAlign w:val="bottom"/>
            <w:tcBorders>
              <w:right w:val="single" w:sz="8" w:color="424E6A"/>
            </w:tcBorders>
            <w:shd w:val="clear" w:color="auto" w:fill="D9DCE1"/>
          </w:tcPr>
          <w:p>
            <w:pPr>
              <w:spacing w:after="0"/>
              <w:rPr>
                <w:sz w:val="14"/>
                <w:szCs w:val="14"/>
                <w:color w:val="auto"/>
              </w:rPr>
            </w:pPr>
          </w:p>
        </w:tc>
        <w:tc>
          <w:tcPr>
            <w:tcW w:w="840" w:type="dxa"/>
            <w:vAlign w:val="bottom"/>
            <w:tcBorders>
              <w:right w:val="single" w:sz="8" w:color="424E6A"/>
            </w:tcBorders>
            <w:shd w:val="clear" w:color="auto" w:fill="D9DCE1"/>
          </w:tcPr>
          <w:p>
            <w:pPr>
              <w:spacing w:after="0"/>
              <w:rPr>
                <w:sz w:val="14"/>
                <w:szCs w:val="14"/>
                <w:color w:val="auto"/>
              </w:rPr>
            </w:pPr>
          </w:p>
        </w:tc>
        <w:tc>
          <w:tcPr>
            <w:tcW w:w="1100" w:type="dxa"/>
            <w:vAlign w:val="bottom"/>
            <w:tcBorders>
              <w:right w:val="single" w:sz="8" w:color="424E6A"/>
            </w:tcBorders>
            <w:shd w:val="clear" w:color="auto" w:fill="D9DCE1"/>
          </w:tcPr>
          <w:p>
            <w:pPr>
              <w:spacing w:after="0"/>
              <w:rPr>
                <w:sz w:val="14"/>
                <w:szCs w:val="14"/>
                <w:color w:val="auto"/>
              </w:rPr>
            </w:pPr>
          </w:p>
        </w:tc>
        <w:tc>
          <w:tcPr>
            <w:tcW w:w="940" w:type="dxa"/>
            <w:vAlign w:val="bottom"/>
            <w:tcBorders>
              <w:right w:val="single" w:sz="8" w:color="D9DCE1"/>
            </w:tcBorders>
            <w:shd w:val="clear" w:color="auto" w:fill="D9DCE1"/>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right w:val="single" w:sz="8" w:color="424E6A"/>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20" w:type="dxa"/>
            <w:vAlign w:val="bottom"/>
            <w:tcBorders>
              <w:left w:val="single" w:sz="8" w:color="424E6A"/>
              <w:bottom w:val="single" w:sz="8" w:color="424E6A"/>
            </w:tcBorders>
            <w:shd w:val="clear" w:color="auto" w:fill="D9DCE1"/>
          </w:tcPr>
          <w:p>
            <w:pPr>
              <w:ind w:left="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6"/>
                <w:szCs w:val="16"/>
                <w:color w:val="auto"/>
              </w:rPr>
              <w:t>(Term expires 2025)</w:t>
            </w:r>
          </w:p>
        </w:tc>
        <w:tc>
          <w:tcPr>
            <w:tcW w:w="960" w:type="dxa"/>
            <w:vAlign w:val="bottom"/>
            <w:tcBorders>
              <w:bottom w:val="single" w:sz="8" w:color="424E6A"/>
              <w:right w:val="single" w:sz="8" w:color="424E6A"/>
            </w:tcBorders>
            <w:shd w:val="clear" w:color="auto" w:fill="D9DCE1"/>
          </w:tcPr>
          <w:p>
            <w:pPr>
              <w:spacing w:after="0"/>
              <w:rPr>
                <w:sz w:val="21"/>
                <w:szCs w:val="21"/>
                <w:color w:val="auto"/>
              </w:rPr>
            </w:pPr>
          </w:p>
        </w:tc>
        <w:tc>
          <w:tcPr>
            <w:tcW w:w="840" w:type="dxa"/>
            <w:vAlign w:val="bottom"/>
            <w:tcBorders>
              <w:bottom w:val="single" w:sz="8" w:color="424E6A"/>
              <w:right w:val="single" w:sz="8" w:color="424E6A"/>
            </w:tcBorders>
            <w:shd w:val="clear" w:color="auto" w:fill="D9DCE1"/>
          </w:tcPr>
          <w:p>
            <w:pPr>
              <w:ind w:left="4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24E6A"/>
              <w:right w:val="single" w:sz="8" w:color="424E6A"/>
            </w:tcBorders>
            <w:shd w:val="clear" w:color="auto" w:fill="D9DCE1"/>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right w:val="single" w:sz="8" w:color="D9DCE1"/>
            </w:tcBorders>
            <w:shd w:val="clear" w:color="auto" w:fill="D9DCE1"/>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ind w:lef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1"/>
                <w:szCs w:val="21"/>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20" w:type="dxa"/>
            <w:vAlign w:val="bottom"/>
            <w:tcBorders>
              <w:left w:val="single" w:sz="8" w:color="424E6A"/>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Victor Burk</w:t>
            </w:r>
          </w:p>
        </w:tc>
        <w:tc>
          <w:tcPr>
            <w:tcW w:w="960" w:type="dxa"/>
            <w:vAlign w:val="bottom"/>
            <w:tcBorders>
              <w:bottom w:val="single" w:sz="8" w:color="424E6A"/>
              <w:right w:val="single" w:sz="8" w:color="424E6A"/>
            </w:tcBorders>
          </w:tcPr>
          <w:p>
            <w:pPr>
              <w:spacing w:after="0"/>
              <w:rPr>
                <w:sz w:val="20"/>
                <w:szCs w:val="20"/>
                <w:color w:val="auto"/>
              </w:rPr>
            </w:pPr>
          </w:p>
        </w:tc>
        <w:tc>
          <w:tcPr>
            <w:tcW w:w="840" w:type="dxa"/>
            <w:vAlign w:val="bottom"/>
            <w:tcBorders>
              <w:bottom w:val="single" w:sz="8" w:color="424E6A"/>
              <w:right w:val="single" w:sz="8" w:color="424E6A"/>
            </w:tcBorders>
          </w:tcPr>
          <w:p>
            <w:pPr>
              <w:spacing w:after="0"/>
              <w:rPr>
                <w:sz w:val="20"/>
                <w:szCs w:val="20"/>
                <w:color w:val="auto"/>
              </w:rPr>
            </w:pPr>
          </w:p>
        </w:tc>
        <w:tc>
          <w:tcPr>
            <w:tcW w:w="110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tcPr>
          <w:p>
            <w:pPr>
              <w:ind w:left="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ind w:lef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0"/>
                <w:szCs w:val="20"/>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20" w:type="dxa"/>
            <w:vAlign w:val="bottom"/>
            <w:tcBorders>
              <w:left w:val="single" w:sz="8" w:color="424E6A"/>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Kevin S. McCarthy</w:t>
            </w:r>
          </w:p>
        </w:tc>
        <w:tc>
          <w:tcPr>
            <w:tcW w:w="960" w:type="dxa"/>
            <w:vAlign w:val="bottom"/>
            <w:tcBorders>
              <w:bottom w:val="single" w:sz="8" w:color="424E6A"/>
              <w:right w:val="single" w:sz="8" w:color="424E6A"/>
            </w:tcBorders>
          </w:tcPr>
          <w:p>
            <w:pPr>
              <w:spacing w:after="0"/>
              <w:rPr>
                <w:sz w:val="20"/>
                <w:szCs w:val="20"/>
                <w:color w:val="auto"/>
              </w:rPr>
            </w:pP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424E6A"/>
            </w:tcBorders>
          </w:tcPr>
          <w:p>
            <w:pPr>
              <w:ind w:lef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0"/>
                <w:szCs w:val="20"/>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20" w:type="dxa"/>
            <w:vAlign w:val="bottom"/>
            <w:tcBorders>
              <w:lef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740" w:type="dxa"/>
            <w:vAlign w:val="bottom"/>
            <w:tcBorders>
              <w:right w:val="single" w:sz="8" w:color="424E6A"/>
            </w:tcBorders>
          </w:tcPr>
          <w:p>
            <w:pPr>
              <w:ind w:left="60"/>
              <w:spacing w:after="0"/>
              <w:rPr>
                <w:sz w:val="20"/>
                <w:szCs w:val="20"/>
                <w:color w:val="auto"/>
              </w:rPr>
            </w:pPr>
            <w:r>
              <w:rPr>
                <w:rFonts w:ascii="Arial" w:cs="Arial" w:eastAsia="Arial" w:hAnsi="Arial"/>
                <w:sz w:val="16"/>
                <w:szCs w:val="16"/>
                <w:color w:val="auto"/>
              </w:rPr>
              <w:t>Harry N. Pefanis,</w:t>
            </w:r>
          </w:p>
        </w:tc>
        <w:tc>
          <w:tcPr>
            <w:tcW w:w="960" w:type="dxa"/>
            <w:vAlign w:val="bottom"/>
            <w:tcBorders>
              <w:right w:val="single" w:sz="8" w:color="424E6A"/>
            </w:tcBorders>
          </w:tcPr>
          <w:p>
            <w:pPr>
              <w:spacing w:after="0"/>
              <w:rPr>
                <w:sz w:val="18"/>
                <w:szCs w:val="18"/>
                <w:color w:val="auto"/>
              </w:rPr>
            </w:pPr>
          </w:p>
        </w:tc>
        <w:tc>
          <w:tcPr>
            <w:tcW w:w="840" w:type="dxa"/>
            <w:vAlign w:val="bottom"/>
            <w:tcBorders>
              <w:right w:val="single" w:sz="8" w:color="424E6A"/>
            </w:tcBorders>
          </w:tcPr>
          <w:p>
            <w:pPr>
              <w:ind w:left="40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424E6A"/>
            </w:tcBorders>
          </w:tcPr>
          <w:p>
            <w:pPr>
              <w:ind w:left="540"/>
              <w:spacing w:after="0"/>
              <w:rPr>
                <w:sz w:val="20"/>
                <w:szCs w:val="20"/>
                <w:color w:val="auto"/>
              </w:rPr>
            </w:pPr>
            <w:r>
              <w:rPr>
                <w:rFonts w:ascii="Arial" w:cs="Arial" w:eastAsia="Arial" w:hAnsi="Arial"/>
                <w:sz w:val="16"/>
                <w:szCs w:val="16"/>
                <w:color w:val="auto"/>
              </w:rPr>
              <w:t>​</w:t>
            </w:r>
          </w:p>
        </w:tc>
        <w:tc>
          <w:tcPr>
            <w:tcW w:w="940" w:type="dxa"/>
            <w:vAlign w:val="bottom"/>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120" w:type="dxa"/>
            <w:vAlign w:val="bottom"/>
            <w:tcBorders>
              <w:left w:val="single" w:sz="8" w:color="424E6A"/>
              <w:bottom w:val="single" w:sz="8" w:color="424E6A"/>
            </w:tcBorders>
          </w:tcPr>
          <w:p>
            <w:pPr>
              <w:spacing w:after="0"/>
              <w:rPr>
                <w:sz w:val="17"/>
                <w:szCs w:val="17"/>
                <w:color w:val="auto"/>
              </w:rPr>
            </w:pPr>
          </w:p>
        </w:tc>
        <w:tc>
          <w:tcPr>
            <w:tcW w:w="174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President</w:t>
            </w:r>
          </w:p>
        </w:tc>
        <w:tc>
          <w:tcPr>
            <w:tcW w:w="960" w:type="dxa"/>
            <w:vAlign w:val="bottom"/>
            <w:tcBorders>
              <w:bottom w:val="single" w:sz="8" w:color="424E6A"/>
              <w:right w:val="single" w:sz="8" w:color="424E6A"/>
            </w:tcBorders>
          </w:tcPr>
          <w:p>
            <w:pPr>
              <w:spacing w:after="0"/>
              <w:rPr>
                <w:sz w:val="17"/>
                <w:szCs w:val="17"/>
                <w:color w:val="auto"/>
              </w:rPr>
            </w:pPr>
          </w:p>
        </w:tc>
        <w:tc>
          <w:tcPr>
            <w:tcW w:w="840" w:type="dxa"/>
            <w:vAlign w:val="bottom"/>
            <w:tcBorders>
              <w:bottom w:val="single" w:sz="8" w:color="424E6A"/>
              <w:right w:val="single" w:sz="8" w:color="424E6A"/>
            </w:tcBorders>
          </w:tcPr>
          <w:p>
            <w:pPr>
              <w:spacing w:after="0"/>
              <w:rPr>
                <w:sz w:val="17"/>
                <w:szCs w:val="17"/>
                <w:color w:val="auto"/>
              </w:rPr>
            </w:pPr>
          </w:p>
        </w:tc>
        <w:tc>
          <w:tcPr>
            <w:tcW w:w="1100" w:type="dxa"/>
            <w:vAlign w:val="bottom"/>
            <w:tcBorders>
              <w:bottom w:val="single" w:sz="8" w:color="424E6A"/>
              <w:right w:val="single" w:sz="8" w:color="424E6A"/>
            </w:tcBorders>
          </w:tcPr>
          <w:p>
            <w:pPr>
              <w:spacing w:after="0"/>
              <w:rPr>
                <w:sz w:val="17"/>
                <w:szCs w:val="17"/>
                <w:color w:val="auto"/>
              </w:rPr>
            </w:pPr>
          </w:p>
        </w:tc>
        <w:tc>
          <w:tcPr>
            <w:tcW w:w="940" w:type="dxa"/>
            <w:vAlign w:val="bottom"/>
            <w:tcBorders>
              <w:bottom w:val="single" w:sz="8" w:color="424E6A"/>
            </w:tcBorders>
          </w:tcPr>
          <w:p>
            <w:pPr>
              <w:spacing w:after="0"/>
              <w:rPr>
                <w:sz w:val="17"/>
                <w:szCs w:val="17"/>
                <w:color w:val="auto"/>
              </w:rPr>
            </w:pPr>
          </w:p>
        </w:tc>
        <w:tc>
          <w:tcPr>
            <w:tcW w:w="140" w:type="dxa"/>
            <w:vAlign w:val="bottom"/>
            <w:tcBorders>
              <w:bottom w:val="single" w:sz="8" w:color="424E6A"/>
            </w:tcBorders>
          </w:tcPr>
          <w:p>
            <w:pPr>
              <w:spacing w:after="0"/>
              <w:rPr>
                <w:sz w:val="17"/>
                <w:szCs w:val="17"/>
                <w:color w:val="auto"/>
              </w:rPr>
            </w:pPr>
          </w:p>
        </w:tc>
        <w:tc>
          <w:tcPr>
            <w:tcW w:w="580" w:type="dxa"/>
            <w:vAlign w:val="bottom"/>
            <w:tcBorders>
              <w:bottom w:val="single" w:sz="8" w:color="424E6A"/>
            </w:tcBorders>
          </w:tcPr>
          <w:p>
            <w:pPr>
              <w:spacing w:after="0"/>
              <w:rPr>
                <w:sz w:val="17"/>
                <w:szCs w:val="17"/>
                <w:color w:val="auto"/>
              </w:rPr>
            </w:pPr>
          </w:p>
        </w:tc>
        <w:tc>
          <w:tcPr>
            <w:tcW w:w="140" w:type="dxa"/>
            <w:vAlign w:val="bottom"/>
            <w:tcBorders>
              <w:bottom w:val="single" w:sz="8" w:color="424E6A"/>
            </w:tcBorders>
          </w:tcPr>
          <w:p>
            <w:pPr>
              <w:spacing w:after="0"/>
              <w:rPr>
                <w:sz w:val="17"/>
                <w:szCs w:val="17"/>
                <w:color w:val="auto"/>
              </w:rPr>
            </w:pPr>
          </w:p>
        </w:tc>
        <w:tc>
          <w:tcPr>
            <w:tcW w:w="280" w:type="dxa"/>
            <w:vAlign w:val="bottom"/>
            <w:tcBorders>
              <w:bottom w:val="single" w:sz="8" w:color="424E6A"/>
            </w:tcBorders>
          </w:tcPr>
          <w:p>
            <w:pPr>
              <w:spacing w:after="0"/>
              <w:rPr>
                <w:sz w:val="17"/>
                <w:szCs w:val="17"/>
                <w:color w:val="auto"/>
              </w:rPr>
            </w:pPr>
          </w:p>
        </w:tc>
        <w:tc>
          <w:tcPr>
            <w:tcW w:w="66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tcBorders>
          </w:tcPr>
          <w:p>
            <w:pPr>
              <w:spacing w:after="0"/>
              <w:rPr>
                <w:sz w:val="17"/>
                <w:szCs w:val="17"/>
                <w:color w:val="auto"/>
              </w:rPr>
            </w:pPr>
          </w:p>
        </w:tc>
        <w:tc>
          <w:tcPr>
            <w:tcW w:w="600" w:type="dxa"/>
            <w:vAlign w:val="bottom"/>
            <w:tcBorders>
              <w:bottom w:val="single" w:sz="8" w:color="424E6A"/>
              <w:right w:val="single" w:sz="8" w:color="424E6A"/>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20" w:type="dxa"/>
            <w:vAlign w:val="bottom"/>
            <w:tcBorders>
              <w:lef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740" w:type="dxa"/>
            <w:vAlign w:val="bottom"/>
            <w:tcBorders>
              <w:right w:val="single" w:sz="8" w:color="424E6A"/>
            </w:tcBorders>
          </w:tcPr>
          <w:p>
            <w:pPr>
              <w:ind w:left="60"/>
              <w:spacing w:after="0"/>
              <w:rPr>
                <w:sz w:val="20"/>
                <w:szCs w:val="20"/>
                <w:color w:val="auto"/>
              </w:rPr>
            </w:pPr>
            <w:r>
              <w:rPr>
                <w:rFonts w:ascii="Arial" w:cs="Arial" w:eastAsia="Arial" w:hAnsi="Arial"/>
                <w:sz w:val="16"/>
                <w:szCs w:val="16"/>
                <w:color w:val="auto"/>
              </w:rPr>
              <w:t>Gary R. Petersen</w:t>
            </w:r>
          </w:p>
        </w:tc>
        <w:tc>
          <w:tcPr>
            <w:tcW w:w="960" w:type="dxa"/>
            <w:vAlign w:val="bottom"/>
            <w:tcBorders>
              <w:right w:val="single" w:sz="8" w:color="424E6A"/>
            </w:tcBorders>
          </w:tcPr>
          <w:p>
            <w:pPr>
              <w:spacing w:after="0"/>
              <w:rPr>
                <w:sz w:val="20"/>
                <w:szCs w:val="20"/>
                <w:color w:val="auto"/>
              </w:rPr>
            </w:pPr>
          </w:p>
        </w:tc>
        <w:tc>
          <w:tcPr>
            <w:tcW w:w="840" w:type="dxa"/>
            <w:vAlign w:val="bottom"/>
            <w:tcBorders>
              <w:right w:val="single" w:sz="8" w:color="424E6A"/>
            </w:tcBorders>
          </w:tcPr>
          <w:p>
            <w:pPr>
              <w:ind w:left="40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424E6A"/>
            </w:tcBorders>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2"/>
        </w:trPr>
        <w:tc>
          <w:tcPr>
            <w:tcW w:w="120" w:type="dxa"/>
            <w:vAlign w:val="bottom"/>
            <w:tcBorders>
              <w:left w:val="single" w:sz="8" w:color="424E6A"/>
              <w:bottom w:val="single" w:sz="8" w:color="424E6A"/>
            </w:tcBorders>
          </w:tcPr>
          <w:p>
            <w:pPr>
              <w:spacing w:after="0"/>
              <w:rPr>
                <w:sz w:val="3"/>
                <w:szCs w:val="3"/>
                <w:color w:val="auto"/>
              </w:rPr>
            </w:pPr>
          </w:p>
        </w:tc>
        <w:tc>
          <w:tcPr>
            <w:tcW w:w="1740" w:type="dxa"/>
            <w:vAlign w:val="bottom"/>
            <w:tcBorders>
              <w:bottom w:val="single" w:sz="8" w:color="424E6A"/>
              <w:right w:val="single" w:sz="8" w:color="424E6A"/>
            </w:tcBorders>
          </w:tcPr>
          <w:p>
            <w:pPr>
              <w:spacing w:after="0"/>
              <w:rPr>
                <w:sz w:val="3"/>
                <w:szCs w:val="3"/>
                <w:color w:val="auto"/>
              </w:rPr>
            </w:pPr>
          </w:p>
        </w:tc>
        <w:tc>
          <w:tcPr>
            <w:tcW w:w="960" w:type="dxa"/>
            <w:vAlign w:val="bottom"/>
            <w:tcBorders>
              <w:bottom w:val="single" w:sz="8" w:color="424E6A"/>
              <w:right w:val="single" w:sz="8" w:color="424E6A"/>
            </w:tcBorders>
          </w:tcPr>
          <w:p>
            <w:pPr>
              <w:spacing w:after="0"/>
              <w:rPr>
                <w:sz w:val="3"/>
                <w:szCs w:val="3"/>
                <w:color w:val="auto"/>
              </w:rPr>
            </w:pPr>
          </w:p>
        </w:tc>
        <w:tc>
          <w:tcPr>
            <w:tcW w:w="840" w:type="dxa"/>
            <w:vAlign w:val="bottom"/>
            <w:tcBorders>
              <w:bottom w:val="single" w:sz="8" w:color="424E6A"/>
              <w:right w:val="single" w:sz="8" w:color="424E6A"/>
            </w:tcBorders>
          </w:tcPr>
          <w:p>
            <w:pPr>
              <w:spacing w:after="0"/>
              <w:rPr>
                <w:sz w:val="3"/>
                <w:szCs w:val="3"/>
                <w:color w:val="auto"/>
              </w:rPr>
            </w:pPr>
          </w:p>
        </w:tc>
        <w:tc>
          <w:tcPr>
            <w:tcW w:w="1100" w:type="dxa"/>
            <w:vAlign w:val="bottom"/>
            <w:tcBorders>
              <w:bottom w:val="single" w:sz="8" w:color="424E6A"/>
              <w:right w:val="single" w:sz="8" w:color="424E6A"/>
            </w:tcBorders>
          </w:tcPr>
          <w:p>
            <w:pPr>
              <w:spacing w:after="0"/>
              <w:rPr>
                <w:sz w:val="3"/>
                <w:szCs w:val="3"/>
                <w:color w:val="auto"/>
              </w:rPr>
            </w:pPr>
          </w:p>
        </w:tc>
        <w:tc>
          <w:tcPr>
            <w:tcW w:w="940" w:type="dxa"/>
            <w:vAlign w:val="bottom"/>
            <w:tcBorders>
              <w:bottom w:val="single" w:sz="8" w:color="424E6A"/>
            </w:tcBorders>
          </w:tcPr>
          <w:p>
            <w:pPr>
              <w:spacing w:after="0"/>
              <w:rPr>
                <w:sz w:val="3"/>
                <w:szCs w:val="3"/>
                <w:color w:val="auto"/>
              </w:rPr>
            </w:pPr>
          </w:p>
        </w:tc>
        <w:tc>
          <w:tcPr>
            <w:tcW w:w="140" w:type="dxa"/>
            <w:vAlign w:val="bottom"/>
            <w:tcBorders>
              <w:bottom w:val="single" w:sz="8" w:color="424E6A"/>
            </w:tcBorders>
          </w:tcPr>
          <w:p>
            <w:pPr>
              <w:spacing w:after="0"/>
              <w:rPr>
                <w:sz w:val="3"/>
                <w:szCs w:val="3"/>
                <w:color w:val="auto"/>
              </w:rPr>
            </w:pPr>
          </w:p>
        </w:tc>
        <w:tc>
          <w:tcPr>
            <w:tcW w:w="580" w:type="dxa"/>
            <w:vAlign w:val="bottom"/>
            <w:tcBorders>
              <w:bottom w:val="single" w:sz="8" w:color="424E6A"/>
            </w:tcBorders>
          </w:tcPr>
          <w:p>
            <w:pPr>
              <w:spacing w:after="0"/>
              <w:rPr>
                <w:sz w:val="3"/>
                <w:szCs w:val="3"/>
                <w:color w:val="auto"/>
              </w:rPr>
            </w:pPr>
          </w:p>
        </w:tc>
        <w:tc>
          <w:tcPr>
            <w:tcW w:w="140" w:type="dxa"/>
            <w:vAlign w:val="bottom"/>
            <w:tcBorders>
              <w:bottom w:val="single" w:sz="8" w:color="424E6A"/>
            </w:tcBorders>
          </w:tcPr>
          <w:p>
            <w:pPr>
              <w:spacing w:after="0"/>
              <w:rPr>
                <w:sz w:val="3"/>
                <w:szCs w:val="3"/>
                <w:color w:val="auto"/>
              </w:rPr>
            </w:pPr>
          </w:p>
        </w:tc>
        <w:tc>
          <w:tcPr>
            <w:tcW w:w="280" w:type="dxa"/>
            <w:vAlign w:val="bottom"/>
            <w:tcBorders>
              <w:bottom w:val="single" w:sz="8" w:color="424E6A"/>
            </w:tcBorders>
          </w:tcPr>
          <w:p>
            <w:pPr>
              <w:spacing w:after="0"/>
              <w:rPr>
                <w:sz w:val="3"/>
                <w:szCs w:val="3"/>
                <w:color w:val="auto"/>
              </w:rPr>
            </w:pPr>
          </w:p>
        </w:tc>
        <w:tc>
          <w:tcPr>
            <w:tcW w:w="660" w:type="dxa"/>
            <w:vAlign w:val="bottom"/>
            <w:tcBorders>
              <w:bottom w:val="single" w:sz="8" w:color="424E6A"/>
            </w:tcBorders>
          </w:tcPr>
          <w:p>
            <w:pPr>
              <w:spacing w:after="0"/>
              <w:rPr>
                <w:sz w:val="3"/>
                <w:szCs w:val="3"/>
                <w:color w:val="auto"/>
              </w:rPr>
            </w:pPr>
          </w:p>
        </w:tc>
        <w:tc>
          <w:tcPr>
            <w:tcW w:w="120" w:type="dxa"/>
            <w:vAlign w:val="bottom"/>
            <w:tcBorders>
              <w:bottom w:val="single" w:sz="8" w:color="424E6A"/>
            </w:tcBorders>
          </w:tcPr>
          <w:p>
            <w:pPr>
              <w:spacing w:after="0"/>
              <w:rPr>
                <w:sz w:val="3"/>
                <w:szCs w:val="3"/>
                <w:color w:val="auto"/>
              </w:rPr>
            </w:pPr>
          </w:p>
        </w:tc>
        <w:tc>
          <w:tcPr>
            <w:tcW w:w="600" w:type="dxa"/>
            <w:vAlign w:val="bottom"/>
            <w:tcBorders>
              <w:bottom w:val="single" w:sz="8" w:color="424E6A"/>
              <w:right w:val="single" w:sz="8" w:color="424E6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-2219325</wp:posOffset>
            </wp:positionV>
            <wp:extent cx="3771900" cy="22199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7190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20" w:type="dxa"/>
            <w:vAlign w:val="bottom"/>
            <w:tcBorders>
              <w:left w:val="single" w:sz="8" w:color="424E6A"/>
            </w:tcBorders>
            <w:shd w:val="clear" w:color="auto" w:fill="424E6A"/>
          </w:tcPr>
          <w:p>
            <w:pPr>
              <w:spacing w:after="0"/>
              <w:rPr>
                <w:sz w:val="21"/>
                <w:szCs w:val="21"/>
                <w:color w:val="auto"/>
              </w:rPr>
            </w:pPr>
          </w:p>
        </w:tc>
        <w:tc>
          <w:tcPr>
            <w:tcW w:w="1760" w:type="dxa"/>
            <w:vAlign w:val="bottom"/>
            <w:tcBorders>
              <w:right w:val="single" w:sz="8" w:color="424E6A"/>
            </w:tcBorders>
            <w:shd w:val="clear" w:color="auto" w:fill="424E6A"/>
          </w:tcPr>
          <w:p>
            <w:pPr>
              <w:spacing w:after="0"/>
              <w:rPr>
                <w:sz w:val="21"/>
                <w:szCs w:val="21"/>
                <w:color w:val="auto"/>
              </w:rPr>
            </w:pPr>
          </w:p>
        </w:tc>
        <w:tc>
          <w:tcPr>
            <w:tcW w:w="960" w:type="dxa"/>
            <w:vAlign w:val="bottom"/>
            <w:tcBorders>
              <w:right w:val="single" w:sz="8" w:color="424E6A"/>
            </w:tcBorders>
            <w:shd w:val="clear" w:color="auto" w:fill="424E6A"/>
          </w:tcPr>
          <w:p>
            <w:pPr>
              <w:spacing w:after="0"/>
              <w:rPr>
                <w:sz w:val="21"/>
                <w:szCs w:val="21"/>
                <w:color w:val="auto"/>
              </w:rPr>
            </w:pPr>
          </w:p>
        </w:tc>
        <w:tc>
          <w:tcPr>
            <w:tcW w:w="840" w:type="dxa"/>
            <w:vAlign w:val="bottom"/>
            <w:tcBorders>
              <w:right w:val="single" w:sz="8" w:color="424E6A"/>
            </w:tcBorders>
            <w:shd w:val="clear" w:color="auto" w:fill="424E6A"/>
          </w:tcPr>
          <w:p>
            <w:pPr>
              <w:ind w:left="200"/>
              <w:spacing w:after="0"/>
              <w:rPr>
                <w:sz w:val="20"/>
                <w:szCs w:val="20"/>
                <w:color w:val="auto"/>
              </w:rPr>
            </w:pPr>
            <w:r>
              <w:rPr>
                <w:rFonts w:ascii="Arial" w:cs="Arial" w:eastAsia="Arial" w:hAnsi="Arial"/>
                <w:sz w:val="14"/>
                <w:szCs w:val="14"/>
                <w:b w:val="1"/>
                <w:bCs w:val="1"/>
                <w:color w:val="FFFFFF"/>
              </w:rPr>
              <w:t>Audit</w:t>
            </w:r>
          </w:p>
        </w:tc>
        <w:tc>
          <w:tcPr>
            <w:tcW w:w="1100" w:type="dxa"/>
            <w:vAlign w:val="bottom"/>
            <w:tcBorders>
              <w:righ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Compensation</w:t>
            </w:r>
          </w:p>
        </w:tc>
        <w:tc>
          <w:tcPr>
            <w:tcW w:w="96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Governance</w:t>
            </w:r>
          </w:p>
        </w:tc>
        <w:tc>
          <w:tcPr>
            <w:tcW w:w="680" w:type="dxa"/>
            <w:vAlign w:val="bottom"/>
            <w:shd w:val="clear" w:color="auto" w:fill="424E6A"/>
          </w:tcPr>
          <w:p>
            <w:pPr>
              <w:ind w:left="180"/>
              <w:spacing w:after="0"/>
              <w:rPr>
                <w:sz w:val="20"/>
                <w:szCs w:val="20"/>
                <w:color w:val="auto"/>
              </w:rPr>
            </w:pPr>
            <w:r>
              <w:rPr>
                <w:rFonts w:ascii="Arial" w:cs="Arial" w:eastAsia="Arial" w:hAnsi="Arial"/>
                <w:sz w:val="14"/>
                <w:szCs w:val="14"/>
                <w:b w:val="1"/>
                <w:bCs w:val="1"/>
                <w:color w:val="FFFFFF"/>
              </w:rPr>
              <w:t>HSES</w:t>
            </w:r>
          </w:p>
        </w:tc>
        <w:tc>
          <w:tcPr>
            <w:tcW w:w="140" w:type="dxa"/>
            <w:vAlign w:val="bottom"/>
            <w:shd w:val="clear" w:color="auto" w:fill="424E6A"/>
          </w:tcPr>
          <w:p>
            <w:pPr>
              <w:spacing w:after="0"/>
              <w:rPr>
                <w:sz w:val="21"/>
                <w:szCs w:val="21"/>
                <w:color w:val="auto"/>
              </w:rPr>
            </w:pPr>
          </w:p>
        </w:tc>
        <w:tc>
          <w:tcPr>
            <w:tcW w:w="280" w:type="dxa"/>
            <w:vAlign w:val="bottom"/>
            <w:shd w:val="clear" w:color="auto" w:fill="424E6A"/>
          </w:tcPr>
          <w:p>
            <w:pPr>
              <w:spacing w:after="0"/>
              <w:rPr>
                <w:sz w:val="21"/>
                <w:szCs w:val="21"/>
                <w:color w:val="auto"/>
              </w:rPr>
            </w:pPr>
          </w:p>
        </w:tc>
        <w:tc>
          <w:tcPr>
            <w:tcW w:w="440" w:type="dxa"/>
            <w:vAlign w:val="bottom"/>
            <w:shd w:val="clear" w:color="auto" w:fill="424E6A"/>
          </w:tcPr>
          <w:p>
            <w:pPr>
              <w:spacing w:after="0"/>
              <w:rPr>
                <w:sz w:val="21"/>
                <w:szCs w:val="21"/>
                <w:color w:val="auto"/>
              </w:rPr>
            </w:pPr>
          </w:p>
        </w:tc>
        <w:tc>
          <w:tcPr>
            <w:tcW w:w="220" w:type="dxa"/>
            <w:vAlign w:val="bottom"/>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60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Lead</w:t>
            </w:r>
          </w:p>
        </w:tc>
        <w:tc>
          <w:tcPr>
            <w:tcW w:w="0" w:type="dxa"/>
            <w:vAlign w:val="bottom"/>
          </w:tcPr>
          <w:p>
            <w:pPr>
              <w:spacing w:after="0"/>
              <w:rPr>
                <w:sz w:val="1"/>
                <w:szCs w:val="1"/>
                <w:color w:val="auto"/>
              </w:rPr>
            </w:pPr>
          </w:p>
        </w:tc>
      </w:tr>
      <w:tr>
        <w:trPr>
          <w:trHeight w:val="185"/>
        </w:trPr>
        <w:tc>
          <w:tcPr>
            <w:tcW w:w="120" w:type="dxa"/>
            <w:vAlign w:val="bottom"/>
            <w:tcBorders>
              <w:lef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w:t>
            </w:r>
          </w:p>
        </w:tc>
        <w:tc>
          <w:tcPr>
            <w:tcW w:w="1760" w:type="dxa"/>
            <w:vAlign w:val="bottom"/>
            <w:tcBorders>
              <w:right w:val="single" w:sz="8" w:color="424E6A"/>
            </w:tcBorders>
            <w:shd w:val="clear" w:color="auto" w:fill="424E6A"/>
          </w:tcPr>
          <w:p>
            <w:pPr>
              <w:spacing w:after="0"/>
              <w:rPr>
                <w:sz w:val="16"/>
                <w:szCs w:val="16"/>
                <w:color w:val="auto"/>
              </w:rPr>
            </w:pPr>
          </w:p>
        </w:tc>
        <w:tc>
          <w:tcPr>
            <w:tcW w:w="1800" w:type="dxa"/>
            <w:vAlign w:val="bottom"/>
            <w:tcBorders>
              <w:right w:val="single" w:sz="8" w:color="424E6A"/>
            </w:tcBorders>
            <w:gridSpan w:val="2"/>
            <w:shd w:val="clear" w:color="auto" w:fill="424E6A"/>
          </w:tcPr>
          <w:p>
            <w:pPr>
              <w:ind w:left="40"/>
              <w:spacing w:after="0"/>
              <w:rPr>
                <w:sz w:val="20"/>
                <w:szCs w:val="20"/>
                <w:color w:val="auto"/>
              </w:rPr>
            </w:pPr>
            <w:r>
              <w:rPr>
                <w:rFonts w:ascii="Arial" w:cs="Arial" w:eastAsia="Arial" w:hAnsi="Arial"/>
                <w:sz w:val="14"/>
                <w:szCs w:val="14"/>
                <w:b w:val="1"/>
                <w:bCs w:val="1"/>
                <w:color w:val="FFFFFF"/>
              </w:rPr>
              <w:t>Independent Committee</w:t>
            </w:r>
          </w:p>
        </w:tc>
        <w:tc>
          <w:tcPr>
            <w:tcW w:w="11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Committee</w:t>
            </w:r>
          </w:p>
        </w:tc>
        <w:tc>
          <w:tcPr>
            <w:tcW w:w="96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Committee</w:t>
            </w:r>
          </w:p>
        </w:tc>
        <w:tc>
          <w:tcPr>
            <w:tcW w:w="2480" w:type="dxa"/>
            <w:vAlign w:val="bottom"/>
            <w:tcBorders>
              <w:right w:val="single" w:sz="8" w:color="424E6A"/>
            </w:tcBorders>
            <w:gridSpan w:val="7"/>
            <w:shd w:val="clear" w:color="auto" w:fill="424E6A"/>
          </w:tcPr>
          <w:p>
            <w:pPr>
              <w:ind w:left="20"/>
              <w:spacing w:after="0"/>
              <w:rPr>
                <w:sz w:val="20"/>
                <w:szCs w:val="20"/>
                <w:color w:val="auto"/>
              </w:rPr>
            </w:pPr>
            <w:r>
              <w:rPr>
                <w:rFonts w:ascii="Arial" w:cs="Arial" w:eastAsia="Arial" w:hAnsi="Arial"/>
                <w:sz w:val="14"/>
                <w:szCs w:val="14"/>
                <w:b w:val="1"/>
                <w:bCs w:val="1"/>
                <w:color w:val="FFFFFF"/>
              </w:rPr>
              <w:t>Committee ​​Board Chair ​​Director</w:t>
            </w:r>
          </w:p>
        </w:tc>
        <w:tc>
          <w:tcPr>
            <w:tcW w:w="0" w:type="dxa"/>
            <w:vAlign w:val="bottom"/>
          </w:tcPr>
          <w:p>
            <w:pPr>
              <w:spacing w:after="0"/>
              <w:rPr>
                <w:sz w:val="1"/>
                <w:szCs w:val="1"/>
                <w:color w:val="auto"/>
              </w:rPr>
            </w:pPr>
          </w:p>
        </w:tc>
      </w:tr>
      <w:tr>
        <w:trPr>
          <w:trHeight w:val="162"/>
        </w:trPr>
        <w:tc>
          <w:tcPr>
            <w:tcW w:w="1880" w:type="dxa"/>
            <w:vAlign w:val="bottom"/>
            <w:tcBorders>
              <w:left w:val="single" w:sz="8" w:color="424E6A"/>
              <w:right w:val="single" w:sz="8" w:color="424E6A"/>
            </w:tcBorders>
            <w:gridSpan w:val="2"/>
            <w:shd w:val="clear" w:color="auto" w:fill="D9DCE1"/>
          </w:tcPr>
          <w:p>
            <w:pPr>
              <w:ind w:left="20"/>
              <w:spacing w:after="0" w:line="162" w:lineRule="exact"/>
              <w:rPr>
                <w:sz w:val="20"/>
                <w:szCs w:val="20"/>
                <w:color w:val="auto"/>
              </w:rPr>
            </w:pPr>
            <w:r>
              <w:rPr>
                <w:rFonts w:ascii="Arial" w:cs="Arial" w:eastAsia="Arial" w:hAnsi="Arial"/>
                <w:sz w:val="16"/>
                <w:szCs w:val="16"/>
                <w:color w:val="auto"/>
              </w:rPr>
              <w:t>Class III Directors</w:t>
            </w:r>
          </w:p>
        </w:tc>
        <w:tc>
          <w:tcPr>
            <w:tcW w:w="960" w:type="dxa"/>
            <w:vAlign w:val="bottom"/>
            <w:tcBorders>
              <w:right w:val="single" w:sz="8" w:color="424E6A"/>
            </w:tcBorders>
            <w:shd w:val="clear" w:color="auto" w:fill="D9DCE1"/>
          </w:tcPr>
          <w:p>
            <w:pPr>
              <w:spacing w:after="0"/>
              <w:rPr>
                <w:sz w:val="14"/>
                <w:szCs w:val="14"/>
                <w:color w:val="auto"/>
              </w:rPr>
            </w:pPr>
          </w:p>
        </w:tc>
        <w:tc>
          <w:tcPr>
            <w:tcW w:w="840" w:type="dxa"/>
            <w:vAlign w:val="bottom"/>
            <w:tcBorders>
              <w:right w:val="single" w:sz="8" w:color="424E6A"/>
            </w:tcBorders>
            <w:shd w:val="clear" w:color="auto" w:fill="D9DCE1"/>
          </w:tcPr>
          <w:p>
            <w:pPr>
              <w:spacing w:after="0"/>
              <w:rPr>
                <w:sz w:val="14"/>
                <w:szCs w:val="14"/>
                <w:color w:val="auto"/>
              </w:rPr>
            </w:pPr>
          </w:p>
        </w:tc>
        <w:tc>
          <w:tcPr>
            <w:tcW w:w="1100" w:type="dxa"/>
            <w:vAlign w:val="bottom"/>
            <w:tcBorders>
              <w:right w:val="single" w:sz="8" w:color="424E6A"/>
            </w:tcBorders>
            <w:shd w:val="clear" w:color="auto" w:fill="D9DCE1"/>
          </w:tcPr>
          <w:p>
            <w:pPr>
              <w:spacing w:after="0"/>
              <w:rPr>
                <w:sz w:val="14"/>
                <w:szCs w:val="14"/>
                <w:color w:val="auto"/>
              </w:rPr>
            </w:pPr>
          </w:p>
        </w:tc>
        <w:tc>
          <w:tcPr>
            <w:tcW w:w="960" w:type="dxa"/>
            <w:vAlign w:val="bottom"/>
            <w:tcBorders>
              <w:right w:val="single" w:sz="8" w:color="424E6A"/>
            </w:tcBorders>
            <w:shd w:val="clear" w:color="auto" w:fill="D9DCE1"/>
          </w:tcPr>
          <w:p>
            <w:pPr>
              <w:spacing w:after="0"/>
              <w:rPr>
                <w:sz w:val="14"/>
                <w:szCs w:val="14"/>
                <w:color w:val="auto"/>
              </w:rPr>
            </w:pPr>
          </w:p>
        </w:tc>
        <w:tc>
          <w:tcPr>
            <w:tcW w:w="680" w:type="dxa"/>
            <w:vAlign w:val="bottom"/>
            <w:shd w:val="clear" w:color="auto" w:fill="D9DCE1"/>
          </w:tcPr>
          <w:p>
            <w:pPr>
              <w:spacing w:after="0"/>
              <w:rPr>
                <w:sz w:val="14"/>
                <w:szCs w:val="14"/>
                <w:color w:val="auto"/>
              </w:rPr>
            </w:pPr>
          </w:p>
        </w:tc>
        <w:tc>
          <w:tcPr>
            <w:tcW w:w="140" w:type="dxa"/>
            <w:vAlign w:val="bottom"/>
            <w:shd w:val="clear" w:color="auto" w:fill="D9DCE1"/>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right w:val="single" w:sz="8" w:color="424E6A"/>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20" w:type="dxa"/>
            <w:vAlign w:val="bottom"/>
            <w:tcBorders>
              <w:left w:val="single" w:sz="8" w:color="424E6A"/>
              <w:bottom w:val="single" w:sz="8" w:color="424E6A"/>
            </w:tcBorders>
            <w:shd w:val="clear" w:color="auto" w:fill="D9DCE1"/>
          </w:tcPr>
          <w:p>
            <w:pPr>
              <w:ind w:left="2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6"/>
                <w:szCs w:val="16"/>
                <w:color w:val="auto"/>
              </w:rPr>
              <w:t>(Term expires 2024)</w:t>
            </w:r>
          </w:p>
        </w:tc>
        <w:tc>
          <w:tcPr>
            <w:tcW w:w="960" w:type="dxa"/>
            <w:vAlign w:val="bottom"/>
            <w:tcBorders>
              <w:bottom w:val="single" w:sz="8" w:color="424E6A"/>
              <w:right w:val="single" w:sz="8" w:color="424E6A"/>
            </w:tcBorders>
            <w:shd w:val="clear" w:color="auto" w:fill="D9DCE1"/>
          </w:tcPr>
          <w:p>
            <w:pPr>
              <w:spacing w:after="0"/>
              <w:rPr>
                <w:sz w:val="21"/>
                <w:szCs w:val="21"/>
                <w:color w:val="auto"/>
              </w:rPr>
            </w:pPr>
          </w:p>
        </w:tc>
        <w:tc>
          <w:tcPr>
            <w:tcW w:w="840" w:type="dxa"/>
            <w:vAlign w:val="bottom"/>
            <w:tcBorders>
              <w:bottom w:val="single" w:sz="8" w:color="424E6A"/>
              <w:right w:val="single" w:sz="8" w:color="424E6A"/>
            </w:tcBorders>
            <w:shd w:val="clear" w:color="auto" w:fill="D9DCE1"/>
          </w:tcPr>
          <w:p>
            <w:pPr>
              <w:ind w:left="4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424E6A"/>
            </w:tcBorders>
            <w:shd w:val="clear" w:color="auto" w:fill="D9DCE1"/>
          </w:tcPr>
          <w:p>
            <w:pPr>
              <w:ind w:left="4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shd w:val="clear" w:color="auto" w:fill="D9DCE1"/>
          </w:tcPr>
          <w:p>
            <w:pPr>
              <w:spacing w:after="0"/>
              <w:rPr>
                <w:sz w:val="21"/>
                <w:szCs w:val="21"/>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spacing w:after="0"/>
              <w:rPr>
                <w:sz w:val="21"/>
                <w:szCs w:val="21"/>
                <w:color w:val="auto"/>
              </w:rPr>
            </w:pP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20" w:type="dxa"/>
            <w:vAlign w:val="bottom"/>
            <w:tcBorders>
              <w:left w:val="single" w:sz="8" w:color="424E6A"/>
            </w:tcBorders>
          </w:tcPr>
          <w:p>
            <w:pPr>
              <w:spacing w:after="0"/>
              <w:rPr>
                <w:sz w:val="18"/>
                <w:szCs w:val="18"/>
                <w:color w:val="auto"/>
              </w:rPr>
            </w:pPr>
          </w:p>
        </w:tc>
        <w:tc>
          <w:tcPr>
            <w:tcW w:w="1760" w:type="dxa"/>
            <w:vAlign w:val="bottom"/>
            <w:tcBorders>
              <w:right w:val="single" w:sz="8" w:color="424E6A"/>
            </w:tcBorders>
          </w:tcPr>
          <w:p>
            <w:pPr>
              <w:ind w:left="60"/>
              <w:spacing w:after="0"/>
              <w:rPr>
                <w:sz w:val="20"/>
                <w:szCs w:val="20"/>
                <w:color w:val="auto"/>
              </w:rPr>
            </w:pPr>
            <w:r>
              <w:rPr>
                <w:rFonts w:ascii="Arial" w:cs="Arial" w:eastAsia="Arial" w:hAnsi="Arial"/>
                <w:sz w:val="16"/>
                <w:szCs w:val="16"/>
                <w:color w:val="auto"/>
              </w:rPr>
              <w:t>Greg L. Armstrong,</w:t>
            </w:r>
          </w:p>
        </w:tc>
        <w:tc>
          <w:tcPr>
            <w:tcW w:w="960" w:type="dxa"/>
            <w:vAlign w:val="bottom"/>
            <w:tcBorders>
              <w:right w:val="single" w:sz="8" w:color="424E6A"/>
            </w:tcBorders>
          </w:tcPr>
          <w:p>
            <w:pPr>
              <w:spacing w:after="0"/>
              <w:rPr>
                <w:sz w:val="18"/>
                <w:szCs w:val="18"/>
                <w:color w:val="auto"/>
              </w:rPr>
            </w:pPr>
          </w:p>
        </w:tc>
        <w:tc>
          <w:tcPr>
            <w:tcW w:w="840" w:type="dxa"/>
            <w:vAlign w:val="bottom"/>
            <w:tcBorders>
              <w:right w:val="single" w:sz="8" w:color="424E6A"/>
            </w:tcBorders>
          </w:tcPr>
          <w:p>
            <w:pPr>
              <w:spacing w:after="0"/>
              <w:rPr>
                <w:sz w:val="18"/>
                <w:szCs w:val="18"/>
                <w:color w:val="auto"/>
              </w:rPr>
            </w:pPr>
          </w:p>
        </w:tc>
        <w:tc>
          <w:tcPr>
            <w:tcW w:w="1100" w:type="dxa"/>
            <w:vAlign w:val="bottom"/>
            <w:tcBorders>
              <w:right w:val="single" w:sz="8" w:color="424E6A"/>
            </w:tcBorders>
          </w:tcPr>
          <w:p>
            <w:pPr>
              <w:spacing w:after="0"/>
              <w:rPr>
                <w:sz w:val="18"/>
                <w:szCs w:val="18"/>
                <w:color w:val="auto"/>
              </w:rPr>
            </w:pPr>
          </w:p>
        </w:tc>
        <w:tc>
          <w:tcPr>
            <w:tcW w:w="960" w:type="dxa"/>
            <w:vAlign w:val="bottom"/>
            <w:tcBorders>
              <w:right w:val="single" w:sz="8" w:color="424E6A"/>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right w:val="single" w:sz="8" w:color="424E6A"/>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 w:type="dxa"/>
            <w:vAlign w:val="bottom"/>
            <w:tcBorders>
              <w:lef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760" w:type="dxa"/>
            <w:vAlign w:val="bottom"/>
            <w:tcBorders>
              <w:right w:val="single" w:sz="8" w:color="424E6A"/>
            </w:tcBorders>
          </w:tcPr>
          <w:p>
            <w:pPr>
              <w:ind w:left="240"/>
              <w:spacing w:after="0"/>
              <w:rPr>
                <w:sz w:val="20"/>
                <w:szCs w:val="20"/>
                <w:color w:val="auto"/>
              </w:rPr>
            </w:pPr>
            <w:r>
              <w:rPr>
                <w:rFonts w:ascii="Arial" w:cs="Arial" w:eastAsia="Arial" w:hAnsi="Arial"/>
                <w:sz w:val="16"/>
                <w:szCs w:val="16"/>
                <w:color w:val="auto"/>
              </w:rPr>
              <w:t>Senior Advisor to</w:t>
            </w:r>
          </w:p>
        </w:tc>
        <w:tc>
          <w:tcPr>
            <w:tcW w:w="96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vMerge w:val="restart"/>
          </w:tcPr>
          <w:p>
            <w:pPr>
              <w:ind w:left="40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424E6A"/>
            </w:tcBorders>
            <w:vMerge w:val="restart"/>
          </w:tcPr>
          <w:p>
            <w:pPr>
              <w:jc w:val="center"/>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424E6A"/>
            </w:tcBorders>
            <w:vMerge w:val="restart"/>
          </w:tcPr>
          <w:p>
            <w:pPr>
              <w:jc w:val="center"/>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80" w:type="dxa"/>
            <w:vAlign w:val="bottom"/>
            <w:vMerge w:val="restart"/>
          </w:tcPr>
          <w:p>
            <w:pPr>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vMerge w:val="restart"/>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20" w:type="dxa"/>
            <w:vAlign w:val="bottom"/>
            <w:tcBorders>
              <w:left w:val="single" w:sz="8" w:color="424E6A"/>
            </w:tcBorders>
            <w:vMerge w:val="continue"/>
          </w:tcPr>
          <w:p>
            <w:pPr>
              <w:spacing w:after="0"/>
              <w:rPr>
                <w:sz w:val="16"/>
                <w:szCs w:val="16"/>
                <w:color w:val="auto"/>
              </w:rPr>
            </w:pPr>
          </w:p>
        </w:tc>
        <w:tc>
          <w:tcPr>
            <w:tcW w:w="1760" w:type="dxa"/>
            <w:vAlign w:val="bottom"/>
            <w:tcBorders>
              <w:right w:val="single" w:sz="8" w:color="424E6A"/>
            </w:tcBorders>
          </w:tcPr>
          <w:p>
            <w:pPr>
              <w:ind w:left="240"/>
              <w:spacing w:after="0"/>
              <w:rPr>
                <w:sz w:val="20"/>
                <w:szCs w:val="20"/>
                <w:color w:val="auto"/>
              </w:rPr>
            </w:pPr>
            <w:r>
              <w:rPr>
                <w:rFonts w:ascii="Arial" w:cs="Arial" w:eastAsia="Arial" w:hAnsi="Arial"/>
                <w:sz w:val="16"/>
                <w:szCs w:val="16"/>
                <w:color w:val="auto"/>
              </w:rPr>
              <w:t>the CEO (former</w:t>
            </w:r>
          </w:p>
        </w:tc>
        <w:tc>
          <w:tcPr>
            <w:tcW w:w="96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vMerge w:val="continue"/>
          </w:tcPr>
          <w:p>
            <w:pPr>
              <w:spacing w:after="0"/>
              <w:rPr>
                <w:sz w:val="16"/>
                <w:szCs w:val="16"/>
                <w:color w:val="auto"/>
              </w:rPr>
            </w:pPr>
          </w:p>
        </w:tc>
        <w:tc>
          <w:tcPr>
            <w:tcW w:w="1100" w:type="dxa"/>
            <w:vAlign w:val="bottom"/>
            <w:tcBorders>
              <w:right w:val="single" w:sz="8" w:color="424E6A"/>
            </w:tcBorders>
            <w:vMerge w:val="continue"/>
          </w:tcPr>
          <w:p>
            <w:pPr>
              <w:spacing w:after="0"/>
              <w:rPr>
                <w:sz w:val="16"/>
                <w:szCs w:val="16"/>
                <w:color w:val="auto"/>
              </w:rPr>
            </w:pPr>
          </w:p>
        </w:tc>
        <w:tc>
          <w:tcPr>
            <w:tcW w:w="960" w:type="dxa"/>
            <w:vAlign w:val="bottom"/>
            <w:tcBorders>
              <w:right w:val="single" w:sz="8" w:color="424E6A"/>
            </w:tcBorders>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00" w:type="dxa"/>
            <w:vAlign w:val="bottom"/>
            <w:tcBorders>
              <w:right w:val="single" w:sz="8" w:color="424E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Borders>
              <w:left w:val="single" w:sz="8" w:color="424E6A"/>
            </w:tcBorders>
          </w:tcPr>
          <w:p>
            <w:pPr>
              <w:spacing w:after="0"/>
              <w:rPr>
                <w:sz w:val="17"/>
                <w:szCs w:val="17"/>
                <w:color w:val="auto"/>
              </w:rPr>
            </w:pPr>
          </w:p>
        </w:tc>
        <w:tc>
          <w:tcPr>
            <w:tcW w:w="1760" w:type="dxa"/>
            <w:vAlign w:val="bottom"/>
            <w:tcBorders>
              <w:right w:val="single" w:sz="8" w:color="424E6A"/>
            </w:tcBorders>
          </w:tcPr>
          <w:p>
            <w:pPr>
              <w:ind w:left="240"/>
              <w:spacing w:after="0"/>
              <w:rPr>
                <w:sz w:val="20"/>
                <w:szCs w:val="20"/>
                <w:color w:val="auto"/>
              </w:rPr>
            </w:pPr>
            <w:r>
              <w:rPr>
                <w:rFonts w:ascii="Arial" w:cs="Arial" w:eastAsia="Arial" w:hAnsi="Arial"/>
                <w:sz w:val="16"/>
                <w:szCs w:val="16"/>
                <w:color w:val="auto"/>
              </w:rPr>
              <w:t>Chairman of the</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tcPr>
          <w:p>
            <w:pPr>
              <w:spacing w:after="0"/>
              <w:rPr>
                <w:sz w:val="17"/>
                <w:szCs w:val="17"/>
                <w:color w:val="auto"/>
              </w:rPr>
            </w:pPr>
          </w:p>
        </w:tc>
        <w:tc>
          <w:tcPr>
            <w:tcW w:w="1100" w:type="dxa"/>
            <w:vAlign w:val="bottom"/>
            <w:tcBorders>
              <w:right w:val="single" w:sz="8" w:color="424E6A"/>
            </w:tcBorders>
          </w:tcPr>
          <w:p>
            <w:pPr>
              <w:spacing w:after="0"/>
              <w:rPr>
                <w:sz w:val="17"/>
                <w:szCs w:val="17"/>
                <w:color w:val="auto"/>
              </w:rPr>
            </w:pPr>
          </w:p>
        </w:tc>
        <w:tc>
          <w:tcPr>
            <w:tcW w:w="960" w:type="dxa"/>
            <w:vAlign w:val="bottom"/>
            <w:tcBorders>
              <w:right w:val="single" w:sz="8" w:color="424E6A"/>
            </w:tcBorders>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right w:val="single" w:sz="8" w:color="424E6A"/>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Borders>
              <w:left w:val="single" w:sz="8" w:color="424E6A"/>
              <w:bottom w:val="single" w:sz="8" w:color="424E6A"/>
            </w:tcBorders>
          </w:tcPr>
          <w:p>
            <w:pPr>
              <w:spacing w:after="0"/>
              <w:rPr>
                <w:sz w:val="17"/>
                <w:szCs w:val="17"/>
                <w:color w:val="auto"/>
              </w:rPr>
            </w:pPr>
          </w:p>
        </w:tc>
        <w:tc>
          <w:tcPr>
            <w:tcW w:w="176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Board and CEO)</w:t>
            </w:r>
          </w:p>
        </w:tc>
        <w:tc>
          <w:tcPr>
            <w:tcW w:w="960" w:type="dxa"/>
            <w:vAlign w:val="bottom"/>
            <w:tcBorders>
              <w:bottom w:val="single" w:sz="8" w:color="424E6A"/>
              <w:right w:val="single" w:sz="8" w:color="424E6A"/>
            </w:tcBorders>
          </w:tcPr>
          <w:p>
            <w:pPr>
              <w:spacing w:after="0"/>
              <w:rPr>
                <w:sz w:val="17"/>
                <w:szCs w:val="17"/>
                <w:color w:val="auto"/>
              </w:rPr>
            </w:pPr>
          </w:p>
        </w:tc>
        <w:tc>
          <w:tcPr>
            <w:tcW w:w="840" w:type="dxa"/>
            <w:vAlign w:val="bottom"/>
            <w:tcBorders>
              <w:bottom w:val="single" w:sz="8" w:color="424E6A"/>
              <w:right w:val="single" w:sz="8" w:color="424E6A"/>
            </w:tcBorders>
          </w:tcPr>
          <w:p>
            <w:pPr>
              <w:spacing w:after="0"/>
              <w:rPr>
                <w:sz w:val="17"/>
                <w:szCs w:val="17"/>
                <w:color w:val="auto"/>
              </w:rPr>
            </w:pPr>
          </w:p>
        </w:tc>
        <w:tc>
          <w:tcPr>
            <w:tcW w:w="1100" w:type="dxa"/>
            <w:vAlign w:val="bottom"/>
            <w:tcBorders>
              <w:bottom w:val="single" w:sz="8" w:color="424E6A"/>
              <w:right w:val="single" w:sz="8" w:color="424E6A"/>
            </w:tcBorders>
          </w:tcPr>
          <w:p>
            <w:pPr>
              <w:spacing w:after="0"/>
              <w:rPr>
                <w:sz w:val="17"/>
                <w:szCs w:val="17"/>
                <w:color w:val="auto"/>
              </w:rPr>
            </w:pPr>
          </w:p>
        </w:tc>
        <w:tc>
          <w:tcPr>
            <w:tcW w:w="960" w:type="dxa"/>
            <w:vAlign w:val="bottom"/>
            <w:tcBorders>
              <w:bottom w:val="single" w:sz="8" w:color="424E6A"/>
              <w:right w:val="single" w:sz="8" w:color="424E6A"/>
            </w:tcBorders>
          </w:tcPr>
          <w:p>
            <w:pPr>
              <w:spacing w:after="0"/>
              <w:rPr>
                <w:sz w:val="17"/>
                <w:szCs w:val="17"/>
                <w:color w:val="auto"/>
              </w:rPr>
            </w:pPr>
          </w:p>
        </w:tc>
        <w:tc>
          <w:tcPr>
            <w:tcW w:w="680" w:type="dxa"/>
            <w:vAlign w:val="bottom"/>
            <w:tcBorders>
              <w:bottom w:val="single" w:sz="8" w:color="424E6A"/>
            </w:tcBorders>
          </w:tcPr>
          <w:p>
            <w:pPr>
              <w:spacing w:after="0"/>
              <w:rPr>
                <w:sz w:val="17"/>
                <w:szCs w:val="17"/>
                <w:color w:val="auto"/>
              </w:rPr>
            </w:pPr>
          </w:p>
        </w:tc>
        <w:tc>
          <w:tcPr>
            <w:tcW w:w="140" w:type="dxa"/>
            <w:vAlign w:val="bottom"/>
            <w:tcBorders>
              <w:bottom w:val="single" w:sz="8" w:color="424E6A"/>
            </w:tcBorders>
          </w:tcPr>
          <w:p>
            <w:pPr>
              <w:spacing w:after="0"/>
              <w:rPr>
                <w:sz w:val="17"/>
                <w:szCs w:val="17"/>
                <w:color w:val="auto"/>
              </w:rPr>
            </w:pPr>
          </w:p>
        </w:tc>
        <w:tc>
          <w:tcPr>
            <w:tcW w:w="280" w:type="dxa"/>
            <w:vAlign w:val="bottom"/>
            <w:tcBorders>
              <w:bottom w:val="single" w:sz="8" w:color="424E6A"/>
            </w:tcBorders>
          </w:tcPr>
          <w:p>
            <w:pPr>
              <w:spacing w:after="0"/>
              <w:rPr>
                <w:sz w:val="17"/>
                <w:szCs w:val="17"/>
                <w:color w:val="auto"/>
              </w:rPr>
            </w:pPr>
          </w:p>
        </w:tc>
        <w:tc>
          <w:tcPr>
            <w:tcW w:w="440" w:type="dxa"/>
            <w:vAlign w:val="bottom"/>
            <w:tcBorders>
              <w:bottom w:val="single" w:sz="8" w:color="424E6A"/>
            </w:tcBorders>
          </w:tcPr>
          <w:p>
            <w:pPr>
              <w:spacing w:after="0"/>
              <w:rPr>
                <w:sz w:val="17"/>
                <w:szCs w:val="17"/>
                <w:color w:val="auto"/>
              </w:rPr>
            </w:pPr>
          </w:p>
        </w:tc>
        <w:tc>
          <w:tcPr>
            <w:tcW w:w="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tcBorders>
          </w:tcPr>
          <w:p>
            <w:pPr>
              <w:spacing w:after="0"/>
              <w:rPr>
                <w:sz w:val="17"/>
                <w:szCs w:val="17"/>
                <w:color w:val="auto"/>
              </w:rPr>
            </w:pPr>
          </w:p>
        </w:tc>
        <w:tc>
          <w:tcPr>
            <w:tcW w:w="600" w:type="dxa"/>
            <w:vAlign w:val="bottom"/>
            <w:tcBorders>
              <w:bottom w:val="single" w:sz="8" w:color="424E6A"/>
              <w:right w:val="single" w:sz="8" w:color="424E6A"/>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20" w:type="dxa"/>
            <w:vAlign w:val="bottom"/>
            <w:tcBorders>
              <w:left w:val="single" w:sz="8" w:color="424E6A"/>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John T. Raymond</w:t>
            </w:r>
          </w:p>
        </w:tc>
        <w:tc>
          <w:tcPr>
            <w:tcW w:w="960" w:type="dxa"/>
            <w:vAlign w:val="bottom"/>
            <w:tcBorders>
              <w:bottom w:val="single" w:sz="8" w:color="424E6A"/>
              <w:right w:val="single" w:sz="8" w:color="424E6A"/>
            </w:tcBorders>
          </w:tcPr>
          <w:p>
            <w:pPr>
              <w:spacing w:after="0"/>
              <w:rPr>
                <w:sz w:val="20"/>
                <w:szCs w:val="20"/>
                <w:color w:val="auto"/>
              </w:rPr>
            </w:pP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24E6A"/>
              <w:right w:val="single" w:sz="8" w:color="424E6A"/>
            </w:tcBorders>
          </w:tcPr>
          <w:p>
            <w:pPr>
              <w:spacing w:after="0"/>
              <w:rPr>
                <w:sz w:val="20"/>
                <w:szCs w:val="20"/>
                <w:color w:val="auto"/>
              </w:rPr>
            </w:pPr>
          </w:p>
        </w:tc>
        <w:tc>
          <w:tcPr>
            <w:tcW w:w="96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424E6A"/>
            </w:tcBorders>
          </w:tcPr>
          <w:p>
            <w:pPr>
              <w:ind w:left="4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0"/>
                <w:szCs w:val="20"/>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20" w:type="dxa"/>
            <w:vAlign w:val="bottom"/>
            <w:tcBorders>
              <w:left w:val="single" w:sz="8" w:color="424E6A"/>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6"/>
                <w:szCs w:val="16"/>
                <w:color w:val="auto"/>
              </w:rPr>
              <w:t>Bobby S. Shackouls</w:t>
            </w:r>
          </w:p>
        </w:tc>
        <w:tc>
          <w:tcPr>
            <w:tcW w:w="960" w:type="dxa"/>
            <w:vAlign w:val="bottom"/>
            <w:tcBorders>
              <w:bottom w:val="single" w:sz="8" w:color="424E6A"/>
              <w:right w:val="single" w:sz="8" w:color="424E6A"/>
            </w:tcBorders>
          </w:tcPr>
          <w:p>
            <w:pPr>
              <w:spacing w:after="0"/>
              <w:rPr>
                <w:sz w:val="21"/>
                <w:szCs w:val="21"/>
                <w:color w:val="auto"/>
              </w:rPr>
            </w:pP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424E6A"/>
              <w:right w:val="single" w:sz="8" w:color="424E6A"/>
            </w:tcBorders>
          </w:tcPr>
          <w:p>
            <w:pPr>
              <w:spacing w:after="0"/>
              <w:rPr>
                <w:sz w:val="21"/>
                <w:szCs w:val="21"/>
                <w:color w:val="auto"/>
              </w:rPr>
            </w:pPr>
          </w:p>
        </w:tc>
        <w:tc>
          <w:tcPr>
            <w:tcW w:w="680" w:type="dxa"/>
            <w:vAlign w:val="bottom"/>
            <w:tcBorders>
              <w:bottom w:val="single" w:sz="8" w:color="424E6A"/>
            </w:tcBorders>
          </w:tcPr>
          <w:p>
            <w:pPr>
              <w:ind w:left="4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tcPr>
          <w:p>
            <w:pPr>
              <w:spacing w:after="0"/>
              <w:rPr>
                <w:sz w:val="21"/>
                <w:szCs w:val="21"/>
                <w:color w:val="auto"/>
              </w:rPr>
            </w:pPr>
          </w:p>
        </w:tc>
        <w:tc>
          <w:tcPr>
            <w:tcW w:w="28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spacing w:after="0"/>
              <w:rPr>
                <w:sz w:val="21"/>
                <w:szCs w:val="21"/>
                <w:color w:val="auto"/>
              </w:rPr>
            </w:pPr>
          </w:p>
        </w:tc>
        <w:tc>
          <w:tcPr>
            <w:tcW w:w="120" w:type="dxa"/>
            <w:vAlign w:val="bottom"/>
            <w:tcBorders>
              <w:bottom w:val="single" w:sz="8" w:color="424E6A"/>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20" w:type="dxa"/>
            <w:vAlign w:val="bottom"/>
            <w:tcBorders>
              <w:lef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760" w:type="dxa"/>
            <w:vAlign w:val="bottom"/>
            <w:tcBorders>
              <w:right w:val="single" w:sz="8" w:color="424E6A"/>
            </w:tcBorders>
          </w:tcPr>
          <w:p>
            <w:pPr>
              <w:ind w:left="60"/>
              <w:spacing w:after="0"/>
              <w:rPr>
                <w:sz w:val="20"/>
                <w:szCs w:val="20"/>
                <w:color w:val="auto"/>
              </w:rPr>
            </w:pPr>
            <w:r>
              <w:rPr>
                <w:rFonts w:ascii="Arial" w:cs="Arial" w:eastAsia="Arial" w:hAnsi="Arial"/>
                <w:sz w:val="16"/>
                <w:szCs w:val="16"/>
                <w:color w:val="auto"/>
              </w:rPr>
              <w:t>Christopher M. Temple</w:t>
            </w:r>
          </w:p>
        </w:tc>
        <w:tc>
          <w:tcPr>
            <w:tcW w:w="960" w:type="dxa"/>
            <w:vAlign w:val="bottom"/>
            <w:tcBorders>
              <w:right w:val="single" w:sz="8" w:color="424E6A"/>
            </w:tcBorders>
          </w:tcPr>
          <w:p>
            <w:pPr>
              <w:spacing w:after="0"/>
              <w:rPr>
                <w:sz w:val="20"/>
                <w:szCs w:val="20"/>
                <w:color w:val="auto"/>
              </w:rPr>
            </w:pPr>
          </w:p>
        </w:tc>
        <w:tc>
          <w:tcPr>
            <w:tcW w:w="840" w:type="dxa"/>
            <w:vAlign w:val="bottom"/>
            <w:tcBorders>
              <w:right w:val="single" w:sz="8" w:color="424E6A"/>
            </w:tcBorders>
          </w:tcPr>
          <w:p>
            <w:pPr>
              <w:ind w:left="40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424E6A"/>
            </w:tcBorders>
          </w:tcPr>
          <w:p>
            <w:pPr>
              <w:spacing w:after="0"/>
              <w:rPr>
                <w:sz w:val="20"/>
                <w:szCs w:val="20"/>
                <w:color w:val="auto"/>
              </w:rPr>
            </w:pPr>
          </w:p>
        </w:tc>
        <w:tc>
          <w:tcPr>
            <w:tcW w:w="960" w:type="dxa"/>
            <w:vAlign w:val="bottom"/>
            <w:tcBorders>
              <w:right w:val="single" w:sz="8" w:color="424E6A"/>
            </w:tcBorders>
          </w:tcPr>
          <w:p>
            <w:pPr>
              <w:jc w:val="center"/>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424E6A"/>
            </w:tcBorders>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3"/>
        </w:trPr>
        <w:tc>
          <w:tcPr>
            <w:tcW w:w="120" w:type="dxa"/>
            <w:vAlign w:val="bottom"/>
            <w:tcBorders>
              <w:left w:val="single" w:sz="8" w:color="424E6A"/>
              <w:bottom w:val="single" w:sz="8" w:color="424E6A"/>
            </w:tcBorders>
          </w:tcPr>
          <w:p>
            <w:pPr>
              <w:spacing w:after="0"/>
              <w:rPr>
                <w:sz w:val="3"/>
                <w:szCs w:val="3"/>
                <w:color w:val="auto"/>
              </w:rPr>
            </w:pPr>
          </w:p>
        </w:tc>
        <w:tc>
          <w:tcPr>
            <w:tcW w:w="1760" w:type="dxa"/>
            <w:vAlign w:val="bottom"/>
            <w:tcBorders>
              <w:bottom w:val="single" w:sz="8" w:color="424E6A"/>
              <w:right w:val="single" w:sz="8" w:color="424E6A"/>
            </w:tcBorders>
          </w:tcPr>
          <w:p>
            <w:pPr>
              <w:spacing w:after="0"/>
              <w:rPr>
                <w:sz w:val="3"/>
                <w:szCs w:val="3"/>
                <w:color w:val="auto"/>
              </w:rPr>
            </w:pPr>
          </w:p>
        </w:tc>
        <w:tc>
          <w:tcPr>
            <w:tcW w:w="960" w:type="dxa"/>
            <w:vAlign w:val="bottom"/>
            <w:tcBorders>
              <w:bottom w:val="single" w:sz="8" w:color="424E6A"/>
              <w:right w:val="single" w:sz="8" w:color="424E6A"/>
            </w:tcBorders>
          </w:tcPr>
          <w:p>
            <w:pPr>
              <w:spacing w:after="0"/>
              <w:rPr>
                <w:sz w:val="3"/>
                <w:szCs w:val="3"/>
                <w:color w:val="auto"/>
              </w:rPr>
            </w:pPr>
          </w:p>
        </w:tc>
        <w:tc>
          <w:tcPr>
            <w:tcW w:w="840" w:type="dxa"/>
            <w:vAlign w:val="bottom"/>
            <w:tcBorders>
              <w:bottom w:val="single" w:sz="8" w:color="424E6A"/>
              <w:right w:val="single" w:sz="8" w:color="424E6A"/>
            </w:tcBorders>
          </w:tcPr>
          <w:p>
            <w:pPr>
              <w:spacing w:after="0"/>
              <w:rPr>
                <w:sz w:val="3"/>
                <w:szCs w:val="3"/>
                <w:color w:val="auto"/>
              </w:rPr>
            </w:pPr>
          </w:p>
        </w:tc>
        <w:tc>
          <w:tcPr>
            <w:tcW w:w="1100" w:type="dxa"/>
            <w:vAlign w:val="bottom"/>
            <w:tcBorders>
              <w:bottom w:val="single" w:sz="8" w:color="424E6A"/>
              <w:right w:val="single" w:sz="8" w:color="424E6A"/>
            </w:tcBorders>
          </w:tcPr>
          <w:p>
            <w:pPr>
              <w:spacing w:after="0"/>
              <w:rPr>
                <w:sz w:val="3"/>
                <w:szCs w:val="3"/>
                <w:color w:val="auto"/>
              </w:rPr>
            </w:pPr>
          </w:p>
        </w:tc>
        <w:tc>
          <w:tcPr>
            <w:tcW w:w="960" w:type="dxa"/>
            <w:vAlign w:val="bottom"/>
            <w:tcBorders>
              <w:bottom w:val="single" w:sz="8" w:color="424E6A"/>
              <w:right w:val="single" w:sz="8" w:color="424E6A"/>
            </w:tcBorders>
          </w:tcPr>
          <w:p>
            <w:pPr>
              <w:spacing w:after="0"/>
              <w:rPr>
                <w:sz w:val="3"/>
                <w:szCs w:val="3"/>
                <w:color w:val="auto"/>
              </w:rPr>
            </w:pPr>
          </w:p>
        </w:tc>
        <w:tc>
          <w:tcPr>
            <w:tcW w:w="680" w:type="dxa"/>
            <w:vAlign w:val="bottom"/>
            <w:tcBorders>
              <w:bottom w:val="single" w:sz="8" w:color="424E6A"/>
            </w:tcBorders>
          </w:tcPr>
          <w:p>
            <w:pPr>
              <w:spacing w:after="0"/>
              <w:rPr>
                <w:sz w:val="3"/>
                <w:szCs w:val="3"/>
                <w:color w:val="auto"/>
              </w:rPr>
            </w:pPr>
          </w:p>
        </w:tc>
        <w:tc>
          <w:tcPr>
            <w:tcW w:w="140" w:type="dxa"/>
            <w:vAlign w:val="bottom"/>
            <w:tcBorders>
              <w:bottom w:val="single" w:sz="8" w:color="424E6A"/>
            </w:tcBorders>
          </w:tcPr>
          <w:p>
            <w:pPr>
              <w:spacing w:after="0"/>
              <w:rPr>
                <w:sz w:val="3"/>
                <w:szCs w:val="3"/>
                <w:color w:val="auto"/>
              </w:rPr>
            </w:pPr>
          </w:p>
        </w:tc>
        <w:tc>
          <w:tcPr>
            <w:tcW w:w="280" w:type="dxa"/>
            <w:vAlign w:val="bottom"/>
            <w:tcBorders>
              <w:bottom w:val="single" w:sz="8" w:color="424E6A"/>
            </w:tcBorders>
          </w:tcPr>
          <w:p>
            <w:pPr>
              <w:spacing w:after="0"/>
              <w:rPr>
                <w:sz w:val="3"/>
                <w:szCs w:val="3"/>
                <w:color w:val="auto"/>
              </w:rPr>
            </w:pPr>
          </w:p>
        </w:tc>
        <w:tc>
          <w:tcPr>
            <w:tcW w:w="440" w:type="dxa"/>
            <w:vAlign w:val="bottom"/>
            <w:tcBorders>
              <w:bottom w:val="single" w:sz="8" w:color="424E6A"/>
            </w:tcBorders>
          </w:tcPr>
          <w:p>
            <w:pPr>
              <w:spacing w:after="0"/>
              <w:rPr>
                <w:sz w:val="3"/>
                <w:szCs w:val="3"/>
                <w:color w:val="auto"/>
              </w:rPr>
            </w:pPr>
          </w:p>
        </w:tc>
        <w:tc>
          <w:tcPr>
            <w:tcW w:w="220" w:type="dxa"/>
            <w:vAlign w:val="bottom"/>
            <w:tcBorders>
              <w:bottom w:val="single" w:sz="8" w:color="424E6A"/>
            </w:tcBorders>
          </w:tcPr>
          <w:p>
            <w:pPr>
              <w:spacing w:after="0"/>
              <w:rPr>
                <w:sz w:val="3"/>
                <w:szCs w:val="3"/>
                <w:color w:val="auto"/>
              </w:rPr>
            </w:pPr>
          </w:p>
        </w:tc>
        <w:tc>
          <w:tcPr>
            <w:tcW w:w="120" w:type="dxa"/>
            <w:vAlign w:val="bottom"/>
            <w:tcBorders>
              <w:bottom w:val="single" w:sz="8" w:color="424E6A"/>
            </w:tcBorders>
          </w:tcPr>
          <w:p>
            <w:pPr>
              <w:spacing w:after="0"/>
              <w:rPr>
                <w:sz w:val="3"/>
                <w:szCs w:val="3"/>
                <w:color w:val="auto"/>
              </w:rPr>
            </w:pPr>
          </w:p>
        </w:tc>
        <w:tc>
          <w:tcPr>
            <w:tcW w:w="600" w:type="dxa"/>
            <w:vAlign w:val="bottom"/>
            <w:tcBorders>
              <w:bottom w:val="single" w:sz="8" w:color="424E6A"/>
              <w:right w:val="single" w:sz="8" w:color="424E6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-1439545</wp:posOffset>
            </wp:positionV>
            <wp:extent cx="3754755" cy="1440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54755" cy="1440180"/>
                    </a:xfrm>
                    <a:prstGeom prst="rect">
                      <a:avLst/>
                    </a:prstGeom>
                    <a:noFill/>
                  </pic:spPr>
                </pic:pic>
              </a:graphicData>
            </a:graphic>
          </wp:anchor>
        </w:drawing>
      </w:r>
    </w:p>
    <w:p>
      <w:pPr>
        <w:spacing w:after="0" w:line="96" w:lineRule="exact"/>
        <w:rPr>
          <w:sz w:val="20"/>
          <w:szCs w:val="20"/>
          <w:color w:val="auto"/>
        </w:rPr>
      </w:pPr>
    </w:p>
    <w:p>
      <w:pPr>
        <w:ind w:left="1700" w:hanging="440"/>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Nominated by the Board for re-election at the 2023 Annual Meeting.</w:t>
      </w:r>
    </w:p>
    <w:p>
      <w:pPr>
        <w:spacing w:after="0" w:line="3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Determined by the Board to be independent under applicable Nasdaq and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93980"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spacing w:after="0" w:line="7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Company Employee — independence has not been assessed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93980" cy="93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spacing w:after="0" w:line="7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93980" cy="768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76835"/>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76835" cy="768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6858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8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6858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and Nominee Experience and Qualifications</w:t>
      </w:r>
    </w:p>
    <w:p>
      <w:pPr>
        <w:spacing w:after="0" w:line="144" w:lineRule="exact"/>
        <w:rPr>
          <w:sz w:val="20"/>
          <w:szCs w:val="20"/>
          <w:color w:val="auto"/>
        </w:rPr>
      </w:pPr>
    </w:p>
    <w:p>
      <w:pPr>
        <w:ind w:left="1260" w:right="539" w:firstLine="360"/>
        <w:spacing w:after="0" w:line="266" w:lineRule="auto"/>
        <w:rPr>
          <w:sz w:val="20"/>
          <w:szCs w:val="20"/>
          <w:color w:val="auto"/>
        </w:rPr>
      </w:pPr>
      <w:r>
        <w:rPr>
          <w:rFonts w:ascii="Arial" w:cs="Arial" w:eastAsia="Arial" w:hAnsi="Arial"/>
          <w:sz w:val="18"/>
          <w:szCs w:val="18"/>
          <w:color w:val="auto"/>
        </w:rPr>
        <w:t>With respect to any director nominations made by the Board in connection with annual director elections or in the event of a vacancy on the Board, in each case to the extent requested by the Chairman of the Board, the Governance Committee assists in identifying and screening potential candidates. The Governance Committee makes its recommendations based on an assessment of the skills, experience and characteristics of the candidate in the context of the needs of the Board. It is the policy and practice of the Governance Committee and the Board to consider diversity (including diversity of gender, race and ethnicity) in connection with the process of identifying and assessing potential Board candidates.</w:t>
      </w:r>
    </w:p>
    <w:p>
      <w:pPr>
        <w:spacing w:after="0" w:line="10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Our board assessment, refreshment and succession planning process involves (i) the periodic</w:t>
      </w:r>
    </w:p>
    <w:p>
      <w:pPr>
        <w:spacing w:after="0" w:line="32" w:lineRule="exact"/>
        <w:rPr>
          <w:sz w:val="20"/>
          <w:szCs w:val="20"/>
          <w:color w:val="auto"/>
        </w:rPr>
      </w:pPr>
    </w:p>
    <w:p>
      <w:pPr>
        <w:ind w:left="1260" w:right="459"/>
        <w:spacing w:after="0" w:line="263" w:lineRule="auto"/>
        <w:rPr>
          <w:sz w:val="20"/>
          <w:szCs w:val="20"/>
          <w:color w:val="auto"/>
        </w:rPr>
      </w:pPr>
      <w:r>
        <w:rPr>
          <w:rFonts w:ascii="Arial" w:cs="Arial" w:eastAsia="Arial" w:hAnsi="Arial"/>
          <w:sz w:val="18"/>
          <w:szCs w:val="18"/>
          <w:color w:val="auto"/>
        </w:rPr>
        <w:t>assessment of the skills, background and experience of our directors, which is used to identify potential enhancement areas relative to the ideal mix of skills, background and experience for our board, (ii) the development and maintenance of a board succession plan that identifies near and longer-term actions and includes succession plans for each board committee, and (iii) the annual evaluation by each director of the performance of every other director in a variety of categories that directly impact overall board performance and effectiveness. Board succession planning efforts and director evaluations are updated on a regular basis with assistance and oversight of the Governance Committee. The Governance Committee also oversees the Board’s annual self-assessment process as well as the process by which the Board assesses the effectiveness of its various committees.</w:t>
      </w:r>
    </w:p>
    <w:p>
      <w:pPr>
        <w:spacing w:after="0" w:line="109"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8"/>
          <w:szCs w:val="18"/>
          <w:color w:val="auto"/>
        </w:rPr>
        <w:t>In evaluating director nominees and in reviewing the qualifications and experience of the directors continuing in office, the Governance Committee and Board consider a variety of factors, including independence, financial literacy, personal and professional accomplishments, diversity and experience in light of the needs of the Board. For incumbent directors, factors also include past performance on the Board. The Board has determined that it is beneficial to have individuals on the Board with the following skills, experiences, and characteristics (See the Director Skills Matrix below for an overview of the skills, experiences and characteristics of our current Board members):</w:t>
      </w: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309"/>
        </w:trPr>
        <w:tc>
          <w:tcPr>
            <w:tcW w:w="36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 Public Company Experience (Officer/Director)</w:t>
            </w:r>
          </w:p>
        </w:tc>
        <w:tc>
          <w:tcPr>
            <w:tcW w:w="1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Industry Experience (Upstream/Midstream/Downstream)</w:t>
            </w:r>
          </w:p>
        </w:tc>
      </w:tr>
      <w:tr>
        <w:trPr>
          <w:trHeight w:val="216"/>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Finance/Accounting</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Private Equity</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Business Development/Strategy/Commercial</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Diversity (Gender/Race/Ethnicity)</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Legal/Governance/Government Relations</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International</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Operations/Engineering/Construction</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Cybersecurity/IT</w:t>
            </w:r>
          </w:p>
        </w:tc>
      </w:tr>
      <w:tr>
        <w:trPr>
          <w:trHeight w:val="257"/>
        </w:trPr>
        <w:tc>
          <w:tcPr>
            <w:tcW w:w="160" w:type="dxa"/>
            <w:vAlign w:val="bottom"/>
            <w:tcBorders>
              <w:left w:val="single" w:sz="8" w:color="auto"/>
            </w:tcBorders>
          </w:tcPr>
          <w:p>
            <w:pPr>
              <w:spacing w:after="0"/>
              <w:rPr>
                <w:sz w:val="22"/>
                <w:szCs w:val="22"/>
                <w:color w:val="auto"/>
              </w:rPr>
            </w:pPr>
          </w:p>
        </w:tc>
        <w:tc>
          <w:tcPr>
            <w:tcW w:w="3460" w:type="dxa"/>
            <w:vAlign w:val="bottom"/>
            <w:tcBorders>
              <w:right w:val="single" w:sz="8" w:color="auto"/>
            </w:tcBorders>
          </w:tcPr>
          <w:p>
            <w:pPr>
              <w:spacing w:after="0"/>
              <w:rPr>
                <w:sz w:val="22"/>
                <w:szCs w:val="22"/>
                <w:color w:val="auto"/>
              </w:rPr>
            </w:pP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Energy Evolution</w:t>
            </w:r>
          </w:p>
        </w:tc>
      </w:tr>
      <w:tr>
        <w:trPr>
          <w:trHeight w:val="150"/>
        </w:trPr>
        <w:tc>
          <w:tcPr>
            <w:tcW w:w="160" w:type="dxa"/>
            <w:vAlign w:val="bottom"/>
            <w:tcBorders>
              <w:left w:val="single" w:sz="8" w:color="auto"/>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20" w:type="dxa"/>
            <w:vAlign w:val="bottom"/>
            <w:tcBorders>
              <w:bottom w:val="single" w:sz="8" w:color="auto"/>
              <w:right w:val="single" w:sz="8" w:color="auto"/>
            </w:tcBorders>
          </w:tcPr>
          <w:p>
            <w:pPr>
              <w:spacing w:after="0"/>
              <w:rPr>
                <w:sz w:val="13"/>
                <w:szCs w:val="13"/>
                <w:color w:val="auto"/>
              </w:rPr>
            </w:pPr>
          </w:p>
        </w:tc>
      </w:tr>
    </w:tbl>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137795</wp:posOffset>
            </wp:positionV>
            <wp:extent cx="3831590" cy="2314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31590" cy="2314575"/>
                    </a:xfrm>
                    <a:prstGeom prst="rect">
                      <a:avLst/>
                    </a:prstGeom>
                    <a:noFill/>
                  </pic:spPr>
                </pic:pic>
              </a:graphicData>
            </a:graphic>
          </wp:anchor>
        </w:drawing>
      </w:r>
    </w:p>
    <w:p>
      <w:pPr>
        <w:spacing w:after="0" w:line="177" w:lineRule="exact"/>
        <w:rPr>
          <w:sz w:val="20"/>
          <w:szCs w:val="20"/>
          <w:color w:val="auto"/>
        </w:rPr>
      </w:pPr>
    </w:p>
    <w:tbl>
      <w:tblPr>
        <w:tblLayout w:type="fixed"/>
        <w:tblInd w:w="1270" w:type="dxa"/>
        <w:tblCellMar>
          <w:top w:w="0" w:type="dxa"/>
          <w:left w:w="0" w:type="dxa"/>
          <w:bottom w:w="0" w:type="dxa"/>
          <w:right w:w="0" w:type="dxa"/>
        </w:tblCellMar>
      </w:tblPr>
      <w:tr>
        <w:trPr>
          <w:trHeight w:val="283"/>
        </w:trPr>
        <w:tc>
          <w:tcPr>
            <w:tcW w:w="1820" w:type="dxa"/>
            <w:vAlign w:val="bottom"/>
            <w:tcBorders>
              <w:top w:val="single" w:sz="8" w:color="auto"/>
              <w:left w:val="single" w:sz="8" w:color="auto"/>
              <w:bottom w:val="single" w:sz="8" w:color="auto"/>
              <w:right w:val="single" w:sz="8" w:color="auto"/>
            </w:tcBorders>
            <w:shd w:val="clear" w:color="auto" w:fill="424E6A"/>
          </w:tcPr>
          <w:p>
            <w:pPr>
              <w:spacing w:after="0"/>
              <w:rPr>
                <w:sz w:val="24"/>
                <w:szCs w:val="24"/>
                <w:color w:val="auto"/>
              </w:rPr>
            </w:pPr>
          </w:p>
        </w:tc>
        <w:tc>
          <w:tcPr>
            <w:tcW w:w="700" w:type="dxa"/>
            <w:vAlign w:val="bottom"/>
            <w:tcBorders>
              <w:top w:val="single" w:sz="8" w:color="auto"/>
              <w:bottom w:val="single" w:sz="8" w:color="auto"/>
            </w:tcBorders>
            <w:gridSpan w:val="2"/>
            <w:shd w:val="clear" w:color="auto" w:fill="424E6A"/>
          </w:tcPr>
          <w:p>
            <w:pPr>
              <w:ind w:left="20"/>
              <w:spacing w:after="0"/>
              <w:rPr>
                <w:sz w:val="20"/>
                <w:szCs w:val="20"/>
                <w:color w:val="auto"/>
              </w:rPr>
            </w:pPr>
            <w:r>
              <w:rPr>
                <w:rFonts w:ascii="Arial" w:cs="Arial" w:eastAsia="Arial" w:hAnsi="Arial"/>
                <w:sz w:val="13"/>
                <w:szCs w:val="13"/>
                <w:b w:val="1"/>
                <w:bCs w:val="1"/>
                <w:color w:val="FFFFFF"/>
                <w:w w:val="99"/>
              </w:rPr>
              <w:t>Armstrong</w:t>
            </w:r>
          </w:p>
        </w:tc>
        <w:tc>
          <w:tcPr>
            <w:tcW w:w="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gridSpan w:val="2"/>
            <w:shd w:val="clear" w:color="auto" w:fill="424E6A"/>
          </w:tcPr>
          <w:p>
            <w:pPr>
              <w:ind w:left="40"/>
              <w:spacing w:after="0"/>
              <w:rPr>
                <w:sz w:val="20"/>
                <w:szCs w:val="20"/>
                <w:color w:val="auto"/>
              </w:rPr>
            </w:pPr>
            <w:r>
              <w:rPr>
                <w:rFonts w:ascii="Arial" w:cs="Arial" w:eastAsia="Arial" w:hAnsi="Arial"/>
                <w:sz w:val="13"/>
                <w:szCs w:val="13"/>
                <w:b w:val="1"/>
                <w:bCs w:val="1"/>
                <w:color w:val="FFFFFF"/>
              </w:rPr>
              <w:t>Burk</w:t>
            </w:r>
          </w:p>
        </w:tc>
        <w:tc>
          <w:tcPr>
            <w:tcW w:w="2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3"/>
                <w:szCs w:val="13"/>
                <w:b w:val="1"/>
                <w:bCs w:val="1"/>
                <w:color w:val="FFFFFF"/>
                <w:w w:val="90"/>
              </w:rPr>
              <w:t>Chiang</w:t>
            </w:r>
          </w:p>
        </w:tc>
        <w:tc>
          <w:tcPr>
            <w:tcW w:w="40" w:type="dxa"/>
            <w:vAlign w:val="bottom"/>
            <w:tcBorders>
              <w:top w:val="single" w:sz="8" w:color="auto"/>
              <w:bottom w:val="single" w:sz="8" w:color="auto"/>
            </w:tcBorders>
            <w:shd w:val="clear" w:color="auto" w:fill="424E6A"/>
          </w:tcPr>
          <w:p>
            <w:pPr>
              <w:spacing w:after="0"/>
              <w:rPr>
                <w:sz w:val="24"/>
                <w:szCs w:val="24"/>
                <w:color w:val="auto"/>
              </w:rPr>
            </w:pPr>
          </w:p>
        </w:tc>
        <w:tc>
          <w:tcPr>
            <w:tcW w:w="720" w:type="dxa"/>
            <w:vAlign w:val="bottom"/>
            <w:tcBorders>
              <w:top w:val="single" w:sz="8" w:color="auto"/>
              <w:bottom w:val="single" w:sz="8" w:color="auto"/>
              <w:right w:val="single" w:sz="8" w:color="auto"/>
            </w:tcBorders>
            <w:gridSpan w:val="2"/>
            <w:shd w:val="clear" w:color="auto" w:fill="424E6A"/>
          </w:tcPr>
          <w:p>
            <w:pPr>
              <w:ind w:left="60"/>
              <w:spacing w:after="0"/>
              <w:rPr>
                <w:sz w:val="20"/>
                <w:szCs w:val="20"/>
                <w:color w:val="auto"/>
              </w:rPr>
            </w:pPr>
            <w:r>
              <w:rPr>
                <w:rFonts w:ascii="Arial" w:cs="Arial" w:eastAsia="Arial" w:hAnsi="Arial"/>
                <w:sz w:val="13"/>
                <w:szCs w:val="13"/>
                <w:b w:val="1"/>
                <w:bCs w:val="1"/>
                <w:color w:val="FFFFFF"/>
                <w:w w:val="98"/>
              </w:rPr>
              <w:t>DeSanctis</w:t>
            </w:r>
          </w:p>
        </w:tc>
        <w:tc>
          <w:tcPr>
            <w:tcW w:w="700" w:type="dxa"/>
            <w:vAlign w:val="bottom"/>
            <w:tcBorders>
              <w:top w:val="single" w:sz="8" w:color="auto"/>
              <w:bottom w:val="single" w:sz="8" w:color="auto"/>
            </w:tcBorders>
            <w:gridSpan w:val="4"/>
          </w:tcPr>
          <w:p>
            <w:pPr>
              <w:ind w:left="20"/>
              <w:spacing w:after="0" w:line="28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McCarthy </w:t>
            </w:r>
            <w:r>
              <w:rPr>
                <w:rFonts w:ascii="Arial" w:cs="Arial" w:eastAsia="Arial" w:hAnsi="Arial"/>
                <w:sz w:val="25"/>
                <w:szCs w:val="25"/>
                <w:b w:val="1"/>
                <w:bCs w:val="1"/>
                <w:color w:val="FFFFFF"/>
                <w:vertAlign w:val="subscript"/>
              </w:rPr>
              <w:t>​</w:t>
            </w:r>
          </w:p>
        </w:tc>
        <w:tc>
          <w:tcPr>
            <w:tcW w:w="560" w:type="dxa"/>
            <w:vAlign w:val="bottom"/>
            <w:tcBorders>
              <w:top w:val="single" w:sz="8" w:color="auto"/>
              <w:bottom w:val="single" w:sz="8" w:color="auto"/>
            </w:tcBorders>
            <w:gridSpan w:val="4"/>
          </w:tcPr>
          <w:p>
            <w:pPr>
              <w:ind w:left="20"/>
              <w:spacing w:after="0" w:line="28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Pefanis </w:t>
            </w:r>
            <w:r>
              <w:rPr>
                <w:rFonts w:ascii="Arial" w:cs="Arial" w:eastAsia="Arial" w:hAnsi="Arial"/>
                <w:sz w:val="25"/>
                <w:szCs w:val="25"/>
                <w:b w:val="1"/>
                <w:bCs w:val="1"/>
                <w:color w:val="FFFFFF"/>
                <w:vertAlign w:val="subscript"/>
              </w:rPr>
              <w:t>​</w:t>
            </w:r>
          </w:p>
        </w:tc>
        <w:tc>
          <w:tcPr>
            <w:tcW w:w="640" w:type="dxa"/>
            <w:vAlign w:val="bottom"/>
            <w:tcBorders>
              <w:top w:val="single" w:sz="8" w:color="auto"/>
              <w:bottom w:val="single" w:sz="8" w:color="auto"/>
            </w:tcBorders>
            <w:gridSpan w:val="3"/>
          </w:tcPr>
          <w:p>
            <w:pPr>
              <w:ind w:left="20"/>
              <w:spacing w:after="0" w:line="28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Petersen </w:t>
            </w:r>
            <w:r>
              <w:rPr>
                <w:rFonts w:ascii="Arial" w:cs="Arial" w:eastAsia="Arial" w:hAnsi="Arial"/>
                <w:sz w:val="25"/>
                <w:szCs w:val="25"/>
                <w:b w:val="1"/>
                <w:bCs w:val="1"/>
                <w:color w:val="FFFFFF"/>
                <w:vertAlign w:val="subscript"/>
              </w:rPr>
              <w:t>​</w:t>
            </w:r>
          </w:p>
        </w:tc>
        <w:tc>
          <w:tcPr>
            <w:tcW w:w="520" w:type="dxa"/>
            <w:vAlign w:val="bottom"/>
            <w:tcBorders>
              <w:top w:val="single" w:sz="8" w:color="auto"/>
              <w:bottom w:val="single" w:sz="8" w:color="auto"/>
            </w:tcBorders>
            <w:gridSpan w:val="3"/>
          </w:tcPr>
          <w:p>
            <w:pPr>
              <w:jc w:val="center"/>
              <w:spacing w:after="0" w:line="28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Pruner </w:t>
            </w:r>
            <w:r>
              <w:rPr>
                <w:rFonts w:ascii="Arial" w:cs="Arial" w:eastAsia="Arial" w:hAnsi="Arial"/>
                <w:sz w:val="25"/>
                <w:szCs w:val="25"/>
                <w:b w:val="1"/>
                <w:bCs w:val="1"/>
                <w:color w:val="FFFFFF"/>
                <w:vertAlign w:val="subscript"/>
              </w:rPr>
              <w:t>​</w:t>
            </w:r>
          </w:p>
        </w:tc>
        <w:tc>
          <w:tcPr>
            <w:tcW w:w="700" w:type="dxa"/>
            <w:vAlign w:val="bottom"/>
            <w:tcBorders>
              <w:top w:val="single" w:sz="8" w:color="auto"/>
              <w:bottom w:val="single" w:sz="8" w:color="auto"/>
            </w:tcBorders>
            <w:gridSpan w:val="4"/>
          </w:tcPr>
          <w:p>
            <w:pPr>
              <w:ind w:left="20"/>
              <w:spacing w:after="0" w:line="28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Raymond </w:t>
            </w:r>
            <w:r>
              <w:rPr>
                <w:rFonts w:ascii="Arial" w:cs="Arial" w:eastAsia="Arial" w:hAnsi="Arial"/>
                <w:sz w:val="25"/>
                <w:szCs w:val="25"/>
                <w:b w:val="1"/>
                <w:bCs w:val="1"/>
                <w:color w:val="FFFFFF"/>
                <w:vertAlign w:val="subscript"/>
              </w:rPr>
              <w:t>​</w:t>
            </w:r>
          </w:p>
        </w:tc>
        <w:tc>
          <w:tcPr>
            <w:tcW w:w="760" w:type="dxa"/>
            <w:vAlign w:val="bottom"/>
            <w:tcBorders>
              <w:top w:val="single" w:sz="8" w:color="auto"/>
              <w:bottom w:val="single" w:sz="8" w:color="auto"/>
            </w:tcBorders>
            <w:gridSpan w:val="3"/>
          </w:tcPr>
          <w:p>
            <w:pPr>
              <w:jc w:val="right"/>
              <w:spacing w:after="0" w:line="28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Shackouls </w:t>
            </w:r>
            <w:r>
              <w:rPr>
                <w:rFonts w:ascii="Arial" w:cs="Arial" w:eastAsia="Arial" w:hAnsi="Arial"/>
                <w:sz w:val="25"/>
                <w:szCs w:val="25"/>
                <w:b w:val="1"/>
                <w:bCs w:val="1"/>
                <w:color w:val="FFFFFF"/>
                <w:vertAlign w:val="subscript"/>
              </w:rPr>
              <w:t>​</w:t>
            </w:r>
          </w:p>
        </w:tc>
        <w:tc>
          <w:tcPr>
            <w:tcW w:w="540" w:type="dxa"/>
            <w:vAlign w:val="bottom"/>
            <w:tcBorders>
              <w:top w:val="single" w:sz="8" w:color="auto"/>
              <w:bottom w:val="single" w:sz="8" w:color="auto"/>
            </w:tcBorders>
            <w:gridSpan w:val="3"/>
          </w:tcPr>
          <w:p>
            <w:pPr>
              <w:ind w:left="20"/>
              <w:spacing w:after="0" w:line="28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Temple </w:t>
            </w:r>
            <w:r>
              <w:rPr>
                <w:rFonts w:ascii="Arial" w:cs="Arial" w:eastAsia="Arial" w:hAnsi="Arial"/>
                <w:sz w:val="25"/>
                <w:szCs w:val="25"/>
                <w:b w:val="1"/>
                <w:bCs w:val="1"/>
                <w:color w:val="FFFFFF"/>
                <w:vertAlign w:val="subscript"/>
              </w:rPr>
              <w:t>​</w:t>
            </w:r>
          </w:p>
        </w:tc>
        <w:tc>
          <w:tcPr>
            <w:tcW w:w="500" w:type="dxa"/>
            <w:vAlign w:val="bottom"/>
            <w:tcBorders>
              <w:top w:val="single" w:sz="8" w:color="auto"/>
              <w:bottom w:val="single" w:sz="8" w:color="auto"/>
            </w:tcBorders>
            <w:gridSpan w:val="2"/>
            <w:shd w:val="clear" w:color="auto" w:fill="424E6A"/>
          </w:tcPr>
          <w:p>
            <w:pPr>
              <w:ind w:left="20"/>
              <w:spacing w:after="0" w:line="28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Ziemba</w:t>
            </w:r>
          </w:p>
        </w:tc>
        <w:tc>
          <w:tcPr>
            <w:tcW w:w="80" w:type="dxa"/>
            <w:vAlign w:val="bottom"/>
            <w:tcBorders>
              <w:top w:val="single" w:sz="8" w:color="auto"/>
              <w:bottom w:val="single" w:sz="8" w:color="auto"/>
              <w:right w:val="single" w:sz="8" w:color="auto"/>
            </w:tcBorders>
            <w:shd w:val="clear" w:color="auto" w:fill="424E6A"/>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820" w:type="dxa"/>
            <w:vAlign w:val="bottom"/>
            <w:tcBorders>
              <w:left w:val="single" w:sz="8" w:color="auto"/>
              <w:right w:val="single" w:sz="8" w:color="auto"/>
            </w:tcBorders>
            <w:shd w:val="clear" w:color="auto" w:fill="D9DCE1"/>
          </w:tcPr>
          <w:p>
            <w:pPr>
              <w:ind w:left="40"/>
              <w:spacing w:after="0" w:line="160" w:lineRule="exact"/>
              <w:rPr>
                <w:sz w:val="20"/>
                <w:szCs w:val="20"/>
                <w:color w:val="auto"/>
              </w:rPr>
            </w:pPr>
            <w:r>
              <w:rPr>
                <w:rFonts w:ascii="Arial" w:cs="Arial" w:eastAsia="Arial" w:hAnsi="Arial"/>
                <w:sz w:val="14"/>
                <w:szCs w:val="14"/>
                <w:color w:val="auto"/>
              </w:rPr>
              <w:t>Public Company</w:t>
            </w:r>
          </w:p>
        </w:tc>
        <w:tc>
          <w:tcPr>
            <w:tcW w:w="540" w:type="dxa"/>
            <w:vAlign w:val="bottom"/>
            <w:vMerge w:val="restart"/>
          </w:tcPr>
          <w:p>
            <w:pPr>
              <w:ind w:left="280"/>
              <w:spacing w:after="0" w:line="334" w:lineRule="exact"/>
              <w:rPr>
                <w:sz w:val="20"/>
                <w:szCs w:val="20"/>
                <w:color w:val="auto"/>
              </w:rPr>
            </w:pPr>
            <w:r>
              <w:rPr>
                <w:rFonts w:ascii="Arial" w:cs="Arial" w:eastAsia="Arial" w:hAnsi="Arial"/>
                <w:sz w:val="29"/>
                <w:szCs w:val="29"/>
                <w:color w:val="auto"/>
                <w:w w:val="82"/>
                <w:vertAlign w:val="subscript"/>
              </w:rPr>
              <w:t>​</w:t>
            </w:r>
            <w:r>
              <w:rPr>
                <w:rFonts w:ascii="MS PGothic" w:cs="MS PGothic" w:eastAsia="MS PGothic" w:hAnsi="MS PGothic"/>
                <w:sz w:val="29"/>
                <w:szCs w:val="29"/>
                <w:color w:val="auto"/>
                <w:w w:val="82"/>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3"/>
            <w:vMerge w:val="restart"/>
          </w:tcPr>
          <w:p>
            <w:pPr>
              <w:jc w:val="right"/>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r>
              <w:rPr>
                <w:rFonts w:ascii="Arial" w:cs="Arial" w:eastAsia="Arial" w:hAnsi="Arial"/>
                <w:sz w:val="14"/>
                <w:szCs w:val="14"/>
                <w:color w:val="auto"/>
              </w:rPr>
              <w:t xml:space="preserve"> ​</w:t>
            </w:r>
          </w:p>
        </w:tc>
        <w:tc>
          <w:tcPr>
            <w:tcW w:w="460" w:type="dxa"/>
            <w:vAlign w:val="bottom"/>
            <w:vMerge w:val="restart"/>
          </w:tcPr>
          <w:p>
            <w:pPr>
              <w:ind w:left="180"/>
              <w:spacing w:after="0" w:line="334" w:lineRule="exact"/>
              <w:rPr>
                <w:sz w:val="20"/>
                <w:szCs w:val="20"/>
                <w:color w:val="auto"/>
              </w:rPr>
            </w:pPr>
            <w:r>
              <w:rPr>
                <w:rFonts w:ascii="Arial" w:cs="Arial" w:eastAsia="Arial" w:hAnsi="Arial"/>
                <w:sz w:val="29"/>
                <w:szCs w:val="29"/>
                <w:color w:val="auto"/>
                <w:w w:val="89"/>
                <w:vertAlign w:val="subscript"/>
              </w:rPr>
              <w:t>​</w:t>
            </w:r>
            <w:r>
              <w:rPr>
                <w:rFonts w:ascii="MS PGothic" w:cs="MS PGothic" w:eastAsia="MS PGothic" w:hAnsi="MS PGothic"/>
                <w:sz w:val="29"/>
                <w:szCs w:val="29"/>
                <w:color w:val="auto"/>
                <w:w w:val="89"/>
              </w:rPr>
              <w:t>✓</w:t>
            </w:r>
          </w:p>
        </w:tc>
        <w:tc>
          <w:tcPr>
            <w:tcW w:w="40" w:type="dxa"/>
            <w:vAlign w:val="bottom"/>
          </w:tcPr>
          <w:p>
            <w:pPr>
              <w:spacing w:after="0"/>
              <w:rPr>
                <w:sz w:val="13"/>
                <w:szCs w:val="13"/>
                <w:color w:val="auto"/>
              </w:rPr>
            </w:pPr>
          </w:p>
        </w:tc>
        <w:tc>
          <w:tcPr>
            <w:tcW w:w="540" w:type="dxa"/>
            <w:vAlign w:val="bottom"/>
            <w:vMerge w:val="restart"/>
            <w:shd w:val="clear" w:color="auto" w:fill="D9DCE1"/>
          </w:tcPr>
          <w:p>
            <w:pPr>
              <w:ind w:left="280"/>
              <w:spacing w:after="0" w:line="334" w:lineRule="exact"/>
              <w:rPr>
                <w:sz w:val="20"/>
                <w:szCs w:val="20"/>
                <w:color w:val="auto"/>
              </w:rPr>
            </w:pPr>
            <w:r>
              <w:rPr>
                <w:rFonts w:ascii="Arial" w:cs="Arial" w:eastAsia="Arial" w:hAnsi="Arial"/>
                <w:sz w:val="29"/>
                <w:szCs w:val="29"/>
                <w:color w:val="auto"/>
                <w:w w:val="82"/>
                <w:vertAlign w:val="subscript"/>
              </w:rPr>
              <w:t>​</w:t>
            </w:r>
            <w:r>
              <w:rPr>
                <w:rFonts w:ascii="MS PGothic" w:cs="MS PGothic" w:eastAsia="MS PGothic" w:hAnsi="MS PGothic"/>
                <w:sz w:val="29"/>
                <w:szCs w:val="29"/>
                <w:color w:val="auto"/>
                <w:w w:val="82"/>
              </w:rPr>
              <w:t>✓</w:t>
            </w:r>
          </w:p>
        </w:tc>
        <w:tc>
          <w:tcPr>
            <w:tcW w:w="180" w:type="dxa"/>
            <w:vAlign w:val="bottom"/>
            <w:tcBorders>
              <w:right w:val="single" w:sz="8" w:color="auto"/>
            </w:tcBorders>
            <w:shd w:val="clear" w:color="auto" w:fill="D9DCE1"/>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vMerge w:val="restart"/>
          </w:tcPr>
          <w:p>
            <w:pPr>
              <w:ind w:left="100"/>
              <w:spacing w:after="0" w:line="334" w:lineRule="exact"/>
              <w:rPr>
                <w:sz w:val="20"/>
                <w:szCs w:val="20"/>
                <w:color w:val="auto"/>
              </w:rPr>
            </w:pPr>
            <w:r>
              <w:rPr>
                <w:rFonts w:ascii="Arial" w:cs="Arial" w:eastAsia="Arial" w:hAnsi="Arial"/>
                <w:sz w:val="29"/>
                <w:szCs w:val="29"/>
                <w:color w:val="auto"/>
                <w:w w:val="82"/>
                <w:vertAlign w:val="subscript"/>
              </w:rPr>
              <w:t>​</w:t>
            </w:r>
            <w:r>
              <w:rPr>
                <w:rFonts w:ascii="MS PGothic" w:cs="MS PGothic" w:eastAsia="MS PGothic" w:hAnsi="MS PGothic"/>
                <w:sz w:val="29"/>
                <w:szCs w:val="29"/>
                <w:color w:val="auto"/>
                <w:w w:val="82"/>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vMerge w:val="restart"/>
          </w:tcPr>
          <w:p>
            <w:pPr>
              <w:ind w:left="80"/>
              <w:spacing w:after="0" w:line="322"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28"/>
                <w:szCs w:val="28"/>
                <w:color w:val="auto"/>
                <w:w w:val="71"/>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vMerge w:val="restart"/>
          </w:tcPr>
          <w:p>
            <w:pPr>
              <w:ind w:left="100"/>
              <w:spacing w:after="0" w:line="322"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28"/>
                <w:szCs w:val="28"/>
                <w:color w:val="auto"/>
                <w:w w:val="71"/>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vMerge w:val="restart"/>
          </w:tcPr>
          <w:p>
            <w:pPr>
              <w:ind w:left="100"/>
              <w:spacing w:after="0" w:line="334" w:lineRule="exact"/>
              <w:rPr>
                <w:sz w:val="20"/>
                <w:szCs w:val="20"/>
                <w:color w:val="auto"/>
              </w:rPr>
            </w:pPr>
            <w:r>
              <w:rPr>
                <w:rFonts w:ascii="Arial" w:cs="Arial" w:eastAsia="Arial" w:hAnsi="Arial"/>
                <w:sz w:val="29"/>
                <w:szCs w:val="29"/>
                <w:color w:val="auto"/>
                <w:w w:val="75"/>
                <w:vertAlign w:val="subscript"/>
              </w:rPr>
              <w:t>​</w:t>
            </w:r>
            <w:r>
              <w:rPr>
                <w:rFonts w:ascii="MS PGothic" w:cs="MS PGothic" w:eastAsia="MS PGothic" w:hAnsi="MS PGothic"/>
                <w:sz w:val="29"/>
                <w:szCs w:val="29"/>
                <w:color w:val="auto"/>
                <w:w w:val="75"/>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vMerge w:val="restart"/>
          </w:tcPr>
          <w:p>
            <w:pPr>
              <w:ind w:left="120"/>
              <w:spacing w:after="0" w:line="334" w:lineRule="exact"/>
              <w:rPr>
                <w:sz w:val="20"/>
                <w:szCs w:val="20"/>
                <w:color w:val="auto"/>
              </w:rPr>
            </w:pPr>
            <w:r>
              <w:rPr>
                <w:rFonts w:ascii="Arial" w:cs="Arial" w:eastAsia="Arial" w:hAnsi="Arial"/>
                <w:sz w:val="29"/>
                <w:szCs w:val="29"/>
                <w:color w:val="auto"/>
                <w:w w:val="82"/>
                <w:vertAlign w:val="subscript"/>
              </w:rPr>
              <w:t>​</w:t>
            </w:r>
            <w:r>
              <w:rPr>
                <w:rFonts w:ascii="MS PGothic" w:cs="MS PGothic" w:eastAsia="MS PGothic" w:hAnsi="MS PGothic"/>
                <w:sz w:val="29"/>
                <w:szCs w:val="29"/>
                <w:color w:val="auto"/>
                <w:w w:val="82"/>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vMerge w:val="restart"/>
          </w:tcPr>
          <w:p>
            <w:pPr>
              <w:ind w:left="80"/>
              <w:spacing w:after="0" w:line="288" w:lineRule="exact"/>
              <w:rPr>
                <w:sz w:val="20"/>
                <w:szCs w:val="20"/>
                <w:color w:val="auto"/>
              </w:rPr>
            </w:pPr>
            <w:r>
              <w:rPr>
                <w:rFonts w:ascii="Arial" w:cs="Arial" w:eastAsia="Arial" w:hAnsi="Arial"/>
                <w:sz w:val="25"/>
                <w:szCs w:val="25"/>
                <w:color w:val="auto"/>
                <w:w w:val="71"/>
                <w:vertAlign w:val="subscript"/>
              </w:rPr>
              <w:t>​</w:t>
            </w:r>
            <w:r>
              <w:rPr>
                <w:rFonts w:ascii="MS PGothic" w:cs="MS PGothic" w:eastAsia="MS PGothic" w:hAnsi="MS PGothic"/>
                <w:sz w:val="25"/>
                <w:szCs w:val="25"/>
                <w:color w:val="auto"/>
                <w:w w:val="71"/>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vMerge w:val="restart"/>
          </w:tcPr>
          <w:p>
            <w:pPr>
              <w:ind w:left="80"/>
              <w:spacing w:after="0" w:line="334" w:lineRule="exact"/>
              <w:rPr>
                <w:sz w:val="20"/>
                <w:szCs w:val="20"/>
                <w:color w:val="auto"/>
              </w:rPr>
            </w:pPr>
            <w:r>
              <w:rPr>
                <w:rFonts w:ascii="Arial" w:cs="Arial" w:eastAsia="Arial" w:hAnsi="Arial"/>
                <w:sz w:val="29"/>
                <w:szCs w:val="29"/>
                <w:color w:val="auto"/>
                <w:w w:val="89"/>
                <w:vertAlign w:val="subscript"/>
              </w:rPr>
              <w:t>​</w:t>
            </w:r>
            <w:r>
              <w:rPr>
                <w:rFonts w:ascii="MS PGothic" w:cs="MS PGothic" w:eastAsia="MS PGothic" w:hAnsi="MS PGothic"/>
                <w:sz w:val="29"/>
                <w:szCs w:val="29"/>
                <w:color w:val="auto"/>
                <w:w w:val="89"/>
              </w:rPr>
              <w:t>✓</w:t>
            </w: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820" w:type="dxa"/>
            <w:vAlign w:val="bottom"/>
            <w:tcBorders>
              <w:left w:val="single" w:sz="8" w:color="auto"/>
              <w:bottom w:val="single" w:sz="8" w:color="auto"/>
              <w:right w:val="single" w:sz="8" w:color="auto"/>
            </w:tcBorders>
            <w:shd w:val="clear" w:color="auto" w:fill="D9DCE1"/>
          </w:tcPr>
          <w:p>
            <w:pPr>
              <w:ind w:left="180"/>
              <w:spacing w:after="0"/>
              <w:rPr>
                <w:sz w:val="20"/>
                <w:szCs w:val="20"/>
                <w:color w:val="auto"/>
              </w:rPr>
            </w:pPr>
            <w:r>
              <w:rPr>
                <w:rFonts w:ascii="Arial" w:cs="Arial" w:eastAsia="Arial" w:hAnsi="Arial"/>
                <w:sz w:val="14"/>
                <w:szCs w:val="14"/>
                <w:color w:val="auto"/>
              </w:rPr>
              <w:t>Experience</w:t>
            </w:r>
          </w:p>
        </w:tc>
        <w:tc>
          <w:tcPr>
            <w:tcW w:w="5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gridSpan w:val="3"/>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vMerge w:val="continue"/>
            <w:shd w:val="clear" w:color="auto" w:fill="D9DCE1"/>
          </w:tcPr>
          <w:p>
            <w:pPr>
              <w:spacing w:after="0"/>
              <w:rPr>
                <w:sz w:val="19"/>
                <w:szCs w:val="19"/>
                <w:color w:val="auto"/>
              </w:rPr>
            </w:pPr>
          </w:p>
        </w:tc>
        <w:tc>
          <w:tcPr>
            <w:tcW w:w="18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Finance/Accounting</w:t>
            </w:r>
          </w:p>
        </w:tc>
        <w:tc>
          <w:tcPr>
            <w:tcW w:w="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gridSpan w:val="3"/>
          </w:tcPr>
          <w:p>
            <w:pPr>
              <w:jc w:val="right"/>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r>
              <w:rPr>
                <w:rFonts w:ascii="Arial" w:cs="Arial" w:eastAsia="Arial" w:hAnsi="Arial"/>
                <w:sz w:val="13"/>
                <w:szCs w:val="13"/>
                <w:color w:val="auto"/>
              </w:rPr>
              <w:t xml:space="preserve"> ​</w:t>
            </w:r>
          </w:p>
        </w:tc>
        <w:tc>
          <w:tcPr>
            <w:tcW w:w="460" w:type="dxa"/>
            <w:vAlign w:val="bottom"/>
            <w:tcBorders>
              <w:bottom w:val="single" w:sz="8" w:color="auto"/>
            </w:tcBorders>
          </w:tcPr>
          <w:p>
            <w:pPr>
              <w:ind w:left="18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3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3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36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820" w:type="dxa"/>
            <w:vAlign w:val="bottom"/>
            <w:tcBorders>
              <w:left w:val="single" w:sz="8" w:color="auto"/>
              <w:right w:val="single" w:sz="8" w:color="auto"/>
            </w:tcBorders>
            <w:shd w:val="clear" w:color="auto" w:fill="D9DCE1"/>
          </w:tcPr>
          <w:p>
            <w:pPr>
              <w:ind w:left="40"/>
              <w:spacing w:after="0" w:line="160" w:lineRule="exact"/>
              <w:rPr>
                <w:sz w:val="20"/>
                <w:szCs w:val="20"/>
                <w:color w:val="auto"/>
              </w:rPr>
            </w:pPr>
            <w:r>
              <w:rPr>
                <w:rFonts w:ascii="Arial" w:cs="Arial" w:eastAsia="Arial" w:hAnsi="Arial"/>
                <w:sz w:val="14"/>
                <w:szCs w:val="14"/>
                <w:color w:val="auto"/>
              </w:rPr>
              <w:t>Business Development/​</w:t>
            </w:r>
          </w:p>
        </w:tc>
        <w:tc>
          <w:tcPr>
            <w:tcW w:w="540" w:type="dxa"/>
            <w:vAlign w:val="bottom"/>
            <w:vMerge w:val="restart"/>
          </w:tcPr>
          <w:p>
            <w:pPr>
              <w:ind w:left="28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3"/>
            <w:vMerge w:val="restart"/>
          </w:tcPr>
          <w:p>
            <w:pPr>
              <w:jc w:val="right"/>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r>
              <w:rPr>
                <w:rFonts w:ascii="Arial" w:cs="Arial" w:eastAsia="Arial" w:hAnsi="Arial"/>
                <w:sz w:val="14"/>
                <w:szCs w:val="14"/>
                <w:color w:val="auto"/>
              </w:rPr>
              <w:t xml:space="preserve"> ​</w:t>
            </w:r>
          </w:p>
        </w:tc>
        <w:tc>
          <w:tcPr>
            <w:tcW w:w="460" w:type="dxa"/>
            <w:vAlign w:val="bottom"/>
            <w:vMerge w:val="restart"/>
          </w:tcPr>
          <w:p>
            <w:pPr>
              <w:ind w:left="18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40" w:type="dxa"/>
            <w:vAlign w:val="bottom"/>
          </w:tcPr>
          <w:p>
            <w:pPr>
              <w:spacing w:after="0"/>
              <w:rPr>
                <w:sz w:val="13"/>
                <w:szCs w:val="13"/>
                <w:color w:val="auto"/>
              </w:rPr>
            </w:pPr>
          </w:p>
        </w:tc>
        <w:tc>
          <w:tcPr>
            <w:tcW w:w="540" w:type="dxa"/>
            <w:vAlign w:val="bottom"/>
            <w:vMerge w:val="restart"/>
            <w:shd w:val="clear" w:color="auto" w:fill="D9DCE1"/>
          </w:tcPr>
          <w:p>
            <w:pPr>
              <w:ind w:left="28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180" w:type="dxa"/>
            <w:vAlign w:val="bottom"/>
            <w:tcBorders>
              <w:right w:val="single" w:sz="8" w:color="auto"/>
            </w:tcBorders>
            <w:shd w:val="clear" w:color="auto" w:fill="D9DCE1"/>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vMerge w:val="restart"/>
          </w:tcPr>
          <w:p>
            <w:pPr>
              <w:ind w:left="10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vMerge w:val="restart"/>
          </w:tcPr>
          <w:p>
            <w:pPr>
              <w:ind w:left="8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vMerge w:val="restart"/>
          </w:tcPr>
          <w:p>
            <w:pPr>
              <w:ind w:left="10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vMerge w:val="restart"/>
          </w:tcPr>
          <w:p>
            <w:pPr>
              <w:ind w:left="10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vMerge w:val="restart"/>
          </w:tcPr>
          <w:p>
            <w:pPr>
              <w:ind w:left="12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vMerge w:val="restart"/>
          </w:tcPr>
          <w:p>
            <w:pPr>
              <w:ind w:left="80"/>
              <w:spacing w:after="0" w:line="322" w:lineRule="exact"/>
              <w:rPr>
                <w:sz w:val="20"/>
                <w:szCs w:val="20"/>
                <w:color w:val="auto"/>
              </w:rPr>
            </w:pPr>
            <w:r>
              <w:rPr>
                <w:rFonts w:ascii="Arial" w:cs="Arial" w:eastAsia="Arial" w:hAnsi="Arial"/>
                <w:sz w:val="14"/>
                <w:szCs w:val="14"/>
                <w:color w:val="auto"/>
                <w:w w:val="96"/>
              </w:rPr>
              <w:t>​</w:t>
            </w:r>
            <w:r>
              <w:rPr>
                <w:rFonts w:ascii="MS PGothic" w:cs="MS PGothic" w:eastAsia="MS PGothic" w:hAnsi="MS PGothic"/>
                <w:sz w:val="28"/>
                <w:szCs w:val="28"/>
                <w:color w:val="auto"/>
                <w:w w:val="96"/>
                <w:vertAlign w:val="superscript"/>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vMerge w:val="restart"/>
          </w:tcPr>
          <w:p>
            <w:pPr>
              <w:ind w:left="8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820" w:type="dxa"/>
            <w:vAlign w:val="bottom"/>
            <w:tcBorders>
              <w:left w:val="single" w:sz="8" w:color="auto"/>
              <w:bottom w:val="single" w:sz="8" w:color="auto"/>
              <w:right w:val="single" w:sz="8" w:color="auto"/>
            </w:tcBorders>
            <w:shd w:val="clear" w:color="auto" w:fill="D9DCE1"/>
          </w:tcPr>
          <w:p>
            <w:pPr>
              <w:ind w:left="180"/>
              <w:spacing w:after="0"/>
              <w:rPr>
                <w:sz w:val="20"/>
                <w:szCs w:val="20"/>
                <w:color w:val="auto"/>
              </w:rPr>
            </w:pPr>
            <w:r>
              <w:rPr>
                <w:rFonts w:ascii="Arial" w:cs="Arial" w:eastAsia="Arial" w:hAnsi="Arial"/>
                <w:sz w:val="14"/>
                <w:szCs w:val="14"/>
                <w:color w:val="auto"/>
              </w:rPr>
              <w:t>Strategy/Commercial</w:t>
            </w:r>
          </w:p>
        </w:tc>
        <w:tc>
          <w:tcPr>
            <w:tcW w:w="5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gridSpan w:val="3"/>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vMerge w:val="continue"/>
            <w:shd w:val="clear" w:color="auto" w:fill="D9DCE1"/>
          </w:tcPr>
          <w:p>
            <w:pPr>
              <w:spacing w:after="0"/>
              <w:rPr>
                <w:sz w:val="19"/>
                <w:szCs w:val="19"/>
                <w:color w:val="auto"/>
              </w:rPr>
            </w:pPr>
          </w:p>
        </w:tc>
        <w:tc>
          <w:tcPr>
            <w:tcW w:w="18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820" w:type="dxa"/>
            <w:vAlign w:val="bottom"/>
            <w:tcBorders>
              <w:left w:val="single" w:sz="8" w:color="auto"/>
              <w:right w:val="single" w:sz="8" w:color="auto"/>
            </w:tcBorders>
          </w:tcPr>
          <w:p>
            <w:pPr>
              <w:ind w:left="40"/>
              <w:spacing w:after="0" w:line="160" w:lineRule="exact"/>
              <w:rPr>
                <w:sz w:val="20"/>
                <w:szCs w:val="20"/>
                <w:color w:val="auto"/>
              </w:rPr>
            </w:pPr>
            <w:r>
              <w:rPr>
                <w:rFonts w:ascii="Arial" w:cs="Arial" w:eastAsia="Arial" w:hAnsi="Arial"/>
                <w:sz w:val="14"/>
                <w:szCs w:val="14"/>
                <w:color w:val="auto"/>
              </w:rPr>
              <w:t>Legal/Governance/​</w:t>
            </w:r>
          </w:p>
        </w:tc>
        <w:tc>
          <w:tcPr>
            <w:tcW w:w="540" w:type="dxa"/>
            <w:vAlign w:val="bottom"/>
            <w:vMerge w:val="restart"/>
          </w:tcPr>
          <w:p>
            <w:pPr>
              <w:ind w:left="28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3"/>
            <w:vMerge w:val="restart"/>
          </w:tcPr>
          <w:p>
            <w:pPr>
              <w:jc w:val="right"/>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r>
              <w:rPr>
                <w:rFonts w:ascii="Arial" w:cs="Arial" w:eastAsia="Arial" w:hAnsi="Arial"/>
                <w:sz w:val="14"/>
                <w:szCs w:val="14"/>
                <w:color w:val="auto"/>
              </w:rPr>
              <w:t xml:space="preserve"> ​</w:t>
            </w:r>
          </w:p>
        </w:tc>
        <w:tc>
          <w:tcPr>
            <w:tcW w:w="460" w:type="dxa"/>
            <w:vAlign w:val="bottom"/>
            <w:vMerge w:val="restart"/>
          </w:tcPr>
          <w:p>
            <w:pPr>
              <w:ind w:left="18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40" w:type="dxa"/>
            <w:vAlign w:val="bottom"/>
          </w:tcPr>
          <w:p>
            <w:pPr>
              <w:spacing w:after="0"/>
              <w:rPr>
                <w:sz w:val="13"/>
                <w:szCs w:val="13"/>
                <w:color w:val="auto"/>
              </w:rPr>
            </w:pPr>
          </w:p>
        </w:tc>
        <w:tc>
          <w:tcPr>
            <w:tcW w:w="540" w:type="dxa"/>
            <w:vAlign w:val="bottom"/>
            <w:vMerge w:val="restart"/>
          </w:tcPr>
          <w:p>
            <w:pPr>
              <w:ind w:left="28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1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vMerge w:val="restart"/>
          </w:tcPr>
          <w:p>
            <w:pPr>
              <w:ind w:left="10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vMerge w:val="restart"/>
          </w:tcPr>
          <w:p>
            <w:pPr>
              <w:ind w:left="8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vMerge w:val="restart"/>
          </w:tcPr>
          <w:p>
            <w:pPr>
              <w:ind w:left="10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vMerge w:val="restart"/>
          </w:tcPr>
          <w:p>
            <w:pPr>
              <w:ind w:left="10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vMerge w:val="restart"/>
          </w:tcPr>
          <w:p>
            <w:pPr>
              <w:ind w:left="12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vMerge w:val="restart"/>
          </w:tcPr>
          <w:p>
            <w:pPr>
              <w:ind w:left="80"/>
              <w:spacing w:after="0" w:line="322" w:lineRule="exact"/>
              <w:rPr>
                <w:sz w:val="20"/>
                <w:szCs w:val="20"/>
                <w:color w:val="auto"/>
              </w:rPr>
            </w:pPr>
            <w:r>
              <w:rPr>
                <w:rFonts w:ascii="Arial" w:cs="Arial" w:eastAsia="Arial" w:hAnsi="Arial"/>
                <w:sz w:val="14"/>
                <w:szCs w:val="14"/>
                <w:color w:val="auto"/>
                <w:w w:val="96"/>
              </w:rPr>
              <w:t>​</w:t>
            </w:r>
            <w:r>
              <w:rPr>
                <w:rFonts w:ascii="MS PGothic" w:cs="MS PGothic" w:eastAsia="MS PGothic" w:hAnsi="MS PGothic"/>
                <w:sz w:val="28"/>
                <w:szCs w:val="28"/>
                <w:color w:val="auto"/>
                <w:w w:val="96"/>
                <w:vertAlign w:val="superscript"/>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vMerge w:val="restart"/>
          </w:tcPr>
          <w:p>
            <w:pPr>
              <w:ind w:left="8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8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Government Relations</w:t>
            </w:r>
          </w:p>
        </w:tc>
        <w:tc>
          <w:tcPr>
            <w:tcW w:w="5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gridSpan w:val="3"/>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820" w:type="dxa"/>
            <w:vAlign w:val="bottom"/>
            <w:tcBorders>
              <w:left w:val="single" w:sz="8" w:color="auto"/>
              <w:right w:val="single" w:sz="8" w:color="auto"/>
            </w:tcBorders>
            <w:shd w:val="clear" w:color="auto" w:fill="D9DCE1"/>
          </w:tcPr>
          <w:p>
            <w:pPr>
              <w:ind w:left="40"/>
              <w:spacing w:after="0" w:line="160" w:lineRule="exact"/>
              <w:rPr>
                <w:sz w:val="20"/>
                <w:szCs w:val="20"/>
                <w:color w:val="auto"/>
              </w:rPr>
            </w:pPr>
            <w:r>
              <w:rPr>
                <w:rFonts w:ascii="Arial" w:cs="Arial" w:eastAsia="Arial" w:hAnsi="Arial"/>
                <w:sz w:val="14"/>
                <w:szCs w:val="14"/>
                <w:color w:val="auto"/>
              </w:rPr>
              <w:t>Operations/Engineering/</w:t>
            </w:r>
          </w:p>
        </w:tc>
        <w:tc>
          <w:tcPr>
            <w:tcW w:w="540" w:type="dxa"/>
            <w:vAlign w:val="bottom"/>
            <w:vMerge w:val="restart"/>
          </w:tcPr>
          <w:p>
            <w:pPr>
              <w:ind w:left="28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vMerge w:val="restart"/>
          </w:tcPr>
          <w:p>
            <w:pPr>
              <w:ind w:left="18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40" w:type="dxa"/>
            <w:vAlign w:val="bottom"/>
          </w:tcPr>
          <w:p>
            <w:pPr>
              <w:spacing w:after="0"/>
              <w:rPr>
                <w:sz w:val="13"/>
                <w:szCs w:val="13"/>
                <w:color w:val="auto"/>
              </w:rPr>
            </w:pPr>
          </w:p>
        </w:tc>
        <w:tc>
          <w:tcPr>
            <w:tcW w:w="540" w:type="dxa"/>
            <w:vAlign w:val="bottom"/>
            <w:vMerge w:val="restart"/>
            <w:shd w:val="clear" w:color="auto" w:fill="D9DCE1"/>
          </w:tcPr>
          <w:p>
            <w:pPr>
              <w:ind w:left="28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180" w:type="dxa"/>
            <w:vAlign w:val="bottom"/>
            <w:tcBorders>
              <w:right w:val="single" w:sz="8" w:color="auto"/>
            </w:tcBorders>
            <w:shd w:val="clear" w:color="auto" w:fill="D9DCE1"/>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vMerge w:val="restart"/>
          </w:tcPr>
          <w:p>
            <w:pPr>
              <w:ind w:left="8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vMerge w:val="restart"/>
          </w:tcPr>
          <w:p>
            <w:pPr>
              <w:ind w:left="10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vMerge w:val="restart"/>
          </w:tcPr>
          <w:p>
            <w:pPr>
              <w:ind w:left="12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vMerge w:val="restart"/>
          </w:tcPr>
          <w:p>
            <w:pPr>
              <w:ind w:left="8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820" w:type="dxa"/>
            <w:vAlign w:val="bottom"/>
            <w:tcBorders>
              <w:left w:val="single" w:sz="8" w:color="auto"/>
              <w:bottom w:val="single" w:sz="8" w:color="auto"/>
              <w:right w:val="single" w:sz="8" w:color="auto"/>
            </w:tcBorders>
            <w:shd w:val="clear" w:color="auto" w:fill="D9DCE1"/>
          </w:tcPr>
          <w:p>
            <w:pPr>
              <w:ind w:left="180"/>
              <w:spacing w:after="0"/>
              <w:rPr>
                <w:sz w:val="20"/>
                <w:szCs w:val="20"/>
                <w:color w:val="auto"/>
              </w:rPr>
            </w:pPr>
            <w:r>
              <w:rPr>
                <w:rFonts w:ascii="Arial" w:cs="Arial" w:eastAsia="Arial" w:hAnsi="Arial"/>
                <w:sz w:val="14"/>
                <w:szCs w:val="14"/>
                <w:color w:val="auto"/>
              </w:rPr>
              <w:t>Construction</w:t>
            </w:r>
          </w:p>
        </w:tc>
        <w:tc>
          <w:tcPr>
            <w:tcW w:w="5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vMerge w:val="continue"/>
            <w:shd w:val="clear" w:color="auto" w:fill="D9DCE1"/>
          </w:tcPr>
          <w:p>
            <w:pPr>
              <w:spacing w:after="0"/>
              <w:rPr>
                <w:sz w:val="19"/>
                <w:szCs w:val="19"/>
                <w:color w:val="auto"/>
              </w:rPr>
            </w:pPr>
          </w:p>
        </w:tc>
        <w:tc>
          <w:tcPr>
            <w:tcW w:w="18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Industry Experience</w:t>
            </w:r>
          </w:p>
        </w:tc>
        <w:tc>
          <w:tcPr>
            <w:tcW w:w="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gridSpan w:val="3"/>
          </w:tcPr>
          <w:p>
            <w:pPr>
              <w:jc w:val="right"/>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r>
              <w:rPr>
                <w:rFonts w:ascii="Arial" w:cs="Arial" w:eastAsia="Arial" w:hAnsi="Arial"/>
                <w:sz w:val="13"/>
                <w:szCs w:val="13"/>
                <w:color w:val="auto"/>
              </w:rPr>
              <w:t xml:space="preserve"> ​</w:t>
            </w:r>
          </w:p>
        </w:tc>
        <w:tc>
          <w:tcPr>
            <w:tcW w:w="460" w:type="dxa"/>
            <w:vAlign w:val="bottom"/>
            <w:tcBorders>
              <w:bottom w:val="single" w:sz="8" w:color="auto"/>
            </w:tcBorders>
          </w:tcPr>
          <w:p>
            <w:pPr>
              <w:ind w:left="18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3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3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36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4"/>
                <w:szCs w:val="14"/>
                <w:color w:val="auto"/>
              </w:rPr>
              <w:t>Private Equity</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D9DCE1"/>
          </w:tcPr>
          <w:p>
            <w:pPr>
              <w:ind w:left="2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D9DCE1"/>
          </w:tcPr>
          <w:p>
            <w:pPr>
              <w:ind w:left="10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16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highlight w:val="lightGray"/>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highlight w:val="lightGray"/>
              </w:rPr>
              <w:t>​</w:t>
            </w:r>
          </w:p>
        </w:tc>
        <w:tc>
          <w:tcPr>
            <w:tcW w:w="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160" w:type="dxa"/>
            <w:vAlign w:val="bottom"/>
            <w:tcBorders>
              <w:bottom w:val="single" w:sz="8" w:color="auto"/>
            </w:tcBorders>
            <w:shd w:val="clear" w:color="auto" w:fill="D9DCE1"/>
          </w:tcPr>
          <w:p>
            <w:pPr>
              <w:jc w:val="right"/>
              <w:ind w:right="31"/>
              <w:spacing w:after="0"/>
              <w:rPr>
                <w:sz w:val="20"/>
                <w:szCs w:val="20"/>
                <w:color w:val="auto"/>
              </w:rPr>
            </w:pPr>
            <w:r>
              <w:rPr>
                <w:rFonts w:ascii="Arial" w:cs="Arial" w:eastAsia="Arial" w:hAnsi="Arial"/>
                <w:sz w:val="14"/>
                <w:szCs w:val="14"/>
                <w:color w:val="auto"/>
                <w:highlight w:val="lightGray"/>
              </w:rPr>
              <w:t>​</w:t>
            </w:r>
          </w:p>
        </w:tc>
        <w:tc>
          <w:tcPr>
            <w:tcW w:w="320" w:type="dxa"/>
            <w:vAlign w:val="bottom"/>
            <w:tcBorders>
              <w:bottom w:val="single" w:sz="8" w:color="auto"/>
            </w:tcBorders>
            <w:shd w:val="clear" w:color="auto" w:fill="D9DCE1"/>
          </w:tcPr>
          <w:p>
            <w:pPr>
              <w:ind w:left="100"/>
              <w:spacing w:after="0" w:line="223" w:lineRule="exact"/>
              <w:rPr>
                <w:sz w:val="20"/>
                <w:szCs w:val="20"/>
                <w:color w:val="auto"/>
              </w:rPr>
            </w:pPr>
            <w:r>
              <w:rPr>
                <w:rFonts w:ascii="Arial" w:cs="Arial" w:eastAsia="Arial" w:hAnsi="Arial"/>
                <w:sz w:val="13"/>
                <w:szCs w:val="13"/>
                <w:color w:val="auto"/>
                <w:highlight w:val="lightGray"/>
              </w:rPr>
              <w:t>​</w:t>
            </w:r>
            <w:r>
              <w:rPr>
                <w:rFonts w:ascii="MS PGothic" w:cs="MS PGothic" w:eastAsia="MS PGothic" w:hAnsi="MS PGothic"/>
                <w:sz w:val="25"/>
                <w:szCs w:val="25"/>
                <w:color w:val="auto"/>
                <w:highlight w:val="lightGray"/>
                <w:vertAlign w:val="superscript"/>
              </w:rPr>
              <w:t>✓</w:t>
            </w:r>
          </w:p>
        </w:tc>
        <w:tc>
          <w:tcPr>
            <w:tcW w:w="16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4"/>
                <w:szCs w:val="14"/>
                <w:color w:val="auto"/>
                <w:highlight w:val="lightGray"/>
              </w:rPr>
              <w:t>​</w:t>
            </w:r>
          </w:p>
        </w:tc>
        <w:tc>
          <w:tcPr>
            <w:tcW w:w="1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D9DCE1"/>
          </w:tcPr>
          <w:p>
            <w:pPr>
              <w:jc w:val="right"/>
              <w:ind w:right="50"/>
              <w:spacing w:after="0"/>
              <w:rPr>
                <w:sz w:val="20"/>
                <w:szCs w:val="20"/>
                <w:color w:val="auto"/>
              </w:rPr>
            </w:pPr>
            <w:r>
              <w:rPr>
                <w:rFonts w:ascii="Arial" w:cs="Arial" w:eastAsia="Arial" w:hAnsi="Arial"/>
                <w:sz w:val="14"/>
                <w:szCs w:val="14"/>
                <w:color w:val="auto"/>
                <w:highlight w:val="lightGray"/>
              </w:rPr>
              <w:t>​</w:t>
            </w:r>
          </w:p>
        </w:tc>
        <w:tc>
          <w:tcPr>
            <w:tcW w:w="340" w:type="dxa"/>
            <w:vAlign w:val="bottom"/>
            <w:tcBorders>
              <w:bottom w:val="single" w:sz="8" w:color="auto"/>
            </w:tcBorders>
            <w:shd w:val="clear" w:color="auto" w:fill="D9DCE1"/>
          </w:tcPr>
          <w:p>
            <w:pPr>
              <w:ind w:left="100"/>
              <w:spacing w:after="0" w:line="223" w:lineRule="exact"/>
              <w:rPr>
                <w:sz w:val="20"/>
                <w:szCs w:val="20"/>
                <w:color w:val="auto"/>
              </w:rPr>
            </w:pPr>
            <w:r>
              <w:rPr>
                <w:rFonts w:ascii="Arial" w:cs="Arial" w:eastAsia="Arial" w:hAnsi="Arial"/>
                <w:sz w:val="13"/>
                <w:szCs w:val="13"/>
                <w:color w:val="auto"/>
                <w:highlight w:val="lightGray"/>
              </w:rPr>
              <w:t>​</w:t>
            </w:r>
            <w:r>
              <w:rPr>
                <w:rFonts w:ascii="MS PGothic" w:cs="MS PGothic" w:eastAsia="MS PGothic" w:hAnsi="MS PGothic"/>
                <w:sz w:val="25"/>
                <w:szCs w:val="25"/>
                <w:color w:val="auto"/>
                <w:highlight w:val="lightGray"/>
                <w:vertAlign w:val="superscript"/>
              </w:rPr>
              <w:t>✓</w:t>
            </w:r>
          </w:p>
        </w:tc>
        <w:tc>
          <w:tcPr>
            <w:tcW w:w="16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4"/>
                <w:szCs w:val="14"/>
                <w:color w:val="auto"/>
                <w:highlight w:val="lightGray"/>
              </w:rPr>
              <w:t>​</w:t>
            </w:r>
          </w:p>
        </w:tc>
        <w:tc>
          <w:tcPr>
            <w:tcW w:w="20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highlight w:val="lightGray"/>
              </w:rPr>
              <w:t>​</w:t>
            </w:r>
          </w:p>
        </w:tc>
        <w:tc>
          <w:tcPr>
            <w:tcW w:w="28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13"/>
                <w:szCs w:val="13"/>
                <w:color w:val="auto"/>
                <w:highlight w:val="lightGray"/>
              </w:rPr>
              <w:t>​</w:t>
            </w:r>
            <w:r>
              <w:rPr>
                <w:rFonts w:ascii="MS PGothic" w:cs="MS PGothic" w:eastAsia="MS PGothic" w:hAnsi="MS PGothic"/>
                <w:sz w:val="25"/>
                <w:szCs w:val="25"/>
                <w:color w:val="auto"/>
                <w:highlight w:val="lightGray"/>
                <w:vertAlign w:val="superscript"/>
              </w:rPr>
              <w:t>✓</w:t>
            </w: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14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4"/>
                <w:szCs w:val="14"/>
                <w:color w:val="auto"/>
                <w:highlight w:val="lightGray"/>
              </w:rPr>
              <w:t>​</w:t>
            </w:r>
          </w:p>
        </w:tc>
        <w:tc>
          <w:tcPr>
            <w:tcW w:w="36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4"/>
                <w:szCs w:val="14"/>
                <w:color w:val="auto"/>
                <w:highlight w:val="lightGray"/>
              </w:rPr>
              <w:t>​</w:t>
            </w:r>
          </w:p>
        </w:tc>
        <w:tc>
          <w:tcPr>
            <w:tcW w:w="80" w:type="dxa"/>
            <w:vAlign w:val="bottom"/>
            <w:tcBorders>
              <w:bottom w:val="single" w:sz="8" w:color="auto"/>
              <w:right w:val="single" w:sz="8" w:color="auto"/>
            </w:tcBorders>
            <w:shd w:val="clear" w:color="auto" w:fill="D9DCE1"/>
          </w:tcPr>
          <w:p>
            <w:pPr>
              <w:spacing w:after="0"/>
              <w:rPr>
                <w:sz w:val="20"/>
                <w:szCs w:val="20"/>
                <w:color w:val="auto"/>
              </w:rPr>
            </w:pPr>
            <w:r>
              <w:rPr>
                <w:rFonts w:ascii="Arial" w:cs="Arial" w:eastAsia="Arial" w:hAnsi="Arial"/>
                <w:sz w:val="14"/>
                <w:szCs w:val="14"/>
                <w:color w:val="auto"/>
                <w:highlight w:val="lightGray"/>
              </w:rPr>
              <w:t>​</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Diversity</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MS PGothic" w:cs="MS PGothic" w:eastAsia="MS PGothic" w:hAnsi="MS PGothic"/>
                <w:sz w:val="25"/>
                <w:szCs w:val="25"/>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5"/>
                <w:szCs w:val="25"/>
                <w:color w:val="auto"/>
                <w:w w:val="95"/>
                <w:vertAlign w:val="subscript"/>
              </w:rPr>
              <w:t>​</w:t>
            </w:r>
            <w:r>
              <w:rPr>
                <w:rFonts w:ascii="MS PGothic" w:cs="MS PGothic" w:eastAsia="MS PGothic" w:hAnsi="MS PGothic"/>
                <w:sz w:val="25"/>
                <w:szCs w:val="25"/>
                <w:color w:val="auto"/>
                <w:w w:val="95"/>
              </w:rPr>
              <w:t>✓</w:t>
            </w:r>
          </w:p>
        </w:tc>
        <w:tc>
          <w:tcPr>
            <w:tcW w:w="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4"/>
                <w:szCs w:val="14"/>
                <w:color w:val="auto"/>
              </w:rPr>
              <w:t>International</w:t>
            </w:r>
          </w:p>
        </w:tc>
        <w:tc>
          <w:tcPr>
            <w:tcW w:w="54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gridSpan w:val="3"/>
          </w:tcPr>
          <w:p>
            <w:pPr>
              <w:jc w:val="right"/>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r>
              <w:rPr>
                <w:rFonts w:ascii="Arial" w:cs="Arial" w:eastAsia="Arial" w:hAnsi="Arial"/>
                <w:sz w:val="13"/>
                <w:szCs w:val="13"/>
                <w:color w:val="auto"/>
              </w:rPr>
              <w:t xml:space="preserve"> ​</w:t>
            </w:r>
          </w:p>
        </w:tc>
        <w:tc>
          <w:tcPr>
            <w:tcW w:w="460" w:type="dxa"/>
            <w:vAlign w:val="bottom"/>
            <w:tcBorders>
              <w:bottom w:val="single" w:sz="8" w:color="auto"/>
            </w:tcBorders>
          </w:tcPr>
          <w:p>
            <w:pPr>
              <w:ind w:left="18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D9DCE1"/>
          </w:tcPr>
          <w:p>
            <w:pPr>
              <w:ind w:left="280"/>
              <w:spacing w:after="0" w:line="223" w:lineRule="exact"/>
              <w:rPr>
                <w:sz w:val="20"/>
                <w:szCs w:val="20"/>
                <w:color w:val="auto"/>
              </w:rPr>
            </w:pPr>
            <w:r>
              <w:rPr>
                <w:rFonts w:ascii="Arial" w:cs="Arial" w:eastAsia="Arial" w:hAnsi="Arial"/>
                <w:sz w:val="13"/>
                <w:szCs w:val="13"/>
                <w:color w:val="auto"/>
              </w:rPr>
              <w:t>​</w:t>
            </w:r>
            <w:r>
              <w:rPr>
                <w:rFonts w:ascii="MS PGothic" w:cs="MS PGothic" w:eastAsia="MS PGothic" w:hAnsi="MS PGothic"/>
                <w:sz w:val="25"/>
                <w:szCs w:val="25"/>
                <w:color w:val="auto"/>
                <w:vertAlign w:val="superscript"/>
              </w:rPr>
              <w:t>✓</w:t>
            </w:r>
          </w:p>
        </w:tc>
        <w:tc>
          <w:tcPr>
            <w:tcW w:w="18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highlight w:val="lightGray"/>
              </w:rPr>
              <w:t>​​</w:t>
            </w:r>
          </w:p>
        </w:tc>
        <w:tc>
          <w:tcPr>
            <w:tcW w:w="30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13"/>
                <w:szCs w:val="13"/>
                <w:color w:val="auto"/>
                <w:highlight w:val="lightGray"/>
              </w:rPr>
              <w:t>​</w:t>
            </w:r>
            <w:r>
              <w:rPr>
                <w:rFonts w:ascii="MS PGothic" w:cs="MS PGothic" w:eastAsia="MS PGothic" w:hAnsi="MS PGothic"/>
                <w:sz w:val="25"/>
                <w:szCs w:val="25"/>
                <w:color w:val="auto"/>
                <w:highlight w:val="lightGray"/>
                <w:vertAlign w:val="superscript"/>
              </w:rPr>
              <w:t>✓</w:t>
            </w:r>
          </w:p>
        </w:tc>
        <w:tc>
          <w:tcPr>
            <w:tcW w:w="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1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highlight w:val="lightGray"/>
              </w:rPr>
              <w:t>​</w:t>
            </w:r>
          </w:p>
        </w:tc>
        <w:tc>
          <w:tcPr>
            <w:tcW w:w="32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13"/>
                <w:szCs w:val="13"/>
                <w:color w:val="auto"/>
                <w:highlight w:val="lightGray"/>
              </w:rPr>
              <w:t>​</w:t>
            </w:r>
            <w:r>
              <w:rPr>
                <w:rFonts w:ascii="MS PGothic" w:cs="MS PGothic" w:eastAsia="MS PGothic" w:hAnsi="MS PGothic"/>
                <w:sz w:val="25"/>
                <w:szCs w:val="25"/>
                <w:color w:val="auto"/>
                <w:highlight w:val="lightGray"/>
                <w:vertAlign w:val="superscript"/>
              </w:rPr>
              <w:t>✓</w:t>
            </w:r>
          </w:p>
        </w:tc>
        <w:tc>
          <w:tcPr>
            <w:tcW w:w="1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1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highlight w:val="lightGray"/>
              </w:rPr>
              <w:t>​</w:t>
            </w:r>
          </w:p>
        </w:tc>
        <w:tc>
          <w:tcPr>
            <w:tcW w:w="260" w:type="dxa"/>
            <w:vAlign w:val="bottom"/>
            <w:tcBorders>
              <w:bottom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highlight w:val="lightGray"/>
                <w:w w:val="85"/>
              </w:rPr>
              <w:t>✓</w:t>
            </w: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highlight w:val="lightGray"/>
              </w:rPr>
              <w:t>​</w:t>
            </w:r>
          </w:p>
        </w:tc>
        <w:tc>
          <w:tcPr>
            <w:tcW w:w="34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13"/>
                <w:szCs w:val="13"/>
                <w:color w:val="auto"/>
                <w:highlight w:val="lightGray"/>
              </w:rPr>
              <w:t>​</w:t>
            </w:r>
            <w:r>
              <w:rPr>
                <w:rFonts w:ascii="MS PGothic" w:cs="MS PGothic" w:eastAsia="MS PGothic" w:hAnsi="MS PGothic"/>
                <w:sz w:val="25"/>
                <w:szCs w:val="25"/>
                <w:color w:val="auto"/>
                <w:highlight w:val="lightGray"/>
                <w:vertAlign w:val="superscript"/>
              </w:rPr>
              <w:t>✓</w:t>
            </w:r>
          </w:p>
        </w:tc>
        <w:tc>
          <w:tcPr>
            <w:tcW w:w="1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1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highlight w:val="lightGray"/>
              </w:rPr>
              <w:t>​</w:t>
            </w:r>
          </w:p>
        </w:tc>
        <w:tc>
          <w:tcPr>
            <w:tcW w:w="38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13"/>
                <w:szCs w:val="13"/>
                <w:color w:val="auto"/>
                <w:highlight w:val="lightGray"/>
              </w:rPr>
              <w:t>​</w:t>
            </w:r>
            <w:r>
              <w:rPr>
                <w:rFonts w:ascii="MS PGothic" w:cs="MS PGothic" w:eastAsia="MS PGothic" w:hAnsi="MS PGothic"/>
                <w:sz w:val="25"/>
                <w:szCs w:val="25"/>
                <w:color w:val="auto"/>
                <w:highlight w:val="lightGray"/>
                <w:vertAlign w:val="superscript"/>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highlight w:val="lightGray"/>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highlight w:val="lightGray"/>
              </w:rPr>
              <w:t>​</w:t>
            </w: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500" w:type="dxa"/>
            <w:vAlign w:val="bottom"/>
            <w:tcBorders>
              <w:bottom w:val="single" w:sz="8" w:color="auto"/>
            </w:tcBorders>
            <w:gridSpan w:val="2"/>
            <w:shd w:val="clear" w:color="auto" w:fill="D9DCE1"/>
          </w:tcPr>
          <w:p>
            <w:pPr>
              <w:ind w:left="20"/>
              <w:spacing w:after="0" w:line="223" w:lineRule="exact"/>
              <w:rPr>
                <w:sz w:val="20"/>
                <w:szCs w:val="20"/>
                <w:color w:val="auto"/>
              </w:rPr>
            </w:pPr>
            <w:r>
              <w:rPr>
                <w:rFonts w:ascii="Arial" w:cs="Arial" w:eastAsia="Arial" w:hAnsi="Arial"/>
                <w:sz w:val="13"/>
                <w:szCs w:val="13"/>
                <w:color w:val="auto"/>
                <w:highlight w:val="lightGray"/>
              </w:rPr>
              <w:t>​  ​</w:t>
            </w:r>
            <w:r>
              <w:rPr>
                <w:rFonts w:ascii="MS PGothic" w:cs="MS PGothic" w:eastAsia="MS PGothic" w:hAnsi="MS PGothic"/>
                <w:sz w:val="25"/>
                <w:szCs w:val="25"/>
                <w:color w:val="auto"/>
                <w:highlight w:val="lightGray"/>
                <w:vertAlign w:val="superscript"/>
              </w:rPr>
              <w:t>✓</w:t>
            </w:r>
          </w:p>
        </w:tc>
        <w:tc>
          <w:tcPr>
            <w:tcW w:w="80" w:type="dxa"/>
            <w:vAlign w:val="bottom"/>
            <w:tcBorders>
              <w:bottom w:val="single" w:sz="8" w:color="auto"/>
              <w:right w:val="single" w:sz="8" w:color="auto"/>
            </w:tcBorders>
            <w:shd w:val="clear" w:color="auto" w:fill="D9DCE1"/>
          </w:tcPr>
          <w:p>
            <w:pPr>
              <w:spacing w:after="0"/>
              <w:rPr>
                <w:sz w:val="20"/>
                <w:szCs w:val="20"/>
                <w:color w:val="auto"/>
              </w:rPr>
            </w:pPr>
            <w:r>
              <w:rPr>
                <w:rFonts w:ascii="Arial" w:cs="Arial" w:eastAsia="Arial" w:hAnsi="Arial"/>
                <w:sz w:val="14"/>
                <w:szCs w:val="14"/>
                <w:color w:val="auto"/>
                <w:highlight w:val="lightGray"/>
              </w:rPr>
              <w:t>​</w:t>
            </w: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Cybersecurity/IT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80"/>
              <w:spacing w:after="0" w:line="236" w:lineRule="exact"/>
              <w:rPr>
                <w:sz w:val="20"/>
                <w:szCs w:val="20"/>
                <w:color w:val="auto"/>
              </w:rPr>
            </w:pPr>
            <w:r>
              <w:rPr>
                <w:rFonts w:ascii="Arial" w:cs="Arial" w:eastAsia="Arial" w:hAnsi="Arial"/>
                <w:sz w:val="14"/>
                <w:szCs w:val="14"/>
                <w:color w:val="auto"/>
                <w:w w:val="99"/>
              </w:rPr>
              <w:t>​</w:t>
            </w:r>
            <w:r>
              <w:rPr>
                <w:rFonts w:ascii="MS PGothic" w:cs="MS PGothic" w:eastAsia="MS PGothic" w:hAnsi="MS PGothic"/>
                <w:sz w:val="27"/>
                <w:szCs w:val="27"/>
                <w:color w:val="auto"/>
                <w:w w:val="99"/>
                <w:vertAlign w:val="superscript"/>
              </w:rPr>
              <w:t>✓</w:t>
            </w: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1820" w:type="dxa"/>
            <w:vAlign w:val="bottom"/>
            <w:tcBorders>
              <w:left w:val="single" w:sz="8" w:color="auto"/>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4"/>
                <w:szCs w:val="14"/>
                <w:color w:val="auto"/>
              </w:rPr>
              <w:t>Energy Evolution</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ind w:left="180"/>
              <w:spacing w:after="0" w:line="236"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7"/>
                <w:szCs w:val="27"/>
                <w:color w:val="auto"/>
                <w:vertAlign w:val="superscript"/>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D9DCE1"/>
          </w:tcPr>
          <w:p>
            <w:pPr>
              <w:ind w:left="2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right w:val="single" w:sz="8" w:color="auto"/>
            </w:tcBorders>
            <w:shd w:val="clear" w:color="auto" w:fill="D9DCE1"/>
          </w:tcPr>
          <w:p>
            <w:pPr>
              <w:ind w:lef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highlight w:val="lightGray"/>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highlight w:val="lightGray"/>
              </w:rPr>
              <w:t>​</w:t>
            </w: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highlight w:val="lightGray"/>
              </w:rPr>
              <w:t>​</w:t>
            </w:r>
          </w:p>
        </w:tc>
        <w:tc>
          <w:tcPr>
            <w:tcW w:w="18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highlight w:val="lightGray"/>
                <w:w w:val="85"/>
              </w:rPr>
              <w:t>✓</w:t>
            </w: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D9DCE1"/>
          </w:tcPr>
          <w:p>
            <w:pPr>
              <w:jc w:val="right"/>
              <w:ind w:right="50"/>
              <w:spacing w:after="0"/>
              <w:rPr>
                <w:sz w:val="20"/>
                <w:szCs w:val="20"/>
                <w:color w:val="auto"/>
              </w:rPr>
            </w:pPr>
            <w:r>
              <w:rPr>
                <w:rFonts w:ascii="Arial" w:cs="Arial" w:eastAsia="Arial" w:hAnsi="Arial"/>
                <w:sz w:val="14"/>
                <w:szCs w:val="14"/>
                <w:color w:val="auto"/>
                <w:highlight w:val="lightGray"/>
              </w:rPr>
              <w:t>​</w:t>
            </w:r>
          </w:p>
        </w:tc>
        <w:tc>
          <w:tcPr>
            <w:tcW w:w="340" w:type="dxa"/>
            <w:vAlign w:val="bottom"/>
            <w:tcBorders>
              <w:bottom w:val="single" w:sz="8" w:color="auto"/>
            </w:tcBorders>
            <w:shd w:val="clear" w:color="auto" w:fill="D9DCE1"/>
          </w:tcPr>
          <w:p>
            <w:pPr>
              <w:ind w:left="100"/>
              <w:spacing w:after="0" w:line="236" w:lineRule="exact"/>
              <w:rPr>
                <w:sz w:val="20"/>
                <w:szCs w:val="20"/>
                <w:color w:val="auto"/>
              </w:rPr>
            </w:pPr>
            <w:r>
              <w:rPr>
                <w:rFonts w:ascii="Arial" w:cs="Arial" w:eastAsia="Arial" w:hAnsi="Arial"/>
                <w:sz w:val="14"/>
                <w:szCs w:val="14"/>
                <w:color w:val="auto"/>
                <w:highlight w:val="lightGray"/>
              </w:rPr>
              <w:t>​</w:t>
            </w:r>
            <w:r>
              <w:rPr>
                <w:rFonts w:ascii="MS PGothic" w:cs="MS PGothic" w:eastAsia="MS PGothic" w:hAnsi="MS PGothic"/>
                <w:sz w:val="27"/>
                <w:szCs w:val="27"/>
                <w:color w:val="auto"/>
                <w:highlight w:val="lightGray"/>
                <w:vertAlign w:val="superscript"/>
              </w:rPr>
              <w:t>✓</w:t>
            </w:r>
          </w:p>
        </w:tc>
        <w:tc>
          <w:tcPr>
            <w:tcW w:w="16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4"/>
                <w:szCs w:val="14"/>
                <w:color w:val="auto"/>
                <w:highlight w:val="lightGray"/>
              </w:rPr>
              <w:t>​</w:t>
            </w:r>
          </w:p>
        </w:tc>
        <w:tc>
          <w:tcPr>
            <w:tcW w:w="20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highlight w:val="lightGray"/>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highlight w:val="lightGray"/>
              </w:rPr>
              <w:t>​</w:t>
            </w: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140" w:type="dxa"/>
            <w:vAlign w:val="bottom"/>
            <w:tcBorders>
              <w:bottom w:val="single" w:sz="8" w:color="auto"/>
            </w:tcBorders>
            <w:shd w:val="clear" w:color="auto" w:fill="D9DCE1"/>
          </w:tcPr>
          <w:p>
            <w:pPr>
              <w:ind w:left="20"/>
              <w:spacing w:after="0"/>
              <w:rPr>
                <w:sz w:val="20"/>
                <w:szCs w:val="20"/>
                <w:color w:val="auto"/>
              </w:rPr>
            </w:pPr>
            <w:r>
              <w:rPr>
                <w:rFonts w:ascii="Arial" w:cs="Arial" w:eastAsia="Arial" w:hAnsi="Arial"/>
                <w:sz w:val="14"/>
                <w:szCs w:val="14"/>
                <w:color w:val="auto"/>
                <w:highlight w:val="lightGray"/>
              </w:rPr>
              <w:t>​</w:t>
            </w:r>
          </w:p>
        </w:tc>
        <w:tc>
          <w:tcPr>
            <w:tcW w:w="360" w:type="dxa"/>
            <w:vAlign w:val="bottom"/>
            <w:tcBorders>
              <w:bottom w:val="single" w:sz="8" w:color="auto"/>
            </w:tcBorders>
            <w:shd w:val="clear" w:color="auto" w:fill="D9DCE1"/>
          </w:tcPr>
          <w:p>
            <w:pPr>
              <w:ind w:left="80"/>
              <w:spacing w:after="0" w:line="236" w:lineRule="exact"/>
              <w:rPr>
                <w:sz w:val="20"/>
                <w:szCs w:val="20"/>
                <w:color w:val="auto"/>
              </w:rPr>
            </w:pPr>
            <w:r>
              <w:rPr>
                <w:rFonts w:ascii="Arial" w:cs="Arial" w:eastAsia="Arial" w:hAnsi="Arial"/>
                <w:sz w:val="14"/>
                <w:szCs w:val="14"/>
                <w:color w:val="auto"/>
                <w:highlight w:val="lightGray"/>
              </w:rPr>
              <w:t>​</w:t>
            </w:r>
            <w:r>
              <w:rPr>
                <w:rFonts w:ascii="MS PGothic" w:cs="MS PGothic" w:eastAsia="MS PGothic" w:hAnsi="MS PGothic"/>
                <w:sz w:val="27"/>
                <w:szCs w:val="27"/>
                <w:color w:val="auto"/>
                <w:highlight w:val="lightGray"/>
                <w:vertAlign w:val="superscript"/>
              </w:rPr>
              <w:t>✓</w:t>
            </w:r>
          </w:p>
        </w:tc>
        <w:tc>
          <w:tcPr>
            <w:tcW w:w="80" w:type="dxa"/>
            <w:vAlign w:val="bottom"/>
            <w:tcBorders>
              <w:bottom w:val="single" w:sz="8" w:color="auto"/>
              <w:right w:val="single" w:sz="8" w:color="auto"/>
            </w:tcBorders>
            <w:shd w:val="clear" w:color="auto" w:fill="D9DCE1"/>
          </w:tcPr>
          <w:p>
            <w:pPr>
              <w:spacing w:after="0"/>
              <w:rPr>
                <w:sz w:val="20"/>
                <w:szCs w:val="20"/>
                <w:color w:val="auto"/>
              </w:rPr>
            </w:pPr>
            <w:r>
              <w:rPr>
                <w:rFonts w:ascii="Arial" w:cs="Arial" w:eastAsia="Arial" w:hAnsi="Arial"/>
                <w:sz w:val="14"/>
                <w:szCs w:val="14"/>
                <w:color w:val="auto"/>
                <w:highlight w:val="lightGray"/>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1948815</wp:posOffset>
            </wp:positionH>
            <wp:positionV relativeFrom="paragraph">
              <wp:posOffset>-2134235</wp:posOffset>
            </wp:positionV>
            <wp:extent cx="4646295" cy="257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46295" cy="25717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-1722120</wp:posOffset>
            </wp:positionV>
            <wp:extent cx="4646295" cy="257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46295" cy="25717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-1207770</wp:posOffset>
            </wp:positionV>
            <wp:extent cx="4646295" cy="257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46295" cy="25717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-796925</wp:posOffset>
            </wp:positionV>
            <wp:extent cx="101981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19810" cy="15430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-796925</wp:posOffset>
            </wp:positionV>
            <wp:extent cx="31686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6865" cy="15430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-796925</wp:posOffset>
            </wp:positionV>
            <wp:extent cx="47117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1170" cy="15430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-487680</wp:posOffset>
            </wp:positionV>
            <wp:extent cx="101981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19810" cy="15430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-170815</wp:posOffset>
            </wp:positionV>
            <wp:extent cx="101981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19810" cy="16256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-170815</wp:posOffset>
            </wp:positionV>
            <wp:extent cx="40259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02590" cy="162560"/>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-170815</wp:posOffset>
            </wp:positionV>
            <wp:extent cx="47117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1170" cy="162560"/>
                    </a:xfrm>
                    <a:prstGeom prst="rect">
                      <a:avLst/>
                    </a:prstGeom>
                    <a:noFill/>
                  </pic:spPr>
                </pic:pic>
              </a:graphicData>
            </a:graphic>
          </wp:anchor>
        </w:drawing>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Diversity Matrix</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information is provided pursuant to Nasdaq Listing Rule 5605(f) and 5606: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137795</wp:posOffset>
            </wp:positionV>
            <wp:extent cx="5212080" cy="2888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2080" cy="2888615"/>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Diversity Matrix (As of March 27,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1260" w:type="dxa"/>
            <w:vAlign w:val="bottom"/>
          </w:tcPr>
          <w:p>
            <w:pPr>
              <w:spacing w:after="0"/>
              <w:rPr>
                <w:sz w:val="23"/>
                <w:szCs w:val="23"/>
                <w:color w:val="auto"/>
              </w:rPr>
            </w:pP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 Number of Directors</w:t>
            </w:r>
          </w:p>
        </w:tc>
        <w:tc>
          <w:tcPr>
            <w:tcW w:w="320" w:type="dxa"/>
            <w:vAlign w:val="bottom"/>
            <w:tcBorders>
              <w:bottom w:val="single" w:sz="8" w:color="auto"/>
            </w:tcBorders>
          </w:tcPr>
          <w:p>
            <w:pPr>
              <w:spacing w:after="0"/>
              <w:rPr>
                <w:sz w:val="23"/>
                <w:szCs w:val="23"/>
                <w:color w:val="auto"/>
              </w:rPr>
            </w:pPr>
          </w:p>
        </w:tc>
        <w:tc>
          <w:tcPr>
            <w:tcW w:w="930" w:type="dxa"/>
            <w:vAlign w:val="bottom"/>
            <w:tcBorders>
              <w:bottom w:val="single" w:sz="8" w:color="auto"/>
            </w:tcBorders>
          </w:tcPr>
          <w:p>
            <w:pPr>
              <w:spacing w:after="0"/>
              <w:rPr>
                <w:sz w:val="23"/>
                <w:szCs w:val="23"/>
                <w:color w:val="auto"/>
              </w:rPr>
            </w:pPr>
          </w:p>
        </w:tc>
        <w:tc>
          <w:tcPr>
            <w:tcW w:w="31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12</w:t>
            </w:r>
          </w:p>
        </w:tc>
        <w:tc>
          <w:tcPr>
            <w:tcW w:w="1220" w:type="dxa"/>
            <w:vAlign w:val="bottom"/>
            <w:tcBorders>
              <w:bottom w:val="single" w:sz="8" w:color="auto"/>
            </w:tcBorders>
          </w:tcPr>
          <w:p>
            <w:pPr>
              <w:spacing w:after="0"/>
              <w:rPr>
                <w:sz w:val="23"/>
                <w:szCs w:val="23"/>
                <w:color w:val="auto"/>
              </w:rPr>
            </w:pPr>
          </w:p>
        </w:tc>
        <w:tc>
          <w:tcPr>
            <w:tcW w:w="1280" w:type="dxa"/>
            <w:vAlign w:val="bottom"/>
          </w:tcPr>
          <w:p>
            <w:pPr>
              <w:spacing w:after="0"/>
              <w:rPr>
                <w:sz w:val="23"/>
                <w:szCs w:val="23"/>
                <w:color w:val="auto"/>
              </w:rPr>
            </w:pPr>
          </w:p>
        </w:tc>
      </w:tr>
      <w:tr>
        <w:trPr>
          <w:trHeight w:val="205"/>
        </w:trPr>
        <w:tc>
          <w:tcPr>
            <w:tcW w:w="12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30" w:type="dxa"/>
            <w:vAlign w:val="bottom"/>
          </w:tcPr>
          <w:p>
            <w:pPr>
              <w:spacing w:after="0"/>
              <w:rPr>
                <w:sz w:val="17"/>
                <w:szCs w:val="17"/>
                <w:color w:val="auto"/>
              </w:rPr>
            </w:pPr>
          </w:p>
        </w:tc>
        <w:tc>
          <w:tcPr>
            <w:tcW w:w="31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ind w:left="280"/>
              <w:spacing w:after="0" w:line="205" w:lineRule="exact"/>
              <w:rPr>
                <w:sz w:val="20"/>
                <w:szCs w:val="20"/>
                <w:color w:val="auto"/>
              </w:rPr>
            </w:pPr>
            <w:r>
              <w:rPr>
                <w:rFonts w:ascii="Arial" w:cs="Arial" w:eastAsia="Arial" w:hAnsi="Arial"/>
                <w:sz w:val="18"/>
                <w:szCs w:val="18"/>
                <w:b w:val="1"/>
                <w:bCs w:val="1"/>
                <w:color w:val="auto"/>
              </w:rPr>
              <w:t>Did Not</w:t>
            </w:r>
          </w:p>
        </w:tc>
        <w:tc>
          <w:tcPr>
            <w:tcW w:w="1280" w:type="dxa"/>
            <w:vAlign w:val="bottom"/>
          </w:tcPr>
          <w:p>
            <w:pPr>
              <w:spacing w:after="0"/>
              <w:rPr>
                <w:sz w:val="17"/>
                <w:szCs w:val="17"/>
                <w:color w:val="auto"/>
              </w:rPr>
            </w:pPr>
          </w:p>
        </w:tc>
      </w:tr>
      <w:tr>
        <w:trPr>
          <w:trHeight w:val="248"/>
        </w:trPr>
        <w:tc>
          <w:tcPr>
            <w:tcW w:w="1260" w:type="dxa"/>
            <w:vAlign w:val="bottom"/>
          </w:tcPr>
          <w:p>
            <w:pPr>
              <w:spacing w:after="0"/>
              <w:rPr>
                <w:sz w:val="21"/>
                <w:szCs w:val="21"/>
                <w:color w:val="auto"/>
              </w:rPr>
            </w:pPr>
          </w:p>
        </w:tc>
        <w:tc>
          <w:tcPr>
            <w:tcW w:w="32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930" w:type="dxa"/>
            <w:vAlign w:val="bottom"/>
            <w:tcBorders>
              <w:bottom w:val="single" w:sz="8" w:color="auto"/>
            </w:tcBorders>
          </w:tcPr>
          <w:p>
            <w:pPr>
              <w:jc w:val="center"/>
              <w:ind w:right="20"/>
              <w:spacing w:after="0"/>
              <w:rPr>
                <w:sz w:val="20"/>
                <w:szCs w:val="20"/>
                <w:color w:val="auto"/>
              </w:rPr>
            </w:pPr>
            <w:r>
              <w:rPr>
                <w:rFonts w:ascii="Arial" w:cs="Arial" w:eastAsia="Arial" w:hAnsi="Arial"/>
                <w:sz w:val="18"/>
                <w:szCs w:val="18"/>
                <w:b w:val="1"/>
                <w:bCs w:val="1"/>
                <w:color w:val="auto"/>
                <w:w w:val="99"/>
              </w:rPr>
              <w:t>Female</w:t>
            </w:r>
          </w:p>
        </w:tc>
        <w:tc>
          <w:tcPr>
            <w:tcW w:w="310" w:type="dxa"/>
            <w:vAlign w:val="bottom"/>
            <w:tcBorders>
              <w:bottom w:val="single" w:sz="8" w:color="auto"/>
            </w:tcBorders>
          </w:tcPr>
          <w:p>
            <w:pPr>
              <w:ind w:left="7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Male</w:t>
            </w:r>
          </w:p>
        </w:tc>
        <w:tc>
          <w:tcPr>
            <w:tcW w:w="14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 Non-Binary</w:t>
            </w: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Disclose</w:t>
            </w:r>
          </w:p>
        </w:tc>
        <w:tc>
          <w:tcPr>
            <w:tcW w:w="1280" w:type="dxa"/>
            <w:vAlign w:val="bottom"/>
          </w:tcPr>
          <w:p>
            <w:pPr>
              <w:spacing w:after="0"/>
              <w:rPr>
                <w:sz w:val="21"/>
                <w:szCs w:val="21"/>
                <w:color w:val="auto"/>
              </w:rPr>
            </w:pPr>
          </w:p>
        </w:tc>
      </w:tr>
      <w:tr>
        <w:trPr>
          <w:trHeight w:val="249"/>
        </w:trPr>
        <w:tc>
          <w:tcPr>
            <w:tcW w:w="1260" w:type="dxa"/>
            <w:vAlign w:val="bottom"/>
          </w:tcPr>
          <w:p>
            <w:pPr>
              <w:spacing w:after="0"/>
              <w:rPr>
                <w:sz w:val="21"/>
                <w:szCs w:val="21"/>
                <w:color w:val="auto"/>
              </w:rPr>
            </w:pP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Part I: Gender Identity</w:t>
            </w:r>
          </w:p>
        </w:tc>
        <w:tc>
          <w:tcPr>
            <w:tcW w:w="320" w:type="dxa"/>
            <w:vAlign w:val="bottom"/>
            <w:tcBorders>
              <w:bottom w:val="single" w:sz="8" w:color="auto"/>
            </w:tcBorders>
          </w:tcPr>
          <w:p>
            <w:pPr>
              <w:spacing w:after="0"/>
              <w:rPr>
                <w:sz w:val="21"/>
                <w:szCs w:val="21"/>
                <w:color w:val="auto"/>
              </w:rPr>
            </w:pPr>
          </w:p>
        </w:tc>
        <w:tc>
          <w:tcPr>
            <w:tcW w:w="930" w:type="dxa"/>
            <w:vAlign w:val="bottom"/>
            <w:tcBorders>
              <w:bottom w:val="single" w:sz="8" w:color="auto"/>
            </w:tcBorders>
          </w:tcPr>
          <w:p>
            <w:pPr>
              <w:spacing w:after="0"/>
              <w:rPr>
                <w:sz w:val="21"/>
                <w:szCs w:val="21"/>
                <w:color w:val="auto"/>
              </w:rPr>
            </w:pPr>
          </w:p>
        </w:tc>
        <w:tc>
          <w:tcPr>
            <w:tcW w:w="31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80" w:type="dxa"/>
            <w:vAlign w:val="bottom"/>
          </w:tcPr>
          <w:p>
            <w:pPr>
              <w:spacing w:after="0"/>
              <w:rPr>
                <w:sz w:val="21"/>
                <w:szCs w:val="21"/>
                <w:color w:val="auto"/>
              </w:rPr>
            </w:pPr>
          </w:p>
        </w:tc>
      </w:tr>
      <w:tr>
        <w:trPr>
          <w:trHeight w:val="246"/>
        </w:trPr>
        <w:tc>
          <w:tcPr>
            <w:tcW w:w="1260" w:type="dxa"/>
            <w:vAlign w:val="bottom"/>
          </w:tcPr>
          <w:p>
            <w:pPr>
              <w:spacing w:after="0"/>
              <w:rPr>
                <w:sz w:val="21"/>
                <w:szCs w:val="21"/>
                <w:color w:val="auto"/>
              </w:rPr>
            </w:pP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Directors</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930" w:type="dxa"/>
            <w:vAlign w:val="bottom"/>
            <w:tcBorders>
              <w:bottom w:val="single" w:sz="8" w:color="auto"/>
            </w:tcBorders>
          </w:tcPr>
          <w:p>
            <w:pPr>
              <w:jc w:val="center"/>
              <w:ind w:right="20"/>
              <w:spacing w:after="0"/>
              <w:rPr>
                <w:sz w:val="20"/>
                <w:szCs w:val="20"/>
                <w:color w:val="auto"/>
              </w:rPr>
            </w:pPr>
            <w:r>
              <w:rPr>
                <w:rFonts w:ascii="Arial" w:cs="Arial" w:eastAsia="Arial" w:hAnsi="Arial"/>
                <w:sz w:val="18"/>
                <w:szCs w:val="18"/>
                <w:color w:val="auto"/>
                <w:w w:val="99"/>
              </w:rPr>
              <w:t>2</w:t>
            </w:r>
          </w:p>
        </w:tc>
        <w:tc>
          <w:tcPr>
            <w:tcW w:w="310" w:type="dxa"/>
            <w:vAlign w:val="bottom"/>
            <w:tcBorders>
              <w:bottom w:val="single" w:sz="8" w:color="auto"/>
            </w:tcBorders>
          </w:tcPr>
          <w:p>
            <w:pPr>
              <w:ind w:lef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10</w:t>
            </w:r>
          </w:p>
        </w:tc>
        <w:tc>
          <w:tcPr>
            <w:tcW w:w="1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r>
      <w:tr>
        <w:trPr>
          <w:trHeight w:val="254"/>
        </w:trPr>
        <w:tc>
          <w:tcPr>
            <w:tcW w:w="1260" w:type="dxa"/>
            <w:vAlign w:val="bottom"/>
          </w:tcPr>
          <w:p>
            <w:pPr>
              <w:spacing w:after="0"/>
              <w:rPr>
                <w:sz w:val="22"/>
                <w:szCs w:val="22"/>
                <w:color w:val="auto"/>
              </w:rPr>
            </w:pP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Part II: Demographic Background</w:t>
            </w:r>
          </w:p>
        </w:tc>
        <w:tc>
          <w:tcPr>
            <w:tcW w:w="320" w:type="dxa"/>
            <w:vAlign w:val="bottom"/>
            <w:tcBorders>
              <w:bottom w:val="single" w:sz="8" w:color="auto"/>
            </w:tcBorders>
          </w:tcPr>
          <w:p>
            <w:pPr>
              <w:spacing w:after="0"/>
              <w:rPr>
                <w:sz w:val="22"/>
                <w:szCs w:val="22"/>
                <w:color w:val="auto"/>
              </w:rPr>
            </w:pPr>
          </w:p>
        </w:tc>
        <w:tc>
          <w:tcPr>
            <w:tcW w:w="930" w:type="dxa"/>
            <w:vAlign w:val="bottom"/>
            <w:tcBorders>
              <w:bottom w:val="single" w:sz="8" w:color="auto"/>
            </w:tcBorders>
          </w:tcPr>
          <w:p>
            <w:pPr>
              <w:spacing w:after="0"/>
              <w:rPr>
                <w:sz w:val="22"/>
                <w:szCs w:val="22"/>
                <w:color w:val="auto"/>
              </w:rPr>
            </w:pPr>
          </w:p>
        </w:tc>
        <w:tc>
          <w:tcPr>
            <w:tcW w:w="31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80" w:type="dxa"/>
            <w:vAlign w:val="bottom"/>
          </w:tcPr>
          <w:p>
            <w:pPr>
              <w:spacing w:after="0"/>
              <w:rPr>
                <w:sz w:val="22"/>
                <w:szCs w:val="22"/>
                <w:color w:val="auto"/>
              </w:rPr>
            </w:pPr>
          </w:p>
        </w:tc>
      </w:tr>
      <w:tr>
        <w:trPr>
          <w:trHeight w:val="246"/>
        </w:trPr>
        <w:tc>
          <w:tcPr>
            <w:tcW w:w="1260" w:type="dxa"/>
            <w:vAlign w:val="bottom"/>
          </w:tcPr>
          <w:p>
            <w:pPr>
              <w:spacing w:after="0"/>
              <w:rPr>
                <w:sz w:val="21"/>
                <w:szCs w:val="21"/>
                <w:color w:val="auto"/>
              </w:rPr>
            </w:pP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African American or Black</w:t>
            </w:r>
          </w:p>
        </w:tc>
        <w:tc>
          <w:tcPr>
            <w:tcW w:w="320" w:type="dxa"/>
            <w:vAlign w:val="bottom"/>
            <w:tcBorders>
              <w:bottom w:val="single" w:sz="8" w:color="auto"/>
            </w:tcBorders>
          </w:tcPr>
          <w:p>
            <w:pPr>
              <w:spacing w:after="0"/>
              <w:rPr>
                <w:sz w:val="21"/>
                <w:szCs w:val="21"/>
                <w:color w:val="auto"/>
              </w:rPr>
            </w:pPr>
          </w:p>
        </w:tc>
        <w:tc>
          <w:tcPr>
            <w:tcW w:w="930" w:type="dxa"/>
            <w:vAlign w:val="bottom"/>
            <w:tcBorders>
              <w:bottom w:val="single" w:sz="8" w:color="auto"/>
            </w:tcBorders>
          </w:tcPr>
          <w:p>
            <w:pPr>
              <w:spacing w:after="0"/>
              <w:rPr>
                <w:sz w:val="21"/>
                <w:szCs w:val="21"/>
                <w:color w:val="auto"/>
              </w:rPr>
            </w:pPr>
          </w:p>
        </w:tc>
        <w:tc>
          <w:tcPr>
            <w:tcW w:w="31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Alaskan Native or Native American</w:t>
            </w:r>
          </w:p>
        </w:tc>
        <w:tc>
          <w:tcPr>
            <w:tcW w:w="320" w:type="dxa"/>
            <w:vAlign w:val="bottom"/>
            <w:tcBorders>
              <w:bottom w:val="single" w:sz="8" w:color="auto"/>
            </w:tcBorders>
          </w:tcPr>
          <w:p>
            <w:pPr>
              <w:spacing w:after="0"/>
              <w:rPr>
                <w:sz w:val="21"/>
                <w:szCs w:val="21"/>
                <w:color w:val="auto"/>
              </w:rPr>
            </w:pPr>
          </w:p>
        </w:tc>
        <w:tc>
          <w:tcPr>
            <w:tcW w:w="930" w:type="dxa"/>
            <w:vAlign w:val="bottom"/>
            <w:tcBorders>
              <w:bottom w:val="single" w:sz="8" w:color="auto"/>
            </w:tcBorders>
          </w:tcPr>
          <w:p>
            <w:pPr>
              <w:spacing w:after="0"/>
              <w:rPr>
                <w:sz w:val="21"/>
                <w:szCs w:val="21"/>
                <w:color w:val="auto"/>
              </w:rPr>
            </w:pPr>
          </w:p>
        </w:tc>
        <w:tc>
          <w:tcPr>
            <w:tcW w:w="31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Asian</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930" w:type="dxa"/>
            <w:vAlign w:val="bottom"/>
            <w:tcBorders>
              <w:bottom w:val="single" w:sz="8" w:color="auto"/>
            </w:tcBorders>
          </w:tcPr>
          <w:p>
            <w:pPr>
              <w:spacing w:after="0"/>
              <w:rPr>
                <w:sz w:val="21"/>
                <w:szCs w:val="21"/>
                <w:color w:val="auto"/>
              </w:rPr>
            </w:pPr>
          </w:p>
        </w:tc>
        <w:tc>
          <w:tcPr>
            <w:tcW w:w="310" w:type="dxa"/>
            <w:vAlign w:val="bottom"/>
            <w:tcBorders>
              <w:bottom w:val="single" w:sz="8" w:color="auto"/>
            </w:tcBorders>
          </w:tcPr>
          <w:p>
            <w:pPr>
              <w:ind w:lef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Hispanic or Latinx</w:t>
            </w:r>
          </w:p>
        </w:tc>
        <w:tc>
          <w:tcPr>
            <w:tcW w:w="320" w:type="dxa"/>
            <w:vAlign w:val="bottom"/>
            <w:tcBorders>
              <w:bottom w:val="single" w:sz="8" w:color="auto"/>
            </w:tcBorders>
          </w:tcPr>
          <w:p>
            <w:pPr>
              <w:spacing w:after="0"/>
              <w:rPr>
                <w:sz w:val="21"/>
                <w:szCs w:val="21"/>
                <w:color w:val="auto"/>
              </w:rPr>
            </w:pPr>
          </w:p>
        </w:tc>
        <w:tc>
          <w:tcPr>
            <w:tcW w:w="930" w:type="dxa"/>
            <w:vAlign w:val="bottom"/>
            <w:tcBorders>
              <w:bottom w:val="single" w:sz="8" w:color="auto"/>
            </w:tcBorders>
          </w:tcPr>
          <w:p>
            <w:pPr>
              <w:spacing w:after="0"/>
              <w:rPr>
                <w:sz w:val="21"/>
                <w:szCs w:val="21"/>
                <w:color w:val="auto"/>
              </w:rPr>
            </w:pPr>
          </w:p>
        </w:tc>
        <w:tc>
          <w:tcPr>
            <w:tcW w:w="31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Native Hawaiian or Pacific Islander</w:t>
            </w:r>
          </w:p>
        </w:tc>
        <w:tc>
          <w:tcPr>
            <w:tcW w:w="320" w:type="dxa"/>
            <w:vAlign w:val="bottom"/>
            <w:tcBorders>
              <w:bottom w:val="single" w:sz="8" w:color="auto"/>
            </w:tcBorders>
          </w:tcPr>
          <w:p>
            <w:pPr>
              <w:spacing w:after="0"/>
              <w:rPr>
                <w:sz w:val="21"/>
                <w:szCs w:val="21"/>
                <w:color w:val="auto"/>
              </w:rPr>
            </w:pPr>
          </w:p>
        </w:tc>
        <w:tc>
          <w:tcPr>
            <w:tcW w:w="930" w:type="dxa"/>
            <w:vAlign w:val="bottom"/>
            <w:tcBorders>
              <w:bottom w:val="single" w:sz="8" w:color="auto"/>
            </w:tcBorders>
          </w:tcPr>
          <w:p>
            <w:pPr>
              <w:spacing w:after="0"/>
              <w:rPr>
                <w:sz w:val="21"/>
                <w:szCs w:val="21"/>
                <w:color w:val="auto"/>
              </w:rPr>
            </w:pPr>
          </w:p>
        </w:tc>
        <w:tc>
          <w:tcPr>
            <w:tcW w:w="31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White</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930" w:type="dxa"/>
            <w:vAlign w:val="bottom"/>
            <w:tcBorders>
              <w:bottom w:val="single" w:sz="8" w:color="auto"/>
            </w:tcBorders>
          </w:tcPr>
          <w:p>
            <w:pPr>
              <w:jc w:val="center"/>
              <w:ind w:right="20"/>
              <w:spacing w:after="0"/>
              <w:rPr>
                <w:sz w:val="20"/>
                <w:szCs w:val="20"/>
                <w:color w:val="auto"/>
              </w:rPr>
            </w:pPr>
            <w:r>
              <w:rPr>
                <w:rFonts w:ascii="Arial" w:cs="Arial" w:eastAsia="Arial" w:hAnsi="Arial"/>
                <w:sz w:val="18"/>
                <w:szCs w:val="18"/>
                <w:color w:val="auto"/>
                <w:w w:val="99"/>
              </w:rPr>
              <w:t>2</w:t>
            </w:r>
          </w:p>
        </w:tc>
        <w:tc>
          <w:tcPr>
            <w:tcW w:w="310" w:type="dxa"/>
            <w:vAlign w:val="bottom"/>
            <w:tcBorders>
              <w:bottom w:val="single" w:sz="8" w:color="auto"/>
            </w:tcBorders>
          </w:tcPr>
          <w:p>
            <w:pPr>
              <w:ind w:lef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Two or More Races or Ethnicities</w:t>
            </w:r>
          </w:p>
        </w:tc>
        <w:tc>
          <w:tcPr>
            <w:tcW w:w="320" w:type="dxa"/>
            <w:vAlign w:val="bottom"/>
            <w:tcBorders>
              <w:bottom w:val="single" w:sz="8" w:color="auto"/>
            </w:tcBorders>
          </w:tcPr>
          <w:p>
            <w:pPr>
              <w:spacing w:after="0"/>
              <w:rPr>
                <w:sz w:val="21"/>
                <w:szCs w:val="21"/>
                <w:color w:val="auto"/>
              </w:rPr>
            </w:pPr>
          </w:p>
        </w:tc>
        <w:tc>
          <w:tcPr>
            <w:tcW w:w="930" w:type="dxa"/>
            <w:vAlign w:val="bottom"/>
            <w:tcBorders>
              <w:bottom w:val="single" w:sz="8" w:color="auto"/>
            </w:tcBorders>
          </w:tcPr>
          <w:p>
            <w:pPr>
              <w:spacing w:after="0"/>
              <w:rPr>
                <w:sz w:val="21"/>
                <w:szCs w:val="21"/>
                <w:color w:val="auto"/>
              </w:rPr>
            </w:pPr>
          </w:p>
        </w:tc>
        <w:tc>
          <w:tcPr>
            <w:tcW w:w="31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LGBTQ+</w:t>
            </w:r>
          </w:p>
        </w:tc>
        <w:tc>
          <w:tcPr>
            <w:tcW w:w="320" w:type="dxa"/>
            <w:vAlign w:val="bottom"/>
            <w:tcBorders>
              <w:bottom w:val="single" w:sz="8" w:color="auto"/>
            </w:tcBorders>
          </w:tcPr>
          <w:p>
            <w:pPr>
              <w:spacing w:after="0"/>
              <w:rPr>
                <w:sz w:val="21"/>
                <w:szCs w:val="21"/>
                <w:color w:val="auto"/>
              </w:rPr>
            </w:pPr>
          </w:p>
        </w:tc>
        <w:tc>
          <w:tcPr>
            <w:tcW w:w="930" w:type="dxa"/>
            <w:vAlign w:val="bottom"/>
            <w:tcBorders>
              <w:bottom w:val="single" w:sz="8" w:color="auto"/>
            </w:tcBorders>
          </w:tcPr>
          <w:p>
            <w:pPr>
              <w:spacing w:after="0"/>
              <w:rPr>
                <w:sz w:val="21"/>
                <w:szCs w:val="21"/>
                <w:color w:val="auto"/>
              </w:rPr>
            </w:pPr>
          </w:p>
        </w:tc>
        <w:tc>
          <w:tcPr>
            <w:tcW w:w="31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80" w:type="dxa"/>
            <w:vAlign w:val="bottom"/>
          </w:tcPr>
          <w:p>
            <w:pPr>
              <w:spacing w:after="0"/>
              <w:rPr>
                <w:sz w:val="21"/>
                <w:szCs w:val="21"/>
                <w:color w:val="auto"/>
              </w:rPr>
            </w:pPr>
          </w:p>
        </w:tc>
      </w:tr>
      <w:tr>
        <w:trPr>
          <w:trHeight w:val="209"/>
        </w:trPr>
        <w:tc>
          <w:tcPr>
            <w:tcW w:w="1260" w:type="dxa"/>
            <w:vAlign w:val="bottom"/>
          </w:tcPr>
          <w:p>
            <w:pPr>
              <w:spacing w:after="0"/>
              <w:rPr>
                <w:sz w:val="18"/>
                <w:szCs w:val="18"/>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auto"/>
              </w:rPr>
              <w:t>Did Not Disclose Demographic</w:t>
            </w:r>
          </w:p>
        </w:tc>
        <w:tc>
          <w:tcPr>
            <w:tcW w:w="32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31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9"/>
        </w:trPr>
        <w:tc>
          <w:tcPr>
            <w:tcW w:w="1260" w:type="dxa"/>
            <w:vAlign w:val="bottom"/>
          </w:tcPr>
          <w:p>
            <w:pPr>
              <w:spacing w:after="0"/>
              <w:rPr>
                <w:sz w:val="20"/>
                <w:szCs w:val="20"/>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auto"/>
              </w:rPr>
              <w:t>Background</w:t>
            </w:r>
          </w:p>
        </w:tc>
        <w:tc>
          <w:tcPr>
            <w:tcW w:w="320" w:type="dxa"/>
            <w:vAlign w:val="bottom"/>
          </w:tcPr>
          <w:p>
            <w:pPr>
              <w:spacing w:after="0"/>
              <w:rPr>
                <w:sz w:val="20"/>
                <w:szCs w:val="20"/>
                <w:color w:val="auto"/>
              </w:rPr>
            </w:pPr>
          </w:p>
        </w:tc>
        <w:tc>
          <w:tcPr>
            <w:tcW w:w="930" w:type="dxa"/>
            <w:vAlign w:val="bottom"/>
          </w:tcPr>
          <w:p>
            <w:pPr>
              <w:spacing w:after="0"/>
              <w:rPr>
                <w:sz w:val="20"/>
                <w:szCs w:val="20"/>
                <w:color w:val="auto"/>
              </w:rPr>
            </w:pPr>
          </w:p>
        </w:tc>
        <w:tc>
          <w:tcPr>
            <w:tcW w:w="31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7"/>
        </w:trPr>
        <w:tc>
          <w:tcPr>
            <w:tcW w:w="1260" w:type="dxa"/>
            <w:vAlign w:val="bottom"/>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30" w:type="dxa"/>
            <w:vAlign w:val="bottom"/>
            <w:tcBorders>
              <w:bottom w:val="single" w:sz="8" w:color="auto"/>
            </w:tcBorders>
          </w:tcPr>
          <w:p>
            <w:pPr>
              <w:spacing w:after="0"/>
              <w:rPr>
                <w:sz w:val="3"/>
                <w:szCs w:val="3"/>
                <w:color w:val="auto"/>
              </w:rPr>
            </w:pPr>
          </w:p>
        </w:tc>
        <w:tc>
          <w:tcPr>
            <w:tcW w:w="31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80" w:type="dxa"/>
            <w:vAlign w:val="bottom"/>
          </w:tcPr>
          <w:p>
            <w:pPr>
              <w:spacing w:after="0"/>
              <w:rPr>
                <w:sz w:val="3"/>
                <w:szCs w:val="3"/>
                <w:color w:val="auto"/>
              </w:rPr>
            </w:pPr>
          </w:p>
        </w:tc>
      </w:tr>
      <w:tr>
        <w:trPr>
          <w:trHeight w:val="605"/>
        </w:trPr>
        <w:tc>
          <w:tcPr>
            <w:tcW w:w="1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0" w:type="dxa"/>
            <w:vAlign w:val="bottom"/>
          </w:tcPr>
          <w:p>
            <w:pPr>
              <w:jc w:val="right"/>
              <w:ind w:right="220"/>
              <w:spacing w:after="0"/>
              <w:rPr>
                <w:sz w:val="20"/>
                <w:szCs w:val="20"/>
                <w:color w:val="auto"/>
              </w:rPr>
            </w:pPr>
            <w:r>
              <w:rPr>
                <w:rFonts w:ascii="Arial" w:cs="Arial" w:eastAsia="Arial" w:hAnsi="Arial"/>
                <w:sz w:val="18"/>
                <w:szCs w:val="18"/>
                <w:color w:val="auto"/>
              </w:rPr>
              <w:t>17</w:t>
            </w:r>
          </w:p>
        </w:tc>
        <w:tc>
          <w:tcPr>
            <w:tcW w:w="31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5"/>
        </w:trPr>
        <w:tc>
          <w:tcPr>
            <w:tcW w:w="12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30" w:type="dxa"/>
            <w:vAlign w:val="bottom"/>
            <w:tcBorders>
              <w:bottom w:val="single" w:sz="8" w:color="9A9A9A"/>
            </w:tcBorders>
          </w:tcPr>
          <w:p>
            <w:pPr>
              <w:spacing w:after="0"/>
              <w:rPr>
                <w:sz w:val="24"/>
                <w:szCs w:val="24"/>
                <w:color w:val="auto"/>
              </w:rPr>
            </w:pPr>
          </w:p>
        </w:tc>
        <w:tc>
          <w:tcPr>
            <w:tcW w:w="31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I Directors Standing for Election at the PAA and PAGP Annual Meetings</w:t>
      </w:r>
    </w:p>
    <w:p>
      <w:pPr>
        <w:spacing w:after="0" w:line="158" w:lineRule="exact"/>
        <w:rPr>
          <w:sz w:val="20"/>
          <w:szCs w:val="20"/>
          <w:color w:val="auto"/>
        </w:rPr>
      </w:pPr>
    </w:p>
    <w:p>
      <w:pPr>
        <w:ind w:left="1260" w:right="519" w:firstLine="360"/>
        <w:spacing w:after="0" w:line="246" w:lineRule="auto"/>
        <w:rPr>
          <w:sz w:val="20"/>
          <w:szCs w:val="20"/>
          <w:color w:val="auto"/>
        </w:rPr>
      </w:pPr>
      <w:r>
        <w:rPr>
          <w:rFonts w:ascii="Arial" w:cs="Arial" w:eastAsia="Arial" w:hAnsi="Arial"/>
          <w:sz w:val="18"/>
          <w:szCs w:val="18"/>
          <w:color w:val="auto"/>
        </w:rPr>
        <w:t>The Board has nominated Mr. Chiang, Ms. DeSanctis, Ms. Pruner and Mr. Ziemba, current Class I directors, for election at the PAA and PAGP Annual Meetings. Each nominee has consented to serve if elected and, if elected, will serve until the 2026 annual meeting, subject to their earlier resignation, death or removal. If any of the nominees becomes unavailable to serve as a director prior to the PAA and PAGP Annual Meetings, the Board may designate a substitute nominee, or the Board may decide to reduce the size of the Board. In the case of a substitute nominee, the persons named as proxies will vote for the substitute nominee designated by the Board.</w:t>
      </w:r>
    </w:p>
    <w:p>
      <w:pPr>
        <w:spacing w:after="0" w:line="147" w:lineRule="exact"/>
        <w:rPr>
          <w:sz w:val="20"/>
          <w:szCs w:val="20"/>
          <w:color w:val="auto"/>
        </w:rPr>
      </w:pPr>
    </w:p>
    <w:tbl>
      <w:tblPr>
        <w:tblLayout w:type="fixed"/>
        <w:tblInd w:w="1270" w:type="dxa"/>
        <w:tblCellMar>
          <w:top w:w="0" w:type="dxa"/>
          <w:left w:w="0" w:type="dxa"/>
          <w:bottom w:w="0" w:type="dxa"/>
          <w:right w:w="0" w:type="dxa"/>
        </w:tblCellMar>
      </w:tblPr>
      <w:tr>
        <w:trPr>
          <w:trHeight w:val="283"/>
        </w:trPr>
        <w:tc>
          <w:tcPr>
            <w:tcW w:w="190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WILLIE CHIANG</w:t>
            </w:r>
          </w:p>
        </w:tc>
        <w:tc>
          <w:tcPr>
            <w:tcW w:w="36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Willie Chiang, age 62, </w:t>
            </w:r>
            <w:r>
              <w:rPr>
                <w:rFonts w:ascii="Arial" w:cs="Arial" w:eastAsia="Arial" w:hAnsi="Arial"/>
                <w:sz w:val="16"/>
                <w:szCs w:val="16"/>
                <w:color w:val="auto"/>
              </w:rPr>
              <w:t>has served as a director</w:t>
            </w:r>
          </w:p>
        </w:tc>
        <w:tc>
          <w:tcPr>
            <w:tcW w:w="264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48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6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of PAGP GP since February 2017, as Chief</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9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Not Independent</w:t>
            </w:r>
          </w:p>
        </w:tc>
        <w:tc>
          <w:tcPr>
            <w:tcW w:w="3680" w:type="dxa"/>
            <w:vAlign w:val="bottom"/>
            <w:tcBorders>
              <w:right w:val="single" w:sz="8" w:color="auto"/>
            </w:tcBorders>
            <w:vMerge w:val="continue"/>
          </w:tcPr>
          <w:p>
            <w:pPr>
              <w:spacing w:after="0"/>
              <w:rPr>
                <w:sz w:val="13"/>
                <w:szCs w:val="13"/>
                <w:color w:val="auto"/>
              </w:rPr>
            </w:pP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gridSpan w:val="3"/>
            <w:vMerge w:val="continue"/>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Executive Officer of PAGP GP and GP LLC since</w:t>
            </w:r>
          </w:p>
        </w:tc>
        <w:tc>
          <w:tcPr>
            <w:tcW w:w="180" w:type="dxa"/>
            <w:vAlign w:val="bottom"/>
            <w:gridSpan w:val="2"/>
            <w:vMerge w:val="continue"/>
          </w:tcPr>
          <w:p>
            <w:pPr>
              <w:spacing w:after="0"/>
              <w:rPr>
                <w:sz w:val="15"/>
                <w:szCs w:val="15"/>
                <w:color w:val="auto"/>
              </w:rPr>
            </w:pPr>
          </w:p>
        </w:tc>
        <w:tc>
          <w:tcPr>
            <w:tcW w:w="24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October 2018 and as Chairman of the Board</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37"/>
        </w:trPr>
        <w:tc>
          <w:tcPr>
            <w:tcW w:w="480" w:type="dxa"/>
            <w:vAlign w:val="bottom"/>
            <w:tcBorders>
              <w:left w:val="single" w:sz="8" w:color="auto"/>
            </w:tcBorders>
          </w:tcPr>
          <w:p>
            <w:pPr>
              <w:spacing w:after="0"/>
              <w:rPr>
                <w:sz w:val="11"/>
                <w:szCs w:val="11"/>
                <w:color w:val="auto"/>
              </w:rPr>
            </w:pPr>
          </w:p>
        </w:tc>
        <w:tc>
          <w:tcPr>
            <w:tcW w:w="1420" w:type="dxa"/>
            <w:vAlign w:val="bottom"/>
            <w:tcBorders>
              <w:right w:val="single" w:sz="8" w:color="auto"/>
            </w:tcBorders>
            <w:gridSpan w:val="2"/>
          </w:tcPr>
          <w:p>
            <w:pPr>
              <w:jc w:val="center"/>
              <w:ind w:right="440"/>
              <w:spacing w:after="0" w:line="137" w:lineRule="exact"/>
              <w:rPr>
                <w:sz w:val="20"/>
                <w:szCs w:val="20"/>
                <w:color w:val="auto"/>
              </w:rPr>
            </w:pPr>
            <w:r>
              <w:rPr>
                <w:rFonts w:ascii="Arial" w:cs="Arial" w:eastAsia="Arial" w:hAnsi="Arial"/>
                <w:sz w:val="15"/>
                <w:szCs w:val="15"/>
                <w:b w:val="1"/>
                <w:bCs w:val="1"/>
                <w:i w:val="1"/>
                <w:iCs w:val="1"/>
                <w:color w:val="auto"/>
              </w:rPr>
              <w:t>since 2017</w:t>
            </w:r>
          </w:p>
        </w:tc>
        <w:tc>
          <w:tcPr>
            <w:tcW w:w="368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5"/>
                <w:szCs w:val="15"/>
                <w:color w:val="auto"/>
              </w:rPr>
              <w:t>since January 2020. He served as Executive</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60"/>
        </w:trPr>
        <w:tc>
          <w:tcPr>
            <w:tcW w:w="19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Chairman and CEO</w:t>
            </w:r>
          </w:p>
        </w:tc>
        <w:tc>
          <w:tcPr>
            <w:tcW w:w="36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6"/>
                <w:szCs w:val="16"/>
                <w:color w:val="auto"/>
              </w:rPr>
              <w:t>Vice President and Chief Operating Officer of</w:t>
            </w:r>
          </w:p>
        </w:tc>
        <w:tc>
          <w:tcPr>
            <w:tcW w:w="180" w:type="dxa"/>
            <w:vAlign w:val="bottom"/>
            <w:gridSpan w:val="2"/>
            <w:vMerge w:val="continue"/>
          </w:tcPr>
          <w:p>
            <w:pPr>
              <w:spacing w:after="0"/>
              <w:rPr>
                <w:sz w:val="13"/>
                <w:szCs w:val="13"/>
                <w:color w:val="auto"/>
              </w:rPr>
            </w:pPr>
          </w:p>
        </w:tc>
        <w:tc>
          <w:tcPr>
            <w:tcW w:w="246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900" w:type="dxa"/>
            <w:vAlign w:val="bottom"/>
            <w:tcBorders>
              <w:left w:val="single" w:sz="8" w:color="auto"/>
              <w:right w:val="single" w:sz="8" w:color="auto"/>
            </w:tcBorders>
            <w:gridSpan w:val="3"/>
            <w:vMerge w:val="continue"/>
          </w:tcPr>
          <w:p>
            <w:pPr>
              <w:spacing w:after="0"/>
              <w:rPr>
                <w:sz w:val="17"/>
                <w:szCs w:val="17"/>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PAGP GP and GP LLC from January 2018 until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500" w:type="dxa"/>
            <w:vAlign w:val="bottom"/>
            <w:tcBorders>
              <w:right w:val="single" w:sz="8" w:color="auto"/>
            </w:tcBorders>
            <w:vMerge w:val="restart"/>
          </w:tcPr>
          <w:p>
            <w:pPr>
              <w:jc w:val="right"/>
              <w:ind w:right="420"/>
              <w:spacing w:after="0"/>
              <w:rPr>
                <w:sz w:val="20"/>
                <w:szCs w:val="20"/>
                <w:color w:val="auto"/>
              </w:rPr>
            </w:pPr>
            <w:r>
              <w:rPr>
                <w:rFonts w:ascii="Arial" w:cs="Arial" w:eastAsia="Arial" w:hAnsi="Arial"/>
                <w:sz w:val="8"/>
                <w:szCs w:val="8"/>
                <w:b w:val="1"/>
                <w:bCs w:val="1"/>
                <w:color w:val="auto"/>
                <w:w w:val="73"/>
              </w:rPr>
              <w:t>:</w:t>
            </w: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October 2018. He also served as Executive Vice</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Legal/Governance/​Government</w:t>
            </w:r>
          </w:p>
        </w:tc>
        <w:tc>
          <w:tcPr>
            <w:tcW w:w="0" w:type="dxa"/>
            <w:vAlign w:val="bottom"/>
          </w:tcPr>
          <w:p>
            <w:pPr>
              <w:spacing w:after="0"/>
              <w:rPr>
                <w:sz w:val="1"/>
                <w:szCs w:val="1"/>
                <w:color w:val="auto"/>
              </w:rPr>
            </w:pPr>
          </w:p>
        </w:tc>
      </w:tr>
      <w:tr>
        <w:trPr>
          <w:trHeight w:val="93"/>
        </w:trPr>
        <w:tc>
          <w:tcPr>
            <w:tcW w:w="480" w:type="dxa"/>
            <w:vAlign w:val="bottom"/>
            <w:tcBorders>
              <w:left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500" w:type="dxa"/>
            <w:vAlign w:val="bottom"/>
            <w:tcBorders>
              <w:right w:val="single" w:sz="8" w:color="auto"/>
            </w:tcBorders>
            <w:vMerge w:val="continue"/>
          </w:tcPr>
          <w:p>
            <w:pPr>
              <w:spacing w:after="0"/>
              <w:rPr>
                <w:sz w:val="7"/>
                <w:szCs w:val="7"/>
                <w:color w:val="auto"/>
              </w:rPr>
            </w:pPr>
          </w:p>
        </w:tc>
        <w:tc>
          <w:tcPr>
            <w:tcW w:w="36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President and Chief Operating Officer (U.S.) of</w:t>
            </w:r>
          </w:p>
        </w:tc>
        <w:tc>
          <w:tcPr>
            <w:tcW w:w="180" w:type="dxa"/>
            <w:vAlign w:val="bottom"/>
            <w:gridSpan w:val="2"/>
            <w:vMerge w:val="continue"/>
          </w:tcPr>
          <w:p>
            <w:pPr>
              <w:spacing w:after="0"/>
              <w:rPr>
                <w:sz w:val="7"/>
                <w:szCs w:val="7"/>
                <w:color w:val="auto"/>
              </w:rPr>
            </w:pPr>
          </w:p>
        </w:tc>
        <w:tc>
          <w:tcPr>
            <w:tcW w:w="24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36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142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rPr>
              <w:t>None</w:t>
            </w: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PAGP GP and GP LLC from August 2015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480" w:type="dxa"/>
            <w:vAlign w:val="bottom"/>
            <w:tcBorders>
              <w:left w:val="single" w:sz="8" w:color="auto"/>
            </w:tcBorders>
          </w:tcPr>
          <w:p>
            <w:pPr>
              <w:spacing w:after="0"/>
              <w:rPr>
                <w:sz w:val="3"/>
                <w:szCs w:val="3"/>
                <w:color w:val="auto"/>
              </w:rPr>
            </w:pPr>
          </w:p>
        </w:tc>
        <w:tc>
          <w:tcPr>
            <w:tcW w:w="1420" w:type="dxa"/>
            <w:vAlign w:val="bottom"/>
            <w:tcBorders>
              <w:right w:val="single" w:sz="8" w:color="auto"/>
            </w:tcBorders>
            <w:gridSpan w:val="2"/>
            <w:vMerge w:val="continue"/>
          </w:tcPr>
          <w:p>
            <w:pPr>
              <w:spacing w:after="0"/>
              <w:rPr>
                <w:sz w:val="3"/>
                <w:szCs w:val="3"/>
                <w:color w:val="auto"/>
              </w:rPr>
            </w:pPr>
          </w:p>
        </w:tc>
        <w:tc>
          <w:tcPr>
            <w:tcW w:w="36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through December 2017. Prior to joining Plains,</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36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Mr. Chiang served as Executive Vice</w:t>
            </w:r>
          </w:p>
        </w:tc>
        <w:tc>
          <w:tcPr>
            <w:tcW w:w="180" w:type="dxa"/>
            <w:vAlign w:val="bottom"/>
            <w:gridSpan w:val="2"/>
            <w:vMerge w:val="continue"/>
          </w:tcPr>
          <w:p>
            <w:pPr>
              <w:spacing w:after="0"/>
              <w:rPr>
                <w:sz w:val="4"/>
                <w:szCs w:val="4"/>
                <w:color w:val="auto"/>
              </w:rPr>
            </w:pPr>
          </w:p>
        </w:tc>
        <w:tc>
          <w:tcPr>
            <w:tcW w:w="24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48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68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93"/>
        </w:trPr>
        <w:tc>
          <w:tcPr>
            <w:tcW w:w="48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36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President — Operations for Occidental</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36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Petroleum Corporation from 2012 until 2015.</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From 1996 until 2012, he served in various</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positions at ConocoPhillips, including most</w:t>
            </w:r>
          </w:p>
        </w:tc>
        <w:tc>
          <w:tcPr>
            <w:tcW w:w="180" w:type="dxa"/>
            <w:vAlign w:val="bottom"/>
            <w:gridSpan w:val="2"/>
            <w:vMerge w:val="continue"/>
          </w:tcPr>
          <w:p>
            <w:pPr>
              <w:spacing w:after="0"/>
              <w:rPr>
                <w:sz w:val="15"/>
                <w:szCs w:val="15"/>
                <w:color w:val="auto"/>
              </w:rPr>
            </w:pPr>
          </w:p>
        </w:tc>
        <w:tc>
          <w:tcPr>
            <w:tcW w:w="24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recently as Senior Vice President — Refining,</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61"/>
        </w:trPr>
        <w:tc>
          <w:tcPr>
            <w:tcW w:w="48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368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6"/>
                <w:szCs w:val="16"/>
                <w:color w:val="auto"/>
              </w:rPr>
              <w:t>Marketing, Transportation and Commercial. He</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Energy Evolution</w:t>
            </w: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previously served on the boards of DCP</w:t>
            </w:r>
          </w:p>
        </w:tc>
        <w:tc>
          <w:tcPr>
            <w:tcW w:w="180" w:type="dxa"/>
            <w:vAlign w:val="bottom"/>
            <w:gridSpan w:val="2"/>
            <w:vMerge w:val="continue"/>
          </w:tcPr>
          <w:p>
            <w:pPr>
              <w:spacing w:after="0"/>
              <w:rPr>
                <w:sz w:val="15"/>
                <w:szCs w:val="15"/>
                <w:color w:val="auto"/>
              </w:rPr>
            </w:pPr>
          </w:p>
        </w:tc>
        <w:tc>
          <w:tcPr>
            <w:tcW w:w="24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Midstream and Chevron Phillips Chemical. He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serves as chair of the United Way of Greater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Houston and is on the board of Performing Arts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Houston. Mr. Chiang is a member of the Energy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Advisory Council of the Federal Reserve Bank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Dallas and is also involved in a number of</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industry organizations including the American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Petroleum Institute (API), American Fuel &amp;</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Petrochemical Manufacturers (AFPM), National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Petroleum Council and Permian Strategic</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Partnership. He received a BS in Mechanical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Engineering from South Dakota School of Mines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Technology and completed the Advanced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Management Program at the University of</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Pennsylvania. Mr. Chiang’s role as CEO and his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broad experience in the energy industry, together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with his leadership capabilities and strategic</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focus, make him highly qualified to serve on the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8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142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color w:val="auto"/>
                <w:w w:val="98"/>
              </w:rPr>
              <w:t>ELLEN R.</w:t>
            </w: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Ellen R. DeSanctis, age 66</w:t>
            </w:r>
            <w:r>
              <w:rPr>
                <w:rFonts w:ascii="Arial" w:cs="Arial" w:eastAsia="Arial" w:hAnsi="Arial"/>
                <w:sz w:val="16"/>
                <w:szCs w:val="16"/>
                <w:color w:val="auto"/>
              </w:rPr>
              <w:t>, has served as a</w:t>
            </w:r>
          </w:p>
        </w:tc>
        <w:tc>
          <w:tcPr>
            <w:tcW w:w="2640" w:type="dxa"/>
            <w:vAlign w:val="bottom"/>
            <w:tcBorders>
              <w:right w:val="single" w:sz="8" w:color="auto"/>
            </w:tcBorders>
            <w:gridSpan w:val="4"/>
          </w:tcPr>
          <w:p>
            <w:pPr>
              <w:ind w:left="80"/>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480" w:type="dxa"/>
            <w:vAlign w:val="bottom"/>
            <w:tcBorders>
              <w:left w:val="single" w:sz="8" w:color="auto"/>
            </w:tcBorders>
          </w:tcPr>
          <w:p>
            <w:pPr>
              <w:spacing w:after="0" w:line="20" w:lineRule="exact"/>
              <w:rPr>
                <w:sz w:val="1"/>
                <w:szCs w:val="1"/>
                <w:color w:val="auto"/>
              </w:rPr>
            </w:pPr>
          </w:p>
        </w:tc>
        <w:tc>
          <w:tcPr>
            <w:tcW w:w="1420" w:type="dxa"/>
            <w:vAlign w:val="bottom"/>
            <w:tcBorders>
              <w:right w:val="single" w:sz="8" w:color="auto"/>
            </w:tcBorders>
            <w:gridSpan w:val="2"/>
            <w:vMerge w:val="restart"/>
          </w:tcPr>
          <w:p>
            <w:pPr>
              <w:jc w:val="center"/>
              <w:ind w:right="420"/>
              <w:spacing w:after="0" w:line="175" w:lineRule="exact"/>
              <w:rPr>
                <w:sz w:val="20"/>
                <w:szCs w:val="20"/>
                <w:color w:val="auto"/>
              </w:rPr>
            </w:pPr>
            <w:r>
              <w:rPr>
                <w:rFonts w:ascii="Arial" w:cs="Arial" w:eastAsia="Arial" w:hAnsi="Arial"/>
                <w:sz w:val="16"/>
                <w:szCs w:val="16"/>
                <w:b w:val="1"/>
                <w:bCs w:val="1"/>
                <w:color w:val="auto"/>
                <w:w w:val="99"/>
              </w:rPr>
              <w:t>DESANCTIS</w:t>
            </w:r>
          </w:p>
        </w:tc>
        <w:tc>
          <w:tcPr>
            <w:tcW w:w="36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director of PAGP GP since August 2022. She</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0" w:type="dxa"/>
            <w:vAlign w:val="bottom"/>
            <w:tcBorders>
              <w:left w:val="single" w:sz="8" w:color="auto"/>
            </w:tcBorders>
          </w:tcPr>
          <w:p>
            <w:pPr>
              <w:spacing w:after="0"/>
              <w:rPr>
                <w:sz w:val="13"/>
                <w:szCs w:val="13"/>
                <w:color w:val="auto"/>
              </w:rPr>
            </w:pPr>
          </w:p>
        </w:tc>
        <w:tc>
          <w:tcPr>
            <w:tcW w:w="1420" w:type="dxa"/>
            <w:vAlign w:val="bottom"/>
            <w:tcBorders>
              <w:right w:val="single" w:sz="8" w:color="auto"/>
            </w:tcBorders>
            <w:gridSpan w:val="2"/>
            <w:vMerge w:val="continue"/>
          </w:tcPr>
          <w:p>
            <w:pPr>
              <w:spacing w:after="0"/>
              <w:rPr>
                <w:sz w:val="13"/>
                <w:szCs w:val="13"/>
                <w:color w:val="auto"/>
              </w:rPr>
            </w:pPr>
          </w:p>
        </w:tc>
        <w:tc>
          <w:tcPr>
            <w:tcW w:w="3680" w:type="dxa"/>
            <w:vAlign w:val="bottom"/>
            <w:tcBorders>
              <w:right w:val="single" w:sz="8" w:color="auto"/>
            </w:tcBorders>
            <w:vMerge w:val="continue"/>
          </w:tcPr>
          <w:p>
            <w:pPr>
              <w:spacing w:after="0"/>
              <w:rPr>
                <w:sz w:val="13"/>
                <w:szCs w:val="13"/>
                <w:color w:val="auto"/>
              </w:rPr>
            </w:pP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142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b w:val="1"/>
                <w:bCs w:val="1"/>
                <w:color w:val="auto"/>
              </w:rPr>
              <w:t>Independent</w:t>
            </w:r>
          </w:p>
        </w:tc>
        <w:tc>
          <w:tcPr>
            <w:tcW w:w="36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recently served as Senior Vice President of</w:t>
            </w:r>
          </w:p>
        </w:tc>
        <w:tc>
          <w:tcPr>
            <w:tcW w:w="180" w:type="dxa"/>
            <w:vAlign w:val="bottom"/>
            <w:gridSpan w:val="2"/>
            <w:vMerge w:val="continue"/>
          </w:tcPr>
          <w:p>
            <w:pPr>
              <w:spacing w:after="0"/>
              <w:rPr>
                <w:sz w:val="12"/>
                <w:szCs w:val="12"/>
                <w:color w:val="auto"/>
              </w:rPr>
            </w:pPr>
          </w:p>
        </w:tc>
        <w:tc>
          <w:tcPr>
            <w:tcW w:w="24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480" w:type="dxa"/>
            <w:vAlign w:val="bottom"/>
            <w:tcBorders>
              <w:left w:val="single" w:sz="8" w:color="auto"/>
            </w:tcBorders>
          </w:tcPr>
          <w:p>
            <w:pPr>
              <w:spacing w:after="0"/>
              <w:rPr>
                <w:sz w:val="2"/>
                <w:szCs w:val="2"/>
                <w:color w:val="auto"/>
              </w:rPr>
            </w:pPr>
          </w:p>
        </w:tc>
        <w:tc>
          <w:tcPr>
            <w:tcW w:w="1420" w:type="dxa"/>
            <w:vAlign w:val="bottom"/>
            <w:tcBorders>
              <w:right w:val="single" w:sz="8" w:color="auto"/>
            </w:tcBorders>
            <w:gridSpan w:val="2"/>
            <w:vMerge w:val="continue"/>
          </w:tcPr>
          <w:p>
            <w:pPr>
              <w:spacing w:after="0"/>
              <w:rPr>
                <w:sz w:val="2"/>
                <w:szCs w:val="2"/>
                <w:color w:val="auto"/>
              </w:rPr>
            </w:pPr>
          </w:p>
        </w:tc>
        <w:tc>
          <w:tcPr>
            <w:tcW w:w="3680" w:type="dxa"/>
            <w:vAlign w:val="bottom"/>
            <w:tcBorders>
              <w:right w:val="single" w:sz="8" w:color="auto"/>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480" w:type="dxa"/>
            <w:vAlign w:val="bottom"/>
            <w:tcBorders>
              <w:left w:val="single" w:sz="8" w:color="auto"/>
            </w:tcBorders>
          </w:tcPr>
          <w:p>
            <w:pPr>
              <w:spacing w:after="0"/>
              <w:rPr>
                <w:sz w:val="13"/>
                <w:szCs w:val="13"/>
                <w:color w:val="auto"/>
              </w:rPr>
            </w:pPr>
          </w:p>
        </w:tc>
        <w:tc>
          <w:tcPr>
            <w:tcW w:w="1420" w:type="dxa"/>
            <w:vAlign w:val="bottom"/>
            <w:tcBorders>
              <w:right w:val="single" w:sz="8" w:color="auto"/>
            </w:tcBorders>
            <w:gridSpan w:val="2"/>
            <w:vMerge w:val="continue"/>
          </w:tcPr>
          <w:p>
            <w:pPr>
              <w:spacing w:after="0"/>
              <w:rPr>
                <w:sz w:val="13"/>
                <w:szCs w:val="13"/>
                <w:color w:val="auto"/>
              </w:rPr>
            </w:pP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Corporate Relations for ConocoPhillips, where</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3680" w:type="dxa"/>
            <w:vAlign w:val="bottom"/>
            <w:tcBorders>
              <w:right w:val="single" w:sz="8" w:color="auto"/>
            </w:tcBorders>
            <w:vMerge w:val="continue"/>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246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3"/>
        </w:trPr>
        <w:tc>
          <w:tcPr>
            <w:tcW w:w="1900" w:type="dxa"/>
            <w:vAlign w:val="bottom"/>
            <w:tcBorders>
              <w:left w:val="single" w:sz="8" w:color="auto"/>
              <w:right w:val="single" w:sz="8" w:color="auto"/>
            </w:tcBorders>
            <w:gridSpan w:val="3"/>
            <w:vMerge w:val="restart"/>
          </w:tcPr>
          <w:p>
            <w:pPr>
              <w:jc w:val="right"/>
              <w:ind w:right="180"/>
              <w:spacing w:after="0"/>
              <w:rPr>
                <w:sz w:val="20"/>
                <w:szCs w:val="20"/>
                <w:color w:val="auto"/>
              </w:rPr>
            </w:pPr>
            <w:r>
              <w:rPr>
                <w:rFonts w:ascii="Arial" w:cs="Arial" w:eastAsia="Arial" w:hAnsi="Arial"/>
                <w:sz w:val="16"/>
                <w:szCs w:val="16"/>
                <w:b w:val="1"/>
                <w:bCs w:val="1"/>
                <w:i w:val="1"/>
                <w:iCs w:val="1"/>
                <w:color w:val="auto"/>
              </w:rPr>
              <w:t>PAGP/PAA Director</w:t>
            </w: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she worked from 2012 until her retirement in</w:t>
            </w:r>
          </w:p>
        </w:tc>
        <w:tc>
          <w:tcPr>
            <w:tcW w:w="180" w:type="dxa"/>
            <w:vAlign w:val="bottom"/>
            <w:gridSpan w:val="2"/>
            <w:vMerge w:val="continue"/>
          </w:tcPr>
          <w:p>
            <w:pPr>
              <w:spacing w:after="0"/>
              <w:rPr>
                <w:sz w:val="8"/>
                <w:szCs w:val="8"/>
                <w:color w:val="auto"/>
              </w:rPr>
            </w:pPr>
          </w:p>
        </w:tc>
        <w:tc>
          <w:tcPr>
            <w:tcW w:w="24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900" w:type="dxa"/>
            <w:vAlign w:val="bottom"/>
            <w:tcBorders>
              <w:left w:val="single" w:sz="8" w:color="auto"/>
              <w:right w:val="single" w:sz="8" w:color="auto"/>
            </w:tcBorders>
            <w:gridSpan w:val="3"/>
            <w:vMerge w:val="continue"/>
          </w:tcPr>
          <w:p>
            <w:pPr>
              <w:spacing w:after="0"/>
              <w:rPr>
                <w:sz w:val="8"/>
                <w:szCs w:val="8"/>
                <w:color w:val="auto"/>
              </w:rPr>
            </w:pPr>
          </w:p>
        </w:tc>
        <w:tc>
          <w:tcPr>
            <w:tcW w:w="3680" w:type="dxa"/>
            <w:vAlign w:val="bottom"/>
            <w:tcBorders>
              <w:right w:val="single" w:sz="8" w:color="auto"/>
            </w:tcBorders>
            <w:vMerge w:val="continue"/>
          </w:tcPr>
          <w:p>
            <w:pPr>
              <w:spacing w:after="0"/>
              <w:rPr>
                <w:sz w:val="8"/>
                <w:szCs w:val="8"/>
                <w:color w:val="auto"/>
              </w:rPr>
            </w:pP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64"/>
        </w:trPr>
        <w:tc>
          <w:tcPr>
            <w:tcW w:w="480" w:type="dxa"/>
            <w:vAlign w:val="bottom"/>
            <w:tcBorders>
              <w:left w:val="single" w:sz="8" w:color="auto"/>
            </w:tcBorders>
          </w:tcPr>
          <w:p>
            <w:pPr>
              <w:spacing w:after="0"/>
              <w:rPr>
                <w:sz w:val="14"/>
                <w:szCs w:val="14"/>
                <w:color w:val="auto"/>
              </w:rPr>
            </w:pPr>
          </w:p>
        </w:tc>
        <w:tc>
          <w:tcPr>
            <w:tcW w:w="1420" w:type="dxa"/>
            <w:vAlign w:val="bottom"/>
            <w:tcBorders>
              <w:right w:val="single" w:sz="8" w:color="auto"/>
            </w:tcBorders>
            <w:gridSpan w:val="2"/>
          </w:tcPr>
          <w:p>
            <w:pPr>
              <w:jc w:val="center"/>
              <w:ind w:right="440"/>
              <w:spacing w:after="0" w:line="164" w:lineRule="exact"/>
              <w:rPr>
                <w:sz w:val="20"/>
                <w:szCs w:val="20"/>
                <w:color w:val="auto"/>
              </w:rPr>
            </w:pPr>
            <w:r>
              <w:rPr>
                <w:rFonts w:ascii="Arial" w:cs="Arial" w:eastAsia="Arial" w:hAnsi="Arial"/>
                <w:sz w:val="16"/>
                <w:szCs w:val="16"/>
                <w:b w:val="1"/>
                <w:bCs w:val="1"/>
                <w:i w:val="1"/>
                <w:iCs w:val="1"/>
                <w:color w:val="auto"/>
              </w:rPr>
              <w:t>since 2022</w:t>
            </w:r>
          </w:p>
        </w:tc>
        <w:tc>
          <w:tcPr>
            <w:tcW w:w="368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6"/>
                <w:szCs w:val="16"/>
                <w:color w:val="auto"/>
              </w:rPr>
              <w:t>2022. In that capacity, she was responsible for</w:t>
            </w:r>
          </w:p>
        </w:tc>
        <w:tc>
          <w:tcPr>
            <w:tcW w:w="180" w:type="dxa"/>
            <w:vAlign w:val="bottom"/>
            <w:gridSpan w:val="2"/>
            <w:vMerge w:val="continue"/>
          </w:tcPr>
          <w:p>
            <w:pPr>
              <w:spacing w:after="0"/>
              <w:rPr>
                <w:sz w:val="14"/>
                <w:szCs w:val="14"/>
                <w:color w:val="auto"/>
              </w:rPr>
            </w:pPr>
          </w:p>
        </w:tc>
        <w:tc>
          <w:tcPr>
            <w:tcW w:w="246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80" w:type="dxa"/>
            <w:vAlign w:val="bottom"/>
            <w:tcBorders>
              <w:left w:val="single" w:sz="8" w:color="auto"/>
            </w:tcBorders>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500" w:type="dxa"/>
            <w:vAlign w:val="bottom"/>
            <w:tcBorders>
              <w:right w:val="single" w:sz="8" w:color="auto"/>
            </w:tcBorders>
            <w:vMerge w:val="restart"/>
          </w:tcPr>
          <w:p>
            <w:pPr>
              <w:jc w:val="right"/>
              <w:ind w:right="420"/>
              <w:spacing w:after="0"/>
              <w:rPr>
                <w:sz w:val="20"/>
                <w:szCs w:val="20"/>
                <w:color w:val="auto"/>
              </w:rPr>
            </w:pPr>
            <w:r>
              <w:rPr>
                <w:rFonts w:ascii="Arial" w:cs="Arial" w:eastAsia="Arial" w:hAnsi="Arial"/>
                <w:sz w:val="8"/>
                <w:szCs w:val="8"/>
                <w:b w:val="1"/>
                <w:bCs w:val="1"/>
                <w:color w:val="auto"/>
                <w:w w:val="73"/>
              </w:rPr>
              <w:t>:</w:t>
            </w: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investor relations, corporate communications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60"/>
        </w:trPr>
        <w:tc>
          <w:tcPr>
            <w:tcW w:w="480" w:type="dxa"/>
            <w:vAlign w:val="bottom"/>
            <w:tcBorders>
              <w:left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500" w:type="dxa"/>
            <w:vAlign w:val="bottom"/>
            <w:tcBorders>
              <w:right w:val="single" w:sz="8" w:color="auto"/>
            </w:tcBorders>
            <w:vMerge w:val="continue"/>
          </w:tcPr>
          <w:p>
            <w:pPr>
              <w:spacing w:after="0"/>
              <w:rPr>
                <w:sz w:val="13"/>
                <w:szCs w:val="13"/>
                <w:color w:val="auto"/>
              </w:rPr>
            </w:pPr>
          </w:p>
        </w:tc>
        <w:tc>
          <w:tcPr>
            <w:tcW w:w="36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and charitable programs. Prior to ConocoPhillips,</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Legal/Governance/​Government</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8"/>
              </w:rPr>
              <w:t>Audit</w:t>
            </w:r>
          </w:p>
        </w:tc>
        <w:tc>
          <w:tcPr>
            <w:tcW w:w="36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Ms. DeSanctis had responsibility for similar</w:t>
            </w:r>
          </w:p>
        </w:tc>
        <w:tc>
          <w:tcPr>
            <w:tcW w:w="180" w:type="dxa"/>
            <w:vAlign w:val="bottom"/>
            <w:gridSpan w:val="2"/>
            <w:vMerge w:val="continue"/>
          </w:tcPr>
          <w:p>
            <w:pPr>
              <w:spacing w:after="0"/>
              <w:rPr>
                <w:sz w:val="9"/>
                <w:szCs w:val="9"/>
                <w:color w:val="auto"/>
              </w:rPr>
            </w:pPr>
          </w:p>
        </w:tc>
        <w:tc>
          <w:tcPr>
            <w:tcW w:w="24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1420" w:type="dxa"/>
            <w:vAlign w:val="bottom"/>
            <w:tcBorders>
              <w:right w:val="single" w:sz="8" w:color="auto"/>
            </w:tcBorders>
            <w:gridSpan w:val="2"/>
            <w:vMerge w:val="continue"/>
          </w:tcPr>
          <w:p>
            <w:pPr>
              <w:spacing w:after="0"/>
              <w:rPr>
                <w:sz w:val="5"/>
                <w:szCs w:val="5"/>
                <w:color w:val="auto"/>
              </w:rPr>
            </w:pPr>
          </w:p>
        </w:tc>
        <w:tc>
          <w:tcPr>
            <w:tcW w:w="36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1420" w:type="dxa"/>
            <w:vAlign w:val="bottom"/>
            <w:tcBorders>
              <w:right w:val="single" w:sz="8" w:color="auto"/>
            </w:tcBorders>
            <w:gridSpan w:val="2"/>
            <w:vMerge w:val="continue"/>
          </w:tcPr>
          <w:p>
            <w:pPr>
              <w:spacing w:after="0"/>
              <w:rPr>
                <w:sz w:val="12"/>
                <w:szCs w:val="12"/>
                <w:color w:val="auto"/>
              </w:rPr>
            </w:pP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functions, as well as strategic planning roles, for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480" w:type="dxa"/>
            <w:vAlign w:val="bottom"/>
            <w:tcBorders>
              <w:lef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36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gridSpan w:val="2"/>
          </w:tcPr>
          <w:p>
            <w:pPr>
              <w:jc w:val="center"/>
              <w:ind w:right="420"/>
              <w:spacing w:after="0" w:line="175" w:lineRule="exact"/>
              <w:rPr>
                <w:sz w:val="20"/>
                <w:szCs w:val="20"/>
                <w:color w:val="auto"/>
              </w:rPr>
            </w:pPr>
            <w:r>
              <w:rPr>
                <w:rFonts w:ascii="Arial" w:cs="Arial" w:eastAsia="Arial" w:hAnsi="Arial"/>
                <w:sz w:val="16"/>
                <w:szCs w:val="16"/>
                <w:color w:val="auto"/>
              </w:rPr>
              <w:t>HSES</w:t>
            </w: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 number of upstream energy companies,</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36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including Petrohawk Energy Corporation,</w:t>
            </w:r>
          </w:p>
        </w:tc>
        <w:tc>
          <w:tcPr>
            <w:tcW w:w="180" w:type="dxa"/>
            <w:vAlign w:val="bottom"/>
            <w:gridSpan w:val="2"/>
            <w:vMerge w:val="continue"/>
          </w:tcPr>
          <w:p>
            <w:pPr>
              <w:spacing w:after="0"/>
              <w:rPr>
                <w:sz w:val="4"/>
                <w:szCs w:val="4"/>
                <w:color w:val="auto"/>
              </w:rPr>
            </w:pPr>
          </w:p>
        </w:tc>
        <w:tc>
          <w:tcPr>
            <w:tcW w:w="24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68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93"/>
        </w:trPr>
        <w:tc>
          <w:tcPr>
            <w:tcW w:w="48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36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Rosetta Resources, Burlington Resources,</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36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Vastar Resources and ARCO. Ms. DeSanctis</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spent her early career as an engineer for Shell</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Oil Company. Ms. DeSanctis currently serves as</w:t>
            </w:r>
          </w:p>
        </w:tc>
        <w:tc>
          <w:tcPr>
            <w:tcW w:w="180" w:type="dxa"/>
            <w:vAlign w:val="bottom"/>
            <w:gridSpan w:val="2"/>
            <w:vMerge w:val="continue"/>
          </w:tcPr>
          <w:p>
            <w:pPr>
              <w:spacing w:after="0"/>
              <w:rPr>
                <w:sz w:val="15"/>
                <w:szCs w:val="15"/>
                <w:color w:val="auto"/>
              </w:rPr>
            </w:pPr>
          </w:p>
        </w:tc>
        <w:tc>
          <w:tcPr>
            <w:tcW w:w="24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 member of the board of directors of St. Agnes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Academy in Houston and served as past chair of</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the Girl Scouts of San Jacinto Council.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Ms. DeSanctis holds a BA in Geological and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Geophysical Sciences from Princeton University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480" w:type="dxa"/>
            <w:vAlign w:val="bottom"/>
            <w:tcBorders>
              <w:left w:val="single" w:sz="8" w:color="auto"/>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310"/>
        </w:trPr>
        <w:tc>
          <w:tcPr>
            <w:tcW w:w="480" w:type="dxa"/>
            <w:vAlign w:val="bottom"/>
            <w:tcBorders>
              <w:top w:val="single" w:sz="8" w:color="auto"/>
              <w:left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00" w:type="dxa"/>
            <w:vAlign w:val="bottom"/>
            <w:tcBorders>
              <w:top w:val="single" w:sz="8" w:color="auto"/>
              <w:right w:val="single" w:sz="8" w:color="auto"/>
            </w:tcBorders>
          </w:tcPr>
          <w:p>
            <w:pPr>
              <w:spacing w:after="0"/>
              <w:rPr>
                <w:sz w:val="24"/>
                <w:szCs w:val="24"/>
                <w:color w:val="auto"/>
              </w:rPr>
            </w:pPr>
          </w:p>
        </w:tc>
        <w:tc>
          <w:tcPr>
            <w:tcW w:w="36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an MBA from UCLA. The Board has determined</w:t>
            </w:r>
          </w:p>
        </w:tc>
        <w:tc>
          <w:tcPr>
            <w:tcW w:w="1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that Ms. DeSanctis is “independent” under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applicable Nasdaq and SEC rules.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Ms. DeSanctis’s diverse, strategic and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stakeholder-focused background brings a</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valuable perspective to the Board.</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9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ALEXANDRA D.</w:t>
            </w: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Alexandra D. Pruner, age 61, </w:t>
            </w:r>
            <w:r>
              <w:rPr>
                <w:rFonts w:ascii="Arial" w:cs="Arial" w:eastAsia="Arial" w:hAnsi="Arial"/>
                <w:sz w:val="16"/>
                <w:szCs w:val="16"/>
                <w:color w:val="auto"/>
              </w:rPr>
              <w:t>has served as a</w:t>
            </w:r>
          </w:p>
        </w:tc>
        <w:tc>
          <w:tcPr>
            <w:tcW w:w="2640" w:type="dxa"/>
            <w:vAlign w:val="bottom"/>
            <w:tcBorders>
              <w:right w:val="single" w:sz="8" w:color="auto"/>
            </w:tcBorders>
            <w:gridSpan w:val="4"/>
          </w:tcPr>
          <w:p>
            <w:pPr>
              <w:ind w:left="80"/>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480" w:type="dxa"/>
            <w:vAlign w:val="bottom"/>
            <w:tcBorders>
              <w:left w:val="single" w:sz="8" w:color="auto"/>
            </w:tcBorders>
          </w:tcPr>
          <w:p>
            <w:pPr>
              <w:spacing w:after="0" w:line="20" w:lineRule="exact"/>
              <w:rPr>
                <w:sz w:val="1"/>
                <w:szCs w:val="1"/>
                <w:color w:val="auto"/>
              </w:rPr>
            </w:pPr>
          </w:p>
        </w:tc>
        <w:tc>
          <w:tcPr>
            <w:tcW w:w="142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b w:val="1"/>
                <w:bCs w:val="1"/>
                <w:color w:val="auto"/>
              </w:rPr>
              <w:t>PRUNER</w:t>
            </w: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 of PAGP GP since December 2018.</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1420" w:type="dxa"/>
            <w:vAlign w:val="bottom"/>
            <w:tcBorders>
              <w:right w:val="single" w:sz="8" w:color="auto"/>
            </w:tcBorders>
            <w:gridSpan w:val="2"/>
            <w:vMerge w:val="continue"/>
          </w:tcPr>
          <w:p>
            <w:pPr>
              <w:spacing w:after="0"/>
              <w:rPr>
                <w:sz w:val="14"/>
                <w:szCs w:val="14"/>
                <w:color w:val="auto"/>
              </w:rPr>
            </w:pPr>
          </w:p>
        </w:tc>
        <w:tc>
          <w:tcPr>
            <w:tcW w:w="3680" w:type="dxa"/>
            <w:vAlign w:val="bottom"/>
            <w:tcBorders>
              <w:right w:val="single" w:sz="8" w:color="auto"/>
            </w:tcBorders>
            <w:vMerge w:val="continue"/>
          </w:tcPr>
          <w:p>
            <w:pPr>
              <w:spacing w:after="0"/>
              <w:rPr>
                <w:sz w:val="14"/>
                <w:szCs w:val="14"/>
                <w:color w:val="auto"/>
              </w:rPr>
            </w:pP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142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b w:val="1"/>
                <w:bCs w:val="1"/>
                <w:color w:val="auto"/>
              </w:rPr>
              <w:t>Independent</w:t>
            </w:r>
          </w:p>
        </w:tc>
        <w:tc>
          <w:tcPr>
            <w:tcW w:w="36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Ms. Pruner has served as a Senior Advisor of</w:t>
            </w:r>
          </w:p>
        </w:tc>
        <w:tc>
          <w:tcPr>
            <w:tcW w:w="180" w:type="dxa"/>
            <w:vAlign w:val="bottom"/>
            <w:gridSpan w:val="2"/>
            <w:vMerge w:val="continue"/>
          </w:tcPr>
          <w:p>
            <w:pPr>
              <w:spacing w:after="0"/>
              <w:rPr>
                <w:sz w:val="12"/>
                <w:szCs w:val="12"/>
                <w:color w:val="auto"/>
              </w:rPr>
            </w:pPr>
          </w:p>
        </w:tc>
        <w:tc>
          <w:tcPr>
            <w:tcW w:w="24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480" w:type="dxa"/>
            <w:vAlign w:val="bottom"/>
            <w:tcBorders>
              <w:left w:val="single" w:sz="8" w:color="auto"/>
            </w:tcBorders>
          </w:tcPr>
          <w:p>
            <w:pPr>
              <w:spacing w:after="0"/>
              <w:rPr>
                <w:sz w:val="2"/>
                <w:szCs w:val="2"/>
                <w:color w:val="auto"/>
              </w:rPr>
            </w:pPr>
          </w:p>
        </w:tc>
        <w:tc>
          <w:tcPr>
            <w:tcW w:w="1420" w:type="dxa"/>
            <w:vAlign w:val="bottom"/>
            <w:tcBorders>
              <w:right w:val="single" w:sz="8" w:color="auto"/>
            </w:tcBorders>
            <w:gridSpan w:val="2"/>
            <w:vMerge w:val="continue"/>
          </w:tcPr>
          <w:p>
            <w:pPr>
              <w:spacing w:after="0"/>
              <w:rPr>
                <w:sz w:val="2"/>
                <w:szCs w:val="2"/>
                <w:color w:val="auto"/>
              </w:rPr>
            </w:pPr>
          </w:p>
        </w:tc>
        <w:tc>
          <w:tcPr>
            <w:tcW w:w="3680" w:type="dxa"/>
            <w:vAlign w:val="bottom"/>
            <w:tcBorders>
              <w:right w:val="single" w:sz="8" w:color="auto"/>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480" w:type="dxa"/>
            <w:vAlign w:val="bottom"/>
            <w:tcBorders>
              <w:left w:val="single" w:sz="8" w:color="auto"/>
            </w:tcBorders>
          </w:tcPr>
          <w:p>
            <w:pPr>
              <w:spacing w:after="0"/>
              <w:rPr>
                <w:sz w:val="13"/>
                <w:szCs w:val="13"/>
                <w:color w:val="auto"/>
              </w:rPr>
            </w:pPr>
          </w:p>
        </w:tc>
        <w:tc>
          <w:tcPr>
            <w:tcW w:w="1420" w:type="dxa"/>
            <w:vAlign w:val="bottom"/>
            <w:tcBorders>
              <w:right w:val="single" w:sz="8" w:color="auto"/>
            </w:tcBorders>
            <w:gridSpan w:val="2"/>
            <w:vMerge w:val="continue"/>
          </w:tcPr>
          <w:p>
            <w:pPr>
              <w:spacing w:after="0"/>
              <w:rPr>
                <w:sz w:val="13"/>
                <w:szCs w:val="13"/>
                <w:color w:val="auto"/>
              </w:rPr>
            </w:pP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Perella Weinberg Partners (“PWP”), a global</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3680" w:type="dxa"/>
            <w:vAlign w:val="bottom"/>
            <w:tcBorders>
              <w:right w:val="single" w:sz="8" w:color="auto"/>
            </w:tcBorders>
            <w:vMerge w:val="continue"/>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246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0"/>
        </w:trPr>
        <w:tc>
          <w:tcPr>
            <w:tcW w:w="1900" w:type="dxa"/>
            <w:vAlign w:val="bottom"/>
            <w:tcBorders>
              <w:left w:val="single" w:sz="8" w:color="auto"/>
              <w:right w:val="single" w:sz="8" w:color="auto"/>
            </w:tcBorders>
            <w:gridSpan w:val="3"/>
            <w:vMerge w:val="restart"/>
          </w:tcPr>
          <w:p>
            <w:pPr>
              <w:jc w:val="center"/>
              <w:spacing w:after="0" w:line="178" w:lineRule="exact"/>
              <w:rPr>
                <w:sz w:val="20"/>
                <w:szCs w:val="20"/>
                <w:color w:val="auto"/>
              </w:rPr>
            </w:pPr>
            <w:r>
              <w:rPr>
                <w:rFonts w:ascii="Arial" w:cs="Arial" w:eastAsia="Arial" w:hAnsi="Arial"/>
                <w:sz w:val="16"/>
                <w:szCs w:val="16"/>
                <w:b w:val="1"/>
                <w:bCs w:val="1"/>
                <w:i w:val="1"/>
                <w:iCs w:val="1"/>
                <w:color w:val="auto"/>
                <w:w w:val="99"/>
              </w:rPr>
              <w:t>PAGP/PAA Director</w:t>
            </w:r>
          </w:p>
        </w:tc>
        <w:tc>
          <w:tcPr>
            <w:tcW w:w="3680" w:type="dxa"/>
            <w:vAlign w:val="bottom"/>
            <w:tcBorders>
              <w:right w:val="single" w:sz="8" w:color="auto"/>
            </w:tcBorders>
            <w:vMerge w:val="restart"/>
          </w:tcPr>
          <w:p>
            <w:pPr>
              <w:ind w:left="80"/>
              <w:spacing w:after="0" w:line="178" w:lineRule="exact"/>
              <w:rPr>
                <w:sz w:val="20"/>
                <w:szCs w:val="20"/>
                <w:color w:val="auto"/>
              </w:rPr>
            </w:pPr>
            <w:r>
              <w:rPr>
                <w:rFonts w:ascii="Arial" w:cs="Arial" w:eastAsia="Arial" w:hAnsi="Arial"/>
                <w:sz w:val="16"/>
                <w:szCs w:val="16"/>
                <w:color w:val="auto"/>
              </w:rPr>
              <w:t>independent advisory firm providing strategic</w:t>
            </w:r>
          </w:p>
        </w:tc>
        <w:tc>
          <w:tcPr>
            <w:tcW w:w="180" w:type="dxa"/>
            <w:vAlign w:val="bottom"/>
            <w:gridSpan w:val="2"/>
            <w:vMerge w:val="continue"/>
          </w:tcPr>
          <w:p>
            <w:pPr>
              <w:spacing w:after="0"/>
              <w:rPr>
                <w:sz w:val="6"/>
                <w:szCs w:val="6"/>
                <w:color w:val="auto"/>
              </w:rPr>
            </w:pPr>
          </w:p>
        </w:tc>
        <w:tc>
          <w:tcPr>
            <w:tcW w:w="24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1900" w:type="dxa"/>
            <w:vAlign w:val="bottom"/>
            <w:tcBorders>
              <w:left w:val="single" w:sz="8" w:color="auto"/>
              <w:right w:val="single" w:sz="8" w:color="auto"/>
            </w:tcBorders>
            <w:gridSpan w:val="3"/>
            <w:vMerge w:val="continue"/>
          </w:tcPr>
          <w:p>
            <w:pPr>
              <w:spacing w:after="0"/>
              <w:rPr>
                <w:sz w:val="8"/>
                <w:szCs w:val="8"/>
                <w:color w:val="auto"/>
              </w:rPr>
            </w:pPr>
          </w:p>
        </w:tc>
        <w:tc>
          <w:tcPr>
            <w:tcW w:w="3680" w:type="dxa"/>
            <w:vAlign w:val="bottom"/>
            <w:tcBorders>
              <w:right w:val="single" w:sz="8" w:color="auto"/>
            </w:tcBorders>
            <w:vMerge w:val="continue"/>
          </w:tcPr>
          <w:p>
            <w:pPr>
              <w:spacing w:after="0"/>
              <w:rPr>
                <w:sz w:val="8"/>
                <w:szCs w:val="8"/>
                <w:color w:val="auto"/>
              </w:rPr>
            </w:pP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gridSpan w:val="2"/>
          </w:tcPr>
          <w:p>
            <w:pPr>
              <w:jc w:val="center"/>
              <w:ind w:right="440"/>
              <w:spacing w:after="0" w:line="175" w:lineRule="exact"/>
              <w:rPr>
                <w:sz w:val="20"/>
                <w:szCs w:val="20"/>
                <w:color w:val="auto"/>
              </w:rPr>
            </w:pPr>
            <w:r>
              <w:rPr>
                <w:rFonts w:ascii="Arial" w:cs="Arial" w:eastAsia="Arial" w:hAnsi="Arial"/>
                <w:sz w:val="16"/>
                <w:szCs w:val="16"/>
                <w:b w:val="1"/>
                <w:bCs w:val="1"/>
                <w:i w:val="1"/>
                <w:iCs w:val="1"/>
                <w:color w:val="auto"/>
              </w:rPr>
              <w:t>since 2018</w:t>
            </w: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financial advice and asset-management</w:t>
            </w:r>
          </w:p>
        </w:tc>
        <w:tc>
          <w:tcPr>
            <w:tcW w:w="180" w:type="dxa"/>
            <w:vAlign w:val="bottom"/>
            <w:gridSpan w:val="2"/>
            <w:vMerge w:val="continue"/>
          </w:tcPr>
          <w:p>
            <w:pPr>
              <w:spacing w:after="0"/>
              <w:rPr>
                <w:sz w:val="15"/>
                <w:szCs w:val="15"/>
                <w:color w:val="auto"/>
              </w:rPr>
            </w:pPr>
          </w:p>
        </w:tc>
        <w:tc>
          <w:tcPr>
            <w:tcW w:w="24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0" w:type="dxa"/>
            <w:vAlign w:val="bottom"/>
            <w:tcBorders>
              <w:left w:val="single" w:sz="8" w:color="auto"/>
            </w:tcBorders>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500" w:type="dxa"/>
            <w:vAlign w:val="bottom"/>
            <w:tcBorders>
              <w:right w:val="single" w:sz="8" w:color="auto"/>
            </w:tcBorders>
            <w:vMerge w:val="restart"/>
          </w:tcPr>
          <w:p>
            <w:pPr>
              <w:jc w:val="right"/>
              <w:ind w:right="420"/>
              <w:spacing w:after="0"/>
              <w:rPr>
                <w:sz w:val="20"/>
                <w:szCs w:val="20"/>
                <w:color w:val="auto"/>
              </w:rPr>
            </w:pPr>
            <w:r>
              <w:rPr>
                <w:rFonts w:ascii="Arial" w:cs="Arial" w:eastAsia="Arial" w:hAnsi="Arial"/>
                <w:sz w:val="8"/>
                <w:szCs w:val="8"/>
                <w:b w:val="1"/>
                <w:bCs w:val="1"/>
                <w:color w:val="auto"/>
                <w:w w:val="73"/>
              </w:rPr>
              <w:t>:</w:t>
            </w:r>
          </w:p>
        </w:tc>
        <w:tc>
          <w:tcPr>
            <w:tcW w:w="3680" w:type="dxa"/>
            <w:vAlign w:val="bottom"/>
            <w:tcBorders>
              <w:right w:val="single" w:sz="8" w:color="auto"/>
            </w:tcBorders>
          </w:tcPr>
          <w:p>
            <w:pPr>
              <w:ind w:left="80"/>
              <w:spacing w:after="0" w:line="173" w:lineRule="exact"/>
              <w:rPr>
                <w:sz w:val="20"/>
                <w:szCs w:val="20"/>
                <w:color w:val="auto"/>
              </w:rPr>
            </w:pPr>
            <w:r>
              <w:rPr>
                <w:rFonts w:ascii="Arial" w:cs="Arial" w:eastAsia="Arial" w:hAnsi="Arial"/>
                <w:sz w:val="16"/>
                <w:szCs w:val="16"/>
                <w:color w:val="auto"/>
              </w:rPr>
              <w:t>services, and its energy division, Tudor,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Borders>
              <w:right w:val="single" w:sz="8" w:color="auto"/>
            </w:tcBorders>
            <w:gridSpan w:val="2"/>
          </w:tcPr>
          <w:p>
            <w:pPr>
              <w:ind w:left="60"/>
              <w:spacing w:after="0" w:line="173"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54"/>
        </w:trPr>
        <w:tc>
          <w:tcPr>
            <w:tcW w:w="480" w:type="dxa"/>
            <w:vAlign w:val="bottom"/>
            <w:tcBorders>
              <w:left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500" w:type="dxa"/>
            <w:vAlign w:val="bottom"/>
            <w:tcBorders>
              <w:right w:val="single" w:sz="8" w:color="auto"/>
            </w:tcBorders>
            <w:vMerge w:val="continue"/>
          </w:tcPr>
          <w:p>
            <w:pPr>
              <w:spacing w:after="0"/>
              <w:rPr>
                <w:sz w:val="12"/>
                <w:szCs w:val="12"/>
                <w:color w:val="auto"/>
              </w:rPr>
            </w:pPr>
          </w:p>
        </w:tc>
        <w:tc>
          <w:tcPr>
            <w:tcW w:w="368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6"/>
                <w:szCs w:val="16"/>
                <w:color w:val="auto"/>
              </w:rPr>
              <w:t>Pickering, Holt &amp; Co., since December 2018.</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Legal/Governance/​Government</w:t>
            </w:r>
          </w:p>
        </w:tc>
        <w:tc>
          <w:tcPr>
            <w:tcW w:w="0" w:type="dxa"/>
            <w:vAlign w:val="bottom"/>
          </w:tcPr>
          <w:p>
            <w:pPr>
              <w:spacing w:after="0"/>
              <w:rPr>
                <w:sz w:val="1"/>
                <w:szCs w:val="1"/>
                <w:color w:val="auto"/>
              </w:rPr>
            </w:pPr>
          </w:p>
        </w:tc>
      </w:tr>
      <w:tr>
        <w:trPr>
          <w:trHeight w:val="128"/>
        </w:trPr>
        <w:tc>
          <w:tcPr>
            <w:tcW w:w="480" w:type="dxa"/>
            <w:vAlign w:val="bottom"/>
            <w:tcBorders>
              <w:left w:val="single" w:sz="8" w:color="auto"/>
            </w:tcBorders>
          </w:tcPr>
          <w:p>
            <w:pPr>
              <w:spacing w:after="0"/>
              <w:rPr>
                <w:sz w:val="11"/>
                <w:szCs w:val="11"/>
                <w:color w:val="auto"/>
              </w:rPr>
            </w:pPr>
          </w:p>
        </w:tc>
        <w:tc>
          <w:tcPr>
            <w:tcW w:w="142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8"/>
              </w:rPr>
              <w:t>Audit</w:t>
            </w: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She previously served as Partner and Chief</w:t>
            </w:r>
          </w:p>
        </w:tc>
        <w:tc>
          <w:tcPr>
            <w:tcW w:w="180" w:type="dxa"/>
            <w:vAlign w:val="bottom"/>
            <w:gridSpan w:val="2"/>
            <w:vMerge w:val="continue"/>
          </w:tcPr>
          <w:p>
            <w:pPr>
              <w:spacing w:after="0"/>
              <w:rPr>
                <w:sz w:val="11"/>
                <w:szCs w:val="11"/>
                <w:color w:val="auto"/>
              </w:rPr>
            </w:pPr>
          </w:p>
        </w:tc>
        <w:tc>
          <w:tcPr>
            <w:tcW w:w="24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1420" w:type="dxa"/>
            <w:vAlign w:val="bottom"/>
            <w:tcBorders>
              <w:right w:val="single" w:sz="8" w:color="auto"/>
            </w:tcBorders>
            <w:gridSpan w:val="2"/>
            <w:vMerge w:val="continue"/>
          </w:tcPr>
          <w:p>
            <w:pPr>
              <w:spacing w:after="0"/>
              <w:rPr>
                <w:sz w:val="5"/>
                <w:szCs w:val="5"/>
                <w:color w:val="auto"/>
              </w:rPr>
            </w:pPr>
          </w:p>
        </w:tc>
        <w:tc>
          <w:tcPr>
            <w:tcW w:w="36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gridSpan w:val="2"/>
            <w:vMerge w:val="continue"/>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Financial Officer of PWP from December 2016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142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color w:val="auto"/>
              </w:rPr>
              <w:t>Governance</w:t>
            </w: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through November 2018. She served as CFO</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80"/>
        </w:trPr>
        <w:tc>
          <w:tcPr>
            <w:tcW w:w="480" w:type="dxa"/>
            <w:vAlign w:val="bottom"/>
            <w:tcBorders>
              <w:lef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36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and a member of the Management Committee at</w:t>
            </w:r>
          </w:p>
        </w:tc>
        <w:tc>
          <w:tcPr>
            <w:tcW w:w="180" w:type="dxa"/>
            <w:vAlign w:val="bottom"/>
            <w:gridSpan w:val="2"/>
            <w:vMerge w:val="continue"/>
          </w:tcPr>
          <w:p>
            <w:pPr>
              <w:spacing w:after="0"/>
              <w:rPr>
                <w:sz w:val="6"/>
                <w:szCs w:val="6"/>
                <w:color w:val="auto"/>
              </w:rPr>
            </w:pPr>
          </w:p>
        </w:tc>
        <w:tc>
          <w:tcPr>
            <w:tcW w:w="24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48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3680" w:type="dxa"/>
            <w:vAlign w:val="bottom"/>
            <w:tcBorders>
              <w:right w:val="single" w:sz="8" w:color="auto"/>
            </w:tcBorders>
            <w:vMerge w:val="continue"/>
          </w:tcPr>
          <w:p>
            <w:pPr>
              <w:spacing w:after="0"/>
              <w:rPr>
                <w:sz w:val="8"/>
                <w:szCs w:val="8"/>
                <w:color w:val="auto"/>
              </w:rPr>
            </w:pP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Tudor, Pickering, Holt &amp; Co. from the firm’s</w:t>
            </w:r>
          </w:p>
        </w:tc>
        <w:tc>
          <w:tcPr>
            <w:tcW w:w="180" w:type="dxa"/>
            <w:vAlign w:val="bottom"/>
            <w:gridSpan w:val="2"/>
            <w:vMerge w:val="continue"/>
          </w:tcPr>
          <w:p>
            <w:pPr>
              <w:spacing w:after="0"/>
              <w:rPr>
                <w:sz w:val="15"/>
                <w:szCs w:val="15"/>
                <w:color w:val="auto"/>
              </w:rPr>
            </w:pPr>
          </w:p>
        </w:tc>
        <w:tc>
          <w:tcPr>
            <w:tcW w:w="24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founding in 2007 until its combination with PWP</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34"/>
        </w:trPr>
        <w:tc>
          <w:tcPr>
            <w:tcW w:w="48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 2016. Ms. Pruner served as a director and</w:t>
            </w:r>
          </w:p>
        </w:tc>
        <w:tc>
          <w:tcPr>
            <w:tcW w:w="180" w:type="dxa"/>
            <w:vAlign w:val="bottom"/>
            <w:gridSpan w:val="2"/>
            <w:vMerge w:val="continue"/>
          </w:tcPr>
          <w:p>
            <w:pPr>
              <w:spacing w:after="0"/>
              <w:rPr>
                <w:sz w:val="11"/>
                <w:szCs w:val="11"/>
                <w:color w:val="auto"/>
              </w:rPr>
            </w:pPr>
          </w:p>
        </w:tc>
        <w:tc>
          <w:tcPr>
            <w:tcW w:w="24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48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36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member of the audit committee of Anadarko</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Cybersecurity/IT</w:t>
            </w:r>
          </w:p>
        </w:tc>
        <w:tc>
          <w:tcPr>
            <w:tcW w:w="0" w:type="dxa"/>
            <w:vAlign w:val="bottom"/>
          </w:tcPr>
          <w:p>
            <w:pPr>
              <w:spacing w:after="0"/>
              <w:rPr>
                <w:sz w:val="1"/>
                <w:szCs w:val="1"/>
                <w:color w:val="auto"/>
              </w:rPr>
            </w:pPr>
          </w:p>
        </w:tc>
      </w:tr>
      <w:tr>
        <w:trPr>
          <w:trHeight w:val="161"/>
        </w:trPr>
        <w:tc>
          <w:tcPr>
            <w:tcW w:w="48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368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6"/>
                <w:szCs w:val="16"/>
                <w:color w:val="auto"/>
              </w:rPr>
              <w:t>Petroleum Corporation from December 2018</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Energy Evolution</w:t>
            </w: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until August 2019. She has also served as a</w:t>
            </w:r>
          </w:p>
        </w:tc>
        <w:tc>
          <w:tcPr>
            <w:tcW w:w="180" w:type="dxa"/>
            <w:vAlign w:val="bottom"/>
            <w:gridSpan w:val="2"/>
            <w:vMerge w:val="continue"/>
          </w:tcPr>
          <w:p>
            <w:pPr>
              <w:spacing w:after="0"/>
              <w:rPr>
                <w:sz w:val="16"/>
                <w:szCs w:val="16"/>
                <w:color w:val="auto"/>
              </w:rPr>
            </w:pPr>
          </w:p>
        </w:tc>
        <w:tc>
          <w:tcPr>
            <w:tcW w:w="24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director of NRG Energy, Inc. since October 2019,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as chair of the board of Malta Inc. since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April 2022, and as a director of Encino</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Acquisition Partners, LLC since November 2019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as chair of the board since December 2021.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She is the founder and a board member of</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Women’s Global Leadership Conference 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Energy &amp; Technology, is an Emeritus Director of</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the Amegy Bank Development Board, and is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Chair of Brown University’s President’s Advisory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Council on the Economics Department. She also</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serves on the Board of the Houston Zoo and the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Texas Medical Center, among other volunteer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efforts. Ms. Pruner holds a BA in Economics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from Brown University. The Board has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determined that Ms. Pruner is “independent”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under applicable Nasdaq and SEC rules and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qualifies as an “Audit Committee Financial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Expert.” Ms. Pruner’s extensive experience in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energy industry from a variety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perspectives, along with her strong finance and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investment banking background, make her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uniquely qualified to serve on the Board.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8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9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7"/>
              </w:rPr>
              <w:t>LAWRENCE M.</w:t>
            </w: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Lawrence M. Ziemba, age 67, </w:t>
            </w:r>
            <w:r>
              <w:rPr>
                <w:rFonts w:ascii="Arial" w:cs="Arial" w:eastAsia="Arial" w:hAnsi="Arial"/>
                <w:sz w:val="16"/>
                <w:szCs w:val="16"/>
                <w:color w:val="auto"/>
              </w:rPr>
              <w:t>has served as a</w:t>
            </w:r>
          </w:p>
        </w:tc>
        <w:tc>
          <w:tcPr>
            <w:tcW w:w="2640" w:type="dxa"/>
            <w:vAlign w:val="bottom"/>
            <w:tcBorders>
              <w:right w:val="single" w:sz="8" w:color="auto"/>
            </w:tcBorders>
            <w:gridSpan w:val="4"/>
          </w:tcPr>
          <w:p>
            <w:pPr>
              <w:ind w:left="80"/>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480" w:type="dxa"/>
            <w:vAlign w:val="bottom"/>
            <w:tcBorders>
              <w:left w:val="single" w:sz="8" w:color="auto"/>
            </w:tcBorders>
          </w:tcPr>
          <w:p>
            <w:pPr>
              <w:spacing w:after="0" w:line="20" w:lineRule="exact"/>
              <w:rPr>
                <w:sz w:val="1"/>
                <w:szCs w:val="1"/>
                <w:color w:val="auto"/>
              </w:rPr>
            </w:pPr>
          </w:p>
        </w:tc>
        <w:tc>
          <w:tcPr>
            <w:tcW w:w="142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b w:val="1"/>
                <w:bCs w:val="1"/>
                <w:color w:val="auto"/>
                <w:w w:val="97"/>
              </w:rPr>
              <w:t>ZIEMBA</w:t>
            </w: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 of PAGP GP since January 2020.</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1420" w:type="dxa"/>
            <w:vAlign w:val="bottom"/>
            <w:tcBorders>
              <w:right w:val="single" w:sz="8" w:color="auto"/>
            </w:tcBorders>
            <w:gridSpan w:val="2"/>
            <w:vMerge w:val="continue"/>
          </w:tcPr>
          <w:p>
            <w:pPr>
              <w:spacing w:after="0"/>
              <w:rPr>
                <w:sz w:val="14"/>
                <w:szCs w:val="14"/>
                <w:color w:val="auto"/>
              </w:rPr>
            </w:pPr>
          </w:p>
        </w:tc>
        <w:tc>
          <w:tcPr>
            <w:tcW w:w="3680" w:type="dxa"/>
            <w:vAlign w:val="bottom"/>
            <w:tcBorders>
              <w:right w:val="single" w:sz="8" w:color="auto"/>
            </w:tcBorders>
            <w:vMerge w:val="continue"/>
          </w:tcPr>
          <w:p>
            <w:pPr>
              <w:spacing w:after="0"/>
              <w:rPr>
                <w:sz w:val="14"/>
                <w:szCs w:val="14"/>
                <w:color w:val="auto"/>
              </w:rPr>
            </w:pP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142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b w:val="1"/>
                <w:bCs w:val="1"/>
                <w:color w:val="auto"/>
              </w:rPr>
              <w:t>Independent</w:t>
            </w:r>
          </w:p>
        </w:tc>
        <w:tc>
          <w:tcPr>
            <w:tcW w:w="36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Mr. Ziemba served as Executive Vice President,</w:t>
            </w:r>
          </w:p>
        </w:tc>
        <w:tc>
          <w:tcPr>
            <w:tcW w:w="180" w:type="dxa"/>
            <w:vAlign w:val="bottom"/>
            <w:gridSpan w:val="2"/>
            <w:vMerge w:val="continue"/>
          </w:tcPr>
          <w:p>
            <w:pPr>
              <w:spacing w:after="0"/>
              <w:rPr>
                <w:sz w:val="12"/>
                <w:szCs w:val="12"/>
                <w:color w:val="auto"/>
              </w:rPr>
            </w:pPr>
          </w:p>
        </w:tc>
        <w:tc>
          <w:tcPr>
            <w:tcW w:w="24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480" w:type="dxa"/>
            <w:vAlign w:val="bottom"/>
            <w:tcBorders>
              <w:left w:val="single" w:sz="8" w:color="auto"/>
            </w:tcBorders>
          </w:tcPr>
          <w:p>
            <w:pPr>
              <w:spacing w:after="0"/>
              <w:rPr>
                <w:sz w:val="2"/>
                <w:szCs w:val="2"/>
                <w:color w:val="auto"/>
              </w:rPr>
            </w:pPr>
          </w:p>
        </w:tc>
        <w:tc>
          <w:tcPr>
            <w:tcW w:w="1420" w:type="dxa"/>
            <w:vAlign w:val="bottom"/>
            <w:tcBorders>
              <w:right w:val="single" w:sz="8" w:color="auto"/>
            </w:tcBorders>
            <w:gridSpan w:val="2"/>
            <w:vMerge w:val="continue"/>
          </w:tcPr>
          <w:p>
            <w:pPr>
              <w:spacing w:after="0"/>
              <w:rPr>
                <w:sz w:val="2"/>
                <w:szCs w:val="2"/>
                <w:color w:val="auto"/>
              </w:rPr>
            </w:pPr>
          </w:p>
        </w:tc>
        <w:tc>
          <w:tcPr>
            <w:tcW w:w="3680" w:type="dxa"/>
            <w:vAlign w:val="bottom"/>
            <w:tcBorders>
              <w:right w:val="single" w:sz="8" w:color="auto"/>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480" w:type="dxa"/>
            <w:vAlign w:val="bottom"/>
            <w:tcBorders>
              <w:left w:val="single" w:sz="8" w:color="auto"/>
            </w:tcBorders>
          </w:tcPr>
          <w:p>
            <w:pPr>
              <w:spacing w:after="0"/>
              <w:rPr>
                <w:sz w:val="13"/>
                <w:szCs w:val="13"/>
                <w:color w:val="auto"/>
              </w:rPr>
            </w:pPr>
          </w:p>
        </w:tc>
        <w:tc>
          <w:tcPr>
            <w:tcW w:w="1420" w:type="dxa"/>
            <w:vAlign w:val="bottom"/>
            <w:tcBorders>
              <w:right w:val="single" w:sz="8" w:color="auto"/>
            </w:tcBorders>
            <w:gridSpan w:val="2"/>
            <w:vMerge w:val="continue"/>
          </w:tcPr>
          <w:p>
            <w:pPr>
              <w:spacing w:after="0"/>
              <w:rPr>
                <w:sz w:val="13"/>
                <w:szCs w:val="13"/>
                <w:color w:val="auto"/>
              </w:rPr>
            </w:pP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Refining, and a member of the executive</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3680" w:type="dxa"/>
            <w:vAlign w:val="bottom"/>
            <w:tcBorders>
              <w:right w:val="single" w:sz="8" w:color="auto"/>
            </w:tcBorders>
            <w:vMerge w:val="continue"/>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246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0"/>
        </w:trPr>
        <w:tc>
          <w:tcPr>
            <w:tcW w:w="19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committee of Phillips 66 from May 2012 until his</w:t>
            </w:r>
          </w:p>
        </w:tc>
        <w:tc>
          <w:tcPr>
            <w:tcW w:w="180" w:type="dxa"/>
            <w:vAlign w:val="bottom"/>
            <w:gridSpan w:val="2"/>
            <w:vMerge w:val="continue"/>
          </w:tcPr>
          <w:p>
            <w:pPr>
              <w:spacing w:after="0"/>
              <w:rPr>
                <w:sz w:val="6"/>
                <w:szCs w:val="6"/>
                <w:color w:val="auto"/>
              </w:rPr>
            </w:pPr>
          </w:p>
        </w:tc>
        <w:tc>
          <w:tcPr>
            <w:tcW w:w="24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900" w:type="dxa"/>
            <w:vAlign w:val="bottom"/>
            <w:tcBorders>
              <w:left w:val="single" w:sz="8" w:color="auto"/>
              <w:right w:val="single" w:sz="8" w:color="auto"/>
            </w:tcBorders>
            <w:gridSpan w:val="3"/>
            <w:vMerge w:val="continue"/>
          </w:tcPr>
          <w:p>
            <w:pPr>
              <w:spacing w:after="0"/>
              <w:rPr>
                <w:sz w:val="9"/>
                <w:szCs w:val="9"/>
                <w:color w:val="auto"/>
              </w:rPr>
            </w:pPr>
          </w:p>
        </w:tc>
        <w:tc>
          <w:tcPr>
            <w:tcW w:w="3680" w:type="dxa"/>
            <w:vAlign w:val="bottom"/>
            <w:tcBorders>
              <w:right w:val="single" w:sz="8" w:color="auto"/>
            </w:tcBorders>
            <w:vMerge w:val="continue"/>
          </w:tcPr>
          <w:p>
            <w:pPr>
              <w:spacing w:after="0"/>
              <w:rPr>
                <w:sz w:val="9"/>
                <w:szCs w:val="9"/>
                <w:color w:val="auto"/>
              </w:rPr>
            </w:pP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64"/>
        </w:trPr>
        <w:tc>
          <w:tcPr>
            <w:tcW w:w="480" w:type="dxa"/>
            <w:vAlign w:val="bottom"/>
            <w:tcBorders>
              <w:left w:val="single" w:sz="8" w:color="auto"/>
            </w:tcBorders>
          </w:tcPr>
          <w:p>
            <w:pPr>
              <w:spacing w:after="0"/>
              <w:rPr>
                <w:sz w:val="14"/>
                <w:szCs w:val="14"/>
                <w:color w:val="auto"/>
              </w:rPr>
            </w:pPr>
          </w:p>
        </w:tc>
        <w:tc>
          <w:tcPr>
            <w:tcW w:w="1420" w:type="dxa"/>
            <w:vAlign w:val="bottom"/>
            <w:tcBorders>
              <w:right w:val="single" w:sz="8" w:color="auto"/>
            </w:tcBorders>
            <w:gridSpan w:val="2"/>
          </w:tcPr>
          <w:p>
            <w:pPr>
              <w:jc w:val="center"/>
              <w:ind w:right="440"/>
              <w:spacing w:after="0" w:line="164" w:lineRule="exact"/>
              <w:rPr>
                <w:sz w:val="20"/>
                <w:szCs w:val="20"/>
                <w:color w:val="auto"/>
              </w:rPr>
            </w:pPr>
            <w:r>
              <w:rPr>
                <w:rFonts w:ascii="Arial" w:cs="Arial" w:eastAsia="Arial" w:hAnsi="Arial"/>
                <w:sz w:val="16"/>
                <w:szCs w:val="16"/>
                <w:b w:val="1"/>
                <w:bCs w:val="1"/>
                <w:i w:val="1"/>
                <w:iCs w:val="1"/>
                <w:color w:val="auto"/>
              </w:rPr>
              <w:t>since 2020</w:t>
            </w:r>
          </w:p>
        </w:tc>
        <w:tc>
          <w:tcPr>
            <w:tcW w:w="368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6"/>
                <w:szCs w:val="16"/>
                <w:color w:val="auto"/>
              </w:rPr>
              <w:t>retirement in December 2017. From 2001 to</w:t>
            </w:r>
          </w:p>
        </w:tc>
        <w:tc>
          <w:tcPr>
            <w:tcW w:w="180" w:type="dxa"/>
            <w:vAlign w:val="bottom"/>
            <w:gridSpan w:val="2"/>
            <w:vMerge w:val="continue"/>
          </w:tcPr>
          <w:p>
            <w:pPr>
              <w:spacing w:after="0"/>
              <w:rPr>
                <w:sz w:val="14"/>
                <w:szCs w:val="14"/>
                <w:color w:val="auto"/>
              </w:rPr>
            </w:pPr>
          </w:p>
        </w:tc>
        <w:tc>
          <w:tcPr>
            <w:tcW w:w="246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80" w:type="dxa"/>
            <w:vAlign w:val="bottom"/>
            <w:tcBorders>
              <w:left w:val="single" w:sz="8" w:color="auto"/>
            </w:tcBorders>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500" w:type="dxa"/>
            <w:vAlign w:val="bottom"/>
            <w:tcBorders>
              <w:right w:val="single" w:sz="8" w:color="auto"/>
            </w:tcBorders>
            <w:vMerge w:val="restart"/>
          </w:tcPr>
          <w:p>
            <w:pPr>
              <w:jc w:val="right"/>
              <w:ind w:right="420"/>
              <w:spacing w:after="0"/>
              <w:rPr>
                <w:sz w:val="20"/>
                <w:szCs w:val="20"/>
                <w:color w:val="auto"/>
              </w:rPr>
            </w:pPr>
            <w:r>
              <w:rPr>
                <w:rFonts w:ascii="Arial" w:cs="Arial" w:eastAsia="Arial" w:hAnsi="Arial"/>
                <w:sz w:val="8"/>
                <w:szCs w:val="8"/>
                <w:b w:val="1"/>
                <w:bCs w:val="1"/>
                <w:color w:val="auto"/>
                <w:w w:val="73"/>
              </w:rPr>
              <w:t>:</w:t>
            </w:r>
          </w:p>
        </w:tc>
        <w:tc>
          <w:tcPr>
            <w:tcW w:w="3680" w:type="dxa"/>
            <w:vAlign w:val="bottom"/>
            <w:tcBorders>
              <w:right w:val="single" w:sz="8" w:color="auto"/>
            </w:tcBorders>
          </w:tcPr>
          <w:p>
            <w:pPr>
              <w:ind w:left="80"/>
              <w:spacing w:after="0" w:line="173" w:lineRule="exact"/>
              <w:rPr>
                <w:sz w:val="20"/>
                <w:szCs w:val="20"/>
                <w:color w:val="auto"/>
              </w:rPr>
            </w:pPr>
            <w:r>
              <w:rPr>
                <w:rFonts w:ascii="Arial" w:cs="Arial" w:eastAsia="Arial" w:hAnsi="Arial"/>
                <w:sz w:val="16"/>
                <w:szCs w:val="16"/>
                <w:color w:val="auto"/>
              </w:rPr>
              <w:t>May 2012, he served in various downstream</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Borders>
              <w:right w:val="single" w:sz="8" w:color="auto"/>
            </w:tcBorders>
            <w:gridSpan w:val="2"/>
          </w:tcPr>
          <w:p>
            <w:pPr>
              <w:ind w:left="60"/>
              <w:spacing w:after="0" w:line="173"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54"/>
        </w:trPr>
        <w:tc>
          <w:tcPr>
            <w:tcW w:w="480" w:type="dxa"/>
            <w:vAlign w:val="bottom"/>
            <w:tcBorders>
              <w:left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500" w:type="dxa"/>
            <w:vAlign w:val="bottom"/>
            <w:tcBorders>
              <w:right w:val="single" w:sz="8" w:color="auto"/>
            </w:tcBorders>
            <w:vMerge w:val="continue"/>
          </w:tcPr>
          <w:p>
            <w:pPr>
              <w:spacing w:after="0"/>
              <w:rPr>
                <w:sz w:val="12"/>
                <w:szCs w:val="12"/>
                <w:color w:val="auto"/>
              </w:rPr>
            </w:pPr>
          </w:p>
        </w:tc>
        <w:tc>
          <w:tcPr>
            <w:tcW w:w="368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6"/>
                <w:szCs w:val="16"/>
                <w:color w:val="auto"/>
              </w:rPr>
              <w:t>positions with ConocoPhillips, including most</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28"/>
        </w:trPr>
        <w:tc>
          <w:tcPr>
            <w:tcW w:w="480" w:type="dxa"/>
            <w:vAlign w:val="bottom"/>
            <w:tcBorders>
              <w:left w:val="single" w:sz="8" w:color="auto"/>
            </w:tcBorders>
          </w:tcPr>
          <w:p>
            <w:pPr>
              <w:spacing w:after="0"/>
              <w:rPr>
                <w:sz w:val="11"/>
                <w:szCs w:val="11"/>
                <w:color w:val="auto"/>
              </w:rPr>
            </w:pPr>
          </w:p>
        </w:tc>
        <w:tc>
          <w:tcPr>
            <w:tcW w:w="142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8"/>
              </w:rPr>
              <w:t>Audit</w:t>
            </w: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recently as President, Global Refining, and as a</w:t>
            </w:r>
          </w:p>
        </w:tc>
        <w:tc>
          <w:tcPr>
            <w:tcW w:w="180" w:type="dxa"/>
            <w:vAlign w:val="bottom"/>
            <w:gridSpan w:val="2"/>
            <w:vMerge w:val="continue"/>
          </w:tcPr>
          <w:p>
            <w:pPr>
              <w:spacing w:after="0"/>
              <w:rPr>
                <w:sz w:val="11"/>
                <w:szCs w:val="11"/>
                <w:color w:val="auto"/>
              </w:rPr>
            </w:pPr>
          </w:p>
        </w:tc>
        <w:tc>
          <w:tcPr>
            <w:tcW w:w="24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1420" w:type="dxa"/>
            <w:vAlign w:val="bottom"/>
            <w:tcBorders>
              <w:right w:val="single" w:sz="8" w:color="auto"/>
            </w:tcBorders>
            <w:gridSpan w:val="2"/>
            <w:vMerge w:val="continue"/>
          </w:tcPr>
          <w:p>
            <w:pPr>
              <w:spacing w:after="0"/>
              <w:rPr>
                <w:sz w:val="5"/>
                <w:szCs w:val="5"/>
                <w:color w:val="auto"/>
              </w:rPr>
            </w:pPr>
          </w:p>
        </w:tc>
        <w:tc>
          <w:tcPr>
            <w:tcW w:w="36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gridSpan w:val="2"/>
            <w:vMerge w:val="continue"/>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member of the executive committee. He also</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142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6"/>
                <w:szCs w:val="16"/>
                <w:color w:val="auto"/>
              </w:rPr>
              <w:t>HSES (chair)</w:t>
            </w: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held various positions of increasing responsibility</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36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with Tosco/Unocal from 1977 to 2001. He has</w:t>
            </w:r>
          </w:p>
        </w:tc>
        <w:tc>
          <w:tcPr>
            <w:tcW w:w="180" w:type="dxa"/>
            <w:vAlign w:val="bottom"/>
            <w:gridSpan w:val="2"/>
            <w:vMerge w:val="continue"/>
          </w:tcPr>
          <w:p>
            <w:pPr>
              <w:spacing w:after="0"/>
              <w:rPr>
                <w:sz w:val="4"/>
                <w:szCs w:val="4"/>
                <w:color w:val="auto"/>
              </w:rPr>
            </w:pPr>
          </w:p>
        </w:tc>
        <w:tc>
          <w:tcPr>
            <w:tcW w:w="24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48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68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93"/>
        </w:trPr>
        <w:tc>
          <w:tcPr>
            <w:tcW w:w="48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36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held a number of industry leadership positions,</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36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including with API and AFPM. He currently</w:t>
            </w:r>
          </w:p>
        </w:tc>
        <w:tc>
          <w:tcPr>
            <w:tcW w:w="1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tcPr>
          <w:p>
            <w:pPr>
              <w:ind w:left="60"/>
              <w:spacing w:after="0" w:line="175" w:lineRule="exact"/>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serves on the board of directors of PBF Logistics</w:t>
            </w:r>
          </w:p>
        </w:tc>
        <w:tc>
          <w:tcPr>
            <w:tcW w:w="18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GP LLC. He also serves on the board of trustees</w:t>
            </w:r>
          </w:p>
        </w:tc>
        <w:tc>
          <w:tcPr>
            <w:tcW w:w="180" w:type="dxa"/>
            <w:vAlign w:val="bottom"/>
            <w:gridSpan w:val="2"/>
            <w:vMerge w:val="continue"/>
          </w:tcPr>
          <w:p>
            <w:pPr>
              <w:spacing w:after="0"/>
              <w:rPr>
                <w:sz w:val="15"/>
                <w:szCs w:val="15"/>
                <w:color w:val="auto"/>
              </w:rPr>
            </w:pPr>
          </w:p>
        </w:tc>
        <w:tc>
          <w:tcPr>
            <w:tcW w:w="24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Duchesne Academy in Houston, where he</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Energy Evolution</w:t>
            </w:r>
          </w:p>
        </w:tc>
        <w:tc>
          <w:tcPr>
            <w:tcW w:w="0" w:type="dxa"/>
            <w:vAlign w:val="bottom"/>
          </w:tcPr>
          <w:p>
            <w:pPr>
              <w:spacing w:after="0"/>
              <w:rPr>
                <w:sz w:val="1"/>
                <w:szCs w:val="1"/>
                <w:color w:val="auto"/>
              </w:rPr>
            </w:pPr>
          </w:p>
        </w:tc>
      </w:tr>
      <w:tr>
        <w:trPr>
          <w:trHeight w:val="161"/>
        </w:trPr>
        <w:tc>
          <w:tcPr>
            <w:tcW w:w="48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368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6"/>
                <w:szCs w:val="16"/>
                <w:color w:val="auto"/>
              </w:rPr>
              <w:t>chairs the finance committee. Mr. Ziemba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received a BS in mechanical engineering from</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the University of Illinois — Champaign and an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MBA from the University of Chicago. The Board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has determined that Mr. Ziemba is “independent”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under applicable Nasdaq and SEC rules. We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believe that his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48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-77470</wp:posOffset>
            </wp:positionV>
            <wp:extent cx="5212080" cy="677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2080" cy="677545"/>
                    </a:xfrm>
                    <a:prstGeom prst="rect">
                      <a:avLst/>
                    </a:prstGeom>
                    <a:noFill/>
                  </pic:spPr>
                </pic:pic>
              </a:graphicData>
            </a:graphic>
          </wp:anchor>
        </w:drawing>
      </w:r>
    </w:p>
    <w:p>
      <w:pPr>
        <w:ind w:left="3440"/>
        <w:spacing w:after="0"/>
        <w:rPr>
          <w:sz w:val="20"/>
          <w:szCs w:val="20"/>
          <w:color w:val="auto"/>
        </w:rPr>
      </w:pPr>
      <w:r>
        <w:rPr>
          <w:rFonts w:ascii="Arial" w:cs="Arial" w:eastAsia="Arial" w:hAnsi="Arial"/>
          <w:sz w:val="16"/>
          <w:szCs w:val="16"/>
          <w:color w:val="auto"/>
        </w:rPr>
        <w:t>operations, technical and project management</w:t>
      </w:r>
    </w:p>
    <w:p>
      <w:pPr>
        <w:ind w:left="3440"/>
        <w:spacing w:after="0" w:line="235" w:lineRule="auto"/>
        <w:rPr>
          <w:sz w:val="20"/>
          <w:szCs w:val="20"/>
          <w:color w:val="auto"/>
        </w:rPr>
      </w:pPr>
      <w:r>
        <w:rPr>
          <w:rFonts w:ascii="Arial" w:cs="Arial" w:eastAsia="Arial" w:hAnsi="Arial"/>
          <w:sz w:val="16"/>
          <w:szCs w:val="16"/>
          <w:color w:val="auto"/>
        </w:rPr>
        <w:t>expertise, coupled with his business sense and</w:t>
      </w:r>
    </w:p>
    <w:p>
      <w:pPr>
        <w:ind w:left="3440"/>
        <w:spacing w:after="0" w:line="229" w:lineRule="auto"/>
        <w:rPr>
          <w:sz w:val="20"/>
          <w:szCs w:val="20"/>
          <w:color w:val="auto"/>
        </w:rPr>
      </w:pPr>
      <w:r>
        <w:rPr>
          <w:rFonts w:ascii="Arial" w:cs="Arial" w:eastAsia="Arial" w:hAnsi="Arial"/>
          <w:sz w:val="16"/>
          <w:szCs w:val="16"/>
          <w:color w:val="auto"/>
        </w:rPr>
        <w:t>understanding of strategic positioning in the energy</w:t>
      </w:r>
    </w:p>
    <w:p>
      <w:pPr>
        <w:ind w:left="3440"/>
        <w:spacing w:after="0"/>
        <w:rPr>
          <w:sz w:val="20"/>
          <w:szCs w:val="20"/>
          <w:color w:val="auto"/>
        </w:rPr>
      </w:pPr>
      <w:r>
        <w:rPr>
          <w:rFonts w:ascii="Arial" w:cs="Arial" w:eastAsia="Arial" w:hAnsi="Arial"/>
          <w:sz w:val="16"/>
          <w:szCs w:val="16"/>
          <w:color w:val="auto"/>
        </w:rPr>
        <w:t>space, adds a diverse operating and downstream</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perspective to the Board.</w:t>
      </w: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Directors (Not Standing for Election at the PAA and PAGP Annual Meetings)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III Directors (terms expire in 2024):</w:t>
      </w:r>
    </w:p>
    <w:p>
      <w:pPr>
        <w:spacing w:after="0" w:line="183" w:lineRule="exact"/>
        <w:rPr>
          <w:sz w:val="20"/>
          <w:szCs w:val="20"/>
          <w:color w:val="auto"/>
        </w:rPr>
      </w:pPr>
    </w:p>
    <w:tbl>
      <w:tblPr>
        <w:tblLayout w:type="fixed"/>
        <w:tblInd w:w="1270" w:type="dxa"/>
        <w:tblCellMar>
          <w:top w:w="0" w:type="dxa"/>
          <w:left w:w="0" w:type="dxa"/>
          <w:bottom w:w="0" w:type="dxa"/>
          <w:right w:w="0" w:type="dxa"/>
        </w:tblCellMar>
      </w:tblPr>
      <w:tr>
        <w:trPr>
          <w:trHeight w:val="284"/>
        </w:trPr>
        <w:tc>
          <w:tcPr>
            <w:tcW w:w="2040" w:type="dxa"/>
            <w:vAlign w:val="bottom"/>
            <w:tcBorders>
              <w:top w:val="single" w:sz="8" w:color="auto"/>
              <w:left w:val="single" w:sz="8" w:color="auto"/>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GREG L. ARMSTRONG</w:t>
            </w:r>
          </w:p>
        </w:tc>
        <w:tc>
          <w:tcPr>
            <w:tcW w:w="40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Greg L. Armstrong, age 64, </w:t>
            </w:r>
            <w:r>
              <w:rPr>
                <w:rFonts w:ascii="Arial" w:cs="Arial" w:eastAsia="Arial" w:hAnsi="Arial"/>
                <w:sz w:val="16"/>
                <w:szCs w:val="16"/>
                <w:color w:val="auto"/>
              </w:rPr>
              <w:t>has served as a director</w:t>
            </w:r>
          </w:p>
        </w:tc>
        <w:tc>
          <w:tcPr>
            <w:tcW w:w="100" w:type="dxa"/>
            <w:vAlign w:val="bottom"/>
            <w:tcBorders>
              <w:top w:val="single" w:sz="8" w:color="auto"/>
            </w:tcBorders>
          </w:tcPr>
          <w:p>
            <w:pPr>
              <w:spacing w:after="0"/>
              <w:rPr>
                <w:sz w:val="24"/>
                <w:szCs w:val="24"/>
                <w:color w:val="auto"/>
              </w:rPr>
            </w:pPr>
          </w:p>
        </w:tc>
        <w:tc>
          <w:tcPr>
            <w:tcW w:w="20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8"/>
        </w:trPr>
        <w:tc>
          <w:tcPr>
            <w:tcW w:w="20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6"/>
                <w:szCs w:val="16"/>
                <w:b w:val="1"/>
                <w:bCs w:val="1"/>
                <w:color w:val="auto"/>
              </w:rPr>
              <w:t>Not Independent</w:t>
            </w:r>
          </w:p>
        </w:tc>
        <w:tc>
          <w:tcPr>
            <w:tcW w:w="402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of PAGP GP since 2013. He has also served as</w:t>
            </w:r>
          </w:p>
        </w:tc>
        <w:tc>
          <w:tcPr>
            <w:tcW w:w="100" w:type="dxa"/>
            <w:vAlign w:val="bottom"/>
          </w:tcPr>
          <w:p>
            <w:pPr>
              <w:spacing w:after="0"/>
              <w:rPr>
                <w:sz w:val="14"/>
                <w:szCs w:val="14"/>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80" w:type="dxa"/>
            <w:vAlign w:val="bottom"/>
            <w:tcBorders>
              <w:right w:val="single" w:sz="8" w:color="auto"/>
            </w:tcBorders>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gridSpan w:val="4"/>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Senior Advisor to the CEO since January 1, 2020.</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47"/>
        </w:trPr>
        <w:tc>
          <w:tcPr>
            <w:tcW w:w="20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Armstrong served as Chairman of the Board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040" w:type="dxa"/>
            <w:vAlign w:val="bottom"/>
            <w:tcBorders>
              <w:left w:val="single" w:sz="8" w:color="auto"/>
              <w:right w:val="single" w:sz="8" w:color="auto"/>
            </w:tcBorders>
            <w:gridSpan w:val="4"/>
            <w:vMerge w:val="continue"/>
          </w:tcPr>
          <w:p>
            <w:pPr>
              <w:spacing w:after="0"/>
              <w:rPr>
                <w:sz w:val="4"/>
                <w:szCs w:val="4"/>
                <w:color w:val="auto"/>
              </w:rPr>
            </w:pPr>
          </w:p>
        </w:tc>
        <w:tc>
          <w:tcPr>
            <w:tcW w:w="402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i w:val="1"/>
                <w:iCs w:val="1"/>
                <w:color w:val="auto"/>
              </w:rPr>
              <w:t>since 1998</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PAGP GP from July 2013 through December 31,</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34"/>
        </w:trPr>
        <w:tc>
          <w:tcPr>
            <w:tcW w:w="20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6"/>
                <w:szCs w:val="16"/>
                <w:b w:val="1"/>
                <w:bCs w:val="1"/>
                <w:i w:val="1"/>
                <w:iCs w:val="1"/>
                <w:color w:val="auto"/>
              </w:rPr>
              <w:t>Former Chairman and</w:t>
            </w:r>
          </w:p>
        </w:tc>
        <w:tc>
          <w:tcPr>
            <w:tcW w:w="402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5"/>
                <w:szCs w:val="15"/>
                <w:color w:val="auto"/>
              </w:rPr>
              <w:t>2019 and as Chief Executive Officer of PAGP GP</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63"/>
        </w:trPr>
        <w:tc>
          <w:tcPr>
            <w:tcW w:w="2040" w:type="dxa"/>
            <w:vAlign w:val="bottom"/>
            <w:tcBorders>
              <w:left w:val="single" w:sz="8" w:color="auto"/>
              <w:right w:val="single" w:sz="8" w:color="auto"/>
            </w:tcBorders>
            <w:gridSpan w:val="4"/>
            <w:vMerge w:val="continue"/>
          </w:tcPr>
          <w:p>
            <w:pPr>
              <w:spacing w:after="0"/>
              <w:rPr>
                <w:sz w:val="14"/>
                <w:szCs w:val="14"/>
                <w:color w:val="auto"/>
              </w:rPr>
            </w:pPr>
          </w:p>
        </w:tc>
        <w:tc>
          <w:tcPr>
            <w:tcW w:w="402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from July 2013 until his retirement from such position</w:t>
            </w: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96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4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i w:val="1"/>
                <w:iCs w:val="1"/>
                <w:color w:val="auto"/>
                <w:w w:val="97"/>
              </w:rPr>
              <w:t>CEO</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 October 2018. He also served as Chief Executive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w w:val="98"/>
              </w:rPr>
              <w:t>Committees</w:t>
            </w:r>
          </w:p>
        </w:tc>
        <w:tc>
          <w:tcPr>
            <w:tcW w:w="580" w:type="dxa"/>
            <w:vAlign w:val="bottom"/>
            <w:tcBorders>
              <w:right w:val="single" w:sz="8" w:color="auto"/>
            </w:tcBorders>
            <w:gridSpan w:val="2"/>
            <w:vMerge w:val="restart"/>
          </w:tcPr>
          <w:p>
            <w:pPr>
              <w:jc w:val="right"/>
              <w:ind w:right="520"/>
              <w:spacing w:after="0"/>
              <w:rPr>
                <w:sz w:val="20"/>
                <w:szCs w:val="20"/>
                <w:color w:val="auto"/>
              </w:rPr>
            </w:pPr>
            <w:r>
              <w:rPr>
                <w:rFonts w:ascii="Arial" w:cs="Arial" w:eastAsia="Arial" w:hAnsi="Arial"/>
                <w:sz w:val="16"/>
                <w:szCs w:val="16"/>
                <w:b w:val="1"/>
                <w:bCs w:val="1"/>
                <w:color w:val="auto"/>
                <w:w w:val="74"/>
              </w:rPr>
              <w:t>:</w:t>
            </w: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Officer of GP LLC from PAA’s formation in 1998 until</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93"/>
        </w:trPr>
        <w:tc>
          <w:tcPr>
            <w:tcW w:w="540" w:type="dxa"/>
            <w:vAlign w:val="bottom"/>
            <w:tcBorders>
              <w:left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580" w:type="dxa"/>
            <w:vAlign w:val="bottom"/>
            <w:tcBorders>
              <w:right w:val="single" w:sz="8" w:color="auto"/>
            </w:tcBorders>
            <w:gridSpan w:val="2"/>
            <w:vMerge w:val="continue"/>
          </w:tcPr>
          <w:p>
            <w:pPr>
              <w:spacing w:after="0"/>
              <w:rPr>
                <w:sz w:val="7"/>
                <w:szCs w:val="7"/>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his retirement from that position in October 2018. He</w:t>
            </w: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9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47"/>
        </w:trPr>
        <w:tc>
          <w:tcPr>
            <w:tcW w:w="540" w:type="dxa"/>
            <w:vAlign w:val="bottom"/>
            <w:tcBorders>
              <w:left w:val="single" w:sz="8" w:color="auto"/>
            </w:tcBorders>
          </w:tcPr>
          <w:p>
            <w:pPr>
              <w:spacing w:after="0"/>
              <w:rPr>
                <w:sz w:val="12"/>
                <w:szCs w:val="12"/>
                <w:color w:val="auto"/>
              </w:rPr>
            </w:pPr>
          </w:p>
        </w:tc>
        <w:tc>
          <w:tcPr>
            <w:tcW w:w="1500" w:type="dxa"/>
            <w:vAlign w:val="bottom"/>
            <w:tcBorders>
              <w:right w:val="single" w:sz="8" w:color="auto"/>
            </w:tcBorders>
            <w:gridSpan w:val="3"/>
            <w:vMerge w:val="restart"/>
          </w:tcPr>
          <w:p>
            <w:pPr>
              <w:jc w:val="center"/>
              <w:ind w:right="520"/>
              <w:spacing w:after="0"/>
              <w:rPr>
                <w:sz w:val="20"/>
                <w:szCs w:val="20"/>
                <w:color w:val="auto"/>
              </w:rPr>
            </w:pPr>
            <w:r>
              <w:rPr>
                <w:rFonts w:ascii="Arial" w:cs="Arial" w:eastAsia="Arial" w:hAnsi="Arial"/>
                <w:sz w:val="16"/>
                <w:szCs w:val="16"/>
                <w:color w:val="auto"/>
                <w:w w:val="99"/>
              </w:rPr>
              <w:t>None</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as a director of PAA’s general partner 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540" w:type="dxa"/>
            <w:vAlign w:val="bottom"/>
            <w:tcBorders>
              <w:left w:val="single" w:sz="8" w:color="auto"/>
            </w:tcBorders>
          </w:tcPr>
          <w:p>
            <w:pPr>
              <w:spacing w:after="0"/>
              <w:rPr>
                <w:sz w:val="3"/>
                <w:szCs w:val="3"/>
                <w:color w:val="auto"/>
              </w:rPr>
            </w:pPr>
          </w:p>
        </w:tc>
        <w:tc>
          <w:tcPr>
            <w:tcW w:w="1500" w:type="dxa"/>
            <w:vAlign w:val="bottom"/>
            <w:tcBorders>
              <w:right w:val="single" w:sz="8" w:color="auto"/>
            </w:tcBorders>
            <w:gridSpan w:val="3"/>
            <w:vMerge w:val="continue"/>
          </w:tcPr>
          <w:p>
            <w:pPr>
              <w:spacing w:after="0"/>
              <w:rPr>
                <w:sz w:val="3"/>
                <w:szCs w:val="3"/>
                <w:color w:val="auto"/>
              </w:rPr>
            </w:pPr>
          </w:p>
        </w:tc>
        <w:tc>
          <w:tcPr>
            <w:tcW w:w="402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former general partner from PAA’s formation until</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54"/>
        </w:trPr>
        <w:tc>
          <w:tcPr>
            <w:tcW w:w="54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November 2016 when the Board of PAGP GP</w:t>
            </w: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9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54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402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93"/>
        </w:trPr>
        <w:tc>
          <w:tcPr>
            <w:tcW w:w="54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assumed responsibility for PAA in addition to PAGP</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Plains AAP. In addition, he was President, Chief</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Executive Officer and director of Plains Resources</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Inc. from 1992 to May 2001 and served in various</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roles of increasing responsibility from 1981 to 1992.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Armstrong served as a director of the Federal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Reserve Bank of Dallas from 2015 to 2021, retiring as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Chair at the end of 2021. Mr. Armstrong also serves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as a director of the Memorial Hermann Health</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System and NOV, Inc. Mr. Armstrong is also a</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member of the advisory board of the Maguire Energy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Institute at the Cox School of Business at Southern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Methodist University, the Baker Institute and Veriten,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is a past Chairman of the National Petroleum</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Council. Mr. Armstrong’s experience with PAA since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its formation, including as former Chairman and CEO,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his long-time involvement in the energy industry,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provide the Board with invaluable insight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perspective.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54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0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7"/>
              </w:rPr>
              <w:t>JOHN T. RAYMOND</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John T. Raymond, age 52, </w:t>
            </w:r>
            <w:r>
              <w:rPr>
                <w:rFonts w:ascii="Arial" w:cs="Arial" w:eastAsia="Arial" w:hAnsi="Arial"/>
                <w:sz w:val="16"/>
                <w:szCs w:val="16"/>
                <w:color w:val="auto"/>
              </w:rPr>
              <w:t>has served as a director</w:t>
            </w:r>
          </w:p>
        </w:tc>
        <w:tc>
          <w:tcPr>
            <w:tcW w:w="100" w:type="dxa"/>
            <w:vAlign w:val="bottom"/>
          </w:tcPr>
          <w:p>
            <w:pPr>
              <w:spacing w:after="0"/>
              <w:rPr>
                <w:sz w:val="20"/>
                <w:szCs w:val="20"/>
                <w:color w:val="auto"/>
              </w:rPr>
            </w:pPr>
          </w:p>
        </w:tc>
        <w:tc>
          <w:tcPr>
            <w:tcW w:w="206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8"/>
        </w:trPr>
        <w:tc>
          <w:tcPr>
            <w:tcW w:w="540" w:type="dxa"/>
            <w:vAlign w:val="bottom"/>
            <w:tcBorders>
              <w:left w:val="single" w:sz="8" w:color="auto"/>
            </w:tcBorders>
          </w:tcPr>
          <w:p>
            <w:pPr>
              <w:spacing w:after="0"/>
              <w:rPr>
                <w:sz w:val="14"/>
                <w:szCs w:val="14"/>
                <w:color w:val="auto"/>
              </w:rPr>
            </w:pPr>
          </w:p>
        </w:tc>
        <w:tc>
          <w:tcPr>
            <w:tcW w:w="1500" w:type="dxa"/>
            <w:vAlign w:val="bottom"/>
            <w:tcBorders>
              <w:right w:val="single" w:sz="8" w:color="auto"/>
            </w:tcBorders>
            <w:gridSpan w:val="3"/>
            <w:vMerge w:val="restart"/>
          </w:tcPr>
          <w:p>
            <w:pPr>
              <w:jc w:val="center"/>
              <w:ind w:right="540"/>
              <w:spacing w:after="0"/>
              <w:rPr>
                <w:sz w:val="20"/>
                <w:szCs w:val="20"/>
                <w:color w:val="auto"/>
              </w:rPr>
            </w:pPr>
            <w:r>
              <w:rPr>
                <w:rFonts w:ascii="Arial" w:cs="Arial" w:eastAsia="Arial" w:hAnsi="Arial"/>
                <w:sz w:val="16"/>
                <w:szCs w:val="16"/>
                <w:b w:val="1"/>
                <w:bCs w:val="1"/>
                <w:color w:val="auto"/>
              </w:rPr>
              <w:t>Independent</w:t>
            </w:r>
          </w:p>
        </w:tc>
        <w:tc>
          <w:tcPr>
            <w:tcW w:w="402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of PAGP GP since October 2013. He served as a</w:t>
            </w:r>
          </w:p>
        </w:tc>
        <w:tc>
          <w:tcPr>
            <w:tcW w:w="100" w:type="dxa"/>
            <w:vAlign w:val="bottom"/>
          </w:tcPr>
          <w:p>
            <w:pPr>
              <w:spacing w:after="0"/>
              <w:rPr>
                <w:sz w:val="14"/>
                <w:szCs w:val="14"/>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80" w:type="dxa"/>
            <w:vAlign w:val="bottom"/>
            <w:tcBorders>
              <w:right w:val="single" w:sz="8" w:color="auto"/>
            </w:tcBorders>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3"/>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director of PAA’s general partner from December</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47"/>
        </w:trPr>
        <w:tc>
          <w:tcPr>
            <w:tcW w:w="20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2010 until November 2016. Mr. Raymond is the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040" w:type="dxa"/>
            <w:vAlign w:val="bottom"/>
            <w:tcBorders>
              <w:left w:val="single" w:sz="8" w:color="auto"/>
              <w:right w:val="single" w:sz="8" w:color="auto"/>
            </w:tcBorders>
            <w:gridSpan w:val="4"/>
            <w:vMerge w:val="continue"/>
          </w:tcPr>
          <w:p>
            <w:pPr>
              <w:spacing w:after="0"/>
              <w:rPr>
                <w:sz w:val="4"/>
                <w:szCs w:val="4"/>
                <w:color w:val="auto"/>
              </w:rPr>
            </w:pPr>
          </w:p>
        </w:tc>
        <w:tc>
          <w:tcPr>
            <w:tcW w:w="402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i w:val="1"/>
                <w:iCs w:val="1"/>
                <w:color w:val="auto"/>
              </w:rPr>
              <w:t>since 2010</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founder and majority owner of EMG, which is the</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34"/>
        </w:trPr>
        <w:tc>
          <w:tcPr>
            <w:tcW w:w="540" w:type="dxa"/>
            <w:vAlign w:val="bottom"/>
            <w:tcBorders>
              <w:left w:val="single" w:sz="8" w:color="auto"/>
            </w:tcBorders>
          </w:tcPr>
          <w:p>
            <w:pPr>
              <w:spacing w:after="0"/>
              <w:rPr>
                <w:sz w:val="11"/>
                <w:szCs w:val="11"/>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520" w:type="dxa"/>
            <w:vAlign w:val="bottom"/>
            <w:tcBorders>
              <w:right w:val="single" w:sz="8" w:color="auto"/>
            </w:tcBorders>
          </w:tcPr>
          <w:p>
            <w:pPr>
              <w:spacing w:after="0"/>
              <w:rPr>
                <w:sz w:val="11"/>
                <w:szCs w:val="11"/>
                <w:color w:val="auto"/>
              </w:rPr>
            </w:pPr>
          </w:p>
        </w:tc>
        <w:tc>
          <w:tcPr>
            <w:tcW w:w="402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5"/>
                <w:szCs w:val="15"/>
                <w:color w:val="auto"/>
              </w:rPr>
              <w:t>management company for a series of specialized</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tcPr>
          <w:p>
            <w:pPr>
              <w:spacing w:after="0"/>
              <w:rPr>
                <w:sz w:val="12"/>
                <w:szCs w:val="12"/>
                <w:color w:val="auto"/>
              </w:rPr>
            </w:pPr>
          </w:p>
        </w:tc>
        <w:tc>
          <w:tcPr>
            <w:tcW w:w="980" w:type="dxa"/>
            <w:vAlign w:val="bottom"/>
            <w:tcBorders>
              <w:bottom w:val="single" w:sz="8" w:color="auto"/>
            </w:tcBorders>
            <w:gridSpan w:val="2"/>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6"/>
                <w:szCs w:val="16"/>
                <w:color w:val="auto"/>
              </w:rPr>
              <w:t>private equity funds. EMG was founded in 2006 and</w:t>
            </w: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6"/>
                <w:szCs w:val="16"/>
                <w:color w:val="auto"/>
              </w:rPr>
              <w:t>Compensation (chair)</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focuses on investing across various facets of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07"/>
        </w:trPr>
        <w:tc>
          <w:tcPr>
            <w:tcW w:w="2040" w:type="dxa"/>
            <w:vAlign w:val="bottom"/>
            <w:tcBorders>
              <w:left w:val="single" w:sz="8" w:color="auto"/>
              <w:right w:val="single" w:sz="8" w:color="auto"/>
            </w:tcBorders>
            <w:gridSpan w:val="4"/>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global natural resource industry including the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restart"/>
          </w:tcPr>
          <w:p>
            <w:pPr>
              <w:spacing w:after="0" w:line="177" w:lineRule="exact"/>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line="177" w:lineRule="exact"/>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upstream and midstream segments of the energy</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47"/>
        </w:trPr>
        <w:tc>
          <w:tcPr>
            <w:tcW w:w="540" w:type="dxa"/>
            <w:vAlign w:val="bottom"/>
            <w:tcBorders>
              <w:lef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complex. As of September 30, 2022, EMG had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540" w:type="dxa"/>
            <w:vAlign w:val="bottom"/>
            <w:tcBorders>
              <w:lef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402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approximately $14 billion of assets under</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54"/>
        </w:trPr>
        <w:tc>
          <w:tcPr>
            <w:tcW w:w="54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management and approximately $12 billion in</w:t>
            </w: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9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54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402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93"/>
        </w:trPr>
        <w:tc>
          <w:tcPr>
            <w:tcW w:w="54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commitments have been allocated across the energy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sector since inception. From 1998 until founding</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EMG, Mr. Raymond held various executive</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leadership positions with several energy companies,</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including Plains Resources Inc. (the publicly traded</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61"/>
        </w:trPr>
        <w:tc>
          <w:tcPr>
            <w:tcW w:w="54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02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6"/>
                <w:szCs w:val="16"/>
                <w:color w:val="auto"/>
              </w:rPr>
              <w:t>predecessor company to Vulcan Energy), Plains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Exploration and Production Company, Kinder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Morgan,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54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0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310"/>
        </w:trPr>
        <w:tc>
          <w:tcPr>
            <w:tcW w:w="500" w:type="dxa"/>
            <w:vAlign w:val="bottom"/>
            <w:tcBorders>
              <w:top w:val="single" w:sz="8" w:color="auto"/>
              <w:left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00" w:type="dxa"/>
            <w:vAlign w:val="bottom"/>
            <w:tcBorders>
              <w:top w:val="single" w:sz="8" w:color="auto"/>
              <w:right w:val="single" w:sz="8" w:color="auto"/>
            </w:tcBorders>
          </w:tcPr>
          <w:p>
            <w:pPr>
              <w:spacing w:after="0"/>
              <w:rPr>
                <w:sz w:val="24"/>
                <w:szCs w:val="24"/>
                <w:color w:val="auto"/>
              </w:rPr>
            </w:pPr>
          </w:p>
        </w:tc>
        <w:tc>
          <w:tcPr>
            <w:tcW w:w="40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Inc. and Ocean Energy, Inc. From 1992 to 1998, he</w:t>
            </w: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Energy Evolution</w:t>
            </w: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was a Vice President with Howard Weil Labouisse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Friedrichs, Inc. Mr. Raymond has been a direct or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indirect owner of PAA’s general partner since 2001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served on the board of PAA’s general partner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from 2001 to 2005. He serves on numerous 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private company boards and currently serves on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of NGL Energy Holdings LLC, the general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partner of NGL Energy Partners, L.P., and ESM</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Acquisition Corp. Mr. Raymond is also co-founder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portfolio manager of EMG Advisors.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Raymond received a BSM degree from the A.B.</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Freeman School of Business at Tulane University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with dual concentrations in finance and accounting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currently sits on the board of the Business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School Council. He also serves as a director on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board of the American Heart Association, as a</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member of the MD Anderson Cancer Center Board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Visitors and is a member of YPO. The Board has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determined that Mr. Raymond is “independent” under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applicable Nasdaq and SEC rules. We believe that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Raymond’s experience with investment in and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management of a variety of upstream and midstream</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assets and operations provides a valuable resource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to the Board.</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50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color w:val="auto"/>
              </w:rPr>
              <w:t>BOBBY S.</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Bobby S. Shackouls, age 72, </w:t>
            </w:r>
            <w:r>
              <w:rPr>
                <w:rFonts w:ascii="Arial" w:cs="Arial" w:eastAsia="Arial" w:hAnsi="Arial"/>
                <w:sz w:val="16"/>
                <w:szCs w:val="16"/>
                <w:color w:val="auto"/>
              </w:rPr>
              <w:t>has served as a</w:t>
            </w:r>
          </w:p>
        </w:tc>
        <w:tc>
          <w:tcPr>
            <w:tcW w:w="100" w:type="dxa"/>
            <w:vAlign w:val="bottom"/>
          </w:tcPr>
          <w:p>
            <w:pPr>
              <w:spacing w:after="0"/>
              <w:rPr>
                <w:sz w:val="21"/>
                <w:szCs w:val="21"/>
                <w:color w:val="auto"/>
              </w:rPr>
            </w:pPr>
          </w:p>
        </w:tc>
        <w:tc>
          <w:tcPr>
            <w:tcW w:w="206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8"/>
        </w:trPr>
        <w:tc>
          <w:tcPr>
            <w:tcW w:w="500" w:type="dxa"/>
            <w:vAlign w:val="bottom"/>
            <w:tcBorders>
              <w:left w:val="single" w:sz="8" w:color="auto"/>
            </w:tcBorders>
          </w:tcPr>
          <w:p>
            <w:pPr>
              <w:spacing w:after="0"/>
              <w:rPr>
                <w:sz w:val="14"/>
                <w:szCs w:val="14"/>
                <w:color w:val="auto"/>
              </w:rPr>
            </w:pPr>
          </w:p>
        </w:tc>
        <w:tc>
          <w:tcPr>
            <w:tcW w:w="1540" w:type="dxa"/>
            <w:vAlign w:val="bottom"/>
            <w:tcBorders>
              <w:right w:val="single" w:sz="8" w:color="auto"/>
            </w:tcBorders>
            <w:gridSpan w:val="4"/>
          </w:tcPr>
          <w:p>
            <w:pPr>
              <w:jc w:val="center"/>
              <w:ind w:right="480"/>
              <w:spacing w:after="0" w:line="168" w:lineRule="exact"/>
              <w:rPr>
                <w:sz w:val="20"/>
                <w:szCs w:val="20"/>
                <w:color w:val="auto"/>
              </w:rPr>
            </w:pPr>
            <w:r>
              <w:rPr>
                <w:rFonts w:ascii="Arial" w:cs="Arial" w:eastAsia="Arial" w:hAnsi="Arial"/>
                <w:sz w:val="16"/>
                <w:szCs w:val="16"/>
                <w:b w:val="1"/>
                <w:bCs w:val="1"/>
                <w:color w:val="auto"/>
              </w:rPr>
              <w:t>SHACKOULS</w:t>
            </w:r>
          </w:p>
        </w:tc>
        <w:tc>
          <w:tcPr>
            <w:tcW w:w="402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director of PAGP GP since January 2014 and as</w:t>
            </w:r>
          </w:p>
        </w:tc>
        <w:tc>
          <w:tcPr>
            <w:tcW w:w="100" w:type="dxa"/>
            <w:vAlign w:val="bottom"/>
          </w:tcPr>
          <w:p>
            <w:pPr>
              <w:spacing w:after="0"/>
              <w:rPr>
                <w:sz w:val="14"/>
                <w:szCs w:val="14"/>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80" w:type="dxa"/>
            <w:vAlign w:val="bottom"/>
            <w:tcBorders>
              <w:right w:val="single" w:sz="8" w:color="auto"/>
            </w:tcBorders>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Lead Director since January 2020. Mr. Shackouls</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1040" w:type="dxa"/>
            <w:vAlign w:val="bottom"/>
            <w:gridSpan w:val="3"/>
            <w:vMerge w:val="restart"/>
          </w:tcPr>
          <w:p>
            <w:pPr>
              <w:jc w:val="center"/>
              <w:spacing w:after="0" w:line="156" w:lineRule="exact"/>
              <w:rPr>
                <w:sz w:val="20"/>
                <w:szCs w:val="20"/>
                <w:color w:val="auto"/>
              </w:rPr>
            </w:pPr>
            <w:r>
              <w:rPr>
                <w:rFonts w:ascii="Arial" w:cs="Arial" w:eastAsia="Arial" w:hAnsi="Arial"/>
                <w:sz w:val="16"/>
                <w:szCs w:val="16"/>
                <w:b w:val="1"/>
                <w:bCs w:val="1"/>
                <w:i w:val="1"/>
                <w:iCs w:val="1"/>
                <w:color w:val="auto"/>
              </w:rPr>
              <w:t>Lead Director</w:t>
            </w:r>
          </w:p>
        </w:tc>
        <w:tc>
          <w:tcPr>
            <w:tcW w:w="50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14"/>
        </w:trPr>
        <w:tc>
          <w:tcPr>
            <w:tcW w:w="500" w:type="dxa"/>
            <w:vAlign w:val="bottom"/>
            <w:tcBorders>
              <w:left w:val="single" w:sz="8" w:color="auto"/>
            </w:tcBorders>
          </w:tcPr>
          <w:p>
            <w:pPr>
              <w:spacing w:after="0"/>
              <w:rPr>
                <w:sz w:val="9"/>
                <w:szCs w:val="9"/>
                <w:color w:val="auto"/>
              </w:rPr>
            </w:pPr>
          </w:p>
        </w:tc>
        <w:tc>
          <w:tcPr>
            <w:tcW w:w="1040" w:type="dxa"/>
            <w:vAlign w:val="bottom"/>
            <w:tcBorders>
              <w:bottom w:val="single" w:sz="8" w:color="auto"/>
            </w:tcBorders>
            <w:gridSpan w:val="3"/>
            <w:vMerge w:val="continue"/>
          </w:tcPr>
          <w:p>
            <w:pPr>
              <w:spacing w:after="0"/>
              <w:rPr>
                <w:sz w:val="9"/>
                <w:szCs w:val="9"/>
                <w:color w:val="auto"/>
              </w:rPr>
            </w:pPr>
          </w:p>
        </w:tc>
        <w:tc>
          <w:tcPr>
            <w:tcW w:w="500" w:type="dxa"/>
            <w:vAlign w:val="bottom"/>
            <w:tcBorders>
              <w:right w:val="single" w:sz="8" w:color="auto"/>
            </w:tcBorders>
            <w:vMerge w:val="restart"/>
          </w:tcPr>
          <w:p>
            <w:pPr>
              <w:spacing w:after="0"/>
              <w:rPr>
                <w:sz w:val="9"/>
                <w:szCs w:val="9"/>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as Chairman of Burlington Resources Inc.</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50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Borders>
              <w:right w:val="single" w:sz="8" w:color="auto"/>
            </w:tcBorders>
            <w:vMerge w:val="continue"/>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Borders>
              <w:right w:val="single" w:sz="8" w:color="auto"/>
            </w:tcBorders>
            <w:gridSpan w:val="3"/>
          </w:tcPr>
          <w:p>
            <w:pPr>
              <w:jc w:val="center"/>
              <w:ind w:right="540"/>
              <w:spacing w:after="0"/>
              <w:rPr>
                <w:sz w:val="20"/>
                <w:szCs w:val="20"/>
                <w:color w:val="auto"/>
              </w:rPr>
            </w:pPr>
            <w:r>
              <w:rPr>
                <w:rFonts w:ascii="Arial" w:cs="Arial" w:eastAsia="Arial" w:hAnsi="Arial"/>
                <w:sz w:val="16"/>
                <w:szCs w:val="16"/>
                <w:b w:val="1"/>
                <w:bCs w:val="1"/>
                <w:color w:val="auto"/>
              </w:rPr>
              <w:t>Independent</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1997 until its acquisition by ConocoPhillips in</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34"/>
        </w:trPr>
        <w:tc>
          <w:tcPr>
            <w:tcW w:w="204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5"/>
                <w:szCs w:val="15"/>
                <w:color w:val="auto"/>
              </w:rPr>
              <w:t>2006, and continued to serve on the ConocoPhillips</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63"/>
        </w:trPr>
        <w:tc>
          <w:tcPr>
            <w:tcW w:w="2040" w:type="dxa"/>
            <w:vAlign w:val="bottom"/>
            <w:tcBorders>
              <w:left w:val="single" w:sz="8" w:color="auto"/>
              <w:right w:val="single" w:sz="8" w:color="auto"/>
            </w:tcBorders>
            <w:gridSpan w:val="5"/>
            <w:vMerge w:val="continue"/>
          </w:tcPr>
          <w:p>
            <w:pPr>
              <w:spacing w:after="0"/>
              <w:rPr>
                <w:sz w:val="14"/>
                <w:szCs w:val="14"/>
                <w:color w:val="auto"/>
              </w:rPr>
            </w:pPr>
          </w:p>
        </w:tc>
        <w:tc>
          <w:tcPr>
            <w:tcW w:w="402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Board of Directors until his retirement in May 2011.</w:t>
            </w: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96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0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i w:val="1"/>
                <w:iCs w:val="1"/>
                <w:color w:val="auto"/>
              </w:rPr>
              <w:t>since 2010</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Prior thereto, Mr. Shackouls served as President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Chief Executive Officer of Meridian Oil, Inc., a wholly</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93"/>
        </w:trPr>
        <w:tc>
          <w:tcPr>
            <w:tcW w:w="50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520" w:type="dxa"/>
            <w:vAlign w:val="bottom"/>
            <w:tcBorders>
              <w:right w:val="single" w:sz="8" w:color="auto"/>
            </w:tcBorders>
            <w:gridSpan w:val="2"/>
          </w:tcPr>
          <w:p>
            <w:pPr>
              <w:spacing w:after="0"/>
              <w:rPr>
                <w:sz w:val="7"/>
                <w:szCs w:val="7"/>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owned subsidiary of Burlington Resources, from 1994</w:t>
            </w: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9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47"/>
        </w:trPr>
        <w:tc>
          <w:tcPr>
            <w:tcW w:w="204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6"/>
                <w:szCs w:val="16"/>
                <w:color w:val="auto"/>
              </w:rPr>
              <w:t>Governance (chair)</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to 1995, and as President and Chief Executive Officer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40" w:type="dxa"/>
            <w:vAlign w:val="bottom"/>
            <w:tcBorders>
              <w:left w:val="single" w:sz="8" w:color="auto"/>
              <w:right w:val="single" w:sz="8" w:color="auto"/>
            </w:tcBorders>
            <w:gridSpan w:val="5"/>
            <w:vMerge w:val="continue"/>
          </w:tcPr>
          <w:p>
            <w:pPr>
              <w:spacing w:after="0"/>
              <w:rPr>
                <w:sz w:val="3"/>
                <w:szCs w:val="3"/>
                <w:color w:val="auto"/>
              </w:rPr>
            </w:pPr>
          </w:p>
        </w:tc>
        <w:tc>
          <w:tcPr>
            <w:tcW w:w="402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 Burlington Resources from 1995 until 2006.</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Mr. Shackouls served as a director of The Kroger Co.</w:t>
            </w: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9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500" w:type="dxa"/>
            <w:vAlign w:val="bottom"/>
            <w:tcBorders>
              <w:lef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402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93"/>
        </w:trPr>
        <w:tc>
          <w:tcPr>
            <w:tcW w:w="500" w:type="dxa"/>
            <w:vAlign w:val="bottom"/>
            <w:tcBorders>
              <w:lef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from 1999 until January 2021, as a director of Oasis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50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Petroleum from 2012 until November 2020, and as a</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director of Quintana Energy Services from January</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2019 until July 2020. He served as a director and</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member of the audit committee of PNGS GP LLC,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general partner of PAA Natural Gas Storage, L.P.,</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from April 2010 through December 2013. The Board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has determined that Mr. Shackouls is “independent”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under applicable Nasdaq and SEC rules. We believe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that Mr. Shackouls’ extensive experience within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energy industry offers valuable perspective and, 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tandem with his long history of leadership as the CEO</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 a public company, make him highly qualified to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 as a member of the Board.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500" w:type="dxa"/>
            <w:vAlign w:val="bottom"/>
            <w:tcBorders>
              <w:left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40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4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9"/>
              </w:rPr>
              <w:t>CHRISTOPHER M.</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Christopher M. Temple, age 55, </w:t>
            </w:r>
            <w:r>
              <w:rPr>
                <w:rFonts w:ascii="Arial" w:cs="Arial" w:eastAsia="Arial" w:hAnsi="Arial"/>
                <w:sz w:val="16"/>
                <w:szCs w:val="16"/>
                <w:color w:val="auto"/>
              </w:rPr>
              <w:t>has served as a</w:t>
            </w:r>
          </w:p>
        </w:tc>
        <w:tc>
          <w:tcPr>
            <w:tcW w:w="100" w:type="dxa"/>
            <w:vAlign w:val="bottom"/>
          </w:tcPr>
          <w:p>
            <w:pPr>
              <w:spacing w:after="0"/>
              <w:rPr>
                <w:sz w:val="20"/>
                <w:szCs w:val="20"/>
                <w:color w:val="auto"/>
              </w:rPr>
            </w:pPr>
          </w:p>
        </w:tc>
        <w:tc>
          <w:tcPr>
            <w:tcW w:w="206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8"/>
        </w:trPr>
        <w:tc>
          <w:tcPr>
            <w:tcW w:w="50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tcBorders>
              <w:right w:val="single" w:sz="8" w:color="auto"/>
            </w:tcBorders>
            <w:gridSpan w:val="3"/>
          </w:tcPr>
          <w:p>
            <w:pPr>
              <w:jc w:val="center"/>
              <w:ind w:right="520"/>
              <w:spacing w:after="0" w:line="168" w:lineRule="exact"/>
              <w:rPr>
                <w:sz w:val="20"/>
                <w:szCs w:val="20"/>
                <w:color w:val="auto"/>
              </w:rPr>
            </w:pPr>
            <w:r>
              <w:rPr>
                <w:rFonts w:ascii="Arial" w:cs="Arial" w:eastAsia="Arial" w:hAnsi="Arial"/>
                <w:sz w:val="16"/>
                <w:szCs w:val="16"/>
                <w:b w:val="1"/>
                <w:bCs w:val="1"/>
                <w:color w:val="auto"/>
              </w:rPr>
              <w:t>TEMPLE</w:t>
            </w:r>
          </w:p>
        </w:tc>
        <w:tc>
          <w:tcPr>
            <w:tcW w:w="402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director of PAGP GP since November 2016. He</w:t>
            </w:r>
          </w:p>
        </w:tc>
        <w:tc>
          <w:tcPr>
            <w:tcW w:w="100" w:type="dxa"/>
            <w:vAlign w:val="bottom"/>
          </w:tcPr>
          <w:p>
            <w:pPr>
              <w:spacing w:after="0"/>
              <w:rPr>
                <w:sz w:val="14"/>
                <w:szCs w:val="14"/>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80" w:type="dxa"/>
            <w:vAlign w:val="bottom"/>
            <w:tcBorders>
              <w:right w:val="single" w:sz="8" w:color="auto"/>
            </w:tcBorders>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served as a director of PAA’s general partner from</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500" w:type="dxa"/>
            <w:vAlign w:val="bottom"/>
            <w:tcBorders>
              <w:right w:val="single" w:sz="8" w:color="auto"/>
            </w:tcBorders>
            <w:gridSpan w:val="3"/>
            <w:vMerge w:val="restart"/>
          </w:tcPr>
          <w:p>
            <w:pPr>
              <w:jc w:val="center"/>
              <w:ind w:right="540"/>
              <w:spacing w:after="0"/>
              <w:rPr>
                <w:sz w:val="20"/>
                <w:szCs w:val="20"/>
                <w:color w:val="auto"/>
              </w:rPr>
            </w:pPr>
            <w:r>
              <w:rPr>
                <w:rFonts w:ascii="Arial" w:cs="Arial" w:eastAsia="Arial" w:hAnsi="Arial"/>
                <w:sz w:val="16"/>
                <w:szCs w:val="16"/>
                <w:b w:val="1"/>
                <w:bCs w:val="1"/>
                <w:color w:val="auto"/>
              </w:rPr>
              <w:t>Independent</w:t>
            </w: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Borders>
              <w:right w:val="single" w:sz="8" w:color="auto"/>
            </w:tcBorders>
            <w:gridSpan w:val="3"/>
            <w:vMerge w:val="continue"/>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May 2009 until November 2016. He is President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4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DelTex Capital LLC (a private investment firm) and</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37"/>
        </w:trPr>
        <w:tc>
          <w:tcPr>
            <w:tcW w:w="500" w:type="dxa"/>
            <w:vAlign w:val="bottom"/>
            <w:tcBorders>
              <w:lef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tcBorders>
              <w:right w:val="single" w:sz="8" w:color="auto"/>
            </w:tcBorders>
            <w:gridSpan w:val="3"/>
          </w:tcPr>
          <w:p>
            <w:pPr>
              <w:jc w:val="center"/>
              <w:ind w:right="520"/>
              <w:spacing w:after="0" w:line="137" w:lineRule="exact"/>
              <w:rPr>
                <w:sz w:val="20"/>
                <w:szCs w:val="20"/>
                <w:color w:val="auto"/>
              </w:rPr>
            </w:pPr>
            <w:r>
              <w:rPr>
                <w:rFonts w:ascii="Arial" w:cs="Arial" w:eastAsia="Arial" w:hAnsi="Arial"/>
                <w:sz w:val="15"/>
                <w:szCs w:val="15"/>
                <w:b w:val="1"/>
                <w:bCs w:val="1"/>
                <w:i w:val="1"/>
                <w:iCs w:val="1"/>
                <w:color w:val="auto"/>
              </w:rPr>
              <w:t>since 2009</w:t>
            </w:r>
          </w:p>
        </w:tc>
        <w:tc>
          <w:tcPr>
            <w:tcW w:w="402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5"/>
                <w:szCs w:val="15"/>
                <w:color w:val="auto"/>
              </w:rPr>
              <w:t>serves as a Senior Advisor to Tailwind Capital. As</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60"/>
        </w:trPr>
        <w:tc>
          <w:tcPr>
            <w:tcW w:w="500" w:type="dxa"/>
            <w:vAlign w:val="bottom"/>
            <w:tcBorders>
              <w:lef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2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402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6"/>
                <w:szCs w:val="16"/>
                <w:color w:val="auto"/>
              </w:rPr>
              <w:t>part of his role as a Senior Advisor with Tailwind</w:t>
            </w: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96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0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520" w:type="dxa"/>
            <w:vAlign w:val="bottom"/>
            <w:tcBorders>
              <w:right w:val="single" w:sz="8" w:color="auto"/>
            </w:tcBorders>
            <w:gridSpan w:val="2"/>
          </w:tcPr>
          <w:p>
            <w:pPr>
              <w:spacing w:after="0"/>
              <w:rPr>
                <w:sz w:val="14"/>
                <w:szCs w:val="14"/>
                <w:color w:val="auto"/>
              </w:rPr>
            </w:pPr>
          </w:p>
        </w:tc>
        <w:tc>
          <w:tcPr>
            <w:tcW w:w="402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Capital, Mr. Temple serves on the board of HMT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Borders>
              <w:right w:val="single" w:sz="8" w:color="auto"/>
            </w:tcBorders>
            <w:gridSpan w:val="2"/>
          </w:tcPr>
          <w:p>
            <w:pPr>
              <w:ind w:left="60"/>
              <w:spacing w:after="0" w:line="15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95"/>
        </w:trPr>
        <w:tc>
          <w:tcPr>
            <w:tcW w:w="500" w:type="dxa"/>
            <w:vAlign w:val="bottom"/>
            <w:tcBorders>
              <w:left w:val="single" w:sz="8" w:color="auto"/>
            </w:tcBorders>
          </w:tcPr>
          <w:p>
            <w:pPr>
              <w:spacing w:after="0"/>
              <w:rPr>
                <w:sz w:val="16"/>
                <w:szCs w:val="16"/>
                <w:color w:val="auto"/>
              </w:rPr>
            </w:pPr>
          </w:p>
        </w:tc>
        <w:tc>
          <w:tcPr>
            <w:tcW w:w="1540" w:type="dxa"/>
            <w:vAlign w:val="bottom"/>
            <w:tcBorders>
              <w:right w:val="single" w:sz="8" w:color="auto"/>
            </w:tcBorders>
            <w:gridSpan w:val="4"/>
            <w:vMerge w:val="restart"/>
          </w:tcPr>
          <w:p>
            <w:pPr>
              <w:jc w:val="center"/>
              <w:ind w:right="500"/>
              <w:spacing w:after="0"/>
              <w:rPr>
                <w:sz w:val="20"/>
                <w:szCs w:val="20"/>
                <w:color w:val="auto"/>
              </w:rPr>
            </w:pPr>
            <w:r>
              <w:rPr>
                <w:rFonts w:ascii="Arial" w:cs="Arial" w:eastAsia="Arial" w:hAnsi="Arial"/>
                <w:sz w:val="16"/>
                <w:szCs w:val="16"/>
                <w:color w:val="auto"/>
              </w:rPr>
              <w:t>Compensation</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Tank, LLC and on the board of Loenbro, Inc. He also</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1540" w:type="dxa"/>
            <w:vAlign w:val="bottom"/>
            <w:tcBorders>
              <w:right w:val="single" w:sz="8" w:color="auto"/>
            </w:tcBorders>
            <w:gridSpan w:val="4"/>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serves on the board and is chairman of the audit</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47"/>
        </w:trPr>
        <w:tc>
          <w:tcPr>
            <w:tcW w:w="500" w:type="dxa"/>
            <w:vAlign w:val="bottom"/>
            <w:tcBorders>
              <w:lef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tcBorders>
              <w:right w:val="single" w:sz="8" w:color="auto"/>
            </w:tcBorders>
            <w:gridSpan w:val="3"/>
            <w:vMerge w:val="restart"/>
          </w:tcPr>
          <w:p>
            <w:pPr>
              <w:jc w:val="center"/>
              <w:ind w:right="540"/>
              <w:spacing w:after="0"/>
              <w:rPr>
                <w:sz w:val="20"/>
                <w:szCs w:val="20"/>
                <w:color w:val="auto"/>
              </w:rPr>
            </w:pPr>
            <w:r>
              <w:rPr>
                <w:rFonts w:ascii="Arial" w:cs="Arial" w:eastAsia="Arial" w:hAnsi="Arial"/>
                <w:sz w:val="16"/>
                <w:szCs w:val="16"/>
                <w:color w:val="auto"/>
              </w:rPr>
              <w:t>HSES</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committee of Owl Rock Capital Corporation, Owl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50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500" w:type="dxa"/>
            <w:vAlign w:val="bottom"/>
            <w:tcBorders>
              <w:right w:val="single" w:sz="8" w:color="auto"/>
            </w:tcBorders>
            <w:gridSpan w:val="3"/>
            <w:vMerge w:val="continue"/>
          </w:tcPr>
          <w:p>
            <w:pPr>
              <w:spacing w:after="0"/>
              <w:rPr>
                <w:sz w:val="3"/>
                <w:szCs w:val="3"/>
                <w:color w:val="auto"/>
              </w:rPr>
            </w:pPr>
          </w:p>
        </w:tc>
        <w:tc>
          <w:tcPr>
            <w:tcW w:w="402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Rock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500" w:type="dxa"/>
            <w:vAlign w:val="bottom"/>
            <w:tcBorders>
              <w:left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40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-86360</wp:posOffset>
            </wp:positionV>
            <wp:extent cx="5212080" cy="38830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2080" cy="3883025"/>
                    </a:xfrm>
                    <a:prstGeom prst="rect">
                      <a:avLst/>
                    </a:prstGeom>
                    <a:noFill/>
                  </pic:spPr>
                </pic:pic>
              </a:graphicData>
            </a:graphic>
          </wp:anchor>
        </w:drawing>
      </w:r>
    </w:p>
    <w:p>
      <w:pPr>
        <w:ind w:left="3440"/>
        <w:spacing w:after="0" w:line="235" w:lineRule="auto"/>
        <w:rPr>
          <w:sz w:val="20"/>
          <w:szCs w:val="20"/>
          <w:color w:val="auto"/>
        </w:rPr>
      </w:pPr>
      <w:r>
        <w:rPr>
          <w:rFonts w:ascii="Arial" w:cs="Arial" w:eastAsia="Arial" w:hAnsi="Arial"/>
          <w:sz w:val="16"/>
          <w:szCs w:val="16"/>
          <w:color w:val="auto"/>
        </w:rPr>
        <w:t>Corporation II, Owl Rock Capital Corporation III, Owl Rock Core Income Corporation, Owl Rock Technology Finance Corporation, Owl Rock Technology Fund II and Owl Rock Technology Income Fund. Mr. Temple served as the President of Vulcan Capital, the private investment group of Vulcan Inc., from May 2009 until December 2009 and as Vice President of Vulcan Capital from September 2008 to May 2009.</w:t>
      </w:r>
    </w:p>
    <w:p>
      <w:pPr>
        <w:spacing w:after="0" w:line="3" w:lineRule="exact"/>
        <w:rPr>
          <w:sz w:val="20"/>
          <w:szCs w:val="20"/>
          <w:color w:val="auto"/>
        </w:rPr>
      </w:pPr>
    </w:p>
    <w:p>
      <w:pPr>
        <w:ind w:left="3440" w:right="40"/>
        <w:spacing w:after="0" w:line="250" w:lineRule="auto"/>
        <w:rPr>
          <w:sz w:val="20"/>
          <w:szCs w:val="20"/>
          <w:color w:val="auto"/>
        </w:rPr>
      </w:pPr>
      <w:r>
        <w:rPr>
          <w:rFonts w:ascii="Arial" w:cs="Arial" w:eastAsia="Arial" w:hAnsi="Arial"/>
          <w:sz w:val="15"/>
          <w:szCs w:val="15"/>
          <w:color w:val="auto"/>
        </w:rPr>
        <w:t>Mr. Temple served as Chairman of Brawler Industries, LLC from September 2012 to July 2016, as a director of Clear Channel Outdoor Holdings from April 2011 through May 2017, and as a director of Charter Communications, Inc. from November 2009 through January 2011. Prior to joining Vulcan in September 2008, Mr. Temple served as a managing director at Tailwind Capital LLC from May to August 2008. Prior to joining Tailwind, Mr. Temple was a managing director at Friend Skoler &amp; Co., Inc. from May 2005 to May 2008. From April 1996 to December 2004,</w:t>
      </w:r>
    </w:p>
    <w:p>
      <w:pPr>
        <w:spacing w:after="0" w:line="174" w:lineRule="exact"/>
        <w:rPr>
          <w:sz w:val="20"/>
          <w:szCs w:val="20"/>
          <w:color w:val="auto"/>
        </w:rPr>
      </w:pPr>
    </w:p>
    <w:p>
      <w:pPr>
        <w:ind w:left="3440"/>
        <w:spacing w:after="0" w:line="236" w:lineRule="auto"/>
        <w:rPr>
          <w:sz w:val="20"/>
          <w:szCs w:val="20"/>
          <w:color w:val="auto"/>
        </w:rPr>
      </w:pPr>
      <w:r>
        <w:rPr>
          <w:rFonts w:ascii="Arial" w:cs="Arial" w:eastAsia="Arial" w:hAnsi="Arial"/>
          <w:sz w:val="16"/>
          <w:szCs w:val="16"/>
          <w:color w:val="auto"/>
        </w:rPr>
        <w:t>Mr. Temple was a managing director at Thayer Capital Partners. Additionally, Mr. Temple was a licensed CPA serving clients in the energy sector with KPMG in Houston, Texas from 1989 to 1993. Mr. Temple holds a BBA, magna cum laude, from the University of Texas and an MBA from Harvard. The Board has determined that Mr. Temple is “independent” under applicable Nasdaq and SEC rules. Mr. Temple has a broad investment management background across a variety of business sectors, as well as experience in the energy sector. We believe that this background, along with the leadership attributes indicated by his executive experience, provide an important source of insight and perspective to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56" w:hanging="156"/>
        <w:spacing w:after="0"/>
        <w:tabs>
          <w:tab w:leader="none" w:pos="1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Industry Experience</w:t>
      </w:r>
    </w:p>
    <w:p>
      <w:pPr>
        <w:spacing w:after="0" w:line="113" w:lineRule="exact"/>
        <w:rPr>
          <w:rFonts w:ascii="Arial" w:cs="Arial" w:eastAsia="Arial" w:hAnsi="Arial"/>
          <w:sz w:val="16"/>
          <w:szCs w:val="16"/>
          <w:color w:val="auto"/>
        </w:rPr>
      </w:pPr>
    </w:p>
    <w:p>
      <w:pPr>
        <w:ind w:left="156" w:hanging="156"/>
        <w:spacing w:after="0"/>
        <w:tabs>
          <w:tab w:leader="none" w:pos="1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Private Equity</w:t>
      </w:r>
    </w:p>
    <w:p>
      <w:pPr>
        <w:spacing w:after="0" w:line="99" w:lineRule="exact"/>
        <w:rPr>
          <w:rFonts w:ascii="Arial" w:cs="Arial" w:eastAsia="Arial" w:hAnsi="Arial"/>
          <w:sz w:val="16"/>
          <w:szCs w:val="16"/>
          <w:color w:val="auto"/>
        </w:rPr>
      </w:pPr>
    </w:p>
    <w:p>
      <w:pPr>
        <w:ind w:left="156" w:hanging="156"/>
        <w:spacing w:after="0"/>
        <w:tabs>
          <w:tab w:leader="none" w:pos="1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Cybersecurity/IT</w:t>
      </w:r>
    </w:p>
    <w:p>
      <w:pPr>
        <w:spacing w:after="0" w:line="5386" w:lineRule="exact"/>
        <w:rPr>
          <w:sz w:val="20"/>
          <w:szCs w:val="20"/>
          <w:color w:val="auto"/>
        </w:rPr>
      </w:pPr>
    </w:p>
    <w:p>
      <w:pPr>
        <w:sectPr>
          <w:pgSz w:w="11900" w:h="16838" w:orient="portrait"/>
          <w:cols w:equalWidth="0" w:num="2">
            <w:col w:w="7300" w:space="224"/>
            <w:col w:w="2355"/>
          </w:cols>
          <w:pgMar w:left="580" w:top="97" w:right="1440" w:bottom="1440" w:gutter="0" w:footer="0" w:header="0"/>
          <w:type w:val="continuous"/>
        </w:sectPr>
      </w:pPr>
    </w:p>
    <w:p>
      <w:pPr>
        <w:ind w:left="1260"/>
        <w:spacing w:after="0"/>
        <w:rPr>
          <w:sz w:val="20"/>
          <w:szCs w:val="20"/>
          <w:color w:val="auto"/>
        </w:rPr>
      </w:pPr>
      <w:r>
        <w:rPr>
          <w:rFonts w:ascii="Arial" w:cs="Arial" w:eastAsia="Arial" w:hAnsi="Arial"/>
          <w:sz w:val="18"/>
          <w:szCs w:val="18"/>
          <w:color w:val="auto"/>
        </w:rPr>
        <w:t>Class II Directors (terms expire in 2025):</w:t>
      </w:r>
    </w:p>
    <w:p>
      <w:pPr>
        <w:spacing w:after="0" w:line="183" w:lineRule="exact"/>
        <w:rPr>
          <w:sz w:val="20"/>
          <w:szCs w:val="20"/>
          <w:color w:val="auto"/>
        </w:rPr>
      </w:pPr>
    </w:p>
    <w:tbl>
      <w:tblPr>
        <w:tblLayout w:type="fixed"/>
        <w:tblInd w:w="1270" w:type="dxa"/>
        <w:tblCellMar>
          <w:top w:w="0" w:type="dxa"/>
          <w:left w:w="0" w:type="dxa"/>
          <w:bottom w:w="0" w:type="dxa"/>
          <w:right w:w="0" w:type="dxa"/>
        </w:tblCellMar>
      </w:tblPr>
      <w:tr>
        <w:trPr>
          <w:trHeight w:val="270"/>
        </w:trPr>
        <w:tc>
          <w:tcPr>
            <w:tcW w:w="40" w:type="dxa"/>
            <w:vAlign w:val="bottom"/>
            <w:tcBorders>
              <w:top w:val="single" w:sz="8" w:color="auto"/>
              <w:left w:val="single" w:sz="8" w:color="auto"/>
            </w:tcBorders>
          </w:tcPr>
          <w:p>
            <w:pPr>
              <w:spacing w:after="0"/>
              <w:rPr>
                <w:sz w:val="23"/>
                <w:szCs w:val="23"/>
                <w:color w:val="auto"/>
              </w:rPr>
            </w:pPr>
          </w:p>
        </w:tc>
        <w:tc>
          <w:tcPr>
            <w:tcW w:w="204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VICTOR BURK</w:t>
            </w:r>
          </w:p>
        </w:tc>
        <w:tc>
          <w:tcPr>
            <w:tcW w:w="41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i w:val="1"/>
                <w:iCs w:val="1"/>
                <w:color w:val="auto"/>
              </w:rPr>
              <w:t xml:space="preserve">Victor Burk, age 73, </w:t>
            </w:r>
            <w:r>
              <w:rPr>
                <w:rFonts w:ascii="Arial" w:cs="Arial" w:eastAsia="Arial" w:hAnsi="Arial"/>
                <w:sz w:val="16"/>
                <w:szCs w:val="16"/>
                <w:color w:val="auto"/>
              </w:rPr>
              <w:t>has served as a director of PAGP</w:t>
            </w:r>
          </w:p>
        </w:tc>
        <w:tc>
          <w:tcPr>
            <w:tcW w:w="80" w:type="dxa"/>
            <w:vAlign w:val="bottom"/>
            <w:tcBorders>
              <w:top w:val="single" w:sz="8" w:color="auto"/>
            </w:tcBorders>
          </w:tcPr>
          <w:p>
            <w:pPr>
              <w:spacing w:after="0"/>
              <w:rPr>
                <w:sz w:val="23"/>
                <w:szCs w:val="23"/>
                <w:color w:val="auto"/>
              </w:rPr>
            </w:pPr>
          </w:p>
        </w:tc>
        <w:tc>
          <w:tcPr>
            <w:tcW w:w="1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Board Qualifications:</w:t>
            </w:r>
          </w:p>
        </w:tc>
        <w:tc>
          <w:tcPr>
            <w:tcW w:w="4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Borders>
              <w:right w:val="single" w:sz="8" w:color="auto"/>
            </w:tcBorders>
            <w:gridSpan w:val="2"/>
            <w:vMerge w:val="restart"/>
          </w:tcPr>
          <w:p>
            <w:pPr>
              <w:jc w:val="center"/>
              <w:ind w:right="419"/>
              <w:spacing w:after="0"/>
              <w:rPr>
                <w:sz w:val="20"/>
                <w:szCs w:val="20"/>
                <w:color w:val="auto"/>
              </w:rPr>
            </w:pPr>
            <w:r>
              <w:rPr>
                <w:rFonts w:ascii="Arial" w:cs="Arial" w:eastAsia="Arial" w:hAnsi="Arial"/>
                <w:sz w:val="16"/>
                <w:szCs w:val="16"/>
                <w:b w:val="1"/>
                <w:bCs w:val="1"/>
                <w:color w:val="auto"/>
              </w:rPr>
              <w:t>Independent</w:t>
            </w: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GP since January 2014. He is a Senior Advisor for</w:t>
            </w:r>
          </w:p>
        </w:tc>
        <w:tc>
          <w:tcPr>
            <w:tcW w:w="80" w:type="dxa"/>
            <w:vAlign w:val="bottom"/>
          </w:tcPr>
          <w:p>
            <w:pPr>
              <w:spacing w:after="0"/>
              <w:rPr>
                <w:sz w:val="18"/>
                <w:szCs w:val="18"/>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500" w:type="dxa"/>
            <w:vAlign w:val="bottom"/>
            <w:tcBorders>
              <w:right w:val="single" w:sz="8" w:color="auto"/>
            </w:tcBorders>
            <w:gridSpan w:val="2"/>
            <w:vMerge w:val="continue"/>
          </w:tcPr>
          <w:p>
            <w:pPr>
              <w:spacing w:after="0"/>
              <w:rPr>
                <w:sz w:val="9"/>
                <w:szCs w:val="9"/>
                <w:color w:val="auto"/>
              </w:rPr>
            </w:pPr>
          </w:p>
        </w:tc>
        <w:tc>
          <w:tcPr>
            <w:tcW w:w="41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Alvarez and Marsal, a privately owned professional</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8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0" w:type="dxa"/>
            <w:vAlign w:val="bottom"/>
            <w:tcBorders>
              <w:lef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10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4"/>
        </w:trPr>
        <w:tc>
          <w:tcPr>
            <w:tcW w:w="40" w:type="dxa"/>
            <w:vAlign w:val="bottom"/>
            <w:tcBorders>
              <w:left w:val="single" w:sz="8" w:color="auto"/>
            </w:tcBorders>
          </w:tcPr>
          <w:p>
            <w:pPr>
              <w:spacing w:after="0"/>
              <w:rPr>
                <w:sz w:val="11"/>
                <w:szCs w:val="11"/>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1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services firm, where he served as Managing Director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40" w:type="dxa"/>
            <w:vAlign w:val="bottom"/>
            <w:tcBorders>
              <w:left w:val="single" w:sz="8" w:color="auto"/>
            </w:tcBorders>
          </w:tcPr>
          <w:p>
            <w:pPr>
              <w:spacing w:after="0"/>
              <w:rPr>
                <w:sz w:val="5"/>
                <w:szCs w:val="5"/>
                <w:color w:val="auto"/>
              </w:rPr>
            </w:pPr>
          </w:p>
        </w:tc>
        <w:tc>
          <w:tcPr>
            <w:tcW w:w="2040" w:type="dxa"/>
            <w:vAlign w:val="bottom"/>
            <w:tcBorders>
              <w:right w:val="single" w:sz="8" w:color="auto"/>
            </w:tcBorders>
            <w:gridSpan w:val="3"/>
            <w:vMerge w:val="continue"/>
          </w:tcPr>
          <w:p>
            <w:pPr>
              <w:spacing w:after="0"/>
              <w:rPr>
                <w:sz w:val="5"/>
                <w:szCs w:val="5"/>
                <w:color w:val="auto"/>
              </w:rPr>
            </w:pPr>
          </w:p>
        </w:tc>
        <w:tc>
          <w:tcPr>
            <w:tcW w:w="41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439"/>
              <w:spacing w:after="0"/>
              <w:rPr>
                <w:sz w:val="20"/>
                <w:szCs w:val="20"/>
                <w:color w:val="auto"/>
              </w:rPr>
            </w:pPr>
            <w:r>
              <w:rPr>
                <w:rFonts w:ascii="Arial" w:cs="Arial" w:eastAsia="Arial" w:hAnsi="Arial"/>
                <w:sz w:val="16"/>
                <w:szCs w:val="16"/>
                <w:b w:val="1"/>
                <w:bCs w:val="1"/>
                <w:i w:val="1"/>
                <w:iCs w:val="1"/>
                <w:color w:val="auto"/>
              </w:rPr>
              <w:t>since 2010</w:t>
            </w: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from April 2009 through December 2022. From 2005</w:t>
            </w:r>
          </w:p>
        </w:tc>
        <w:tc>
          <w:tcPr>
            <w:tcW w:w="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w w:val="98"/>
              </w:rPr>
              <w:t>Committees</w:t>
            </w:r>
          </w:p>
        </w:tc>
        <w:tc>
          <w:tcPr>
            <w:tcW w:w="580" w:type="dxa"/>
            <w:vAlign w:val="bottom"/>
            <w:tcBorders>
              <w:right w:val="single" w:sz="8" w:color="auto"/>
            </w:tcBorders>
            <w:vMerge w:val="restart"/>
          </w:tcPr>
          <w:p>
            <w:pPr>
              <w:jc w:val="right"/>
              <w:ind w:right="439"/>
              <w:spacing w:after="0"/>
              <w:rPr>
                <w:sz w:val="20"/>
                <w:szCs w:val="20"/>
                <w:color w:val="auto"/>
              </w:rPr>
            </w:pPr>
            <w:r>
              <w:rPr>
                <w:rFonts w:ascii="Arial" w:cs="Arial" w:eastAsia="Arial" w:hAnsi="Arial"/>
                <w:sz w:val="16"/>
                <w:szCs w:val="16"/>
                <w:b w:val="1"/>
                <w:bCs w:val="1"/>
                <w:color w:val="auto"/>
                <w:w w:val="74"/>
              </w:rPr>
              <w:t>:</w:t>
            </w: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to 2009, Mr. Burk was the global energy practice</w:t>
            </w:r>
          </w:p>
        </w:tc>
        <w:tc>
          <w:tcPr>
            <w:tcW w:w="8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w:t>
            </w: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4100" w:type="dxa"/>
            <w:vAlign w:val="bottom"/>
            <w:tcBorders>
              <w:right w:val="single" w:sz="8" w:color="auto"/>
            </w:tcBorders>
            <w:vMerge w:val="restart"/>
          </w:tcPr>
          <w:p>
            <w:pPr>
              <w:ind w:left="100"/>
              <w:spacing w:after="0" w:line="163" w:lineRule="exact"/>
              <w:rPr>
                <w:sz w:val="20"/>
                <w:szCs w:val="20"/>
                <w:color w:val="auto"/>
              </w:rPr>
            </w:pPr>
            <w:r>
              <w:rPr>
                <w:rFonts w:ascii="Arial" w:cs="Arial" w:eastAsia="Arial" w:hAnsi="Arial"/>
                <w:sz w:val="16"/>
                <w:szCs w:val="16"/>
                <w:color w:val="auto"/>
              </w:rPr>
              <w:t>leader for Spencer Stuart, a privately owned executive</w:t>
            </w:r>
          </w:p>
        </w:tc>
        <w:tc>
          <w:tcPr>
            <w:tcW w:w="80" w:type="dxa"/>
            <w:vAlign w:val="bottom"/>
            <w:vMerge w:val="restart"/>
          </w:tcPr>
          <w:p>
            <w:pPr>
              <w:spacing w:after="0"/>
              <w:rPr>
                <w:sz w:val="9"/>
                <w:szCs w:val="9"/>
                <w:color w:val="auto"/>
              </w:rPr>
            </w:pPr>
          </w:p>
        </w:tc>
        <w:tc>
          <w:tcPr>
            <w:tcW w:w="120" w:type="dxa"/>
            <w:vAlign w:val="bottom"/>
            <w:vMerge w:val="continue"/>
          </w:tcPr>
          <w:p>
            <w:pPr>
              <w:spacing w:after="0"/>
              <w:rPr>
                <w:sz w:val="9"/>
                <w:szCs w:val="9"/>
                <w:color w:val="auto"/>
              </w:rPr>
            </w:pPr>
          </w:p>
        </w:tc>
        <w:tc>
          <w:tcPr>
            <w:tcW w:w="18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40" w:type="dxa"/>
            <w:vAlign w:val="bottom"/>
            <w:tcBorders>
              <w:lef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Borders>
              <w:right w:val="single" w:sz="8" w:color="auto"/>
            </w:tcBorders>
            <w:vMerge w:val="continue"/>
          </w:tcPr>
          <w:p>
            <w:pPr>
              <w:spacing w:after="0"/>
              <w:rPr>
                <w:sz w:val="2"/>
                <w:szCs w:val="2"/>
                <w:color w:val="auto"/>
              </w:rPr>
            </w:pPr>
          </w:p>
        </w:tc>
        <w:tc>
          <w:tcPr>
            <w:tcW w:w="4100" w:type="dxa"/>
            <w:vAlign w:val="bottom"/>
            <w:tcBorders>
              <w:right w:val="single" w:sz="8" w:color="auto"/>
            </w:tcBorders>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84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439"/>
              <w:spacing w:after="0"/>
              <w:rPr>
                <w:sz w:val="20"/>
                <w:szCs w:val="20"/>
                <w:color w:val="auto"/>
              </w:rPr>
            </w:pPr>
            <w:r>
              <w:rPr>
                <w:rFonts w:ascii="Arial" w:cs="Arial" w:eastAsia="Arial" w:hAnsi="Arial"/>
                <w:sz w:val="16"/>
                <w:szCs w:val="16"/>
                <w:color w:val="auto"/>
                <w:w w:val="99"/>
              </w:rPr>
              <w:t>Audit (chair)</w:t>
            </w: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recruiting firm. Prior to joining Spencer Stuart,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Development/</w:t>
            </w: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Mr. Burk served as managing partner of Deloitte &amp;</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Touche’s global oil and natural gas group from 2002 to</w:t>
            </w:r>
          </w:p>
        </w:tc>
        <w:tc>
          <w:tcPr>
            <w:tcW w:w="8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1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2005. He began his professional career in 1972 with</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8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0" w:type="dxa"/>
            <w:vAlign w:val="bottom"/>
            <w:tcBorders>
              <w:lef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10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34"/>
        </w:trPr>
        <w:tc>
          <w:tcPr>
            <w:tcW w:w="40" w:type="dxa"/>
            <w:vAlign w:val="bottom"/>
            <w:tcBorders>
              <w:lef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1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Arthur Andersen and served as managing partner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40" w:type="dxa"/>
            <w:vAlign w:val="bottom"/>
            <w:tcBorders>
              <w:left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1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Arthur Andersen’s global oil and natural gas group</w:t>
            </w:r>
          </w:p>
        </w:tc>
        <w:tc>
          <w:tcPr>
            <w:tcW w:w="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10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from 1989 until 2002. Mr. Burk served on the board of</w:t>
            </w:r>
          </w:p>
        </w:tc>
        <w:tc>
          <w:tcPr>
            <w:tcW w:w="8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directors and audit committee of EV Energy Partners,</w:t>
            </w: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84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L.P. from September 2006 until June 2018. Mr. Burk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served as a director and as chair of the audit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committee of PNGS GP LLC, the general partner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PAA Natural Gas Storage, L.P., from April 2010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through December 2013. Mr. Burk also serves as 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board member of the Sam Houston Area Council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the Boy Scouts of America. He received a BBA in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Accounting from Stephen F. Austin State University,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graduating with highest honors. The Board has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determined that Mr. Burk is “independent” under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41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applicable Nasdaq and SEC rules and qualifies as an</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310"/>
        </w:trPr>
        <w:tc>
          <w:tcPr>
            <w:tcW w:w="540" w:type="dxa"/>
            <w:vAlign w:val="bottom"/>
            <w:tcBorders>
              <w:top w:val="single" w:sz="8" w:color="auto"/>
              <w:left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40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“Audit Committee Financial Expert.” We believe that</w:t>
            </w: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Burk’s background, spanning over 30 years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extensive public accounting and consulting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experience in the energy industry, coupled with his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demonstrated leadership abilities, bring valuable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4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experience and insight to the Board.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KEVIN S. MCCARTHY</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Kevin S. McCarthy, age 63, </w:t>
            </w:r>
            <w:r>
              <w:rPr>
                <w:rFonts w:ascii="Arial" w:cs="Arial" w:eastAsia="Arial" w:hAnsi="Arial"/>
                <w:sz w:val="16"/>
                <w:szCs w:val="16"/>
                <w:color w:val="auto"/>
              </w:rPr>
              <w:t>has served as a director</w:t>
            </w:r>
          </w:p>
        </w:tc>
        <w:tc>
          <w:tcPr>
            <w:tcW w:w="100" w:type="dxa"/>
            <w:vAlign w:val="bottom"/>
          </w:tcPr>
          <w:p>
            <w:pPr>
              <w:spacing w:after="0"/>
              <w:rPr>
                <w:sz w:val="18"/>
                <w:szCs w:val="18"/>
                <w:color w:val="auto"/>
              </w:rPr>
            </w:pPr>
          </w:p>
        </w:tc>
        <w:tc>
          <w:tcPr>
            <w:tcW w:w="206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9"/>
        </w:trPr>
        <w:tc>
          <w:tcPr>
            <w:tcW w:w="54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vMerge w:val="restart"/>
          </w:tcPr>
          <w:p>
            <w:pPr>
              <w:jc w:val="center"/>
              <w:ind w:right="459"/>
              <w:spacing w:after="0"/>
              <w:rPr>
                <w:sz w:val="20"/>
                <w:szCs w:val="20"/>
                <w:color w:val="auto"/>
              </w:rPr>
            </w:pPr>
            <w:r>
              <w:rPr>
                <w:rFonts w:ascii="Arial" w:cs="Arial" w:eastAsia="Arial" w:hAnsi="Arial"/>
                <w:sz w:val="16"/>
                <w:szCs w:val="16"/>
                <w:b w:val="1"/>
                <w:bCs w:val="1"/>
                <w:color w:val="auto"/>
              </w:rPr>
              <w:t>Independent</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PAGP GP since October 2020. He currently serves</w:t>
            </w:r>
          </w:p>
        </w:tc>
        <w:tc>
          <w:tcPr>
            <w:tcW w:w="100" w:type="dxa"/>
            <w:vAlign w:val="bottom"/>
          </w:tcPr>
          <w:p>
            <w:pPr>
              <w:spacing w:after="0"/>
              <w:rPr>
                <w:sz w:val="18"/>
                <w:szCs w:val="18"/>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80" w:type="dxa"/>
            <w:vAlign w:val="bottom"/>
            <w:tcBorders>
              <w:right w:val="single" w:sz="8" w:color="auto"/>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2"/>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 Vice Chairman at Kayne Anderson, where he co-</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4"/>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founded the firm’s energy infrastructure securities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2"/>
          </w:tcPr>
          <w:p>
            <w:pPr>
              <w:jc w:val="center"/>
              <w:ind w:right="439"/>
              <w:spacing w:after="0"/>
              <w:rPr>
                <w:sz w:val="20"/>
                <w:szCs w:val="20"/>
                <w:color w:val="auto"/>
              </w:rPr>
            </w:pPr>
            <w:r>
              <w:rPr>
                <w:rFonts w:ascii="Arial" w:cs="Arial" w:eastAsia="Arial" w:hAnsi="Arial"/>
                <w:sz w:val="16"/>
                <w:szCs w:val="16"/>
                <w:b w:val="1"/>
                <w:bCs w:val="1"/>
                <w:i w:val="1"/>
                <w:iCs w:val="1"/>
                <w:color w:val="auto"/>
              </w:rPr>
              <w:t>since 2020</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activities, and served as CEO and Chairman of the</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w w:val="98"/>
              </w:rPr>
              <w:t>Committees</w:t>
            </w:r>
          </w:p>
        </w:tc>
        <w:tc>
          <w:tcPr>
            <w:tcW w:w="580" w:type="dxa"/>
            <w:vAlign w:val="bottom"/>
            <w:tcBorders>
              <w:right w:val="single" w:sz="8" w:color="auto"/>
            </w:tcBorders>
            <w:vMerge w:val="restart"/>
          </w:tcPr>
          <w:p>
            <w:pPr>
              <w:jc w:val="right"/>
              <w:ind w:right="439"/>
              <w:spacing w:after="0"/>
              <w:rPr>
                <w:sz w:val="20"/>
                <w:szCs w:val="20"/>
                <w:color w:val="auto"/>
              </w:rPr>
            </w:pPr>
            <w:r>
              <w:rPr>
                <w:rFonts w:ascii="Arial" w:cs="Arial" w:eastAsia="Arial" w:hAnsi="Arial"/>
                <w:sz w:val="16"/>
                <w:szCs w:val="16"/>
                <w:b w:val="1"/>
                <w:bCs w:val="1"/>
                <w:color w:val="auto"/>
                <w:w w:val="74"/>
              </w:rPr>
              <w:t>:</w:t>
            </w: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Board of Directors for Kayne Anderson’s closed-end</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27"/>
        </w:trPr>
        <w:tc>
          <w:tcPr>
            <w:tcW w:w="540" w:type="dxa"/>
            <w:vAlign w:val="bottom"/>
            <w:tcBorders>
              <w:left w:val="single" w:sz="8" w:color="auto"/>
            </w:tcBorders>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funds from 2004 through July 2019. Prior to joining</w:t>
            </w:r>
          </w:p>
        </w:tc>
        <w:tc>
          <w:tcPr>
            <w:tcW w:w="100" w:type="dxa"/>
            <w:vAlign w:val="bottom"/>
            <w:vMerge w:val="restart"/>
          </w:tcPr>
          <w:p>
            <w:pPr>
              <w:spacing w:after="0"/>
              <w:rPr>
                <w:sz w:val="10"/>
                <w:szCs w:val="10"/>
                <w:color w:val="auto"/>
              </w:rPr>
            </w:pPr>
          </w:p>
        </w:tc>
        <w:tc>
          <w:tcPr>
            <w:tcW w:w="100" w:type="dxa"/>
            <w:vAlign w:val="bottom"/>
            <w:vMerge w:val="continue"/>
          </w:tcPr>
          <w:p>
            <w:pPr>
              <w:spacing w:after="0"/>
              <w:rPr>
                <w:sz w:val="10"/>
                <w:szCs w:val="10"/>
                <w:color w:val="auto"/>
              </w:rPr>
            </w:pPr>
          </w:p>
        </w:tc>
        <w:tc>
          <w:tcPr>
            <w:tcW w:w="19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540" w:type="dxa"/>
            <w:vAlign w:val="bottom"/>
            <w:tcBorders>
              <w:left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Borders>
              <w:right w:val="single" w:sz="8" w:color="auto"/>
            </w:tcBorders>
            <w:vMerge w:val="continue"/>
          </w:tcPr>
          <w:p>
            <w:pPr>
              <w:spacing w:after="0"/>
              <w:rPr>
                <w:sz w:val="2"/>
                <w:szCs w:val="2"/>
                <w:color w:val="auto"/>
              </w:rPr>
            </w:pPr>
          </w:p>
        </w:tc>
        <w:tc>
          <w:tcPr>
            <w:tcW w:w="4020" w:type="dxa"/>
            <w:vAlign w:val="bottom"/>
            <w:tcBorders>
              <w:right w:val="single" w:sz="8" w:color="auto"/>
            </w:tcBorders>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96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40" w:type="dxa"/>
            <w:vAlign w:val="bottom"/>
            <w:tcBorders>
              <w:left w:val="single" w:sz="8" w:color="auto"/>
            </w:tcBorders>
          </w:tcPr>
          <w:p>
            <w:pPr>
              <w:spacing w:after="0"/>
              <w:rPr>
                <w:sz w:val="20"/>
                <w:szCs w:val="20"/>
                <w:color w:val="auto"/>
              </w:rPr>
            </w:pPr>
          </w:p>
        </w:tc>
        <w:tc>
          <w:tcPr>
            <w:tcW w:w="1500" w:type="dxa"/>
            <w:vAlign w:val="bottom"/>
            <w:tcBorders>
              <w:right w:val="single" w:sz="8" w:color="auto"/>
            </w:tcBorders>
            <w:gridSpan w:val="2"/>
          </w:tcPr>
          <w:p>
            <w:pPr>
              <w:jc w:val="center"/>
              <w:ind w:right="459"/>
              <w:spacing w:after="0"/>
              <w:rPr>
                <w:sz w:val="20"/>
                <w:szCs w:val="20"/>
                <w:color w:val="auto"/>
              </w:rPr>
            </w:pPr>
            <w:r>
              <w:rPr>
                <w:rFonts w:ascii="Arial" w:cs="Arial" w:eastAsia="Arial" w:hAnsi="Arial"/>
                <w:sz w:val="16"/>
                <w:szCs w:val="16"/>
                <w:color w:val="auto"/>
              </w:rPr>
              <w:t>Governance</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Kayne Anderson in 2004, Mr. McCarthy was global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88"/>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head of energy investment banking at UBS Securities</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LLC and held similar positions at PaineWebber</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34"/>
        </w:trPr>
        <w:tc>
          <w:tcPr>
            <w:tcW w:w="54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Incorporated and Dean Witter Reynolds.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54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402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McCarthy serves as a director of Kinetik Holdings</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8"/>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Inc. and Chord Energy Corporation (formerly Whiting</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Petroleum Corporation), and previously served as a</w:t>
            </w: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9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of Range Resources Corporation, ONEOK,</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Inc., Emerge Energy Services LP and K-Sea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Transportation Partners L.P. He also sits on the board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directors of the Gladney Fund. Mr. McCarthy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earned a BA in economics and geology from Amherst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College and an MBA in Finance from the Wharton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School at the University of Pennsylvania. The Board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has determined that Mr. McCarthy is “independent”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under applicable Nasdaq and SEC rules.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McCarthy’s extensive investment management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background and involvement in the energy sector,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along with the breadth and depth of his market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industry knowledge, brings substantial experience,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insight and skill to the Board.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54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7"/>
              </w:rPr>
              <w:t>HARRY N. PEFANIS</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Harry N. Pefanis, age 65, </w:t>
            </w:r>
            <w:r>
              <w:rPr>
                <w:rFonts w:ascii="Arial" w:cs="Arial" w:eastAsia="Arial" w:hAnsi="Arial"/>
                <w:sz w:val="16"/>
                <w:szCs w:val="16"/>
                <w:color w:val="auto"/>
              </w:rPr>
              <w:t>has served as a director of</w:t>
            </w:r>
          </w:p>
        </w:tc>
        <w:tc>
          <w:tcPr>
            <w:tcW w:w="100" w:type="dxa"/>
            <w:vAlign w:val="bottom"/>
          </w:tcPr>
          <w:p>
            <w:pPr>
              <w:spacing w:after="0"/>
              <w:rPr>
                <w:sz w:val="18"/>
                <w:szCs w:val="18"/>
                <w:color w:val="auto"/>
              </w:rPr>
            </w:pPr>
          </w:p>
        </w:tc>
        <w:tc>
          <w:tcPr>
            <w:tcW w:w="206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9"/>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Not Independent</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PAGP GP since February 2017 and as President of</w:t>
            </w:r>
          </w:p>
        </w:tc>
        <w:tc>
          <w:tcPr>
            <w:tcW w:w="100" w:type="dxa"/>
            <w:vAlign w:val="bottom"/>
          </w:tcPr>
          <w:p>
            <w:pPr>
              <w:spacing w:after="0"/>
              <w:rPr>
                <w:sz w:val="18"/>
                <w:szCs w:val="18"/>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80" w:type="dxa"/>
            <w:vAlign w:val="bottom"/>
            <w:tcBorders>
              <w:right w:val="single" w:sz="8" w:color="auto"/>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gridSpan w:val="3"/>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PAGP GP and GP LLC since March 2021. He</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4"/>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previously served as President and Chief Commercial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2"/>
          </w:tcPr>
          <w:p>
            <w:pPr>
              <w:jc w:val="center"/>
              <w:ind w:right="439"/>
              <w:spacing w:after="0"/>
              <w:rPr>
                <w:sz w:val="20"/>
                <w:szCs w:val="20"/>
                <w:color w:val="auto"/>
              </w:rPr>
            </w:pPr>
            <w:r>
              <w:rPr>
                <w:rFonts w:ascii="Arial" w:cs="Arial" w:eastAsia="Arial" w:hAnsi="Arial"/>
                <w:sz w:val="16"/>
                <w:szCs w:val="16"/>
                <w:b w:val="1"/>
                <w:bCs w:val="1"/>
                <w:i w:val="1"/>
                <w:iCs w:val="1"/>
                <w:color w:val="auto"/>
              </w:rPr>
              <w:t>since 2017</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Officer of PAGP GP and GP LLC from January 2018</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1500" w:type="dxa"/>
            <w:vAlign w:val="bottom"/>
            <w:tcBorders>
              <w:right w:val="single" w:sz="8" w:color="auto"/>
            </w:tcBorders>
            <w:gridSpan w:val="2"/>
            <w:vMerge w:val="restart"/>
          </w:tcPr>
          <w:p>
            <w:pPr>
              <w:jc w:val="center"/>
              <w:ind w:right="439"/>
              <w:spacing w:after="0"/>
              <w:rPr>
                <w:sz w:val="20"/>
                <w:szCs w:val="20"/>
                <w:color w:val="auto"/>
              </w:rPr>
            </w:pPr>
            <w:r>
              <w:rPr>
                <w:rFonts w:ascii="Arial" w:cs="Arial" w:eastAsia="Arial" w:hAnsi="Arial"/>
                <w:sz w:val="16"/>
                <w:szCs w:val="16"/>
                <w:b w:val="1"/>
                <w:bCs w:val="1"/>
                <w:i w:val="1"/>
                <w:iCs w:val="1"/>
                <w:color w:val="auto"/>
              </w:rPr>
              <w:t>President</w:t>
            </w: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until March 2021. He served as President and Chief</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1500" w:type="dxa"/>
            <w:vAlign w:val="bottom"/>
            <w:tcBorders>
              <w:right w:val="single" w:sz="8" w:color="auto"/>
            </w:tcBorders>
            <w:gridSpan w:val="2"/>
            <w:vMerge w:val="continue"/>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Operating Officer of GP LLC from PAA’s formation in</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40" w:type="dxa"/>
            <w:vAlign w:val="bottom"/>
            <w:tcBorders>
              <w:left w:val="single" w:sz="8" w:color="auto"/>
            </w:tcBorders>
          </w:tcPr>
          <w:p>
            <w:pPr>
              <w:spacing w:after="0"/>
              <w:rPr>
                <w:sz w:val="20"/>
                <w:szCs w:val="20"/>
                <w:color w:val="auto"/>
              </w:rPr>
            </w:pPr>
          </w:p>
        </w:tc>
        <w:tc>
          <w:tcPr>
            <w:tcW w:w="1500" w:type="dxa"/>
            <w:vAlign w:val="bottom"/>
            <w:tcBorders>
              <w:right w:val="single" w:sz="8" w:color="auto"/>
            </w:tcBorders>
            <w:gridSpan w:val="2"/>
          </w:tcPr>
          <w:p>
            <w:pPr>
              <w:jc w:val="center"/>
              <w:ind w:right="439"/>
              <w:spacing w:after="0"/>
              <w:rPr>
                <w:sz w:val="20"/>
                <w:szCs w:val="20"/>
                <w:color w:val="auto"/>
              </w:rPr>
            </w:pPr>
            <w:r>
              <w:rPr>
                <w:rFonts w:ascii="Arial" w:cs="Arial" w:eastAsia="Arial" w:hAnsi="Arial"/>
                <w:sz w:val="16"/>
                <w:szCs w:val="16"/>
                <w:b w:val="1"/>
                <w:bCs w:val="1"/>
                <w:color w:val="auto"/>
              </w:rPr>
              <w:t>Committees:</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1998 through December 2017, and as President and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61"/>
        </w:trPr>
        <w:tc>
          <w:tcPr>
            <w:tcW w:w="540" w:type="dxa"/>
            <w:vAlign w:val="bottom"/>
            <w:tcBorders>
              <w:left w:val="single" w:sz="8" w:color="auto"/>
            </w:tcBorders>
          </w:tcPr>
          <w:p>
            <w:pPr>
              <w:spacing w:after="0"/>
              <w:rPr>
                <w:sz w:val="14"/>
                <w:szCs w:val="14"/>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None</w:t>
            </w:r>
          </w:p>
        </w:tc>
        <w:tc>
          <w:tcPr>
            <w:tcW w:w="580" w:type="dxa"/>
            <w:vAlign w:val="bottom"/>
            <w:tcBorders>
              <w:right w:val="single" w:sz="8" w:color="auto"/>
            </w:tcBorders>
            <w:vMerge w:val="restart"/>
          </w:tcPr>
          <w:p>
            <w:pPr>
              <w:spacing w:after="0"/>
              <w:rPr>
                <w:sz w:val="14"/>
                <w:szCs w:val="14"/>
                <w:color w:val="auto"/>
              </w:rPr>
            </w:pPr>
          </w:p>
        </w:tc>
        <w:tc>
          <w:tcPr>
            <w:tcW w:w="402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6"/>
                <w:szCs w:val="16"/>
                <w:color w:val="auto"/>
              </w:rPr>
              <w:t>Chief Operating Officer of PAGP GP from July 2013</w:t>
            </w:r>
          </w:p>
        </w:tc>
        <w:tc>
          <w:tcPr>
            <w:tcW w:w="10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920" w:type="dxa"/>
            <w:vAlign w:val="bottom"/>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through December 2017. He was also a director of</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34"/>
        </w:trPr>
        <w:tc>
          <w:tcPr>
            <w:tcW w:w="54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PAA’s former general partner. In addition, he was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54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402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5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Vice President — Midstream of Plains</w:t>
            </w:r>
          </w:p>
        </w:tc>
        <w:tc>
          <w:tcPr>
            <w:tcW w:w="100" w:type="dxa"/>
            <w:vAlign w:val="bottom"/>
          </w:tcPr>
          <w:p>
            <w:pPr>
              <w:spacing w:after="0"/>
              <w:rPr>
                <w:sz w:val="18"/>
                <w:szCs w:val="18"/>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42"/>
        </w:trPr>
        <w:tc>
          <w:tcPr>
            <w:tcW w:w="540" w:type="dxa"/>
            <w:vAlign w:val="bottom"/>
            <w:tcBorders>
              <w:lef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4020" w:type="dxa"/>
            <w:vAlign w:val="bottom"/>
            <w:tcBorders>
              <w:right w:val="single" w:sz="8" w:color="auto"/>
            </w:tcBorders>
            <w:vMerge w:val="restart"/>
          </w:tcPr>
          <w:p>
            <w:pPr>
              <w:ind w:left="80"/>
              <w:spacing w:after="0" w:line="177" w:lineRule="exact"/>
              <w:rPr>
                <w:sz w:val="20"/>
                <w:szCs w:val="20"/>
                <w:color w:val="auto"/>
              </w:rPr>
            </w:pPr>
            <w:r>
              <w:rPr>
                <w:rFonts w:ascii="Arial" w:cs="Arial" w:eastAsia="Arial" w:hAnsi="Arial"/>
                <w:sz w:val="16"/>
                <w:szCs w:val="16"/>
                <w:color w:val="auto"/>
              </w:rPr>
              <w:t>Resources from May 1998 to May 2001. He</w:t>
            </w:r>
          </w:p>
        </w:tc>
        <w:tc>
          <w:tcPr>
            <w:tcW w:w="1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9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4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02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80"/>
        </w:trPr>
        <w:tc>
          <w:tcPr>
            <w:tcW w:w="540" w:type="dxa"/>
            <w:vAlign w:val="bottom"/>
            <w:tcBorders>
              <w:lef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previously served Plains Resources as: Senior Vice</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54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02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 from February 1996 until May 1998; Vice</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 — Products Marketing from 1988 to</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20"/>
        </w:trPr>
        <w:tc>
          <w:tcPr>
            <w:tcW w:w="54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February 1996; Manager of Products Marketing from</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9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1987 to 1988; and Special Assistant for Corporate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Planning from 1983 to 1987. Mr. Pefanis was also</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 of several former midstream subsidiaries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Plains Resources prior to PAA’s formation.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Pefanis served as a director of Oasis Midstream</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Partners, L.P. from July 2018 until February 2022. 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is also a director of the Memorial Hermann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Foundation and a trustee of the University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Oklahoma Foundation.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54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0" w:right="2619" w:hanging="1094"/>
        <w:spacing w:after="0" w:line="207" w:lineRule="auto"/>
        <w:tabs>
          <w:tab w:leader="none" w:pos="3400" w:val="left"/>
        </w:tabs>
        <w:numPr>
          <w:ilvl w:val="0"/>
          <w:numId w:val="32"/>
        </w:numPr>
        <w:rPr>
          <w:rFonts w:ascii="Arial" w:cs="Arial" w:eastAsia="Arial" w:hAnsi="Arial"/>
          <w:sz w:val="32"/>
          <w:szCs w:val="32"/>
          <w:color w:val="auto"/>
          <w:vertAlign w:val="superscript"/>
        </w:rPr>
      </w:pPr>
      <w:r>
        <w:rPr>
          <w:rFonts w:ascii="Arial" w:cs="Arial" w:eastAsia="Arial" w:hAnsi="Arial"/>
          <w:sz w:val="16"/>
          <w:szCs w:val="16"/>
          <w:color w:val="auto"/>
        </w:rPr>
        <w:t>Mr. Pefanis’s involvement with PAA since its formation and his considerable operational, commercial, accounting and financial experience brings important and valuable skills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-571500</wp:posOffset>
            </wp:positionV>
            <wp:extent cx="5212080" cy="49377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4937760"/>
                    </a:xfrm>
                    <a:prstGeom prst="rect">
                      <a:avLst/>
                    </a:prstGeom>
                    <a:noFill/>
                  </pic:spPr>
                </pic:pic>
              </a:graphicData>
            </a:graphic>
          </wp:anchor>
        </w:drawing>
      </w:r>
    </w:p>
    <w:tbl>
      <w:tblPr>
        <w:tblLayout w:type="fixed"/>
        <w:tblInd w:w="1520" w:type="dxa"/>
        <w:tblCellMar>
          <w:top w:w="0" w:type="dxa"/>
          <w:left w:w="0" w:type="dxa"/>
          <w:bottom w:w="0" w:type="dxa"/>
          <w:right w:w="0" w:type="dxa"/>
        </w:tblCellMar>
      </w:tblPr>
      <w:tr>
        <w:trPr>
          <w:trHeight w:val="204"/>
        </w:trPr>
        <w:tc>
          <w:tcPr>
            <w:tcW w:w="172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9"/>
              </w:rPr>
              <w:t>GARY R. PETERSEN</w:t>
            </w:r>
          </w:p>
        </w:tc>
        <w:tc>
          <w:tcPr>
            <w:tcW w:w="4160" w:type="dxa"/>
            <w:vAlign w:val="bottom"/>
          </w:tcPr>
          <w:p>
            <w:pPr>
              <w:ind w:left="160"/>
              <w:spacing w:after="0"/>
              <w:rPr>
                <w:sz w:val="20"/>
                <w:szCs w:val="20"/>
                <w:color w:val="auto"/>
              </w:rPr>
            </w:pPr>
            <w:r>
              <w:rPr>
                <w:rFonts w:ascii="Arial" w:cs="Arial" w:eastAsia="Arial" w:hAnsi="Arial"/>
                <w:sz w:val="16"/>
                <w:szCs w:val="16"/>
                <w:i w:val="1"/>
                <w:iCs w:val="1"/>
                <w:color w:val="auto"/>
              </w:rPr>
              <w:t xml:space="preserve">Gary R. Petersen, age 76, </w:t>
            </w:r>
            <w:r>
              <w:rPr>
                <w:rFonts w:ascii="Arial" w:cs="Arial" w:eastAsia="Arial" w:hAnsi="Arial"/>
                <w:sz w:val="16"/>
                <w:szCs w:val="16"/>
                <w:color w:val="auto"/>
              </w:rPr>
              <w:t>has served as a director of</w:t>
            </w:r>
          </w:p>
        </w:tc>
        <w:tc>
          <w:tcPr>
            <w:tcW w:w="1880" w:type="dxa"/>
            <w:vAlign w:val="bottom"/>
            <w:gridSpan w:val="4"/>
          </w:tcPr>
          <w:p>
            <w:pPr>
              <w:ind w:left="120"/>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60" w:type="dxa"/>
            <w:vAlign w:val="bottom"/>
            <w:vMerge w:val="restart"/>
          </w:tcPr>
          <w:p>
            <w:pPr>
              <w:ind w:left="160"/>
              <w:spacing w:after="0"/>
              <w:rPr>
                <w:sz w:val="20"/>
                <w:szCs w:val="20"/>
                <w:color w:val="auto"/>
              </w:rPr>
            </w:pPr>
            <w:r>
              <w:rPr>
                <w:rFonts w:ascii="Arial" w:cs="Arial" w:eastAsia="Arial" w:hAnsi="Arial"/>
                <w:sz w:val="16"/>
                <w:szCs w:val="16"/>
                <w:color w:val="auto"/>
              </w:rPr>
              <w:t>PAGP GP since November 2016. He served as a</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1420" w:type="dxa"/>
            <w:vAlign w:val="bottom"/>
            <w:gridSpan w:val="2"/>
            <w:vMerge w:val="restart"/>
          </w:tcPr>
          <w:p>
            <w:pPr>
              <w:jc w:val="center"/>
              <w:ind w:right="379"/>
              <w:spacing w:after="0"/>
              <w:rPr>
                <w:sz w:val="20"/>
                <w:szCs w:val="20"/>
                <w:color w:val="auto"/>
              </w:rPr>
            </w:pPr>
            <w:r>
              <w:rPr>
                <w:rFonts w:ascii="Arial" w:cs="Arial" w:eastAsia="Arial" w:hAnsi="Arial"/>
                <w:sz w:val="16"/>
                <w:szCs w:val="16"/>
                <w:b w:val="1"/>
                <w:bCs w:val="1"/>
                <w:color w:val="auto"/>
              </w:rPr>
              <w:t>Independent</w:t>
            </w:r>
          </w:p>
        </w:tc>
        <w:tc>
          <w:tcPr>
            <w:tcW w:w="4160" w:type="dxa"/>
            <w:vAlign w:val="bottom"/>
            <w:vMerge w:val="continue"/>
          </w:tcPr>
          <w:p>
            <w:pPr>
              <w:spacing w:after="0"/>
              <w:rPr>
                <w:sz w:val="18"/>
                <w:szCs w:val="18"/>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60" w:type="dxa"/>
            <w:vAlign w:val="bottom"/>
            <w:gridSpan w:val="2"/>
            <w:vMerge w:val="restart"/>
          </w:tcPr>
          <w:p>
            <w:pPr>
              <w:ind w:left="6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4160" w:type="dxa"/>
            <w:vAlign w:val="bottom"/>
            <w:vMerge w:val="restart"/>
          </w:tcPr>
          <w:p>
            <w:pPr>
              <w:ind w:left="160"/>
              <w:spacing w:after="0"/>
              <w:rPr>
                <w:sz w:val="20"/>
                <w:szCs w:val="20"/>
                <w:color w:val="auto"/>
              </w:rPr>
            </w:pPr>
            <w:r>
              <w:rPr>
                <w:rFonts w:ascii="Arial" w:cs="Arial" w:eastAsia="Arial" w:hAnsi="Arial"/>
                <w:sz w:val="16"/>
                <w:szCs w:val="16"/>
                <w:color w:val="auto"/>
              </w:rPr>
              <w:t>director of PAA’s general partner from June 2001 until</w:t>
            </w:r>
          </w:p>
        </w:tc>
        <w:tc>
          <w:tcPr>
            <w:tcW w:w="220" w:type="dxa"/>
            <w:vAlign w:val="bottom"/>
            <w:gridSpan w:val="2"/>
            <w:vMerge w:val="continue"/>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4"/>
        </w:trPr>
        <w:tc>
          <w:tcPr>
            <w:tcW w:w="1720" w:type="dxa"/>
            <w:vAlign w:val="bottom"/>
            <w:gridSpan w:val="3"/>
            <w:vMerge w:val="restart"/>
          </w:tcPr>
          <w:p>
            <w:pPr>
              <w:jc w:val="center"/>
              <w:ind w:right="59"/>
              <w:spacing w:after="0"/>
              <w:rPr>
                <w:sz w:val="20"/>
                <w:szCs w:val="20"/>
                <w:color w:val="auto"/>
              </w:rPr>
            </w:pPr>
            <w:r>
              <w:rPr>
                <w:rFonts w:ascii="Arial" w:cs="Arial" w:eastAsia="Arial" w:hAnsi="Arial"/>
                <w:sz w:val="16"/>
                <w:szCs w:val="16"/>
                <w:b w:val="1"/>
                <w:bCs w:val="1"/>
                <w:i w:val="1"/>
                <w:iCs w:val="1"/>
                <w:color w:val="auto"/>
              </w:rPr>
              <w:t>PAGP/PAA Director</w:t>
            </w:r>
          </w:p>
        </w:tc>
        <w:tc>
          <w:tcPr>
            <w:tcW w:w="4160" w:type="dxa"/>
            <w:vAlign w:val="bottom"/>
            <w:vMerge w:val="restart"/>
          </w:tcPr>
          <w:p>
            <w:pPr>
              <w:ind w:left="160"/>
              <w:spacing w:after="0"/>
              <w:rPr>
                <w:sz w:val="20"/>
                <w:szCs w:val="20"/>
                <w:color w:val="auto"/>
              </w:rPr>
            </w:pPr>
            <w:r>
              <w:rPr>
                <w:rFonts w:ascii="Arial" w:cs="Arial" w:eastAsia="Arial" w:hAnsi="Arial"/>
                <w:sz w:val="16"/>
                <w:szCs w:val="16"/>
                <w:color w:val="auto"/>
              </w:rPr>
              <w:t>November 2016. Mr. Petersen is a Managing Partner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720" w:type="dxa"/>
            <w:vAlign w:val="bottom"/>
            <w:gridSpan w:val="3"/>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420" w:type="dxa"/>
            <w:vAlign w:val="bottom"/>
            <w:gridSpan w:val="2"/>
          </w:tcPr>
          <w:p>
            <w:pPr>
              <w:jc w:val="center"/>
              <w:ind w:right="359"/>
              <w:spacing w:after="0"/>
              <w:rPr>
                <w:sz w:val="20"/>
                <w:szCs w:val="20"/>
                <w:color w:val="auto"/>
              </w:rPr>
            </w:pPr>
            <w:r>
              <w:rPr>
                <w:rFonts w:ascii="Arial" w:cs="Arial" w:eastAsia="Arial" w:hAnsi="Arial"/>
                <w:sz w:val="16"/>
                <w:szCs w:val="16"/>
                <w:b w:val="1"/>
                <w:bCs w:val="1"/>
                <w:i w:val="1"/>
                <w:iCs w:val="1"/>
                <w:color w:val="auto"/>
              </w:rPr>
              <w:t>since 2001</w:t>
            </w:r>
          </w:p>
        </w:tc>
        <w:tc>
          <w:tcPr>
            <w:tcW w:w="4160" w:type="dxa"/>
            <w:vAlign w:val="bottom"/>
          </w:tcPr>
          <w:p>
            <w:pPr>
              <w:ind w:left="160"/>
              <w:spacing w:after="0"/>
              <w:rPr>
                <w:sz w:val="20"/>
                <w:szCs w:val="20"/>
                <w:color w:val="auto"/>
              </w:rPr>
            </w:pPr>
            <w:r>
              <w:rPr>
                <w:rFonts w:ascii="Arial" w:cs="Arial" w:eastAsia="Arial" w:hAnsi="Arial"/>
                <w:sz w:val="16"/>
                <w:szCs w:val="16"/>
                <w:color w:val="auto"/>
              </w:rPr>
              <w:t>of EnCap, an investment management firm which he</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60" w:type="dxa"/>
            <w:vAlign w:val="bottom"/>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w w:val="98"/>
              </w:rPr>
              <w:t>Committees</w:t>
            </w:r>
          </w:p>
        </w:tc>
        <w:tc>
          <w:tcPr>
            <w:tcW w:w="5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w w:val="74"/>
              </w:rPr>
              <w:t>:</w:t>
            </w:r>
          </w:p>
        </w:tc>
        <w:tc>
          <w:tcPr>
            <w:tcW w:w="4160" w:type="dxa"/>
            <w:vAlign w:val="bottom"/>
          </w:tcPr>
          <w:p>
            <w:pPr>
              <w:ind w:left="160"/>
              <w:spacing w:after="0" w:line="175" w:lineRule="exact"/>
              <w:rPr>
                <w:sz w:val="20"/>
                <w:szCs w:val="20"/>
                <w:color w:val="auto"/>
              </w:rPr>
            </w:pPr>
            <w:r>
              <w:rPr>
                <w:rFonts w:ascii="Arial" w:cs="Arial" w:eastAsia="Arial" w:hAnsi="Arial"/>
                <w:sz w:val="16"/>
                <w:szCs w:val="16"/>
                <w:color w:val="auto"/>
              </w:rPr>
              <w:t>co-founded in 1988. He also served as a director of</w:t>
            </w:r>
          </w:p>
        </w:tc>
        <w:tc>
          <w:tcPr>
            <w:tcW w:w="2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60" w:type="dxa"/>
            <w:vAlign w:val="bottom"/>
            <w:gridSpan w:val="2"/>
            <w:vMerge w:val="restart"/>
          </w:tcPr>
          <w:p>
            <w:pPr>
              <w:ind w:left="60"/>
              <w:spacing w:after="0"/>
              <w:rPr>
                <w:sz w:val="20"/>
                <w:szCs w:val="20"/>
                <w:color w:val="auto"/>
              </w:rPr>
            </w:pPr>
            <w:r>
              <w:rPr>
                <w:rFonts w:ascii="Arial" w:cs="Arial" w:eastAsia="Arial" w:hAnsi="Arial"/>
                <w:sz w:val="16"/>
                <w:szCs w:val="16"/>
                <w:color w:val="auto"/>
              </w:rPr>
              <w:t>Business</w:t>
            </w:r>
          </w:p>
        </w:tc>
        <w:tc>
          <w:tcPr>
            <w:tcW w:w="0" w:type="dxa"/>
            <w:vAlign w:val="bottom"/>
          </w:tcPr>
          <w:p>
            <w:pPr>
              <w:spacing w:after="0"/>
              <w:rPr>
                <w:sz w:val="1"/>
                <w:szCs w:val="1"/>
                <w:color w:val="auto"/>
              </w:rPr>
            </w:pPr>
          </w:p>
        </w:tc>
      </w:tr>
      <w:tr>
        <w:trPr>
          <w:trHeight w:val="127"/>
        </w:trPr>
        <w:tc>
          <w:tcPr>
            <w:tcW w:w="300" w:type="dxa"/>
            <w:vAlign w:val="bottom"/>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160" w:type="dxa"/>
            <w:vAlign w:val="bottom"/>
            <w:vMerge w:val="restart"/>
          </w:tcPr>
          <w:p>
            <w:pPr>
              <w:ind w:left="160"/>
              <w:spacing w:after="0" w:line="175" w:lineRule="exact"/>
              <w:rPr>
                <w:sz w:val="20"/>
                <w:szCs w:val="20"/>
                <w:color w:val="auto"/>
              </w:rPr>
            </w:pPr>
            <w:r>
              <w:rPr>
                <w:rFonts w:ascii="Arial" w:cs="Arial" w:eastAsia="Arial" w:hAnsi="Arial"/>
                <w:sz w:val="16"/>
                <w:szCs w:val="16"/>
                <w:color w:val="auto"/>
              </w:rPr>
              <w:t>EV Energy Partners, L.P. from September 2006 until</w:t>
            </w:r>
          </w:p>
        </w:tc>
        <w:tc>
          <w:tcPr>
            <w:tcW w:w="220" w:type="dxa"/>
            <w:vAlign w:val="bottom"/>
            <w:gridSpan w:val="2"/>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4160" w:type="dxa"/>
            <w:vAlign w:val="bottom"/>
            <w:vMerge w:val="continue"/>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16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720" w:type="dxa"/>
            <w:vAlign w:val="bottom"/>
            <w:gridSpan w:val="3"/>
          </w:tcPr>
          <w:p>
            <w:pPr>
              <w:jc w:val="center"/>
              <w:ind w:right="79"/>
              <w:spacing w:after="0"/>
              <w:rPr>
                <w:sz w:val="20"/>
                <w:szCs w:val="20"/>
                <w:color w:val="auto"/>
              </w:rPr>
            </w:pPr>
            <w:r>
              <w:rPr>
                <w:rFonts w:ascii="Arial" w:cs="Arial" w:eastAsia="Arial" w:hAnsi="Arial"/>
                <w:sz w:val="16"/>
                <w:szCs w:val="16"/>
                <w:color w:val="auto"/>
              </w:rPr>
              <w:t>Compensation</w:t>
            </w:r>
          </w:p>
        </w:tc>
        <w:tc>
          <w:tcPr>
            <w:tcW w:w="4160" w:type="dxa"/>
            <w:vAlign w:val="bottom"/>
          </w:tcPr>
          <w:p>
            <w:pPr>
              <w:ind w:left="160"/>
              <w:spacing w:after="0"/>
              <w:rPr>
                <w:sz w:val="20"/>
                <w:szCs w:val="20"/>
                <w:color w:val="auto"/>
              </w:rPr>
            </w:pPr>
            <w:r>
              <w:rPr>
                <w:rFonts w:ascii="Arial" w:cs="Arial" w:eastAsia="Arial" w:hAnsi="Arial"/>
                <w:sz w:val="16"/>
                <w:szCs w:val="16"/>
                <w:color w:val="auto"/>
              </w:rPr>
              <w:t>June 2018. He had previously served as Senior Vice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color w:val="auto"/>
              </w:rPr>
              <w:t>Development/</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1420" w:type="dxa"/>
            <w:vAlign w:val="bottom"/>
            <w:gridSpan w:val="2"/>
            <w:vMerge w:val="restart"/>
          </w:tcPr>
          <w:p>
            <w:pPr>
              <w:jc w:val="center"/>
              <w:ind w:right="379"/>
              <w:spacing w:after="0"/>
              <w:rPr>
                <w:sz w:val="20"/>
                <w:szCs w:val="20"/>
                <w:color w:val="auto"/>
              </w:rPr>
            </w:pPr>
            <w:r>
              <w:rPr>
                <w:rFonts w:ascii="Arial" w:cs="Arial" w:eastAsia="Arial" w:hAnsi="Arial"/>
                <w:sz w:val="16"/>
                <w:szCs w:val="16"/>
                <w:color w:val="auto"/>
              </w:rPr>
              <w:t>Governance</w:t>
            </w:r>
          </w:p>
        </w:tc>
        <w:tc>
          <w:tcPr>
            <w:tcW w:w="4160" w:type="dxa"/>
            <w:vAlign w:val="bottom"/>
          </w:tcPr>
          <w:p>
            <w:pPr>
              <w:ind w:left="160"/>
              <w:spacing w:after="0"/>
              <w:rPr>
                <w:sz w:val="20"/>
                <w:szCs w:val="20"/>
                <w:color w:val="auto"/>
              </w:rPr>
            </w:pPr>
            <w:r>
              <w:rPr>
                <w:rFonts w:ascii="Arial" w:cs="Arial" w:eastAsia="Arial" w:hAnsi="Arial"/>
                <w:sz w:val="16"/>
                <w:szCs w:val="16"/>
                <w:color w:val="auto"/>
              </w:rPr>
              <w:t>President and Manager of the Corporate Finance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4160" w:type="dxa"/>
            <w:vAlign w:val="bottom"/>
            <w:vMerge w:val="restart"/>
          </w:tcPr>
          <w:p>
            <w:pPr>
              <w:ind w:left="160"/>
              <w:spacing w:after="0"/>
              <w:rPr>
                <w:sz w:val="20"/>
                <w:szCs w:val="20"/>
                <w:color w:val="auto"/>
              </w:rPr>
            </w:pPr>
            <w:r>
              <w:rPr>
                <w:rFonts w:ascii="Arial" w:cs="Arial" w:eastAsia="Arial" w:hAnsi="Arial"/>
                <w:sz w:val="16"/>
                <w:szCs w:val="16"/>
                <w:color w:val="auto"/>
              </w:rPr>
              <w:t>Division of the Energy Banking Group for</w:t>
            </w:r>
          </w:p>
        </w:tc>
        <w:tc>
          <w:tcPr>
            <w:tcW w:w="2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60" w:type="dxa"/>
            <w:vAlign w:val="bottom"/>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160" w:type="dxa"/>
            <w:vAlign w:val="bottom"/>
            <w:vMerge w:val="continue"/>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16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160" w:type="dxa"/>
            <w:vAlign w:val="bottom"/>
            <w:vMerge w:val="restart"/>
          </w:tcPr>
          <w:p>
            <w:pPr>
              <w:ind w:left="160"/>
              <w:spacing w:after="0"/>
              <w:rPr>
                <w:sz w:val="20"/>
                <w:szCs w:val="20"/>
                <w:color w:val="auto"/>
              </w:rPr>
            </w:pPr>
            <w:r>
              <w:rPr>
                <w:rFonts w:ascii="Arial" w:cs="Arial" w:eastAsia="Arial" w:hAnsi="Arial"/>
                <w:sz w:val="16"/>
                <w:szCs w:val="16"/>
                <w:color w:val="auto"/>
              </w:rPr>
              <w:t>RepublicBank Corporation. Prior to his position at</w:t>
            </w:r>
          </w:p>
        </w:tc>
        <w:tc>
          <w:tcPr>
            <w:tcW w:w="220" w:type="dxa"/>
            <w:vAlign w:val="bottom"/>
            <w:gridSpan w:val="2"/>
            <w:vMerge w:val="continue"/>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6"/>
                <w:szCs w:val="16"/>
                <w:color w:val="auto"/>
                <w:w w:val="99"/>
              </w:rPr>
              <w:t>Government Relations</w:t>
            </w:r>
          </w:p>
        </w:tc>
        <w:tc>
          <w:tcPr>
            <w:tcW w:w="0" w:type="dxa"/>
            <w:vAlign w:val="bottom"/>
          </w:tcPr>
          <w:p>
            <w:pPr>
              <w:spacing w:after="0"/>
              <w:rPr>
                <w:sz w:val="1"/>
                <w:szCs w:val="1"/>
                <w:color w:val="auto"/>
              </w:rPr>
            </w:pPr>
          </w:p>
        </w:tc>
      </w:tr>
      <w:tr>
        <w:trPr>
          <w:trHeight w:val="134"/>
        </w:trPr>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160" w:type="dxa"/>
            <w:vAlign w:val="bottom"/>
            <w:vMerge w:val="restart"/>
          </w:tcPr>
          <w:p>
            <w:pPr>
              <w:ind w:left="160"/>
              <w:spacing w:after="0"/>
              <w:rPr>
                <w:sz w:val="20"/>
                <w:szCs w:val="20"/>
                <w:color w:val="auto"/>
              </w:rPr>
            </w:pPr>
            <w:r>
              <w:rPr>
                <w:rFonts w:ascii="Arial" w:cs="Arial" w:eastAsia="Arial" w:hAnsi="Arial"/>
                <w:sz w:val="16"/>
                <w:szCs w:val="16"/>
                <w:color w:val="auto"/>
              </w:rPr>
              <w:t>RepublicBank, he was Executive Vice President and a</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member of the Board of Directors of Nicklos Oil &amp; Gas</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60" w:type="dxa"/>
            <w:vAlign w:val="bottom"/>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60" w:type="dxa"/>
            <w:vAlign w:val="bottom"/>
          </w:tcPr>
          <w:p>
            <w:pPr>
              <w:ind w:left="160"/>
              <w:spacing w:after="0" w:line="175" w:lineRule="exact"/>
              <w:rPr>
                <w:sz w:val="20"/>
                <w:szCs w:val="20"/>
                <w:color w:val="auto"/>
              </w:rPr>
            </w:pPr>
            <w:r>
              <w:rPr>
                <w:rFonts w:ascii="Arial" w:cs="Arial" w:eastAsia="Arial" w:hAnsi="Arial"/>
                <w:sz w:val="16"/>
                <w:szCs w:val="16"/>
                <w:color w:val="auto"/>
              </w:rPr>
              <w:t>Company from 1979 to 1984. He served from 1970 to</w:t>
            </w:r>
          </w:p>
        </w:tc>
        <w:tc>
          <w:tcPr>
            <w:tcW w:w="2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60" w:type="dxa"/>
            <w:vAlign w:val="bottom"/>
            <w:gridSpan w:val="2"/>
            <w:vMerge w:val="restart"/>
          </w:tcPr>
          <w:p>
            <w:pPr>
              <w:ind w:left="6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1971 in the U.S. Army as a First Lieutenant in the</w:t>
            </w:r>
          </w:p>
        </w:tc>
        <w:tc>
          <w:tcPr>
            <w:tcW w:w="22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Finance Corps and as an Army Officer in the Army</w:t>
            </w:r>
          </w:p>
        </w:tc>
        <w:tc>
          <w:tcPr>
            <w:tcW w:w="2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60" w:type="dxa"/>
            <w:vAlign w:val="bottom"/>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93"/>
        </w:trPr>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160" w:type="dxa"/>
            <w:vAlign w:val="bottom"/>
            <w:vMerge w:val="restart"/>
          </w:tcPr>
          <w:p>
            <w:pPr>
              <w:ind w:left="160"/>
              <w:spacing w:after="0"/>
              <w:rPr>
                <w:sz w:val="20"/>
                <w:szCs w:val="20"/>
                <w:color w:val="auto"/>
              </w:rPr>
            </w:pPr>
            <w:r>
              <w:rPr>
                <w:rFonts w:ascii="Arial" w:cs="Arial" w:eastAsia="Arial" w:hAnsi="Arial"/>
                <w:sz w:val="16"/>
                <w:szCs w:val="16"/>
                <w:color w:val="auto"/>
              </w:rPr>
              <w:t>Security Agency. He is a member of the Independent</w:t>
            </w:r>
          </w:p>
        </w:tc>
        <w:tc>
          <w:tcPr>
            <w:tcW w:w="220" w:type="dxa"/>
            <w:vAlign w:val="bottom"/>
            <w:gridSpan w:val="2"/>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Petroleum Association of America, the Houston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Producers Forum and the Petroleum Club of Houston.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Mr. Petersen is a director of the Memorial Hermann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Health System and the Houston Museum of Natural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Science. He also sits on the board of trustees of The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Council on Recovery. Mr. Petersen holds BBA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MBA degrees in finance from Texas Tech University.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The Board has determined that Mr. Petersen is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“independent” under applicable Nasdaq and SEC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rules. Mr. Petersen has been involved in the energy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sector for over 35 years, garnering extensive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knowledge of the energy sectors’ various cycles, as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well as the current market and industry knowledge that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comes with management of approximately $18 billion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of energy-related investments. In tandem with the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leadership qualities evidenced by his executive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background, we believe that Mr. Petersen brings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6"/>
                <w:szCs w:val="16"/>
                <w:color w:val="auto"/>
              </w:rPr>
              <w:t>numerous valuable attributes to the Board.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EXECUTIVE OFFICERS</w:t>
      </w:r>
    </w:p>
    <w:p>
      <w:pPr>
        <w:spacing w:after="0" w:line="15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8"/>
          <w:szCs w:val="18"/>
          <w:color w:val="auto"/>
        </w:rPr>
        <w:t>The following table sets forth certain information with respect to our executive officers (for purposes of Item 401(b) of Regulation S-K) as of the date of this proxy statement. Executive officers are appointed by the Board. There is no family relationship between any executive officer and director.</w:t>
      </w:r>
    </w:p>
    <w:p>
      <w:pPr>
        <w:spacing w:after="0" w:line="149"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700" w:type="dxa"/>
            <w:vAlign w:val="bottom"/>
            <w:tcBorders>
              <w:left w:val="single" w:sz="8" w:color="424E6A"/>
              <w:right w:val="single" w:sz="8" w:color="424E6A"/>
            </w:tcBorders>
            <w:shd w:val="clear" w:color="auto" w:fill="424E6A"/>
          </w:tcPr>
          <w:p>
            <w:pPr>
              <w:spacing w:after="0"/>
              <w:rPr>
                <w:sz w:val="21"/>
                <w:szCs w:val="21"/>
                <w:color w:val="auto"/>
              </w:rPr>
            </w:pPr>
          </w:p>
        </w:tc>
        <w:tc>
          <w:tcPr>
            <w:tcW w:w="1100" w:type="dxa"/>
            <w:vAlign w:val="bottom"/>
            <w:shd w:val="clear" w:color="auto" w:fill="424E6A"/>
          </w:tcPr>
          <w:p>
            <w:pPr>
              <w:jc w:val="center"/>
              <w:ind w:left="25"/>
              <w:spacing w:after="0"/>
              <w:rPr>
                <w:sz w:val="20"/>
                <w:szCs w:val="20"/>
                <w:color w:val="auto"/>
              </w:rPr>
            </w:pPr>
            <w:r>
              <w:rPr>
                <w:rFonts w:ascii="Arial" w:cs="Arial" w:eastAsia="Arial" w:hAnsi="Arial"/>
                <w:sz w:val="14"/>
                <w:szCs w:val="14"/>
                <w:b w:val="1"/>
                <w:bCs w:val="1"/>
                <w:color w:val="FFFFFF"/>
              </w:rPr>
              <w:t>Age</w:t>
            </w:r>
          </w:p>
        </w:tc>
        <w:tc>
          <w:tcPr>
            <w:tcW w:w="180" w:type="dxa"/>
            <w:vAlign w:val="bottom"/>
            <w:tcBorders>
              <w:right w:val="single" w:sz="8" w:color="424E6A"/>
            </w:tcBorders>
            <w:shd w:val="clear" w:color="auto" w:fill="424E6A"/>
          </w:tcPr>
          <w:p>
            <w:pPr>
              <w:spacing w:after="0"/>
              <w:rPr>
                <w:sz w:val="21"/>
                <w:szCs w:val="21"/>
                <w:color w:val="auto"/>
              </w:rPr>
            </w:pPr>
          </w:p>
        </w:tc>
        <w:tc>
          <w:tcPr>
            <w:tcW w:w="5240" w:type="dxa"/>
            <w:vAlign w:val="bottom"/>
            <w:tcBorders>
              <w:right w:val="single" w:sz="8" w:color="424E6A"/>
            </w:tcBorders>
            <w:shd w:val="clear" w:color="auto" w:fill="424E6A"/>
          </w:tcPr>
          <w:p>
            <w:pPr>
              <w:spacing w:after="0"/>
              <w:rPr>
                <w:sz w:val="21"/>
                <w:szCs w:val="21"/>
                <w:color w:val="auto"/>
              </w:rPr>
            </w:pPr>
          </w:p>
        </w:tc>
      </w:tr>
      <w:tr>
        <w:trPr>
          <w:trHeight w:val="212"/>
        </w:trPr>
        <w:tc>
          <w:tcPr>
            <w:tcW w:w="1700" w:type="dxa"/>
            <w:vAlign w:val="bottom"/>
            <w:tcBorders>
              <w:left w:val="single" w:sz="8" w:color="424E6A"/>
              <w:right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1100" w:type="dxa"/>
            <w:vAlign w:val="bottom"/>
            <w:shd w:val="clear" w:color="auto" w:fill="424E6A"/>
          </w:tcPr>
          <w:p>
            <w:pPr>
              <w:jc w:val="center"/>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(as of 3/27/23)</w:t>
            </w:r>
          </w:p>
        </w:tc>
        <w:tc>
          <w:tcPr>
            <w:tcW w:w="180" w:type="dxa"/>
            <w:vAlign w:val="bottom"/>
            <w:tcBorders>
              <w:right w:val="single" w:sz="8" w:color="424E6A"/>
            </w:tcBorders>
            <w:shd w:val="clear" w:color="auto" w:fill="424E6A"/>
          </w:tcPr>
          <w:p>
            <w:pPr>
              <w:spacing w:after="0"/>
              <w:rPr>
                <w:sz w:val="18"/>
                <w:szCs w:val="18"/>
                <w:color w:val="auto"/>
              </w:rPr>
            </w:pPr>
          </w:p>
        </w:tc>
        <w:tc>
          <w:tcPr>
            <w:tcW w:w="5240" w:type="dxa"/>
            <w:vAlign w:val="bottom"/>
            <w:tcBorders>
              <w:right w:val="single" w:sz="8" w:color="424E6A"/>
            </w:tcBorders>
            <w:shd w:val="clear" w:color="auto" w:fill="424E6A"/>
          </w:tcPr>
          <w:p>
            <w:pPr>
              <w:ind w:left="2300"/>
              <w:spacing w:after="0"/>
              <w:rPr>
                <w:sz w:val="20"/>
                <w:szCs w:val="20"/>
                <w:color w:val="auto"/>
              </w:rPr>
            </w:pPr>
            <w:r>
              <w:rPr>
                <w:rFonts w:ascii="Arial" w:cs="Arial" w:eastAsia="Arial" w:hAnsi="Arial"/>
                <w:sz w:val="14"/>
                <w:szCs w:val="14"/>
                <w:b w:val="1"/>
                <w:bCs w:val="1"/>
                <w:color w:val="FFFFFF"/>
              </w:rPr>
              <w:t>Position</w:t>
            </w:r>
          </w:p>
        </w:tc>
      </w:tr>
      <w:tr>
        <w:trPr>
          <w:trHeight w:val="256"/>
        </w:trPr>
        <w:tc>
          <w:tcPr>
            <w:tcW w:w="170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100" w:type="dxa"/>
            <w:vAlign w:val="bottom"/>
            <w:tcBorders>
              <w:bottom w:val="single" w:sz="8" w:color="424E6A"/>
            </w:tcBorders>
            <w:shd w:val="clear" w:color="auto" w:fill="D9DCE1"/>
          </w:tcPr>
          <w:p>
            <w:pPr>
              <w:jc w:val="center"/>
              <w:ind w:left="45"/>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62</w:t>
            </w:r>
          </w:p>
        </w:tc>
        <w:tc>
          <w:tcPr>
            <w:tcW w:w="18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5240" w:type="dxa"/>
            <w:vAlign w:val="bottom"/>
            <w:tcBorders>
              <w:bottom w:val="single" w:sz="8" w:color="424E6A"/>
              <w:right w:val="single" w:sz="8" w:color="424E6A"/>
            </w:tcBorders>
            <w:shd w:val="clear" w:color="auto" w:fill="D9DCE1"/>
          </w:tcPr>
          <w:p>
            <w:pPr>
              <w:ind w:left="160"/>
              <w:spacing w:after="0"/>
              <w:rPr>
                <w:sz w:val="20"/>
                <w:szCs w:val="20"/>
                <w:color w:val="auto"/>
              </w:rPr>
            </w:pPr>
            <w:r>
              <w:rPr>
                <w:rFonts w:ascii="Arial" w:cs="Arial" w:eastAsia="Arial" w:hAnsi="Arial"/>
                <w:sz w:val="18"/>
                <w:szCs w:val="18"/>
                <w:color w:val="auto"/>
              </w:rPr>
              <w:t>Chairman of the Board and Chief Executive Officer</w:t>
            </w:r>
          </w:p>
        </w:tc>
      </w:tr>
      <w:tr>
        <w:trPr>
          <w:trHeight w:val="250"/>
        </w:trPr>
        <w:tc>
          <w:tcPr>
            <w:tcW w:w="170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Harry N. Pefanis*</w:t>
            </w:r>
          </w:p>
        </w:tc>
        <w:tc>
          <w:tcPr>
            <w:tcW w:w="1100" w:type="dxa"/>
            <w:vAlign w:val="bottom"/>
            <w:tcBorders>
              <w:bottom w:val="single" w:sz="8" w:color="424E6A"/>
            </w:tcBorders>
          </w:tcPr>
          <w:p>
            <w:pPr>
              <w:jc w:val="center"/>
              <w:ind w:left="4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65</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w:t>
            </w:r>
          </w:p>
        </w:tc>
        <w:tc>
          <w:tcPr>
            <w:tcW w:w="5240" w:type="dxa"/>
            <w:vAlign w:val="bottom"/>
            <w:tcBorders>
              <w:bottom w:val="single" w:sz="8" w:color="424E6A"/>
              <w:right w:val="single" w:sz="8" w:color="424E6A"/>
            </w:tcBorders>
          </w:tcPr>
          <w:p>
            <w:pPr>
              <w:ind w:left="160"/>
              <w:spacing w:after="0"/>
              <w:rPr>
                <w:sz w:val="20"/>
                <w:szCs w:val="20"/>
                <w:color w:val="auto"/>
              </w:rPr>
            </w:pPr>
            <w:r>
              <w:rPr>
                <w:rFonts w:ascii="Arial" w:cs="Arial" w:eastAsia="Arial" w:hAnsi="Arial"/>
                <w:sz w:val="18"/>
                <w:szCs w:val="18"/>
                <w:color w:val="auto"/>
              </w:rPr>
              <w:t>President and Director</w:t>
            </w:r>
          </w:p>
        </w:tc>
      </w:tr>
      <w:tr>
        <w:trPr>
          <w:trHeight w:val="250"/>
        </w:trPr>
        <w:tc>
          <w:tcPr>
            <w:tcW w:w="170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1100" w:type="dxa"/>
            <w:vAlign w:val="bottom"/>
            <w:tcBorders>
              <w:bottom w:val="single" w:sz="8" w:color="424E6A"/>
            </w:tcBorders>
            <w:shd w:val="clear" w:color="auto" w:fill="D9DCE1"/>
          </w:tcPr>
          <w:p>
            <w:pPr>
              <w:jc w:val="center"/>
              <w:ind w:left="4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59</w:t>
            </w:r>
          </w:p>
        </w:tc>
        <w:tc>
          <w:tcPr>
            <w:tcW w:w="18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5240" w:type="dxa"/>
            <w:vAlign w:val="bottom"/>
            <w:tcBorders>
              <w:bottom w:val="single" w:sz="8" w:color="424E6A"/>
              <w:right w:val="single" w:sz="8" w:color="424E6A"/>
            </w:tcBorders>
            <w:shd w:val="clear" w:color="auto" w:fill="D9DCE1"/>
          </w:tcPr>
          <w:p>
            <w:pPr>
              <w:ind w:left="16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0"/>
        </w:trPr>
        <w:tc>
          <w:tcPr>
            <w:tcW w:w="170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Richard K. McGee</w:t>
            </w:r>
          </w:p>
        </w:tc>
        <w:tc>
          <w:tcPr>
            <w:tcW w:w="1100" w:type="dxa"/>
            <w:vAlign w:val="bottom"/>
            <w:tcBorders>
              <w:bottom w:val="single" w:sz="8" w:color="424E6A"/>
            </w:tcBorders>
          </w:tcPr>
          <w:p>
            <w:pPr>
              <w:jc w:val="center"/>
              <w:ind w:left="4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62</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w:t>
            </w:r>
          </w:p>
        </w:tc>
        <w:tc>
          <w:tcPr>
            <w:tcW w:w="5240" w:type="dxa"/>
            <w:vAlign w:val="bottom"/>
            <w:tcBorders>
              <w:bottom w:val="single" w:sz="8" w:color="424E6A"/>
              <w:right w:val="single" w:sz="8" w:color="424E6A"/>
            </w:tcBorders>
          </w:tcPr>
          <w:p>
            <w:pPr>
              <w:ind w:left="16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50"/>
        </w:trPr>
        <w:tc>
          <w:tcPr>
            <w:tcW w:w="170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Chris R. Chandler</w:t>
            </w:r>
          </w:p>
        </w:tc>
        <w:tc>
          <w:tcPr>
            <w:tcW w:w="1100" w:type="dxa"/>
            <w:vAlign w:val="bottom"/>
            <w:tcBorders>
              <w:bottom w:val="single" w:sz="8" w:color="424E6A"/>
            </w:tcBorders>
            <w:shd w:val="clear" w:color="auto" w:fill="D9DCE1"/>
          </w:tcPr>
          <w:p>
            <w:pPr>
              <w:jc w:val="center"/>
              <w:ind w:left="4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51</w:t>
            </w:r>
          </w:p>
        </w:tc>
        <w:tc>
          <w:tcPr>
            <w:tcW w:w="18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5240" w:type="dxa"/>
            <w:vAlign w:val="bottom"/>
            <w:tcBorders>
              <w:bottom w:val="single" w:sz="8" w:color="424E6A"/>
              <w:right w:val="single" w:sz="8" w:color="424E6A"/>
            </w:tcBorders>
            <w:shd w:val="clear" w:color="auto" w:fill="D9DCE1"/>
          </w:tcPr>
          <w:p>
            <w:pPr>
              <w:ind w:left="160"/>
              <w:spacing w:after="0"/>
              <w:rPr>
                <w:sz w:val="20"/>
                <w:szCs w:val="20"/>
                <w:color w:val="auto"/>
              </w:rPr>
            </w:pPr>
            <w:r>
              <w:rPr>
                <w:rFonts w:ascii="Arial" w:cs="Arial" w:eastAsia="Arial" w:hAnsi="Arial"/>
                <w:sz w:val="18"/>
                <w:szCs w:val="18"/>
                <w:color w:val="auto"/>
              </w:rPr>
              <w:t>Executive Vice President and Chief Operating Officer</w:t>
            </w:r>
          </w:p>
        </w:tc>
      </w:tr>
      <w:tr>
        <w:trPr>
          <w:trHeight w:val="250"/>
        </w:trPr>
        <w:tc>
          <w:tcPr>
            <w:tcW w:w="1700" w:type="dxa"/>
            <w:vAlign w:val="bottom"/>
            <w:tcBorders>
              <w:left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Jeremy L. Goebel</w:t>
            </w:r>
          </w:p>
        </w:tc>
        <w:tc>
          <w:tcPr>
            <w:tcW w:w="1100" w:type="dxa"/>
            <w:vAlign w:val="bottom"/>
            <w:tcBorders>
              <w:bottom w:val="single" w:sz="8" w:color="424E6A"/>
            </w:tcBorders>
          </w:tcPr>
          <w:p>
            <w:pPr>
              <w:jc w:val="center"/>
              <w:ind w:left="4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45</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w:t>
            </w:r>
          </w:p>
        </w:tc>
        <w:tc>
          <w:tcPr>
            <w:tcW w:w="5240" w:type="dxa"/>
            <w:vAlign w:val="bottom"/>
            <w:tcBorders>
              <w:bottom w:val="single" w:sz="8" w:color="424E6A"/>
              <w:right w:val="single" w:sz="8" w:color="424E6A"/>
            </w:tcBorders>
          </w:tcPr>
          <w:p>
            <w:pPr>
              <w:ind w:left="160"/>
              <w:spacing w:after="0"/>
              <w:rPr>
                <w:sz w:val="20"/>
                <w:szCs w:val="20"/>
                <w:color w:val="auto"/>
              </w:rPr>
            </w:pPr>
            <w:r>
              <w:rPr>
                <w:rFonts w:ascii="Arial" w:cs="Arial" w:eastAsia="Arial" w:hAnsi="Arial"/>
                <w:sz w:val="18"/>
                <w:szCs w:val="18"/>
                <w:color w:val="auto"/>
              </w:rPr>
              <w:t>Executive Vice President and Chief Commercial Officer</w:t>
            </w:r>
          </w:p>
        </w:tc>
      </w:tr>
      <w:tr>
        <w:trPr>
          <w:trHeight w:val="250"/>
        </w:trPr>
        <w:tc>
          <w:tcPr>
            <w:tcW w:w="1700" w:type="dxa"/>
            <w:vAlign w:val="bottom"/>
            <w:tcBorders>
              <w:left w:val="single" w:sz="8" w:color="424E6A"/>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Chris Herbold</w:t>
            </w:r>
          </w:p>
        </w:tc>
        <w:tc>
          <w:tcPr>
            <w:tcW w:w="1100" w:type="dxa"/>
            <w:vAlign w:val="bottom"/>
            <w:tcBorders>
              <w:bottom w:val="single" w:sz="8" w:color="424E6A"/>
            </w:tcBorders>
            <w:shd w:val="clear" w:color="auto" w:fill="D9DCE1"/>
          </w:tcPr>
          <w:p>
            <w:pPr>
              <w:jc w:val="center"/>
              <w:ind w:left="4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50</w:t>
            </w:r>
          </w:p>
        </w:tc>
        <w:tc>
          <w:tcPr>
            <w:tcW w:w="18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5240" w:type="dxa"/>
            <w:vAlign w:val="bottom"/>
            <w:tcBorders>
              <w:bottom w:val="single" w:sz="8" w:color="424E6A"/>
              <w:right w:val="single" w:sz="8" w:color="424E6A"/>
            </w:tcBorders>
            <w:shd w:val="clear" w:color="auto" w:fill="D9DCE1"/>
          </w:tcPr>
          <w:p>
            <w:pPr>
              <w:ind w:left="160"/>
              <w:spacing w:after="0"/>
              <w:rPr>
                <w:sz w:val="20"/>
                <w:szCs w:val="20"/>
                <w:color w:val="auto"/>
              </w:rPr>
            </w:pPr>
            <w:r>
              <w:rPr>
                <w:rFonts w:ascii="Arial" w:cs="Arial" w:eastAsia="Arial" w:hAnsi="Arial"/>
                <w:sz w:val="18"/>
                <w:szCs w:val="18"/>
                <w:color w:val="auto"/>
              </w:rPr>
              <w:t>Senior Vice President, Finance and Chief Accounting Officer</w:t>
            </w:r>
          </w:p>
        </w:tc>
      </w:tr>
      <w:tr>
        <w:trPr>
          <w:trHeight w:val="268"/>
        </w:trPr>
        <w:tc>
          <w:tcPr>
            <w:tcW w:w="1700" w:type="dxa"/>
            <w:vAlign w:val="bottom"/>
          </w:tcPr>
          <w:p>
            <w:pPr>
              <w:spacing w:after="0"/>
              <w:rPr>
                <w:sz w:val="20"/>
                <w:szCs w:val="20"/>
                <w:color w:val="auto"/>
              </w:rPr>
            </w:pPr>
            <w:r>
              <w:rPr>
                <w:rFonts w:ascii="Arial" w:cs="Arial" w:eastAsia="Arial" w:hAnsi="Arial"/>
                <w:sz w:val="18"/>
                <w:szCs w:val="18"/>
                <w:color w:val="auto"/>
              </w:rPr>
              <w:t> </w:t>
            </w: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117475</wp:posOffset>
            </wp:positionV>
            <wp:extent cx="12344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08" w:lineRule="exact"/>
        <w:rPr>
          <w:sz w:val="20"/>
          <w:szCs w:val="20"/>
          <w:color w:val="auto"/>
        </w:rPr>
      </w:pPr>
    </w:p>
    <w:p>
      <w:pPr>
        <w:ind w:left="1620" w:right="499" w:hanging="360"/>
        <w:spacing w:after="0" w:line="28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Biographical information for Messrs. Chiang and Pefanis is located under Proposal 1 — Election of Class I Directors.</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Al Swanson </w:t>
      </w:r>
      <w:r>
        <w:rPr>
          <w:rFonts w:ascii="Arial" w:cs="Arial" w:eastAsia="Arial" w:hAnsi="Arial"/>
          <w:sz w:val="18"/>
          <w:szCs w:val="18"/>
          <w:color w:val="auto"/>
        </w:rPr>
        <w:t>has served as Executive Vice President and Chief Financial Officer of GP LLC since</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February 2011. He previously served as Senior Vice President and Chief Financial Officer from</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November 2008 through February 2011, as Senior Vice President — Finance from August 2008 until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November 2008 and as Senior Vice President — Finance and Treasurer from August 2007 until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August 2008. He served as Vice President — Finance and Treasurer from August 2005 to August 2007,</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Vice President and Treasurer from February 2004 to August 2005 and as Treasurer from May 2001</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February 2004. In addition, he held finance related positions at Plains Resources including Treasurer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from February 2001 to May 2001 and Director of Treasury from November 2000 to February 2001. Prior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joining Plains Resources, he served as Treasurer of Santa Fe Snyder Corporation from 1999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October 2000 and in various capacities at Snyder Oil Corporation including Director of Corporate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Finance from 1998, Controller — SOCO Offshore, Inc. from 1997, and Accounting Manager from 1992.</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Mr. Swanson began his career with Apache Corporation in 1986 serving in internal audit and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accounting. Mr. Swanson also serves as Executive Vice President and Chief Financial Officer of PAGP</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GP.</w:t>
      </w:r>
    </w:p>
    <w:p>
      <w:pPr>
        <w:spacing w:after="0" w:line="126" w:lineRule="exact"/>
        <w:rPr>
          <w:sz w:val="20"/>
          <w:szCs w:val="20"/>
          <w:color w:val="auto"/>
        </w:rPr>
      </w:pPr>
    </w:p>
    <w:p>
      <w:pPr>
        <w:ind w:left="1260" w:right="479" w:firstLine="360"/>
        <w:spacing w:after="0" w:line="260" w:lineRule="auto"/>
        <w:rPr>
          <w:sz w:val="20"/>
          <w:szCs w:val="20"/>
          <w:color w:val="auto"/>
        </w:rPr>
      </w:pPr>
      <w:r>
        <w:rPr>
          <w:rFonts w:ascii="Arial" w:cs="Arial" w:eastAsia="Arial" w:hAnsi="Arial"/>
          <w:sz w:val="18"/>
          <w:szCs w:val="18"/>
          <w:i w:val="1"/>
          <w:iCs w:val="1"/>
          <w:color w:val="auto"/>
        </w:rPr>
        <w:t xml:space="preserve">Richard K. McGee </w:t>
      </w:r>
      <w:r>
        <w:rPr>
          <w:rFonts w:ascii="Arial" w:cs="Arial" w:eastAsia="Arial" w:hAnsi="Arial"/>
          <w:sz w:val="18"/>
          <w:szCs w:val="18"/>
          <w:color w:val="auto"/>
        </w:rPr>
        <w:t>has served as Executive Vice President, General Counsel and Secretary of GP</w:t>
      </w:r>
      <w:r>
        <w:rPr>
          <w:rFonts w:ascii="Arial" w:cs="Arial" w:eastAsia="Arial" w:hAnsi="Arial"/>
          <w:sz w:val="18"/>
          <w:szCs w:val="18"/>
          <w:i w:val="1"/>
          <w:iCs w:val="1"/>
          <w:color w:val="auto"/>
        </w:rPr>
        <w:t xml:space="preserve"> </w:t>
      </w:r>
      <w:r>
        <w:rPr>
          <w:rFonts w:ascii="Arial" w:cs="Arial" w:eastAsia="Arial" w:hAnsi="Arial"/>
          <w:sz w:val="18"/>
          <w:szCs w:val="18"/>
          <w:color w:val="auto"/>
        </w:rPr>
        <w:t>LLC since February 2013. He served as Vice President, General Counsel and Secretary from</w:t>
      </w:r>
    </w:p>
    <w:p>
      <w:pPr>
        <w:spacing w:after="0" w:line="2"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March 2012 until February 2013 and served as Vice President and Deputy General Counsel from August 2011 through March 2012. He also served as Vice President — 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 Mr. McGee also serves as Executive Vice President, General Counsel and Secretary of PAGP GP.</w:t>
      </w:r>
    </w:p>
    <w:p>
      <w:pPr>
        <w:spacing w:after="0" w:line="119"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i w:val="1"/>
          <w:iCs w:val="1"/>
          <w:color w:val="auto"/>
        </w:rPr>
        <w:t xml:space="preserve">Chris R. Chandler </w:t>
      </w:r>
      <w:r>
        <w:rPr>
          <w:rFonts w:ascii="Arial" w:cs="Arial" w:eastAsia="Arial" w:hAnsi="Arial"/>
          <w:sz w:val="18"/>
          <w:szCs w:val="18"/>
          <w:color w:val="auto"/>
        </w:rPr>
        <w:t>has served as Executive Vice President and Chief Operating Officer of GP LLC</w:t>
      </w:r>
      <w:r>
        <w:rPr>
          <w:rFonts w:ascii="Arial" w:cs="Arial" w:eastAsia="Arial" w:hAnsi="Arial"/>
          <w:sz w:val="18"/>
          <w:szCs w:val="18"/>
          <w:i w:val="1"/>
          <w:iCs w:val="1"/>
          <w:color w:val="auto"/>
        </w:rPr>
        <w:t xml:space="preserve"> </w:t>
      </w:r>
      <w:r>
        <w:rPr>
          <w:rFonts w:ascii="Arial" w:cs="Arial" w:eastAsia="Arial" w:hAnsi="Arial"/>
          <w:sz w:val="18"/>
          <w:szCs w:val="18"/>
          <w:color w:val="auto"/>
        </w:rPr>
        <w:t>since March 2019. He served as Senior Vice President — Strategic Planning and Acquisitions since joining Plains in May 2018 until March 2019. Mr. Chandler has more than 25 years of energy industry experience. Prior to joining Plains, he served in a number of leadership roles at Phillips 66, most recently as General Manager — Corporate Strategy, and previously as General Manager — Midstream Commercial and Business Development, as well as numerous leadership roles in refining. Mr. Chandler also serves as Executive Vice President and Chief Operating Officer of PAGP GP.</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i w:val="1"/>
          <w:iCs w:val="1"/>
          <w:color w:val="auto"/>
        </w:rPr>
        <w:t xml:space="preserve">Jeremy L. Goebel </w:t>
      </w:r>
      <w:r>
        <w:rPr>
          <w:rFonts w:ascii="Arial" w:cs="Arial" w:eastAsia="Arial" w:hAnsi="Arial"/>
          <w:sz w:val="18"/>
          <w:szCs w:val="18"/>
          <w:color w:val="auto"/>
        </w:rPr>
        <w:t>has served as Executive Vice President and Chief Commercial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2021. He previously served as Executive Vice President — Commercial of GP LLC from March 2019 until March 2021, as Senior Group Vice President — Commercial from May 2018 to March 2019, as Senior Vice President — Acquisitions and Strategic Planning from April 2017 until May 2018, as Vice President — Acquisitions and Strategic Planning from July 2015 until April 2017, as Assistant Vice President — Lease Supply from July 2014 until July 2015, and as Managing Director —  Acquisitions and Strategic Planning from January 2013 until July 2014. Prior to joining Plains in 2013, he was employed by Simmons &amp; Company International. Mr. Goebel has over 20 years of energy and investment banking experience. Mr. Goebel also serves as Executive Vice President and Chief Commercial Officer of PAGP GP.</w:t>
      </w:r>
    </w:p>
    <w:p>
      <w:pPr>
        <w:spacing w:after="0" w:line="118"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i w:val="1"/>
          <w:iCs w:val="1"/>
          <w:color w:val="auto"/>
        </w:rPr>
        <w:t xml:space="preserve">Chris Herbold </w:t>
      </w:r>
      <w:r>
        <w:rPr>
          <w:rFonts w:ascii="Arial" w:cs="Arial" w:eastAsia="Arial" w:hAnsi="Arial"/>
          <w:sz w:val="18"/>
          <w:szCs w:val="18"/>
          <w:color w:val="auto"/>
        </w:rPr>
        <w:t>has served as Senior Vice President, Finance and Chief Accounting Officer of GP</w:t>
      </w:r>
      <w:r>
        <w:rPr>
          <w:rFonts w:ascii="Arial" w:cs="Arial" w:eastAsia="Arial" w:hAnsi="Arial"/>
          <w:sz w:val="18"/>
          <w:szCs w:val="18"/>
          <w:i w:val="1"/>
          <w:iCs w:val="1"/>
          <w:color w:val="auto"/>
        </w:rPr>
        <w:t xml:space="preserve"> </w:t>
      </w:r>
      <w:r>
        <w:rPr>
          <w:rFonts w:ascii="Arial" w:cs="Arial" w:eastAsia="Arial" w:hAnsi="Arial"/>
          <w:sz w:val="18"/>
          <w:szCs w:val="18"/>
          <w:color w:val="auto"/>
        </w:rPr>
        <w:t>LLC since August 2021, and served as Senior Vice President and Chief Accounting Officer of GP LLC from August 2018 until August 2021. He served as Vice President — Accounting and Chief Accounting Officer from August 2010 until August 2018. He served as Controller of PAA from 2008 until 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 Mr. Herbold also serves as Senior Vice President, Finance and Chief Accounting Officer of PAGP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Report</w:t>
      </w:r>
    </w:p>
    <w:p>
      <w:pPr>
        <w:spacing w:after="0" w:line="158"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The Compensation Committee reviews and makes recommendations to the Board regarding the compensation for our executive officers and directors. In fulfilling its oversight responsibilities, the Compensation Committee reviewed and discussed the following Compensation Discussion and Analysis (sometimes referred to as “CD&amp;A”) with management and, based on such review and discussion, has recommended to the Board that the Compensation Discussion and Analysis be included in this proxy statement.</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John T. Raymond, </w:t>
      </w:r>
      <w:r>
        <w:rPr>
          <w:rFonts w:ascii="Arial" w:cs="Arial" w:eastAsia="Arial" w:hAnsi="Arial"/>
          <w:sz w:val="18"/>
          <w:szCs w:val="18"/>
          <w:i w:val="1"/>
          <w:iCs w:val="1"/>
          <w:color w:val="auto"/>
        </w:rPr>
        <w:t>Chair</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Gary R. Petersen</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Christopher M. Temple</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44" w:lineRule="exact"/>
        <w:rPr>
          <w:sz w:val="20"/>
          <w:szCs w:val="20"/>
          <w:color w:val="auto"/>
        </w:rPr>
      </w:pPr>
    </w:p>
    <w:p>
      <w:pPr>
        <w:ind w:left="1260" w:right="559" w:firstLine="360"/>
        <w:spacing w:after="0" w:line="268" w:lineRule="auto"/>
        <w:rPr>
          <w:sz w:val="20"/>
          <w:szCs w:val="20"/>
          <w:color w:val="auto"/>
        </w:rPr>
      </w:pPr>
      <w:r>
        <w:rPr>
          <w:rFonts w:ascii="Arial" w:cs="Arial" w:eastAsia="Arial" w:hAnsi="Arial"/>
          <w:sz w:val="18"/>
          <w:szCs w:val="18"/>
          <w:color w:val="auto"/>
        </w:rPr>
        <w:t>For 2022, our Named Executive Officers (sometimes referred to as “NEOs”) include our CEO, our President, our CFO, and the three most highly compensated executive officers (other than our CEO and CFO). Our NEOs for 2022 include the following individuals:</w:t>
      </w:r>
    </w:p>
    <w:p>
      <w:pPr>
        <w:spacing w:after="0" w:line="137" w:lineRule="exact"/>
        <w:rPr>
          <w:sz w:val="20"/>
          <w:szCs w:val="20"/>
          <w:color w:val="auto"/>
        </w:rPr>
      </w:pPr>
    </w:p>
    <w:tbl>
      <w:tblPr>
        <w:tblLayout w:type="fixed"/>
        <w:tblInd w:w="1630" w:type="dxa"/>
        <w:tblCellMar>
          <w:top w:w="0" w:type="dxa"/>
          <w:left w:w="0" w:type="dxa"/>
          <w:bottom w:w="0" w:type="dxa"/>
          <w:right w:w="0" w:type="dxa"/>
        </w:tblCellMar>
      </w:tblPr>
      <w:tr>
        <w:trPr>
          <w:trHeight w:val="335"/>
        </w:trPr>
        <w:tc>
          <w:tcPr>
            <w:tcW w:w="2880" w:type="dxa"/>
            <w:vAlign w:val="bottom"/>
            <w:tcBorders>
              <w:left w:val="single" w:sz="8" w:color="424E6A"/>
            </w:tcBorders>
            <w:shd w:val="clear" w:color="auto" w:fill="424E6A"/>
          </w:tcPr>
          <w:p>
            <w:pPr>
              <w:ind w:left="2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Named Executive Officer</w:t>
            </w:r>
          </w:p>
        </w:tc>
        <w:tc>
          <w:tcPr>
            <w:tcW w:w="2400" w:type="dxa"/>
            <w:vAlign w:val="bottom"/>
            <w:gridSpan w:val="2"/>
            <w:shd w:val="clear" w:color="auto" w:fill="424E6A"/>
          </w:tcPr>
          <w:p>
            <w:pPr>
              <w:ind w:left="1120"/>
              <w:spacing w:after="0"/>
              <w:rPr>
                <w:sz w:val="20"/>
                <w:szCs w:val="20"/>
                <w:color w:val="auto"/>
              </w:rPr>
            </w:pPr>
            <w:r>
              <w:rPr>
                <w:rFonts w:ascii="Arial" w:cs="Arial" w:eastAsia="Arial" w:hAnsi="Arial"/>
                <w:sz w:val="14"/>
                <w:szCs w:val="14"/>
                <w:b w:val="1"/>
                <w:bCs w:val="1"/>
                <w:color w:val="FFFFFF"/>
              </w:rPr>
              <w:t>​ ​</w:t>
            </w:r>
          </w:p>
        </w:tc>
        <w:tc>
          <w:tcPr>
            <w:tcW w:w="1920" w:type="dxa"/>
            <w:vAlign w:val="bottom"/>
            <w:shd w:val="clear" w:color="auto" w:fill="424E6A"/>
          </w:tcPr>
          <w:p>
            <w:pPr>
              <w:ind w:left="300"/>
              <w:spacing w:after="0"/>
              <w:rPr>
                <w:sz w:val="20"/>
                <w:szCs w:val="20"/>
                <w:color w:val="auto"/>
              </w:rPr>
            </w:pPr>
            <w:r>
              <w:rPr>
                <w:rFonts w:ascii="Arial" w:cs="Arial" w:eastAsia="Arial" w:hAnsi="Arial"/>
                <w:sz w:val="14"/>
                <w:szCs w:val="14"/>
                <w:b w:val="1"/>
                <w:bCs w:val="1"/>
                <w:color w:val="FFFFFF"/>
              </w:rPr>
              <w:t>Title</w:t>
            </w:r>
          </w:p>
        </w:tc>
        <w:tc>
          <w:tcPr>
            <w:tcW w:w="28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r>
      <w:tr>
        <w:trPr>
          <w:trHeight w:val="256"/>
        </w:trPr>
        <w:tc>
          <w:tcPr>
            <w:tcW w:w="2880" w:type="dxa"/>
            <w:vAlign w:val="bottom"/>
            <w:tcBorders>
              <w:left w:val="single" w:sz="8" w:color="424E6A"/>
              <w:bottom w:val="single" w:sz="8" w:color="424E6A"/>
            </w:tcBorders>
            <w:shd w:val="clear" w:color="auto" w:fill="D9DCE1"/>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Willie Chiang</w:t>
            </w:r>
          </w:p>
        </w:tc>
        <w:tc>
          <w:tcPr>
            <w:tcW w:w="1240" w:type="dxa"/>
            <w:vAlign w:val="bottom"/>
            <w:tcBorders>
              <w:bottom w:val="single" w:sz="8" w:color="424E6A"/>
              <w:right w:val="single" w:sz="8" w:color="424E6A"/>
            </w:tcBorders>
            <w:shd w:val="clear" w:color="auto" w:fill="D9DCE1"/>
          </w:tcPr>
          <w:p>
            <w:pPr>
              <w:ind w:left="1120"/>
              <w:spacing w:after="0"/>
              <w:rPr>
                <w:sz w:val="20"/>
                <w:szCs w:val="20"/>
                <w:color w:val="auto"/>
              </w:rPr>
            </w:pPr>
            <w:r>
              <w:rPr>
                <w:rFonts w:ascii="Arial" w:cs="Arial" w:eastAsia="Arial" w:hAnsi="Arial"/>
                <w:sz w:val="18"/>
                <w:szCs w:val="18"/>
                <w:color w:val="auto"/>
              </w:rPr>
              <w:t>​</w:t>
            </w:r>
          </w:p>
        </w:tc>
        <w:tc>
          <w:tcPr>
            <w:tcW w:w="3360" w:type="dxa"/>
            <w:vAlign w:val="bottom"/>
            <w:tcBorders>
              <w:bottom w:val="single" w:sz="8" w:color="424E6A"/>
              <w:right w:val="single" w:sz="8" w:color="424E6A"/>
            </w:tcBorders>
            <w:gridSpan w:val="3"/>
            <w:shd w:val="clear" w:color="auto" w:fill="D9DCE1"/>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Chairman and Chief Executive Officer </w:t>
            </w:r>
            <w:r>
              <w:rPr>
                <w:rFonts w:ascii="Arial" w:cs="Arial" w:eastAsia="Arial" w:hAnsi="Arial"/>
                <w:sz w:val="29"/>
                <w:szCs w:val="29"/>
                <w:color w:val="auto"/>
                <w:vertAlign w:val="superscript"/>
              </w:rPr>
              <w:t>​</w:t>
            </w:r>
          </w:p>
        </w:tc>
      </w:tr>
      <w:tr>
        <w:trPr>
          <w:trHeight w:val="250"/>
        </w:trPr>
        <w:tc>
          <w:tcPr>
            <w:tcW w:w="2880" w:type="dxa"/>
            <w:vAlign w:val="bottom"/>
            <w:tcBorders>
              <w:left w:val="single" w:sz="8" w:color="424E6A"/>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Harry Pefanis</w:t>
            </w:r>
          </w:p>
        </w:tc>
        <w:tc>
          <w:tcPr>
            <w:tcW w:w="1240" w:type="dxa"/>
            <w:vAlign w:val="bottom"/>
            <w:tcBorders>
              <w:bottom w:val="single" w:sz="8" w:color="424E6A"/>
              <w:right w:val="single" w:sz="8" w:color="424E6A"/>
            </w:tcBorders>
          </w:tcPr>
          <w:p>
            <w:pPr>
              <w:ind w:left="1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President</w:t>
            </w:r>
          </w:p>
        </w:tc>
        <w:tc>
          <w:tcPr>
            <w:tcW w:w="1920" w:type="dxa"/>
            <w:vAlign w:val="bottom"/>
            <w:tcBorders>
              <w:bottom w:val="single" w:sz="8" w:color="424E6A"/>
            </w:tcBorders>
          </w:tcPr>
          <w:p>
            <w:pPr>
              <w:spacing w:after="0"/>
              <w:rPr>
                <w:sz w:val="21"/>
                <w:szCs w:val="21"/>
                <w:color w:val="auto"/>
              </w:rPr>
            </w:pPr>
          </w:p>
        </w:tc>
        <w:tc>
          <w:tcPr>
            <w:tcW w:w="28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880" w:type="dxa"/>
            <w:vAlign w:val="bottom"/>
            <w:tcBorders>
              <w:left w:val="single" w:sz="8" w:color="424E6A"/>
              <w:bottom w:val="single" w:sz="8" w:color="424E6A"/>
            </w:tcBorders>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Al Swanson</w:t>
            </w:r>
          </w:p>
        </w:tc>
        <w:tc>
          <w:tcPr>
            <w:tcW w:w="1240" w:type="dxa"/>
            <w:vAlign w:val="bottom"/>
            <w:tcBorders>
              <w:bottom w:val="single" w:sz="8" w:color="424E6A"/>
              <w:right w:val="single" w:sz="8" w:color="424E6A"/>
            </w:tcBorders>
            <w:shd w:val="clear" w:color="auto" w:fill="D9DCE1"/>
          </w:tcPr>
          <w:p>
            <w:pPr>
              <w:ind w:left="1120"/>
              <w:spacing w:after="0"/>
              <w:rPr>
                <w:sz w:val="20"/>
                <w:szCs w:val="20"/>
                <w:color w:val="auto"/>
              </w:rPr>
            </w:pPr>
            <w:r>
              <w:rPr>
                <w:rFonts w:ascii="Arial" w:cs="Arial" w:eastAsia="Arial" w:hAnsi="Arial"/>
                <w:sz w:val="18"/>
                <w:szCs w:val="18"/>
                <w:color w:val="auto"/>
              </w:rPr>
              <w:t>​</w:t>
            </w:r>
          </w:p>
        </w:tc>
        <w:tc>
          <w:tcPr>
            <w:tcW w:w="3080" w:type="dxa"/>
            <w:vAlign w:val="bottom"/>
            <w:tcBorders>
              <w:bottom w:val="single" w:sz="8" w:color="424E6A"/>
            </w:tcBorders>
            <w:gridSpan w:val="2"/>
            <w:shd w:val="clear" w:color="auto" w:fill="D9DCE1"/>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and Chief Financial Officer</w:t>
            </w:r>
          </w:p>
        </w:tc>
        <w:tc>
          <w:tcPr>
            <w:tcW w:w="28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880" w:type="dxa"/>
            <w:vAlign w:val="bottom"/>
            <w:tcBorders>
              <w:left w:val="single" w:sz="8" w:color="424E6A"/>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Richard McGee</w:t>
            </w:r>
          </w:p>
        </w:tc>
        <w:tc>
          <w:tcPr>
            <w:tcW w:w="1240" w:type="dxa"/>
            <w:vAlign w:val="bottom"/>
            <w:tcBorders>
              <w:bottom w:val="single" w:sz="8" w:color="424E6A"/>
              <w:right w:val="single" w:sz="8" w:color="424E6A"/>
            </w:tcBorders>
          </w:tcPr>
          <w:p>
            <w:pPr>
              <w:ind w:left="1120"/>
              <w:spacing w:after="0"/>
              <w:rPr>
                <w:sz w:val="20"/>
                <w:szCs w:val="20"/>
                <w:color w:val="auto"/>
              </w:rPr>
            </w:pPr>
            <w:r>
              <w:rPr>
                <w:rFonts w:ascii="Arial" w:cs="Arial" w:eastAsia="Arial" w:hAnsi="Arial"/>
                <w:sz w:val="18"/>
                <w:szCs w:val="18"/>
                <w:color w:val="auto"/>
              </w:rPr>
              <w:t>​</w:t>
            </w:r>
          </w:p>
        </w:tc>
        <w:tc>
          <w:tcPr>
            <w:tcW w:w="3080" w:type="dxa"/>
            <w:vAlign w:val="bottom"/>
            <w:tcBorders>
              <w:bottom w:val="single" w:sz="8" w:color="424E6A"/>
            </w:tcBorders>
            <w:gridSpan w:val="2"/>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General Counsel and Secretary</w:t>
            </w:r>
          </w:p>
        </w:tc>
        <w:tc>
          <w:tcPr>
            <w:tcW w:w="28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880" w:type="dxa"/>
            <w:vAlign w:val="bottom"/>
            <w:tcBorders>
              <w:left w:val="single" w:sz="8" w:color="424E6A"/>
              <w:bottom w:val="single" w:sz="8" w:color="424E6A"/>
            </w:tcBorders>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Chris Chandler</w:t>
            </w:r>
          </w:p>
        </w:tc>
        <w:tc>
          <w:tcPr>
            <w:tcW w:w="1240" w:type="dxa"/>
            <w:vAlign w:val="bottom"/>
            <w:tcBorders>
              <w:bottom w:val="single" w:sz="8" w:color="424E6A"/>
              <w:right w:val="single" w:sz="8" w:color="424E6A"/>
            </w:tcBorders>
            <w:shd w:val="clear" w:color="auto" w:fill="D9DCE1"/>
          </w:tcPr>
          <w:p>
            <w:pPr>
              <w:ind w:left="1120"/>
              <w:spacing w:after="0"/>
              <w:rPr>
                <w:sz w:val="20"/>
                <w:szCs w:val="20"/>
                <w:color w:val="auto"/>
              </w:rPr>
            </w:pPr>
            <w:r>
              <w:rPr>
                <w:rFonts w:ascii="Arial" w:cs="Arial" w:eastAsia="Arial" w:hAnsi="Arial"/>
                <w:sz w:val="18"/>
                <w:szCs w:val="18"/>
                <w:color w:val="auto"/>
              </w:rPr>
              <w:t>​</w:t>
            </w:r>
          </w:p>
        </w:tc>
        <w:tc>
          <w:tcPr>
            <w:tcW w:w="3080" w:type="dxa"/>
            <w:vAlign w:val="bottom"/>
            <w:tcBorders>
              <w:bottom w:val="single" w:sz="8" w:color="424E6A"/>
            </w:tcBorders>
            <w:gridSpan w:val="2"/>
            <w:shd w:val="clear" w:color="auto" w:fill="D9DCE1"/>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and Chief Operating Officer</w:t>
            </w:r>
          </w:p>
        </w:tc>
        <w:tc>
          <w:tcPr>
            <w:tcW w:w="28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880" w:type="dxa"/>
            <w:vAlign w:val="bottom"/>
            <w:tcBorders>
              <w:left w:val="single" w:sz="8" w:color="424E6A"/>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Jeremy Goebel</w:t>
            </w:r>
          </w:p>
        </w:tc>
        <w:tc>
          <w:tcPr>
            <w:tcW w:w="1240" w:type="dxa"/>
            <w:vAlign w:val="bottom"/>
            <w:tcBorders>
              <w:bottom w:val="single" w:sz="8" w:color="424E6A"/>
              <w:right w:val="single" w:sz="8" w:color="424E6A"/>
            </w:tcBorders>
          </w:tcPr>
          <w:p>
            <w:pPr>
              <w:ind w:left="1120"/>
              <w:spacing w:after="0"/>
              <w:rPr>
                <w:sz w:val="20"/>
                <w:szCs w:val="20"/>
                <w:color w:val="auto"/>
              </w:rPr>
            </w:pPr>
            <w:r>
              <w:rPr>
                <w:rFonts w:ascii="Arial" w:cs="Arial" w:eastAsia="Arial" w:hAnsi="Arial"/>
                <w:sz w:val="18"/>
                <w:szCs w:val="18"/>
                <w:color w:val="auto"/>
              </w:rPr>
              <w:t>​</w:t>
            </w:r>
          </w:p>
        </w:tc>
        <w:tc>
          <w:tcPr>
            <w:tcW w:w="3080" w:type="dxa"/>
            <w:vAlign w:val="bottom"/>
            <w:tcBorders>
              <w:bottom w:val="single" w:sz="8" w:color="424E6A"/>
            </w:tcBorders>
            <w:gridSpan w:val="2"/>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and Chief Commercial Officer</w:t>
            </w:r>
          </w:p>
        </w:tc>
        <w:tc>
          <w:tcPr>
            <w:tcW w:w="28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r>
    </w:tbl>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2022 Executive Compensation Highlights</w:t>
      </w:r>
    </w:p>
    <w:p>
      <w:pPr>
        <w:spacing w:after="0" w:line="156"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7"/>
          <w:szCs w:val="17"/>
          <w:color w:val="auto"/>
        </w:rPr>
        <w:t>The discussion set forth below in this Compensation Discussion and Analysis describes our current approach to executive compensation and elaborates upon the various actions taken and adjustments made with respect to our executive compensation program. Highlights for 2022 include the following:</w:t>
      </w:r>
    </w:p>
    <w:p>
      <w:pPr>
        <w:spacing w:after="0" w:line="45" w:lineRule="exact"/>
        <w:rPr>
          <w:sz w:val="20"/>
          <w:szCs w:val="20"/>
          <w:color w:val="auto"/>
        </w:rPr>
      </w:pPr>
    </w:p>
    <w:p>
      <w:pPr>
        <w:ind w:left="1800" w:right="439" w:hanging="180"/>
        <w:spacing w:after="0" w:line="255"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Continued Investor Engagement</w:t>
      </w:r>
      <w:r>
        <w:rPr>
          <w:rFonts w:ascii="Arial" w:cs="Arial" w:eastAsia="Arial" w:hAnsi="Arial"/>
          <w:sz w:val="18"/>
          <w:szCs w:val="18"/>
          <w:color w:val="auto"/>
        </w:rPr>
        <w:t>: During 2022, we continued our practice of engaging with our</w:t>
      </w:r>
      <w:r>
        <w:rPr>
          <w:rFonts w:ascii="Arial" w:cs="Arial" w:eastAsia="Arial" w:hAnsi="Arial"/>
          <w:sz w:val="18"/>
          <w:szCs w:val="18"/>
          <w:b w:val="1"/>
          <w:bCs w:val="1"/>
          <w:color w:val="auto"/>
        </w:rPr>
        <w:t xml:space="preserve"> </w:t>
      </w:r>
      <w:r>
        <w:rPr>
          <w:rFonts w:ascii="Arial" w:cs="Arial" w:eastAsia="Arial" w:hAnsi="Arial"/>
          <w:sz w:val="18"/>
          <w:szCs w:val="18"/>
          <w:color w:val="auto"/>
        </w:rPr>
        <w:t>unitholders regarding key executive compensation issues and incorporating their feedback into the decisions we make. For example, with respect to key actions taken during 2022 regarding adjustments to the annual compensation elements for our NEOs and certain long term incentive plan matters, we incorporated feedback received from our investors during our 2021 engagement effort (for more information, see sections below titled “Unitholder Engagement,” “2022 Independent Benchmark Study of Executive Compensation” and “Adjustment of Certain Pre-Pandemic Long Term Incentive Awards”).</w:t>
      </w:r>
    </w:p>
    <w:p>
      <w:pPr>
        <w:spacing w:after="0" w:line="76" w:lineRule="exact"/>
        <w:rPr>
          <w:rFonts w:ascii="Arial" w:cs="Arial" w:eastAsia="Arial" w:hAnsi="Arial"/>
          <w:sz w:val="18"/>
          <w:szCs w:val="18"/>
          <w:color w:val="auto"/>
        </w:rPr>
      </w:pPr>
    </w:p>
    <w:p>
      <w:pPr>
        <w:ind w:left="1800" w:right="499" w:hanging="180"/>
        <w:spacing w:after="0" w:line="275"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Adjustments to Annual Compensation Elements</w:t>
      </w:r>
      <w:r>
        <w:rPr>
          <w:rFonts w:ascii="Arial" w:cs="Arial" w:eastAsia="Arial" w:hAnsi="Arial"/>
          <w:sz w:val="17"/>
          <w:szCs w:val="17"/>
          <w:color w:val="auto"/>
        </w:rPr>
        <w:t>: In order to enhance retention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competitive positioning of our NEO compensation relative to peers, and taking updated benchmark studies and individual situations into account, base salaries and other compensation elements for our NEOs were adjusted in February 2022. The goal of these adjustments was to enhance our competitiveness with respect to compensation and achieve what we believe are appropriate total compensation levels based on updated benchmark studies.</w:t>
      </w:r>
    </w:p>
    <w:p>
      <w:pPr>
        <w:spacing w:after="0" w:line="60" w:lineRule="exact"/>
        <w:rPr>
          <w:rFonts w:ascii="Arial" w:cs="Arial" w:eastAsia="Arial" w:hAnsi="Arial"/>
          <w:sz w:val="17"/>
          <w:szCs w:val="17"/>
          <w:color w:val="auto"/>
        </w:rPr>
      </w:pPr>
    </w:p>
    <w:p>
      <w:pPr>
        <w:jc w:val="both"/>
        <w:ind w:left="1800" w:right="659" w:hanging="180"/>
        <w:spacing w:after="0" w:line="268"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Annual Bonus</w:t>
      </w:r>
      <w:r>
        <w:rPr>
          <w:rFonts w:ascii="Arial" w:cs="Arial" w:eastAsia="Arial" w:hAnsi="Arial"/>
          <w:sz w:val="18"/>
          <w:szCs w:val="18"/>
          <w:color w:val="auto"/>
        </w:rPr>
        <w:t>: Due to above-target financial and safety/environmental performance in 2022,</w:t>
      </w:r>
      <w:r>
        <w:rPr>
          <w:rFonts w:ascii="Arial" w:cs="Arial" w:eastAsia="Arial" w:hAnsi="Arial"/>
          <w:sz w:val="18"/>
          <w:szCs w:val="18"/>
          <w:b w:val="1"/>
          <w:bCs w:val="1"/>
          <w:color w:val="auto"/>
        </w:rPr>
        <w:t xml:space="preserve"> </w:t>
      </w:r>
      <w:r>
        <w:rPr>
          <w:rFonts w:ascii="Arial" w:cs="Arial" w:eastAsia="Arial" w:hAnsi="Arial"/>
          <w:sz w:val="18"/>
          <w:szCs w:val="18"/>
          <w:color w:val="auto"/>
        </w:rPr>
        <w:t>NEO bonuses paid out above target, with our CEO earning a bonus at 180% of target and our other NEOs earning bonuses at 184% of target on average.</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559" w:hanging="180"/>
        <w:spacing w:after="0" w:line="274" w:lineRule="auto"/>
        <w:tabs>
          <w:tab w:leader="none" w:pos="180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Long-Term Incentive Matters</w:t>
      </w:r>
      <w:r>
        <w:rPr>
          <w:rFonts w:ascii="Arial" w:cs="Arial" w:eastAsia="Arial" w:hAnsi="Arial"/>
          <w:sz w:val="17"/>
          <w:szCs w:val="17"/>
          <w:color w:val="auto"/>
        </w:rPr>
        <w:t>: We granted equity incentives to our NEOs, 50% in the form of</w:t>
      </w:r>
      <w:r>
        <w:rPr>
          <w:rFonts w:ascii="Arial" w:cs="Arial" w:eastAsia="Arial" w:hAnsi="Arial"/>
          <w:sz w:val="17"/>
          <w:szCs w:val="17"/>
          <w:b w:val="1"/>
          <w:bCs w:val="1"/>
          <w:color w:val="auto"/>
        </w:rPr>
        <w:t xml:space="preserve"> </w:t>
      </w:r>
      <w:r>
        <w:rPr>
          <w:rFonts w:ascii="Arial" w:cs="Arial" w:eastAsia="Arial" w:hAnsi="Arial"/>
          <w:sz w:val="17"/>
          <w:szCs w:val="17"/>
          <w:color w:val="auto"/>
        </w:rPr>
        <w:t>time-based units and 50% in the form of performance-based units that can be earned based upon TSR and DCF results over a cumulative three-year performance period. In addition, after considerable and careful consultation with our unitholders as a part of our investor engagement effort during 2021, we adjusted the performance metric under two special long-term incentive/​ retention grants that were issued prior to the COVID-19 pandemic to our COO and CCO. See “Adjustment of Certain Pre-Pandemic Long Term Incentive Awards” for more details.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Executive Compensation General Philosophy and Approach</w:t>
      </w:r>
    </w:p>
    <w:p>
      <w:pPr>
        <w:spacing w:after="0" w:line="156"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Our executive compensation philosophy emphasizes pay for performance, at both an individual and entity level, and places a significant portion of each Named Executive Officer’s compensation at risk. We believe this approach aligns the interests of our executive officers with the interests of our equity holders and at the same time allows us to attract, motivate and retain key executives. The table below highlights some of the key features of our executive compensation program:</w:t>
      </w:r>
    </w:p>
    <w:p>
      <w:pPr>
        <w:spacing w:after="0" w:line="138" w:lineRule="exact"/>
        <w:rPr>
          <w:sz w:val="20"/>
          <w:szCs w:val="20"/>
          <w:color w:val="auto"/>
        </w:rPr>
      </w:pPr>
    </w:p>
    <w:tbl>
      <w:tblPr>
        <w:tblLayout w:type="fixed"/>
        <w:tblInd w:w="1270" w:type="dxa"/>
        <w:tblCellMar>
          <w:top w:w="0" w:type="dxa"/>
          <w:left w:w="0" w:type="dxa"/>
          <w:bottom w:w="0" w:type="dxa"/>
          <w:right w:w="0" w:type="dxa"/>
        </w:tblCellMar>
      </w:tblPr>
      <w:tr>
        <w:trPr>
          <w:trHeight w:val="297"/>
        </w:trPr>
        <w:tc>
          <w:tcPr>
            <w:tcW w:w="300" w:type="dxa"/>
            <w:vAlign w:val="bottom"/>
            <w:tcBorders>
              <w:top w:val="single" w:sz="8" w:color="auto"/>
              <w:left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3680" w:type="dxa"/>
            <w:vAlign w:val="bottom"/>
            <w:tcBorders>
              <w:top w:val="single" w:sz="8" w:color="auto"/>
              <w:bottom w:val="single" w:sz="8" w:color="auto"/>
            </w:tcBorders>
            <w:shd w:val="clear" w:color="auto" w:fill="424E6A"/>
          </w:tcPr>
          <w:p>
            <w:pPr>
              <w:ind w:left="1300"/>
              <w:spacing w:after="0"/>
              <w:rPr>
                <w:sz w:val="20"/>
                <w:szCs w:val="20"/>
                <w:color w:val="auto"/>
              </w:rPr>
            </w:pPr>
            <w:r>
              <w:rPr>
                <w:rFonts w:ascii="Arial" w:cs="Arial" w:eastAsia="Arial" w:hAnsi="Arial"/>
                <w:sz w:val="14"/>
                <w:szCs w:val="14"/>
                <w:b w:val="1"/>
                <w:bCs w:val="1"/>
                <w:color w:val="FFFFFF"/>
              </w:rPr>
              <w:t>What We Do</w:t>
            </w:r>
          </w:p>
        </w:tc>
        <w:tc>
          <w:tcPr>
            <w:tcW w:w="140" w:type="dxa"/>
            <w:vAlign w:val="bottom"/>
            <w:tcBorders>
              <w:top w:val="single" w:sz="8" w:color="auto"/>
              <w:bottom w:val="single" w:sz="8" w:color="auto"/>
              <w:right w:val="single" w:sz="8" w:color="auto"/>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top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3840" w:type="dxa"/>
            <w:vAlign w:val="bottom"/>
            <w:tcBorders>
              <w:top w:val="single" w:sz="8" w:color="auto"/>
              <w:bottom w:val="single" w:sz="8" w:color="auto"/>
              <w:right w:val="single" w:sz="8" w:color="auto"/>
            </w:tcBorders>
            <w:shd w:val="clear" w:color="auto" w:fill="424E6A"/>
          </w:tcPr>
          <w:p>
            <w:pPr>
              <w:ind w:left="1180"/>
              <w:spacing w:after="0"/>
              <w:rPr>
                <w:sz w:val="20"/>
                <w:szCs w:val="20"/>
                <w:color w:val="auto"/>
              </w:rPr>
            </w:pPr>
            <w:r>
              <w:rPr>
                <w:rFonts w:ascii="Arial" w:cs="Arial" w:eastAsia="Arial" w:hAnsi="Arial"/>
                <w:sz w:val="14"/>
                <w:szCs w:val="14"/>
                <w:b w:val="1"/>
                <w:bCs w:val="1"/>
                <w:color w:val="FFFFFF"/>
              </w:rPr>
              <w:t>What We Don’t Do</w:t>
            </w:r>
          </w:p>
        </w:tc>
        <w:tc>
          <w:tcPr>
            <w:tcW w:w="0" w:type="dxa"/>
            <w:vAlign w:val="bottom"/>
          </w:tcPr>
          <w:p>
            <w:pPr>
              <w:spacing w:after="0"/>
              <w:rPr>
                <w:sz w:val="1"/>
                <w:szCs w:val="1"/>
                <w:color w:val="auto"/>
              </w:rPr>
            </w:pPr>
          </w:p>
        </w:tc>
      </w:tr>
      <w:tr>
        <w:trPr>
          <w:trHeight w:val="257"/>
        </w:trPr>
        <w:tc>
          <w:tcPr>
            <w:tcW w:w="3980" w:type="dxa"/>
            <w:vAlign w:val="bottom"/>
            <w:tcBorders>
              <w:left w:val="single" w:sz="8" w:color="auto"/>
            </w:tcBorders>
            <w:gridSpan w:val="2"/>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We emphasize pay for performance</w:t>
            </w:r>
          </w:p>
        </w:tc>
        <w:tc>
          <w:tcPr>
            <w:tcW w:w="14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guaranteed bonuses</w:t>
            </w:r>
          </w:p>
        </w:tc>
        <w:tc>
          <w:tcPr>
            <w:tcW w:w="0" w:type="dxa"/>
            <w:vAlign w:val="bottom"/>
          </w:tcPr>
          <w:p>
            <w:pPr>
              <w:spacing w:after="0"/>
              <w:rPr>
                <w:sz w:val="1"/>
                <w:szCs w:val="1"/>
                <w:color w:val="auto"/>
              </w:rPr>
            </w:pPr>
          </w:p>
        </w:tc>
      </w:tr>
      <w:tr>
        <w:trPr>
          <w:trHeight w:val="244"/>
        </w:trPr>
        <w:tc>
          <w:tcPr>
            <w:tcW w:w="3980" w:type="dxa"/>
            <w:vAlign w:val="bottom"/>
            <w:tcBorders>
              <w:left w:val="single" w:sz="8" w:color="auto"/>
            </w:tcBorders>
            <w:gridSpan w:val="2"/>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Our compensation program is structured to</w:t>
            </w:r>
          </w:p>
        </w:tc>
        <w:tc>
          <w:tcPr>
            <w:tcW w:w="14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excise tax gross ups</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emphasize variable, at-risk compensation</w:t>
            </w:r>
          </w:p>
        </w:tc>
        <w:tc>
          <w:tcPr>
            <w:tcW w:w="1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Directors and officers are prohibited from</w:t>
            </w:r>
          </w:p>
        </w:tc>
        <w:tc>
          <w:tcPr>
            <w:tcW w:w="0" w:type="dxa"/>
            <w:vAlign w:val="bottom"/>
          </w:tcPr>
          <w:p>
            <w:pPr>
              <w:spacing w:after="0"/>
              <w:rPr>
                <w:sz w:val="1"/>
                <w:szCs w:val="1"/>
                <w:color w:val="auto"/>
              </w:rPr>
            </w:pPr>
          </w:p>
        </w:tc>
      </w:tr>
      <w:tr>
        <w:trPr>
          <w:trHeight w:val="108"/>
        </w:trPr>
        <w:tc>
          <w:tcPr>
            <w:tcW w:w="300" w:type="dxa"/>
            <w:vAlign w:val="bottom"/>
            <w:tcBorders>
              <w:left w:val="single" w:sz="8" w:color="auto"/>
            </w:tcBorders>
          </w:tcPr>
          <w:p>
            <w:pPr>
              <w:spacing w:after="0"/>
              <w:rPr>
                <w:sz w:val="9"/>
                <w:szCs w:val="9"/>
                <w:color w:val="auto"/>
              </w:rPr>
            </w:pPr>
          </w:p>
        </w:tc>
        <w:tc>
          <w:tcPr>
            <w:tcW w:w="3680" w:type="dxa"/>
            <w:vAlign w:val="bottom"/>
            <w:vMerge w:val="restart"/>
          </w:tcPr>
          <w:p>
            <w:pPr>
              <w:ind w:left="120"/>
              <w:spacing w:after="0"/>
              <w:rPr>
                <w:sz w:val="20"/>
                <w:szCs w:val="20"/>
                <w:color w:val="auto"/>
              </w:rPr>
            </w:pPr>
            <w:r>
              <w:rPr>
                <w:rFonts w:ascii="Arial" w:cs="Arial" w:eastAsia="Arial" w:hAnsi="Arial"/>
                <w:sz w:val="18"/>
                <w:szCs w:val="18"/>
                <w:color w:val="auto"/>
              </w:rPr>
              <w:t>(over 80% of target NEO compensation is at</w:t>
            </w:r>
          </w:p>
        </w:tc>
        <w:tc>
          <w:tcPr>
            <w:tcW w:w="1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8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0" w:type="dxa"/>
            <w:vAlign w:val="bottom"/>
            <w:tcBorders>
              <w:left w:val="single" w:sz="8" w:color="auto"/>
            </w:tcBorders>
          </w:tcPr>
          <w:p>
            <w:pPr>
              <w:spacing w:after="0"/>
              <w:rPr>
                <w:sz w:val="9"/>
                <w:szCs w:val="9"/>
                <w:color w:val="auto"/>
              </w:rPr>
            </w:pPr>
          </w:p>
        </w:tc>
        <w:tc>
          <w:tcPr>
            <w:tcW w:w="368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hedging or pledging company securities</w:t>
            </w:r>
          </w:p>
        </w:tc>
        <w:tc>
          <w:tcPr>
            <w:tcW w:w="0" w:type="dxa"/>
            <w:vAlign w:val="bottom"/>
          </w:tcPr>
          <w:p>
            <w:pPr>
              <w:spacing w:after="0"/>
              <w:rPr>
                <w:sz w:val="1"/>
                <w:szCs w:val="1"/>
                <w:color w:val="auto"/>
              </w:rPr>
            </w:pPr>
          </w:p>
        </w:tc>
      </w:tr>
      <w:tr>
        <w:trPr>
          <w:trHeight w:val="131"/>
        </w:trPr>
        <w:tc>
          <w:tcPr>
            <w:tcW w:w="300" w:type="dxa"/>
            <w:vAlign w:val="bottom"/>
            <w:tcBorders>
              <w:left w:val="single" w:sz="8" w:color="auto"/>
            </w:tcBorders>
          </w:tcPr>
          <w:p>
            <w:pPr>
              <w:spacing w:after="0"/>
              <w:rPr>
                <w:sz w:val="11"/>
                <w:szCs w:val="11"/>
                <w:color w:val="auto"/>
              </w:rPr>
            </w:pPr>
          </w:p>
        </w:tc>
        <w:tc>
          <w:tcPr>
            <w:tcW w:w="3680" w:type="dxa"/>
            <w:vAlign w:val="bottom"/>
            <w:vMerge w:val="restart"/>
          </w:tcPr>
          <w:p>
            <w:pPr>
              <w:ind w:left="120"/>
              <w:spacing w:after="0"/>
              <w:rPr>
                <w:sz w:val="20"/>
                <w:szCs w:val="20"/>
                <w:color w:val="auto"/>
              </w:rPr>
            </w:pPr>
            <w:r>
              <w:rPr>
                <w:rFonts w:ascii="Arial" w:cs="Arial" w:eastAsia="Arial" w:hAnsi="Arial"/>
                <w:sz w:val="18"/>
                <w:szCs w:val="18"/>
                <w:color w:val="auto"/>
              </w:rPr>
              <w:t>risk)</w:t>
            </w:r>
          </w:p>
        </w:tc>
        <w:tc>
          <w:tcPr>
            <w:tcW w:w="1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8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0" w:type="dxa"/>
            <w:vAlign w:val="bottom"/>
            <w:tcBorders>
              <w:left w:val="single" w:sz="8" w:color="auto"/>
            </w:tcBorders>
          </w:tcPr>
          <w:p>
            <w:pPr>
              <w:spacing w:after="0"/>
              <w:rPr>
                <w:sz w:val="9"/>
                <w:szCs w:val="9"/>
                <w:color w:val="auto"/>
              </w:rPr>
            </w:pPr>
          </w:p>
        </w:tc>
        <w:tc>
          <w:tcPr>
            <w:tcW w:w="368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Our equity plan prohibits backdating or</w:t>
            </w:r>
          </w:p>
        </w:tc>
        <w:tc>
          <w:tcPr>
            <w:tcW w:w="0" w:type="dxa"/>
            <w:vAlign w:val="bottom"/>
          </w:tcPr>
          <w:p>
            <w:pPr>
              <w:spacing w:after="0"/>
              <w:rPr>
                <w:sz w:val="1"/>
                <w:szCs w:val="1"/>
                <w:color w:val="auto"/>
              </w:rPr>
            </w:pPr>
          </w:p>
        </w:tc>
      </w:tr>
      <w:tr>
        <w:trPr>
          <w:trHeight w:val="207"/>
        </w:trPr>
        <w:tc>
          <w:tcPr>
            <w:tcW w:w="3980" w:type="dxa"/>
            <w:vAlign w:val="bottom"/>
            <w:tcBorders>
              <w:left w:val="single" w:sz="8" w:color="auto"/>
            </w:tcBorders>
            <w:gridSpan w:val="2"/>
            <w:vMerge w:val="restart"/>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Our annual bonus program is 100%</w:t>
            </w:r>
          </w:p>
        </w:tc>
        <w:tc>
          <w:tcPr>
            <w:tcW w:w="1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8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3980" w:type="dxa"/>
            <w:vAlign w:val="bottom"/>
            <w:tcBorders>
              <w:left w:val="single" w:sz="8" w:color="auto"/>
            </w:tcBorders>
            <w:gridSpan w:val="2"/>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repricing of options</w:t>
            </w:r>
          </w:p>
        </w:tc>
        <w:tc>
          <w:tcPr>
            <w:tcW w:w="0" w:type="dxa"/>
            <w:vAlign w:val="bottom"/>
          </w:tcPr>
          <w:p>
            <w:pPr>
              <w:spacing w:after="0"/>
              <w:rPr>
                <w:sz w:val="1"/>
                <w:szCs w:val="1"/>
                <w:color w:val="auto"/>
              </w:rPr>
            </w:pPr>
          </w:p>
        </w:tc>
      </w:tr>
      <w:tr>
        <w:trPr>
          <w:trHeight w:val="144"/>
        </w:trPr>
        <w:tc>
          <w:tcPr>
            <w:tcW w:w="300" w:type="dxa"/>
            <w:vAlign w:val="bottom"/>
            <w:tcBorders>
              <w:left w:val="single" w:sz="8" w:color="auto"/>
            </w:tcBorders>
          </w:tcPr>
          <w:p>
            <w:pPr>
              <w:spacing w:after="0"/>
              <w:rPr>
                <w:sz w:val="12"/>
                <w:szCs w:val="12"/>
                <w:color w:val="auto"/>
              </w:rPr>
            </w:pPr>
          </w:p>
        </w:tc>
        <w:tc>
          <w:tcPr>
            <w:tcW w:w="3680" w:type="dxa"/>
            <w:vAlign w:val="bottom"/>
            <w:vMerge w:val="restart"/>
          </w:tcPr>
          <w:p>
            <w:pPr>
              <w:ind w:left="120"/>
              <w:spacing w:after="0"/>
              <w:rPr>
                <w:sz w:val="20"/>
                <w:szCs w:val="20"/>
                <w:color w:val="auto"/>
              </w:rPr>
            </w:pPr>
            <w:r>
              <w:rPr>
                <w:rFonts w:ascii="Arial" w:cs="Arial" w:eastAsia="Arial" w:hAnsi="Arial"/>
                <w:sz w:val="18"/>
                <w:szCs w:val="18"/>
                <w:color w:val="auto"/>
              </w:rPr>
              <w:t>performance based with payout based on a</w:t>
            </w:r>
          </w:p>
        </w:tc>
        <w:tc>
          <w:tcPr>
            <w:tcW w:w="1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300" w:type="dxa"/>
            <w:vAlign w:val="bottom"/>
            <w:tcBorders>
              <w:left w:val="single" w:sz="8" w:color="auto"/>
            </w:tcBorders>
          </w:tcPr>
          <w:p>
            <w:pPr>
              <w:spacing w:after="0"/>
              <w:rPr>
                <w:sz w:val="6"/>
                <w:szCs w:val="6"/>
                <w:color w:val="auto"/>
              </w:rPr>
            </w:pPr>
          </w:p>
        </w:tc>
        <w:tc>
          <w:tcPr>
            <w:tcW w:w="3680" w:type="dxa"/>
            <w:vAlign w:val="bottom"/>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3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spacing w:after="0"/>
              <w:rPr>
                <w:sz w:val="21"/>
                <w:szCs w:val="21"/>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formulaic framework</w:t>
            </w:r>
          </w:p>
        </w:tc>
        <w:tc>
          <w:tcPr>
            <w:tcW w:w="14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significant perquisites for our executive</w:t>
            </w:r>
          </w:p>
        </w:tc>
        <w:tc>
          <w:tcPr>
            <w:tcW w:w="0" w:type="dxa"/>
            <w:vAlign w:val="bottom"/>
          </w:tcPr>
          <w:p>
            <w:pPr>
              <w:spacing w:after="0"/>
              <w:rPr>
                <w:sz w:val="1"/>
                <w:szCs w:val="1"/>
                <w:color w:val="auto"/>
              </w:rPr>
            </w:pPr>
          </w:p>
        </w:tc>
      </w:tr>
      <w:tr>
        <w:trPr>
          <w:trHeight w:val="297"/>
        </w:trPr>
        <w:tc>
          <w:tcPr>
            <w:tcW w:w="3980" w:type="dxa"/>
            <w:vAlign w:val="bottom"/>
            <w:tcBorders>
              <w:left w:val="single" w:sz="8" w:color="auto"/>
            </w:tcBorders>
            <w:gridSpan w:val="2"/>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50% of NEO long-term equity incentives are</w:t>
            </w:r>
          </w:p>
        </w:tc>
        <w:tc>
          <w:tcPr>
            <w:tcW w:w="1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officers</w:t>
            </w:r>
          </w:p>
        </w:tc>
        <w:tc>
          <w:tcPr>
            <w:tcW w:w="0" w:type="dxa"/>
            <w:vAlign w:val="bottom"/>
          </w:tcPr>
          <w:p>
            <w:pPr>
              <w:spacing w:after="0"/>
              <w:rPr>
                <w:sz w:val="1"/>
                <w:szCs w:val="1"/>
                <w:color w:val="auto"/>
              </w:rPr>
            </w:pPr>
          </w:p>
        </w:tc>
      </w:tr>
      <w:tr>
        <w:trPr>
          <w:trHeight w:val="235"/>
        </w:trPr>
        <w:tc>
          <w:tcPr>
            <w:tcW w:w="300" w:type="dxa"/>
            <w:vAlign w:val="bottom"/>
            <w:tcBorders>
              <w:left w:val="single" w:sz="8" w:color="auto"/>
            </w:tcBorders>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performance based, requiring performance</w:t>
            </w:r>
          </w:p>
        </w:tc>
        <w:tc>
          <w:tcPr>
            <w:tcW w:w="1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single-trigger change in control</w:t>
            </w:r>
          </w:p>
        </w:tc>
        <w:tc>
          <w:tcPr>
            <w:tcW w:w="0" w:type="dxa"/>
            <w:vAlign w:val="bottom"/>
          </w:tcPr>
          <w:p>
            <w:pPr>
              <w:spacing w:after="0"/>
              <w:rPr>
                <w:sz w:val="1"/>
                <w:szCs w:val="1"/>
                <w:color w:val="auto"/>
              </w:rPr>
            </w:pPr>
          </w:p>
        </w:tc>
      </w:tr>
      <w:tr>
        <w:trPr>
          <w:trHeight w:val="251"/>
        </w:trPr>
        <w:tc>
          <w:tcPr>
            <w:tcW w:w="300" w:type="dxa"/>
            <w:vAlign w:val="bottom"/>
            <w:tcBorders>
              <w:left w:val="single" w:sz="8" w:color="auto"/>
            </w:tcBorders>
          </w:tcPr>
          <w:p>
            <w:pPr>
              <w:spacing w:after="0"/>
              <w:rPr>
                <w:sz w:val="21"/>
                <w:szCs w:val="21"/>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over a multi-year period</w:t>
            </w:r>
          </w:p>
        </w:tc>
        <w:tc>
          <w:tcPr>
            <w:tcW w:w="14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protections in our long-term incentive plan</w:t>
            </w:r>
          </w:p>
        </w:tc>
        <w:tc>
          <w:tcPr>
            <w:tcW w:w="0" w:type="dxa"/>
            <w:vAlign w:val="bottom"/>
          </w:tcPr>
          <w:p>
            <w:pPr>
              <w:spacing w:after="0"/>
              <w:rPr>
                <w:sz w:val="1"/>
                <w:szCs w:val="1"/>
                <w:color w:val="auto"/>
              </w:rPr>
            </w:pPr>
          </w:p>
        </w:tc>
      </w:tr>
      <w:tr>
        <w:trPr>
          <w:trHeight w:val="270"/>
        </w:trPr>
        <w:tc>
          <w:tcPr>
            <w:tcW w:w="3980" w:type="dxa"/>
            <w:vAlign w:val="bottom"/>
            <w:tcBorders>
              <w:left w:val="single" w:sz="8" w:color="auto"/>
            </w:tcBorders>
            <w:gridSpan w:val="2"/>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Compensation program design mitigates</w:t>
            </w:r>
          </w:p>
        </w:tc>
        <w:tc>
          <w:tcPr>
            <w:tcW w:w="14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grants</w:t>
            </w:r>
          </w:p>
        </w:tc>
        <w:tc>
          <w:tcPr>
            <w:tcW w:w="0" w:type="dxa"/>
            <w:vAlign w:val="bottom"/>
          </w:tcPr>
          <w:p>
            <w:pPr>
              <w:spacing w:after="0"/>
              <w:rPr>
                <w:sz w:val="1"/>
                <w:szCs w:val="1"/>
                <w:color w:val="auto"/>
              </w:rPr>
            </w:pPr>
          </w:p>
        </w:tc>
      </w:tr>
      <w:tr>
        <w:trPr>
          <w:trHeight w:val="239"/>
        </w:trPr>
        <w:tc>
          <w:tcPr>
            <w:tcW w:w="300" w:type="dxa"/>
            <w:vAlign w:val="bottom"/>
            <w:tcBorders>
              <w:left w:val="single" w:sz="8" w:color="auto"/>
            </w:tcBorders>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against excessive risk taking</w:t>
            </w:r>
          </w:p>
        </w:tc>
        <w:tc>
          <w:tcPr>
            <w:tcW w:w="1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300" w:type="dxa"/>
            <w:vAlign w:val="bottom"/>
            <w:tcBorders>
              <w:lef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680" w:type="dxa"/>
            <w:vAlign w:val="bottom"/>
          </w:tcPr>
          <w:p>
            <w:pPr>
              <w:ind w:left="120"/>
              <w:spacing w:after="0"/>
              <w:rPr>
                <w:sz w:val="20"/>
                <w:szCs w:val="20"/>
                <w:color w:val="auto"/>
              </w:rPr>
            </w:pPr>
            <w:r>
              <w:rPr>
                <w:rFonts w:ascii="Arial" w:cs="Arial" w:eastAsia="Arial" w:hAnsi="Arial"/>
                <w:sz w:val="18"/>
                <w:szCs w:val="18"/>
                <w:color w:val="auto"/>
              </w:rPr>
              <w:t>Independent compensation consultant</w:t>
            </w:r>
          </w:p>
        </w:tc>
        <w:tc>
          <w:tcPr>
            <w:tcW w:w="1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980" w:type="dxa"/>
            <w:vAlign w:val="bottom"/>
            <w:tcBorders>
              <w:left w:val="single" w:sz="8" w:color="auto"/>
            </w:tcBorders>
            <w:gridSpan w:val="2"/>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Regular investor engagement on</w:t>
            </w:r>
          </w:p>
        </w:tc>
        <w:tc>
          <w:tcPr>
            <w:tcW w:w="14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00" w:type="dxa"/>
            <w:vAlign w:val="bottom"/>
            <w:tcBorders>
              <w:left w:val="single" w:sz="8" w:color="auto"/>
            </w:tcBorders>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compensation and other matters</w:t>
            </w:r>
          </w:p>
        </w:tc>
        <w:tc>
          <w:tcPr>
            <w:tcW w:w="1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3980" w:type="dxa"/>
            <w:vAlign w:val="bottom"/>
            <w:tcBorders>
              <w:left w:val="single" w:sz="8" w:color="auto"/>
            </w:tcBorders>
            <w:gridSpan w:val="2"/>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Equity Ownership Guidelines for executive</w:t>
            </w:r>
          </w:p>
        </w:tc>
        <w:tc>
          <w:tcPr>
            <w:tcW w:w="1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00" w:type="dxa"/>
            <w:vAlign w:val="bottom"/>
            <w:tcBorders>
              <w:left w:val="single" w:sz="8" w:color="auto"/>
            </w:tcBorders>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officers and directors</w:t>
            </w:r>
          </w:p>
        </w:tc>
        <w:tc>
          <w:tcPr>
            <w:tcW w:w="1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3980" w:type="dxa"/>
            <w:vAlign w:val="bottom"/>
            <w:tcBorders>
              <w:left w:val="single" w:sz="8" w:color="auto"/>
            </w:tcBorders>
            <w:gridSpan w:val="2"/>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Clawback Policy that applies to performance</w:t>
            </w:r>
          </w:p>
        </w:tc>
        <w:tc>
          <w:tcPr>
            <w:tcW w:w="1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00" w:type="dxa"/>
            <w:vAlign w:val="bottom"/>
            <w:tcBorders>
              <w:left w:val="single" w:sz="8" w:color="auto"/>
            </w:tcBorders>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based cash and equity compensation</w:t>
            </w:r>
          </w:p>
        </w:tc>
        <w:tc>
          <w:tcPr>
            <w:tcW w:w="1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300" w:type="dxa"/>
            <w:vAlign w:val="bottom"/>
            <w:tcBorders>
              <w:left w:val="single" w:sz="8" w:color="auto"/>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-3282315</wp:posOffset>
            </wp:positionV>
            <wp:extent cx="60325"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-3059430</wp:posOffset>
            </wp:positionV>
            <wp:extent cx="6032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-2871470</wp:posOffset>
            </wp:positionV>
            <wp:extent cx="60325" cy="603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-2510790</wp:posOffset>
            </wp:positionV>
            <wp:extent cx="6032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-2159635</wp:posOffset>
            </wp:positionV>
            <wp:extent cx="6032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-1807845</wp:posOffset>
            </wp:positionV>
            <wp:extent cx="60325" cy="603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Unitholder Engagement</w:t>
      </w:r>
    </w:p>
    <w:p>
      <w:pPr>
        <w:spacing w:after="0" w:line="156" w:lineRule="exact"/>
        <w:rPr>
          <w:sz w:val="20"/>
          <w:szCs w:val="20"/>
          <w:color w:val="auto"/>
        </w:rPr>
      </w:pPr>
    </w:p>
    <w:p>
      <w:pPr>
        <w:ind w:left="1260" w:firstLine="360"/>
        <w:spacing w:after="0" w:line="255" w:lineRule="auto"/>
        <w:rPr>
          <w:sz w:val="20"/>
          <w:szCs w:val="20"/>
          <w:color w:val="auto"/>
        </w:rPr>
      </w:pPr>
      <w:r>
        <w:rPr>
          <w:rFonts w:ascii="Arial" w:cs="Arial" w:eastAsia="Arial" w:hAnsi="Arial"/>
          <w:sz w:val="18"/>
          <w:szCs w:val="18"/>
          <w:color w:val="auto"/>
        </w:rPr>
        <w:t>At our last annual meeting, over 98% of our voting equity holders approved our executive compensation program. Although this “say on pay” vote is advisory and non-binding, our Compensation Committee and Board value the opinions of our unitholders and carefully consider the results of “say on pay” votes and direct feedback received from investors, among a variety of other factors, when making future compensation decisions for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286" w:right="739" w:hanging="286"/>
        <w:spacing w:after="0" w:line="183" w:lineRule="auto"/>
        <w:tabs>
          <w:tab w:leader="none" w:pos="230" w:val="left"/>
        </w:tabs>
        <w:numPr>
          <w:ilvl w:val="0"/>
          <w:numId w:val="36"/>
        </w:numPr>
        <w:rPr>
          <w:rFonts w:ascii="Arial" w:cs="Arial" w:eastAsia="Arial" w:hAnsi="Arial"/>
          <w:sz w:val="57"/>
          <w:szCs w:val="57"/>
          <w:b w:val="1"/>
          <w:bCs w:val="1"/>
          <w:color w:val="auto"/>
          <w:vertAlign w:val="subscript"/>
        </w:rPr>
      </w:pPr>
      <w:r>
        <w:rPr>
          <w:rFonts w:ascii="Arial" w:cs="Arial" w:eastAsia="Arial" w:hAnsi="Arial"/>
          <w:sz w:val="28"/>
          <w:szCs w:val="28"/>
          <w:b w:val="1"/>
          <w:bCs w:val="1"/>
          <w:color w:val="auto"/>
        </w:rPr>
        <w:t>98% Say on Pay Support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-716915</wp:posOffset>
            </wp:positionV>
            <wp:extent cx="1783080" cy="9683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83080" cy="968375"/>
                    </a:xfrm>
                    <a:prstGeom prst="rect">
                      <a:avLst/>
                    </a:prstGeom>
                    <a:noFill/>
                  </pic:spPr>
                </pic:pic>
              </a:graphicData>
            </a:graphic>
          </wp:anchor>
        </w:drawing>
      </w:r>
    </w:p>
    <w:p>
      <w:pPr>
        <w:spacing w:after="0" w:line="727" w:lineRule="exact"/>
        <w:rPr>
          <w:sz w:val="20"/>
          <w:szCs w:val="20"/>
          <w:color w:val="auto"/>
        </w:rPr>
      </w:pPr>
    </w:p>
    <w:p>
      <w:pPr>
        <w:sectPr>
          <w:pgSz w:w="11900" w:h="16838" w:orient="portrait"/>
          <w:cols w:equalWidth="0" w:num="2">
            <w:col w:w="6440" w:space="254"/>
            <w:col w:w="3185"/>
          </w:cols>
          <w:pgMar w:left="580" w:top="97" w:right="1440"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Our investor relations team and members of our senior</w:t>
      </w:r>
    </w:p>
    <w:p>
      <w:pPr>
        <w:spacing w:after="0" w:line="27" w:lineRule="exact"/>
        <w:rPr>
          <w:sz w:val="20"/>
          <w:szCs w:val="20"/>
          <w:color w:val="auto"/>
        </w:rPr>
      </w:pPr>
    </w:p>
    <w:p>
      <w:pPr>
        <w:ind w:left="1260" w:right="499"/>
        <w:spacing w:after="0" w:line="266" w:lineRule="auto"/>
        <w:rPr>
          <w:sz w:val="20"/>
          <w:szCs w:val="20"/>
          <w:color w:val="auto"/>
        </w:rPr>
      </w:pPr>
      <w:r>
        <w:rPr>
          <w:rFonts w:ascii="Arial" w:cs="Arial" w:eastAsia="Arial" w:hAnsi="Arial"/>
          <w:sz w:val="18"/>
          <w:szCs w:val="18"/>
          <w:color w:val="auto"/>
        </w:rPr>
        <w:t>management team regularly meet with investors and other stakeholders to seek input and feedback on a wide range of topics, including executive compensation. On an annual basis, as part of our ongoing investor outreach and engagement process, we actively solicit feedback from investors regarding our executive compensation programs</w:t>
      </w:r>
    </w:p>
    <w:p>
      <w:pPr>
        <w:sectPr>
          <w:pgSz w:w="11900" w:h="16838" w:orient="portrait"/>
          <w:cols w:equalWidth="0" w:num="1">
            <w:col w:w="9879"/>
          </w:cols>
          <w:pgMar w:left="580" w:top="97" w:right="1440" w:bottom="1440" w:gutter="0" w:footer="0" w:header="0"/>
          <w:type w:val="continuous"/>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spacing w:after="0" w:line="275" w:lineRule="auto"/>
        <w:rPr>
          <w:sz w:val="20"/>
          <w:szCs w:val="20"/>
          <w:color w:val="auto"/>
        </w:rPr>
      </w:pPr>
      <w:r>
        <w:rPr>
          <w:rFonts w:ascii="Arial" w:cs="Arial" w:eastAsia="Arial" w:hAnsi="Arial"/>
          <w:sz w:val="17"/>
          <w:szCs w:val="17"/>
          <w:color w:val="auto"/>
        </w:rPr>
        <w:t>and other important matters, including our evolving governance practices and sustainability efforts. In connection with this process during 2022, we reached out to 21 of our largest unaffiliated investors representing, as of December 31, 2022, approximately 37% of our outstanding voting equity (excluding executive officers and Directors who collectively hold approximately 10% of our outstanding voting equity). Members of our executive and investor relations teams ultimately held individual meetings with 15 unaffiliated investors representing approximately 29% of our outstanding voting equity.</w:t>
      </w:r>
    </w:p>
    <w:p>
      <w:pPr>
        <w:sectPr>
          <w:pgSz w:w="11900" w:h="16838" w:orient="portrait"/>
          <w:cols w:equalWidth="0" w:num="1">
            <w:col w:w="9879"/>
          </w:cols>
          <w:pgMar w:left="580" w:top="97" w:right="1440" w:bottom="1440" w:gutter="0" w:footer="0" w:header="0"/>
        </w:sectPr>
      </w:pPr>
    </w:p>
    <w:p>
      <w:pPr>
        <w:spacing w:after="0" w:line="101" w:lineRule="exact"/>
        <w:rPr>
          <w:sz w:val="20"/>
          <w:szCs w:val="20"/>
          <w:color w:val="auto"/>
        </w:rPr>
      </w:pPr>
    </w:p>
    <w:p>
      <w:pPr>
        <w:ind w:left="1260" w:firstLine="360"/>
        <w:spacing w:after="0" w:line="256" w:lineRule="auto"/>
        <w:rPr>
          <w:sz w:val="20"/>
          <w:szCs w:val="20"/>
          <w:color w:val="auto"/>
        </w:rPr>
      </w:pPr>
      <w:r>
        <w:rPr>
          <w:rFonts w:ascii="Arial" w:cs="Arial" w:eastAsia="Arial" w:hAnsi="Arial"/>
          <w:sz w:val="18"/>
          <w:szCs w:val="18"/>
          <w:color w:val="auto"/>
        </w:rPr>
        <w:t>The series of engagement meetings we held during 2021 and 2022 are a good example of what we refer to as the “feedback loop” that we have developed with our investors regarding our executive compensation program. During our 2021 engagement meetings, we previewed and sought advance feedback from our investors on two key areas of focus at that time for our Compensation Committee, namely: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80"/>
        <w:spacing w:after="0"/>
        <w:rPr>
          <w:sz w:val="20"/>
          <w:szCs w:val="20"/>
          <w:color w:val="auto"/>
        </w:rPr>
      </w:pPr>
      <w:r>
        <w:rPr>
          <w:rFonts w:ascii="Arial" w:cs="Arial" w:eastAsia="Arial" w:hAnsi="Arial"/>
          <w:sz w:val="29"/>
          <w:szCs w:val="29"/>
          <w:b w:val="1"/>
          <w:bCs w:val="1"/>
          <w:color w:val="auto"/>
        </w:rPr>
        <w:t>Outreach to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-274955</wp:posOffset>
            </wp:positionV>
            <wp:extent cx="1834515" cy="1045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34515" cy="1045845"/>
                    </a:xfrm>
                    <a:prstGeom prst="rect">
                      <a:avLst/>
                    </a:prstGeom>
                    <a:noFill/>
                  </pic:spPr>
                </pic:pic>
              </a:graphicData>
            </a:graphic>
          </wp:anchor>
        </w:drawing>
      </w:r>
    </w:p>
    <w:p>
      <w:pPr>
        <w:spacing w:after="0" w:line="28" w:lineRule="exact"/>
        <w:rPr>
          <w:sz w:val="20"/>
          <w:szCs w:val="20"/>
          <w:color w:val="auto"/>
        </w:rPr>
      </w:pPr>
    </w:p>
    <w:p>
      <w:pPr>
        <w:ind w:right="399" w:firstLine="565"/>
        <w:spacing w:after="0" w:line="181" w:lineRule="auto"/>
        <w:rPr>
          <w:sz w:val="20"/>
          <w:szCs w:val="20"/>
          <w:color w:val="auto"/>
        </w:rPr>
      </w:pPr>
      <w:r>
        <w:rPr>
          <w:rFonts w:ascii="Arial" w:cs="Arial" w:eastAsia="Arial" w:hAnsi="Arial"/>
          <w:sz w:val="27"/>
          <w:szCs w:val="27"/>
          <w:b w:val="1"/>
          <w:bCs w:val="1"/>
          <w:color w:val="auto"/>
        </w:rPr>
        <w:t xml:space="preserve">Largest </w:t>
      </w:r>
      <w:r>
        <w:rPr>
          <w:rFonts w:ascii="Arial" w:cs="Arial" w:eastAsia="Arial" w:hAnsi="Arial"/>
          <w:sz w:val="52"/>
          <w:szCs w:val="52"/>
          <w:b w:val="1"/>
          <w:bCs w:val="1"/>
          <w:color w:val="auto"/>
          <w:vertAlign w:val="subscript"/>
        </w:rPr>
        <w:t>​</w:t>
      </w:r>
      <w:r>
        <w:rPr>
          <w:rFonts w:ascii="Arial" w:cs="Arial" w:eastAsia="Arial" w:hAnsi="Arial"/>
          <w:sz w:val="27"/>
          <w:szCs w:val="27"/>
          <w:b w:val="1"/>
          <w:bCs w:val="1"/>
          <w:color w:val="auto"/>
        </w:rPr>
        <w:t xml:space="preserve"> Shareholders in</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29"/>
          <w:szCs w:val="29"/>
          <w:b w:val="1"/>
          <w:bCs w:val="1"/>
          <w:color w:val="auto"/>
        </w:rPr>
        <w:t>2022</w:t>
      </w:r>
    </w:p>
    <w:p>
      <w:pPr>
        <w:spacing w:after="0" w:line="137" w:lineRule="exact"/>
        <w:rPr>
          <w:sz w:val="20"/>
          <w:szCs w:val="20"/>
          <w:color w:val="auto"/>
        </w:rPr>
      </w:pPr>
    </w:p>
    <w:p>
      <w:pPr>
        <w:sectPr>
          <w:pgSz w:w="11900" w:h="16838" w:orient="portrait"/>
          <w:cols w:equalWidth="0" w:num="2">
            <w:col w:w="6400" w:space="500"/>
            <w:col w:w="2979"/>
          </w:cols>
          <w:pgMar w:left="580" w:top="97" w:right="1440" w:bottom="1440" w:gutter="0" w:footer="0" w:header="0"/>
          <w:type w:val="continuous"/>
        </w:sectPr>
      </w:pPr>
    </w:p>
    <w:p>
      <w:pPr>
        <w:ind w:left="1980" w:right="819" w:hanging="360"/>
        <w:spacing w:after="0" w:line="268"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need to make adjustments to our NEOs’ annual compensation elements to achieve or maintain competitive compensation levels given that such pay had not been adjusted for several years, and</w:t>
      </w:r>
    </w:p>
    <w:p>
      <w:pPr>
        <w:spacing w:after="0" w:line="116" w:lineRule="exact"/>
        <w:rPr>
          <w:rFonts w:ascii="Arial" w:cs="Arial" w:eastAsia="Arial" w:hAnsi="Arial"/>
          <w:sz w:val="18"/>
          <w:szCs w:val="18"/>
          <w:color w:val="auto"/>
        </w:rPr>
      </w:pPr>
    </w:p>
    <w:p>
      <w:pPr>
        <w:ind w:left="1980" w:right="479" w:hanging="360"/>
        <w:spacing w:after="0" w:line="262"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need to identify the most “investor friendly” way to restore an appropriate level of incentive and retentive value to the performance-based portion of certain special, long-term (seven year) equity grants issued to certain NEOs prior to the COVID-19 pandemic (the “Special Pre-Pandemic Grants”).</w:t>
      </w:r>
    </w:p>
    <w:p>
      <w:pPr>
        <w:spacing w:after="0" w:line="95"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The Compensation Committee focused on the Special Pre-Pandemic Grants because the performance metrics for such grants were based on pre-pandemic forecasts and had been rendered effectively unachievable as a result of the impact of the pandemic on the midstream industry generally and Plains’ business specifically. Taking into account the feedback received from our investors on both of these topics during our 2021 engagement meetings, in early 2022, the Compensation Committee recommended, and the Board approved:</w:t>
      </w:r>
    </w:p>
    <w:p>
      <w:pPr>
        <w:spacing w:after="0" w:line="128" w:lineRule="exact"/>
        <w:rPr>
          <w:sz w:val="20"/>
          <w:szCs w:val="20"/>
          <w:color w:val="auto"/>
        </w:rPr>
      </w:pPr>
    </w:p>
    <w:p>
      <w:pPr>
        <w:ind w:left="1980" w:right="419" w:hanging="360"/>
        <w:spacing w:after="0" w:line="234"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adjustments to our NEOs’ 2022 target annual compensation opportunities, as further described herein, based on an updated benchmark compensation study prepared by Meridian, targeting more appropriately competitive compensation, including 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compensation for the CEO, and</w:t>
      </w:r>
    </w:p>
    <w:p>
      <w:pPr>
        <w:spacing w:after="0" w:line="142" w:lineRule="exact"/>
        <w:rPr>
          <w:rFonts w:ascii="Arial" w:cs="Arial" w:eastAsia="Arial" w:hAnsi="Arial"/>
          <w:sz w:val="18"/>
          <w:szCs w:val="18"/>
          <w:color w:val="auto"/>
        </w:rPr>
      </w:pPr>
    </w:p>
    <w:p>
      <w:pPr>
        <w:ind w:left="1980" w:right="479" w:hanging="360"/>
        <w:spacing w:after="0" w:line="262"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changing the performance metric under the Special Pre-Pandemic Grants issued in 2019 to the COO and CCO to a total shareholder return (“TSR”) metric with a payout structure capped at 100% (See “Adjustment of Certain Pre-Pandemic Long-Term Incentive Awards” for more information).</w:t>
      </w:r>
    </w:p>
    <w:p>
      <w:pPr>
        <w:spacing w:after="0" w:line="109"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color w:val="auto"/>
        </w:rPr>
        <w:t>To complete the “feedback loop” on these issues, during our 2022 engagement meetings, we reported back to our investors on the specific actions that had been taken by the Compensation Committee with respect to each issue, recapping for them the prior discussions we had, the rationale for the changes, and the manner in which their feedback had been incorporated. As we strive for continuous improvement, we believe that receiving and incorporating investor feedback into our decision-making process through this “feedback loop” is critical.</w:t>
      </w:r>
    </w:p>
    <w:p>
      <w:pPr>
        <w:spacing w:after="0" w:line="115"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Overall, the design of our 2022 executive compensation program did not materially change relative to 2021, other than market-based adjustments to elements of NEO compensation. Investor feedback gathered during 2022 was supportive of our 2022 program and of the changes implemented in response to feedback gathered during our 2019 - 2021 investor outreach effort. The Compensation Committee and our management team are constantly reviewing the design of our programs to ensure that they remain aligned with investor interests and evolving best practices. We will continue to seek direct input from our investors as part of that process. The table below summarizes the key feedback we have received from our investors over the past several years and the changes we made to our executive compensation program in response to such feedback and related considerations:</w:t>
      </w:r>
    </w:p>
    <w:p>
      <w:pPr>
        <w:sectPr>
          <w:pgSz w:w="11900" w:h="16838" w:orient="portrait"/>
          <w:cols w:equalWidth="0" w:num="1">
            <w:col w:w="9879"/>
          </w:cols>
          <w:pgMar w:left="580" w:top="97" w:right="1440" w:bottom="1440" w:gutter="0" w:footer="0" w:header="0"/>
          <w:type w:val="continuous"/>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70"/>
        </w:trPr>
        <w:tc>
          <w:tcPr>
            <w:tcW w:w="1380" w:type="dxa"/>
            <w:vAlign w:val="bottom"/>
            <w:tcBorders>
              <w:top w:val="single" w:sz="8" w:color="auto"/>
              <w:left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640" w:type="dxa"/>
            <w:vAlign w:val="bottom"/>
            <w:tcBorders>
              <w:top w:val="single" w:sz="8" w:color="auto"/>
              <w:bottom w:val="single" w:sz="8" w:color="auto"/>
            </w:tcBorders>
            <w:shd w:val="clear" w:color="auto" w:fill="424E6A"/>
          </w:tcPr>
          <w:p>
            <w:pPr>
              <w:ind w:left="120"/>
              <w:spacing w:after="0"/>
              <w:rPr>
                <w:sz w:val="20"/>
                <w:szCs w:val="20"/>
                <w:color w:val="auto"/>
              </w:rPr>
            </w:pPr>
            <w:r>
              <w:rPr>
                <w:rFonts w:ascii="Arial" w:cs="Arial" w:eastAsia="Arial" w:hAnsi="Arial"/>
                <w:sz w:val="14"/>
                <w:szCs w:val="14"/>
                <w:b w:val="1"/>
                <w:bCs w:val="1"/>
                <w:color w:val="FFFFFF"/>
              </w:rPr>
              <w:t>What We Heard</w:t>
            </w:r>
          </w:p>
        </w:tc>
        <w:tc>
          <w:tcPr>
            <w:tcW w:w="100" w:type="dxa"/>
            <w:vAlign w:val="bottom"/>
            <w:tcBorders>
              <w:top w:val="single" w:sz="8" w:color="auto"/>
              <w:bottom w:val="single" w:sz="8" w:color="auto"/>
              <w:right w:val="single" w:sz="8" w:color="auto"/>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top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4020" w:type="dxa"/>
            <w:vAlign w:val="bottom"/>
            <w:tcBorders>
              <w:top w:val="single" w:sz="8" w:color="auto"/>
              <w:bottom w:val="single" w:sz="8" w:color="auto"/>
              <w:right w:val="single" w:sz="8" w:color="auto"/>
            </w:tcBorders>
            <w:shd w:val="clear" w:color="auto" w:fill="424E6A"/>
          </w:tcPr>
          <w:p>
            <w:pPr>
              <w:ind w:left="1540"/>
              <w:spacing w:after="0"/>
              <w:rPr>
                <w:sz w:val="20"/>
                <w:szCs w:val="20"/>
                <w:color w:val="auto"/>
              </w:rPr>
            </w:pPr>
            <w:r>
              <w:rPr>
                <w:rFonts w:ascii="Arial" w:cs="Arial" w:eastAsia="Arial" w:hAnsi="Arial"/>
                <w:sz w:val="14"/>
                <w:szCs w:val="14"/>
                <w:b w:val="1"/>
                <w:bCs w:val="1"/>
                <w:color w:val="FFFFFF"/>
              </w:rPr>
              <w:t>What We Did</w:t>
            </w:r>
          </w:p>
        </w:tc>
      </w:tr>
      <w:tr>
        <w:trPr>
          <w:trHeight w:val="199"/>
        </w:trPr>
        <w:tc>
          <w:tcPr>
            <w:tcW w:w="4020" w:type="dxa"/>
            <w:vAlign w:val="bottom"/>
            <w:tcBorders>
              <w:left w:val="single" w:sz="8" w:color="auto"/>
            </w:tcBorders>
            <w:gridSpan w:val="2"/>
            <w:shd w:val="clear" w:color="auto" w:fill="D9DCE1"/>
          </w:tcPr>
          <w:p>
            <w:pPr>
              <w:ind w:left="60"/>
              <w:spacing w:after="0"/>
              <w:rPr>
                <w:sz w:val="20"/>
                <w:szCs w:val="20"/>
                <w:color w:val="auto"/>
              </w:rPr>
            </w:pPr>
            <w:r>
              <w:rPr>
                <w:rFonts w:ascii="Arial" w:cs="Arial" w:eastAsia="Arial" w:hAnsi="Arial"/>
                <w:sz w:val="17"/>
                <w:szCs w:val="17"/>
                <w:color w:val="auto"/>
              </w:rPr>
              <w:t>No concerns with periodic adjustments to annual</w:t>
            </w:r>
          </w:p>
        </w:tc>
        <w:tc>
          <w:tcPr>
            <w:tcW w:w="100" w:type="dxa"/>
            <w:vAlign w:val="bottom"/>
            <w:tcBorders>
              <w:right w:val="single" w:sz="8" w:color="auto"/>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Implemented adjustments to annual compensation</w:t>
            </w:r>
          </w:p>
        </w:tc>
      </w:tr>
      <w:tr>
        <w:trPr>
          <w:trHeight w:val="203"/>
        </w:trPr>
        <w:tc>
          <w:tcPr>
            <w:tcW w:w="4020" w:type="dxa"/>
            <w:vAlign w:val="bottom"/>
            <w:tcBorders>
              <w:left w:val="single" w:sz="8" w:color="auto"/>
            </w:tcBorders>
            <w:gridSpan w:val="2"/>
            <w:shd w:val="clear" w:color="auto" w:fill="D9DCE1"/>
          </w:tcPr>
          <w:p>
            <w:pPr>
              <w:ind w:left="60"/>
              <w:spacing w:after="0"/>
              <w:rPr>
                <w:sz w:val="20"/>
                <w:szCs w:val="20"/>
                <w:color w:val="auto"/>
              </w:rPr>
            </w:pPr>
            <w:r>
              <w:rPr>
                <w:rFonts w:ascii="Arial" w:cs="Arial" w:eastAsia="Arial" w:hAnsi="Arial"/>
                <w:sz w:val="17"/>
                <w:szCs w:val="17"/>
                <w:color w:val="auto"/>
              </w:rPr>
              <w:t>compensation elements for executive officers to</w:t>
            </w:r>
          </w:p>
        </w:tc>
        <w:tc>
          <w:tcPr>
            <w:tcW w:w="100" w:type="dxa"/>
            <w:vAlign w:val="bottom"/>
            <w:tcBorders>
              <w:right w:val="single" w:sz="8" w:color="auto"/>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elements for our executive officers for first time in</w:t>
            </w:r>
          </w:p>
        </w:tc>
      </w:tr>
      <w:tr>
        <w:trPr>
          <w:trHeight w:val="203"/>
        </w:trPr>
        <w:tc>
          <w:tcPr>
            <w:tcW w:w="4020" w:type="dxa"/>
            <w:vAlign w:val="bottom"/>
            <w:tcBorders>
              <w:left w:val="single" w:sz="8" w:color="auto"/>
            </w:tcBorders>
            <w:gridSpan w:val="2"/>
            <w:shd w:val="clear" w:color="auto" w:fill="D9DCE1"/>
          </w:tcPr>
          <w:p>
            <w:pPr>
              <w:ind w:left="60"/>
              <w:spacing w:after="0"/>
              <w:rPr>
                <w:sz w:val="20"/>
                <w:szCs w:val="20"/>
                <w:color w:val="auto"/>
              </w:rPr>
            </w:pPr>
            <w:r>
              <w:rPr>
                <w:rFonts w:ascii="Arial" w:cs="Arial" w:eastAsia="Arial" w:hAnsi="Arial"/>
                <w:sz w:val="17"/>
                <w:szCs w:val="17"/>
                <w:color w:val="auto"/>
              </w:rPr>
              <w:t>maintain competitive pay as long as adjustments</w:t>
            </w:r>
          </w:p>
        </w:tc>
        <w:tc>
          <w:tcPr>
            <w:tcW w:w="100" w:type="dxa"/>
            <w:vAlign w:val="bottom"/>
            <w:tcBorders>
              <w:right w:val="single" w:sz="8" w:color="auto"/>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several years in order to improve competitive</w:t>
            </w:r>
          </w:p>
        </w:tc>
      </w:tr>
      <w:tr>
        <w:trPr>
          <w:trHeight w:val="216"/>
        </w:trPr>
        <w:tc>
          <w:tcPr>
            <w:tcW w:w="4020" w:type="dxa"/>
            <w:vAlign w:val="bottom"/>
            <w:tcBorders>
              <w:left w:val="single" w:sz="8" w:color="auto"/>
            </w:tcBorders>
            <w:gridSpan w:val="2"/>
            <w:shd w:val="clear" w:color="auto" w:fill="D9DCE1"/>
          </w:tcPr>
          <w:p>
            <w:pPr>
              <w:ind w:left="60"/>
              <w:spacing w:after="0"/>
              <w:rPr>
                <w:sz w:val="20"/>
                <w:szCs w:val="20"/>
                <w:color w:val="auto"/>
              </w:rPr>
            </w:pPr>
            <w:r>
              <w:rPr>
                <w:rFonts w:ascii="Arial" w:cs="Arial" w:eastAsia="Arial" w:hAnsi="Arial"/>
                <w:sz w:val="17"/>
                <w:szCs w:val="17"/>
                <w:color w:val="auto"/>
              </w:rPr>
              <w:t>are based on appropriate compensation benchmark</w:t>
            </w:r>
          </w:p>
        </w:tc>
        <w:tc>
          <w:tcPr>
            <w:tcW w:w="10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positioning relative to peers; adjustments were</w:t>
            </w:r>
          </w:p>
        </w:tc>
      </w:tr>
      <w:tr>
        <w:trPr>
          <w:trHeight w:val="203"/>
        </w:trPr>
        <w:tc>
          <w:tcPr>
            <w:tcW w:w="1380" w:type="dxa"/>
            <w:vAlign w:val="bottom"/>
            <w:tcBorders>
              <w:left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studies.</w:t>
            </w:r>
          </w:p>
        </w:tc>
        <w:tc>
          <w:tcPr>
            <w:tcW w:w="2640" w:type="dxa"/>
            <w:vAlign w:val="bottom"/>
            <w:shd w:val="clear" w:color="auto" w:fill="D9DCE1"/>
          </w:tcPr>
          <w:p>
            <w:pPr>
              <w:spacing w:after="0"/>
              <w:rPr>
                <w:sz w:val="17"/>
                <w:szCs w:val="17"/>
                <w:color w:val="auto"/>
              </w:rPr>
            </w:pPr>
          </w:p>
        </w:tc>
        <w:tc>
          <w:tcPr>
            <w:tcW w:w="100" w:type="dxa"/>
            <w:vAlign w:val="bottom"/>
            <w:tcBorders>
              <w:right w:val="single" w:sz="8" w:color="auto"/>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based on benchmark study prepared by</w:t>
            </w:r>
          </w:p>
        </w:tc>
      </w:tr>
      <w:tr>
        <w:trPr>
          <w:trHeight w:val="203"/>
        </w:trPr>
        <w:tc>
          <w:tcPr>
            <w:tcW w:w="1380" w:type="dxa"/>
            <w:vAlign w:val="bottom"/>
            <w:tcBorders>
              <w:left w:val="single" w:sz="8" w:color="auto"/>
            </w:tcBorders>
            <w:shd w:val="clear" w:color="auto" w:fill="D9DCE1"/>
          </w:tcPr>
          <w:p>
            <w:pPr>
              <w:spacing w:after="0"/>
              <w:rPr>
                <w:sz w:val="17"/>
                <w:szCs w:val="17"/>
                <w:color w:val="auto"/>
              </w:rPr>
            </w:pPr>
          </w:p>
        </w:tc>
        <w:tc>
          <w:tcPr>
            <w:tcW w:w="2640" w:type="dxa"/>
            <w:vAlign w:val="bottom"/>
            <w:shd w:val="clear" w:color="auto" w:fill="D9DCE1"/>
          </w:tcPr>
          <w:p>
            <w:pPr>
              <w:spacing w:after="0"/>
              <w:rPr>
                <w:sz w:val="17"/>
                <w:szCs w:val="17"/>
                <w:color w:val="auto"/>
              </w:rPr>
            </w:pPr>
          </w:p>
        </w:tc>
        <w:tc>
          <w:tcPr>
            <w:tcW w:w="100" w:type="dxa"/>
            <w:vAlign w:val="bottom"/>
            <w:tcBorders>
              <w:right w:val="single" w:sz="8" w:color="auto"/>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Compensation Committee’s independent</w:t>
            </w:r>
          </w:p>
        </w:tc>
      </w:tr>
      <w:tr>
        <w:trPr>
          <w:trHeight w:val="216"/>
        </w:trPr>
        <w:tc>
          <w:tcPr>
            <w:tcW w:w="1380" w:type="dxa"/>
            <w:vAlign w:val="bottom"/>
            <w:tcBorders>
              <w:left w:val="single" w:sz="8" w:color="auto"/>
            </w:tcBorders>
            <w:shd w:val="clear" w:color="auto" w:fill="D9DCE1"/>
          </w:tcPr>
          <w:p>
            <w:pPr>
              <w:spacing w:after="0"/>
              <w:rPr>
                <w:sz w:val="18"/>
                <w:szCs w:val="18"/>
                <w:color w:val="auto"/>
              </w:rPr>
            </w:pPr>
          </w:p>
        </w:tc>
        <w:tc>
          <w:tcPr>
            <w:tcW w:w="2640" w:type="dxa"/>
            <w:vAlign w:val="bottom"/>
            <w:shd w:val="clear" w:color="auto" w:fill="D9DCE1"/>
          </w:tcPr>
          <w:p>
            <w:pPr>
              <w:spacing w:after="0"/>
              <w:rPr>
                <w:sz w:val="18"/>
                <w:szCs w:val="18"/>
                <w:color w:val="auto"/>
              </w:rPr>
            </w:pPr>
          </w:p>
        </w:tc>
        <w:tc>
          <w:tcPr>
            <w:tcW w:w="10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consultant, Meridian. Compensation Committee</w:t>
            </w:r>
          </w:p>
        </w:tc>
      </w:tr>
      <w:tr>
        <w:trPr>
          <w:trHeight w:val="203"/>
        </w:trPr>
        <w:tc>
          <w:tcPr>
            <w:tcW w:w="1380" w:type="dxa"/>
            <w:vAlign w:val="bottom"/>
            <w:tcBorders>
              <w:left w:val="single" w:sz="8" w:color="auto"/>
            </w:tcBorders>
            <w:shd w:val="clear" w:color="auto" w:fill="D9DCE1"/>
          </w:tcPr>
          <w:p>
            <w:pPr>
              <w:spacing w:after="0"/>
              <w:rPr>
                <w:sz w:val="17"/>
                <w:szCs w:val="17"/>
                <w:color w:val="auto"/>
              </w:rPr>
            </w:pPr>
          </w:p>
        </w:tc>
        <w:tc>
          <w:tcPr>
            <w:tcW w:w="2640" w:type="dxa"/>
            <w:vAlign w:val="bottom"/>
            <w:shd w:val="clear" w:color="auto" w:fill="D9DCE1"/>
          </w:tcPr>
          <w:p>
            <w:pPr>
              <w:spacing w:after="0"/>
              <w:rPr>
                <w:sz w:val="17"/>
                <w:szCs w:val="17"/>
                <w:color w:val="auto"/>
              </w:rPr>
            </w:pPr>
          </w:p>
        </w:tc>
        <w:tc>
          <w:tcPr>
            <w:tcW w:w="100" w:type="dxa"/>
            <w:vAlign w:val="bottom"/>
            <w:tcBorders>
              <w:right w:val="single" w:sz="8" w:color="auto"/>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also indicated it would consider adjustments on a</w:t>
            </w:r>
          </w:p>
        </w:tc>
      </w:tr>
      <w:tr>
        <w:trPr>
          <w:trHeight w:val="203"/>
        </w:trPr>
        <w:tc>
          <w:tcPr>
            <w:tcW w:w="1380" w:type="dxa"/>
            <w:vAlign w:val="bottom"/>
            <w:tcBorders>
              <w:left w:val="single" w:sz="8" w:color="auto"/>
            </w:tcBorders>
            <w:shd w:val="clear" w:color="auto" w:fill="D9DCE1"/>
          </w:tcPr>
          <w:p>
            <w:pPr>
              <w:spacing w:after="0"/>
              <w:rPr>
                <w:sz w:val="17"/>
                <w:szCs w:val="17"/>
                <w:color w:val="auto"/>
              </w:rPr>
            </w:pPr>
          </w:p>
        </w:tc>
        <w:tc>
          <w:tcPr>
            <w:tcW w:w="2640" w:type="dxa"/>
            <w:vAlign w:val="bottom"/>
            <w:shd w:val="clear" w:color="auto" w:fill="D9DCE1"/>
          </w:tcPr>
          <w:p>
            <w:pPr>
              <w:spacing w:after="0"/>
              <w:rPr>
                <w:sz w:val="17"/>
                <w:szCs w:val="17"/>
                <w:color w:val="auto"/>
              </w:rPr>
            </w:pPr>
          </w:p>
        </w:tc>
        <w:tc>
          <w:tcPr>
            <w:tcW w:w="100" w:type="dxa"/>
            <w:vAlign w:val="bottom"/>
            <w:tcBorders>
              <w:right w:val="single" w:sz="8" w:color="auto"/>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more frequent basis (i.e., annually or biennially) in</w:t>
            </w:r>
          </w:p>
        </w:tc>
      </w:tr>
      <w:tr>
        <w:trPr>
          <w:trHeight w:val="216"/>
        </w:trPr>
        <w:tc>
          <w:tcPr>
            <w:tcW w:w="1380" w:type="dxa"/>
            <w:vAlign w:val="bottom"/>
            <w:tcBorders>
              <w:left w:val="single" w:sz="8" w:color="auto"/>
            </w:tcBorders>
            <w:shd w:val="clear" w:color="auto" w:fill="D9DCE1"/>
          </w:tcPr>
          <w:p>
            <w:pPr>
              <w:spacing w:after="0"/>
              <w:rPr>
                <w:sz w:val="18"/>
                <w:szCs w:val="18"/>
                <w:color w:val="auto"/>
              </w:rPr>
            </w:pPr>
          </w:p>
        </w:tc>
        <w:tc>
          <w:tcPr>
            <w:tcW w:w="2640" w:type="dxa"/>
            <w:vAlign w:val="bottom"/>
            <w:shd w:val="clear" w:color="auto" w:fill="D9DCE1"/>
          </w:tcPr>
          <w:p>
            <w:pPr>
              <w:spacing w:after="0"/>
              <w:rPr>
                <w:sz w:val="18"/>
                <w:szCs w:val="18"/>
                <w:color w:val="auto"/>
              </w:rPr>
            </w:pPr>
          </w:p>
        </w:tc>
        <w:tc>
          <w:tcPr>
            <w:tcW w:w="10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order to avoid “lumpy” changes associated with</w:t>
            </w:r>
          </w:p>
        </w:tc>
      </w:tr>
      <w:tr>
        <w:trPr>
          <w:trHeight w:val="213"/>
        </w:trPr>
        <w:tc>
          <w:tcPr>
            <w:tcW w:w="1380" w:type="dxa"/>
            <w:vAlign w:val="bottom"/>
            <w:tcBorders>
              <w:left w:val="single" w:sz="8" w:color="auto"/>
              <w:bottom w:val="single" w:sz="8" w:color="auto"/>
            </w:tcBorders>
            <w:shd w:val="clear" w:color="auto" w:fill="D9DCE1"/>
          </w:tcPr>
          <w:p>
            <w:pPr>
              <w:spacing w:after="0"/>
              <w:rPr>
                <w:sz w:val="18"/>
                <w:szCs w:val="18"/>
                <w:color w:val="auto"/>
              </w:rPr>
            </w:pPr>
          </w:p>
        </w:tc>
        <w:tc>
          <w:tcPr>
            <w:tcW w:w="2640" w:type="dxa"/>
            <w:vAlign w:val="bottom"/>
            <w:tcBorders>
              <w:bottom w:val="single" w:sz="8" w:color="auto"/>
            </w:tcBorders>
            <w:shd w:val="clear" w:color="auto" w:fill="D9DCE1"/>
          </w:tcPr>
          <w:p>
            <w:pPr>
              <w:spacing w:after="0"/>
              <w:rPr>
                <w:sz w:val="18"/>
                <w:szCs w:val="18"/>
                <w:color w:val="auto"/>
              </w:rPr>
            </w:pPr>
          </w:p>
        </w:tc>
        <w:tc>
          <w:tcPr>
            <w:tcW w:w="100" w:type="dxa"/>
            <w:vAlign w:val="bottom"/>
            <w:tcBorders>
              <w:bottom w:val="single" w:sz="8" w:color="auto"/>
              <w:right w:val="single" w:sz="8" w:color="auto"/>
            </w:tcBorders>
            <w:shd w:val="clear" w:color="auto" w:fill="D9DCE1"/>
          </w:tcPr>
          <w:p>
            <w:pPr>
              <w:spacing w:after="0"/>
              <w:rPr>
                <w:sz w:val="18"/>
                <w:szCs w:val="18"/>
                <w:color w:val="auto"/>
              </w:rPr>
            </w:pPr>
          </w:p>
        </w:tc>
        <w:tc>
          <w:tcPr>
            <w:tcW w:w="80" w:type="dxa"/>
            <w:vAlign w:val="bottom"/>
            <w:tcBorders>
              <w:bottom w:val="single" w:sz="8" w:color="auto"/>
            </w:tcBorders>
            <w:shd w:val="clear" w:color="auto" w:fill="D9DCE1"/>
          </w:tcPr>
          <w:p>
            <w:pPr>
              <w:spacing w:after="0"/>
              <w:rPr>
                <w:sz w:val="18"/>
                <w:szCs w:val="18"/>
                <w:color w:val="auto"/>
              </w:rPr>
            </w:pPr>
          </w:p>
        </w:tc>
        <w:tc>
          <w:tcPr>
            <w:tcW w:w="4020" w:type="dxa"/>
            <w:vAlign w:val="bottom"/>
            <w:tcBorders>
              <w:bottom w:val="single" w:sz="8" w:color="auto"/>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less frequent adjustments.</w:t>
            </w:r>
          </w:p>
        </w:tc>
      </w:tr>
      <w:tr>
        <w:trPr>
          <w:trHeight w:val="199"/>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7"/>
                <w:szCs w:val="17"/>
                <w:color w:val="auto"/>
              </w:rPr>
              <w:t>With respect to the issue of the loss of retentive</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After carefully considering alternatives and taking</w:t>
            </w:r>
          </w:p>
        </w:tc>
      </w:tr>
      <w:tr>
        <w:trPr>
          <w:trHeight w:val="203"/>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7"/>
                <w:szCs w:val="17"/>
                <w:color w:val="auto"/>
              </w:rPr>
              <w:t>and incentive value of the performance portion of</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investor feedback into account, the Board and</w:t>
            </w:r>
          </w:p>
        </w:tc>
      </w:tr>
      <w:tr>
        <w:trPr>
          <w:trHeight w:val="203"/>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7"/>
                <w:szCs w:val="17"/>
                <w:color w:val="auto"/>
              </w:rPr>
              <w:t>the Special Pre-Pandemic Grants, (i) general</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Compensation Committee changed the</w:t>
            </w:r>
          </w:p>
        </w:tc>
      </w:tr>
      <w:tr>
        <w:trPr>
          <w:trHeight w:val="216"/>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7"/>
                <w:szCs w:val="17"/>
                <w:color w:val="auto"/>
              </w:rPr>
              <w:t>understanding of and appreciation for the need to</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performance metric under the Special Pre-</w:t>
            </w:r>
          </w:p>
        </w:tc>
      </w:tr>
      <w:tr>
        <w:trPr>
          <w:trHeight w:val="203"/>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7"/>
                <w:szCs w:val="17"/>
                <w:color w:val="auto"/>
              </w:rPr>
              <w:t>restore an appropriate level of retentive and</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Pandemic Grants issued in 2019 to the COO and</w:t>
            </w:r>
          </w:p>
        </w:tc>
      </w:tr>
      <w:tr>
        <w:trPr>
          <w:trHeight w:val="203"/>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7"/>
                <w:szCs w:val="17"/>
                <w:color w:val="auto"/>
              </w:rPr>
              <w:t>incentive value to such awards, coupled with (ii) a</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CCO to a TSR metric with a payout structure that</w:t>
            </w:r>
          </w:p>
        </w:tc>
      </w:tr>
      <w:tr>
        <w:trPr>
          <w:trHeight w:val="216"/>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7"/>
                <w:szCs w:val="17"/>
                <w:color w:val="auto"/>
              </w:rPr>
              <w:t>strong preference for doing so in a manner that</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caps the maximum potential payout at 100% of the</w:t>
            </w:r>
          </w:p>
        </w:tc>
      </w:tr>
      <w:tr>
        <w:trPr>
          <w:trHeight w:val="203"/>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7"/>
                <w:szCs w:val="17"/>
                <w:color w:val="auto"/>
              </w:rPr>
              <w:t>aligns the interests of the recipients with investor</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number of performance units that could have been</w:t>
            </w:r>
          </w:p>
        </w:tc>
      </w:tr>
      <w:tr>
        <w:trPr>
          <w:trHeight w:val="203"/>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7"/>
                <w:szCs w:val="17"/>
                <w:color w:val="auto"/>
              </w:rPr>
              <w:t>interests going forward and does not allow the</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earned under the original grants. The Board and</w:t>
            </w:r>
          </w:p>
        </w:tc>
      </w:tr>
      <w:tr>
        <w:trPr>
          <w:trHeight w:val="216"/>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7"/>
                <w:szCs w:val="17"/>
                <w:color w:val="auto"/>
              </w:rPr>
              <w:t>recipients to “claw-back” or recover value</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Compensation Committee regarded this approach</w:t>
            </w:r>
          </w:p>
        </w:tc>
      </w:tr>
      <w:tr>
        <w:trPr>
          <w:trHeight w:val="203"/>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7"/>
                <w:szCs w:val="17"/>
                <w:color w:val="auto"/>
              </w:rPr>
              <w:t>degradation equivalent to that experienced by</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as the best way to restore an appropriate level of</w:t>
            </w:r>
          </w:p>
        </w:tc>
      </w:tr>
      <w:tr>
        <w:trPr>
          <w:trHeight w:val="203"/>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7"/>
                <w:szCs w:val="17"/>
                <w:color w:val="auto"/>
              </w:rPr>
              <w:t>unitholders during the period between the original</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incentive and retentive value while ensuring</w:t>
            </w:r>
          </w:p>
        </w:tc>
      </w:tr>
      <w:tr>
        <w:trPr>
          <w:trHeight w:val="216"/>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7"/>
                <w:szCs w:val="17"/>
                <w:color w:val="auto"/>
              </w:rPr>
              <w:t>grant date and the date of any changes.</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investor alignment going forward and making sure</w:t>
            </w:r>
          </w:p>
        </w:tc>
      </w:tr>
      <w:tr>
        <w:trPr>
          <w:trHeight w:val="203"/>
        </w:trPr>
        <w:tc>
          <w:tcPr>
            <w:tcW w:w="1380" w:type="dxa"/>
            <w:vAlign w:val="bottom"/>
            <w:tcBorders>
              <w:left w:val="single" w:sz="8" w:color="auto"/>
            </w:tcBorders>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that the value of any performance units earned</w:t>
            </w:r>
          </w:p>
        </w:tc>
      </w:tr>
      <w:tr>
        <w:trPr>
          <w:trHeight w:val="203"/>
        </w:trPr>
        <w:tc>
          <w:tcPr>
            <w:tcW w:w="1380" w:type="dxa"/>
            <w:vAlign w:val="bottom"/>
            <w:tcBorders>
              <w:left w:val="single" w:sz="8" w:color="auto"/>
            </w:tcBorders>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would reflect the same value degradation</w:t>
            </w:r>
          </w:p>
        </w:tc>
      </w:tr>
      <w:tr>
        <w:trPr>
          <w:trHeight w:val="216"/>
        </w:trPr>
        <w:tc>
          <w:tcPr>
            <w:tcW w:w="1380" w:type="dxa"/>
            <w:vAlign w:val="bottom"/>
            <w:tcBorders>
              <w:lef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experienced by unitholders since the original grant</w:t>
            </w:r>
          </w:p>
        </w:tc>
      </w:tr>
      <w:tr>
        <w:trPr>
          <w:trHeight w:val="203"/>
        </w:trPr>
        <w:tc>
          <w:tcPr>
            <w:tcW w:w="1380" w:type="dxa"/>
            <w:vAlign w:val="bottom"/>
            <w:tcBorders>
              <w:left w:val="single" w:sz="8" w:color="auto"/>
            </w:tcBorders>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date. (See “Adjustment of Certain Pre-Pandemic</w:t>
            </w:r>
          </w:p>
        </w:tc>
      </w:tr>
      <w:tr>
        <w:trPr>
          <w:trHeight w:val="226"/>
        </w:trPr>
        <w:tc>
          <w:tcPr>
            <w:tcW w:w="1380" w:type="dxa"/>
            <w:vAlign w:val="bottom"/>
            <w:tcBorders>
              <w:left w:val="single" w:sz="8" w:color="auto"/>
            </w:tcBorders>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Long-Term Incentive Awards” for more information).</w:t>
            </w:r>
          </w:p>
        </w:tc>
      </w:tr>
      <w:tr>
        <w:trPr>
          <w:trHeight w:val="246"/>
        </w:trPr>
        <w:tc>
          <w:tcPr>
            <w:tcW w:w="1380" w:type="dxa"/>
            <w:vAlign w:val="bottom"/>
            <w:tcBorders>
              <w:lef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Nevertheless, no changes were made to the 2018</w:t>
            </w:r>
          </w:p>
        </w:tc>
      </w:tr>
      <w:tr>
        <w:trPr>
          <w:trHeight w:val="203"/>
        </w:trPr>
        <w:tc>
          <w:tcPr>
            <w:tcW w:w="1380" w:type="dxa"/>
            <w:vAlign w:val="bottom"/>
            <w:tcBorders>
              <w:left w:val="single" w:sz="8" w:color="auto"/>
            </w:tcBorders>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CEO promotion award in 2022, which was</w:t>
            </w:r>
          </w:p>
        </w:tc>
      </w:tr>
      <w:tr>
        <w:trPr>
          <w:trHeight w:val="226"/>
        </w:trPr>
        <w:tc>
          <w:tcPr>
            <w:tcW w:w="1380" w:type="dxa"/>
            <w:vAlign w:val="bottom"/>
            <w:tcBorders>
              <w:left w:val="single" w:sz="8" w:color="auto"/>
            </w:tcBorders>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consistent with the desires of our CEO.</w:t>
            </w:r>
          </w:p>
        </w:tc>
      </w:tr>
      <w:tr>
        <w:trPr>
          <w:trHeight w:val="27"/>
        </w:trPr>
        <w:tc>
          <w:tcPr>
            <w:tcW w:w="4020" w:type="dxa"/>
            <w:vAlign w:val="bottom"/>
            <w:tcBorders>
              <w:left w:val="single" w:sz="8" w:color="auto"/>
              <w:bottom w:val="single" w:sz="8" w:color="auto"/>
            </w:tcBorders>
            <w:gridSpan w:val="2"/>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199"/>
        </w:trPr>
        <w:tc>
          <w:tcPr>
            <w:tcW w:w="4020" w:type="dxa"/>
            <w:vAlign w:val="bottom"/>
            <w:tcBorders>
              <w:left w:val="single" w:sz="8" w:color="auto"/>
            </w:tcBorders>
            <w:gridSpan w:val="2"/>
            <w:shd w:val="clear" w:color="auto" w:fill="D9DCE1"/>
          </w:tcPr>
          <w:p>
            <w:pPr>
              <w:ind w:left="60"/>
              <w:spacing w:after="0"/>
              <w:rPr>
                <w:sz w:val="20"/>
                <w:szCs w:val="20"/>
                <w:color w:val="auto"/>
              </w:rPr>
            </w:pPr>
            <w:r>
              <w:rPr>
                <w:rFonts w:ascii="Arial" w:cs="Arial" w:eastAsia="Arial" w:hAnsi="Arial"/>
                <w:sz w:val="17"/>
                <w:szCs w:val="17"/>
                <w:color w:val="auto"/>
              </w:rPr>
              <w:t>Concern that DCF/CUE performance metric in long-</w:t>
            </w:r>
          </w:p>
        </w:tc>
        <w:tc>
          <w:tcPr>
            <w:tcW w:w="100" w:type="dxa"/>
            <w:vAlign w:val="bottom"/>
            <w:tcBorders>
              <w:right w:val="single" w:sz="8" w:color="auto"/>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Beginning in 2020, the DCF/CUE performance</w:t>
            </w:r>
          </w:p>
        </w:tc>
      </w:tr>
      <w:tr>
        <w:trPr>
          <w:trHeight w:val="203"/>
        </w:trPr>
        <w:tc>
          <w:tcPr>
            <w:tcW w:w="4020" w:type="dxa"/>
            <w:vAlign w:val="bottom"/>
            <w:tcBorders>
              <w:left w:val="single" w:sz="8" w:color="auto"/>
            </w:tcBorders>
            <w:gridSpan w:val="2"/>
            <w:shd w:val="clear" w:color="auto" w:fill="D9DCE1"/>
          </w:tcPr>
          <w:p>
            <w:pPr>
              <w:ind w:left="60"/>
              <w:spacing w:after="0"/>
              <w:rPr>
                <w:sz w:val="20"/>
                <w:szCs w:val="20"/>
                <w:color w:val="auto"/>
              </w:rPr>
            </w:pPr>
            <w:r>
              <w:rPr>
                <w:rFonts w:ascii="Arial" w:cs="Arial" w:eastAsia="Arial" w:hAnsi="Arial"/>
                <w:sz w:val="17"/>
                <w:szCs w:val="17"/>
                <w:color w:val="auto"/>
              </w:rPr>
              <w:t>term equity incentive awards did not require</w:t>
            </w:r>
          </w:p>
        </w:tc>
        <w:tc>
          <w:tcPr>
            <w:tcW w:w="100" w:type="dxa"/>
            <w:vAlign w:val="bottom"/>
            <w:tcBorders>
              <w:right w:val="single" w:sz="8" w:color="auto"/>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metric in our long-term equity incentive awards</w:t>
            </w:r>
          </w:p>
        </w:tc>
      </w:tr>
      <w:tr>
        <w:trPr>
          <w:trHeight w:val="203"/>
        </w:trPr>
        <w:tc>
          <w:tcPr>
            <w:tcW w:w="4020" w:type="dxa"/>
            <w:vAlign w:val="bottom"/>
            <w:tcBorders>
              <w:left w:val="single" w:sz="8" w:color="auto"/>
            </w:tcBorders>
            <w:gridSpan w:val="2"/>
            <w:shd w:val="clear" w:color="auto" w:fill="D9DCE1"/>
          </w:tcPr>
          <w:p>
            <w:pPr>
              <w:ind w:left="60"/>
              <w:spacing w:after="0"/>
              <w:rPr>
                <w:sz w:val="20"/>
                <w:szCs w:val="20"/>
                <w:color w:val="auto"/>
              </w:rPr>
            </w:pPr>
            <w:r>
              <w:rPr>
                <w:rFonts w:ascii="Arial" w:cs="Arial" w:eastAsia="Arial" w:hAnsi="Arial"/>
                <w:sz w:val="17"/>
                <w:szCs w:val="17"/>
                <w:color w:val="auto"/>
              </w:rPr>
              <w:t>performance throughout the three-year vesting</w:t>
            </w:r>
          </w:p>
        </w:tc>
        <w:tc>
          <w:tcPr>
            <w:tcW w:w="100" w:type="dxa"/>
            <w:vAlign w:val="bottom"/>
            <w:tcBorders>
              <w:right w:val="single" w:sz="8" w:color="auto"/>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requires performance over a full 12-quarter period</w:t>
            </w:r>
          </w:p>
        </w:tc>
      </w:tr>
      <w:tr>
        <w:trPr>
          <w:trHeight w:val="216"/>
        </w:trPr>
        <w:tc>
          <w:tcPr>
            <w:tcW w:w="4020" w:type="dxa"/>
            <w:vAlign w:val="bottom"/>
            <w:tcBorders>
              <w:left w:val="single" w:sz="8" w:color="auto"/>
            </w:tcBorders>
            <w:gridSpan w:val="2"/>
            <w:shd w:val="clear" w:color="auto" w:fill="D9DCE1"/>
          </w:tcPr>
          <w:p>
            <w:pPr>
              <w:ind w:left="60"/>
              <w:spacing w:after="0"/>
              <w:rPr>
                <w:sz w:val="20"/>
                <w:szCs w:val="20"/>
                <w:color w:val="auto"/>
              </w:rPr>
            </w:pPr>
            <w:r>
              <w:rPr>
                <w:rFonts w:ascii="Arial" w:cs="Arial" w:eastAsia="Arial" w:hAnsi="Arial"/>
                <w:sz w:val="17"/>
                <w:szCs w:val="17"/>
                <w:color w:val="auto"/>
              </w:rPr>
              <w:t>period and allowed too long of a period (4 years) to</w:t>
            </w:r>
          </w:p>
        </w:tc>
        <w:tc>
          <w:tcPr>
            <w:tcW w:w="10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vs. any trailing 4-quarter period, and the</w:t>
            </w:r>
          </w:p>
        </w:tc>
      </w:tr>
      <w:tr>
        <w:trPr>
          <w:trHeight w:val="213"/>
        </w:trPr>
        <w:tc>
          <w:tcPr>
            <w:tcW w:w="1380" w:type="dxa"/>
            <w:vAlign w:val="bottom"/>
            <w:tcBorders>
              <w:left w:val="single" w:sz="8" w:color="auto"/>
              <w:bottom w:val="single" w:sz="8" w:color="auto"/>
            </w:tcBorders>
            <w:shd w:val="clear" w:color="auto" w:fill="D9DCE1"/>
          </w:tcPr>
          <w:p>
            <w:pPr>
              <w:ind w:left="60"/>
              <w:spacing w:after="0"/>
              <w:rPr>
                <w:sz w:val="20"/>
                <w:szCs w:val="20"/>
                <w:color w:val="auto"/>
              </w:rPr>
            </w:pPr>
            <w:r>
              <w:rPr>
                <w:rFonts w:ascii="Arial" w:cs="Arial" w:eastAsia="Arial" w:hAnsi="Arial"/>
                <w:sz w:val="17"/>
                <w:szCs w:val="17"/>
                <w:color w:val="auto"/>
              </w:rPr>
              <w:t>achieve target.</w:t>
            </w:r>
          </w:p>
        </w:tc>
        <w:tc>
          <w:tcPr>
            <w:tcW w:w="2640" w:type="dxa"/>
            <w:vAlign w:val="bottom"/>
            <w:tcBorders>
              <w:bottom w:val="single" w:sz="8" w:color="auto"/>
            </w:tcBorders>
            <w:shd w:val="clear" w:color="auto" w:fill="D9DCE1"/>
          </w:tcPr>
          <w:p>
            <w:pPr>
              <w:spacing w:after="0"/>
              <w:rPr>
                <w:sz w:val="18"/>
                <w:szCs w:val="18"/>
                <w:color w:val="auto"/>
              </w:rPr>
            </w:pPr>
          </w:p>
        </w:tc>
        <w:tc>
          <w:tcPr>
            <w:tcW w:w="100" w:type="dxa"/>
            <w:vAlign w:val="bottom"/>
            <w:tcBorders>
              <w:bottom w:val="single" w:sz="8" w:color="auto"/>
              <w:right w:val="single" w:sz="8" w:color="auto"/>
            </w:tcBorders>
            <w:shd w:val="clear" w:color="auto" w:fill="D9DCE1"/>
          </w:tcPr>
          <w:p>
            <w:pPr>
              <w:spacing w:after="0"/>
              <w:rPr>
                <w:sz w:val="18"/>
                <w:szCs w:val="18"/>
                <w:color w:val="auto"/>
              </w:rPr>
            </w:pPr>
          </w:p>
        </w:tc>
        <w:tc>
          <w:tcPr>
            <w:tcW w:w="80" w:type="dxa"/>
            <w:vAlign w:val="bottom"/>
            <w:tcBorders>
              <w:bottom w:val="single" w:sz="8" w:color="auto"/>
            </w:tcBorders>
            <w:shd w:val="clear" w:color="auto" w:fill="D9DCE1"/>
          </w:tcPr>
          <w:p>
            <w:pPr>
              <w:spacing w:after="0"/>
              <w:rPr>
                <w:sz w:val="18"/>
                <w:szCs w:val="18"/>
                <w:color w:val="auto"/>
              </w:rPr>
            </w:pPr>
          </w:p>
        </w:tc>
        <w:tc>
          <w:tcPr>
            <w:tcW w:w="4020" w:type="dxa"/>
            <w:vAlign w:val="bottom"/>
            <w:tcBorders>
              <w:bottom w:val="single" w:sz="8" w:color="auto"/>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performance period is three years vs. four years.</w:t>
            </w:r>
          </w:p>
        </w:tc>
      </w:tr>
      <w:tr>
        <w:trPr>
          <w:trHeight w:val="199"/>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7"/>
                <w:szCs w:val="17"/>
                <w:color w:val="auto"/>
              </w:rPr>
              <w:t>Concern that DCF/CUE performance metric in long-</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Beginning in 2020, our long-term equity incentive</w:t>
            </w:r>
          </w:p>
        </w:tc>
      </w:tr>
      <w:tr>
        <w:trPr>
          <w:trHeight w:val="203"/>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7"/>
                <w:szCs w:val="17"/>
                <w:color w:val="auto"/>
              </w:rPr>
              <w:t>term equity incentive awards could incentivize</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awards include a leverage modifier to mitigate this</w:t>
            </w:r>
          </w:p>
        </w:tc>
      </w:tr>
      <w:tr>
        <w:trPr>
          <w:trHeight w:val="203"/>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7"/>
                <w:szCs w:val="17"/>
                <w:color w:val="auto"/>
              </w:rPr>
              <w:t>management to inappropriately increase leverage</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concern. Payout on cumulative three-year DCF/​</w:t>
            </w:r>
          </w:p>
        </w:tc>
      </w:tr>
      <w:tr>
        <w:trPr>
          <w:trHeight w:val="216"/>
        </w:trPr>
        <w:tc>
          <w:tcPr>
            <w:tcW w:w="1380" w:type="dxa"/>
            <w:vAlign w:val="bottom"/>
            <w:tcBorders>
              <w:left w:val="single" w:sz="8" w:color="auto"/>
            </w:tcBorders>
          </w:tcPr>
          <w:p>
            <w:pPr>
              <w:ind w:left="60"/>
              <w:spacing w:after="0"/>
              <w:rPr>
                <w:sz w:val="20"/>
                <w:szCs w:val="20"/>
                <w:color w:val="auto"/>
              </w:rPr>
            </w:pPr>
            <w:r>
              <w:rPr>
                <w:rFonts w:ascii="Arial" w:cs="Arial" w:eastAsia="Arial" w:hAnsi="Arial"/>
                <w:sz w:val="17"/>
                <w:szCs w:val="17"/>
                <w:color w:val="auto"/>
              </w:rPr>
              <w:t>to meet targets.</w:t>
            </w:r>
          </w:p>
        </w:tc>
        <w:tc>
          <w:tcPr>
            <w:tcW w:w="26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CUE performance metric in the 2020 and 2021</w:t>
            </w:r>
          </w:p>
        </w:tc>
      </w:tr>
      <w:tr>
        <w:trPr>
          <w:trHeight w:val="203"/>
        </w:trPr>
        <w:tc>
          <w:tcPr>
            <w:tcW w:w="1380" w:type="dxa"/>
            <w:vAlign w:val="bottom"/>
            <w:tcBorders>
              <w:left w:val="single" w:sz="8" w:color="auto"/>
            </w:tcBorders>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awards is subject to increase or decrease based on</w:t>
            </w:r>
          </w:p>
        </w:tc>
      </w:tr>
      <w:tr>
        <w:trPr>
          <w:trHeight w:val="203"/>
        </w:trPr>
        <w:tc>
          <w:tcPr>
            <w:tcW w:w="1380" w:type="dxa"/>
            <w:vAlign w:val="bottom"/>
            <w:tcBorders>
              <w:left w:val="single" w:sz="8" w:color="auto"/>
            </w:tcBorders>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comparison of leverage ratio at end of three-year</w:t>
            </w:r>
          </w:p>
        </w:tc>
      </w:tr>
      <w:tr>
        <w:trPr>
          <w:trHeight w:val="216"/>
        </w:trPr>
        <w:tc>
          <w:tcPr>
            <w:tcW w:w="1380" w:type="dxa"/>
            <w:vAlign w:val="bottom"/>
            <w:tcBorders>
              <w:lef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measurement period to the target leverage ratio</w:t>
            </w:r>
          </w:p>
        </w:tc>
      </w:tr>
      <w:tr>
        <w:trPr>
          <w:trHeight w:val="203"/>
        </w:trPr>
        <w:tc>
          <w:tcPr>
            <w:tcW w:w="1380" w:type="dxa"/>
            <w:vAlign w:val="bottom"/>
            <w:tcBorders>
              <w:left w:val="single" w:sz="8" w:color="auto"/>
            </w:tcBorders>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established at time of grant. Payout on the</w:t>
            </w:r>
          </w:p>
        </w:tc>
      </w:tr>
      <w:tr>
        <w:trPr>
          <w:trHeight w:val="203"/>
        </w:trPr>
        <w:tc>
          <w:tcPr>
            <w:tcW w:w="1380" w:type="dxa"/>
            <w:vAlign w:val="bottom"/>
            <w:tcBorders>
              <w:left w:val="single" w:sz="8" w:color="auto"/>
            </w:tcBorders>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DCF/CUE performance metric in the 2022 awards</w:t>
            </w:r>
          </w:p>
        </w:tc>
      </w:tr>
      <w:tr>
        <w:trPr>
          <w:trHeight w:val="216"/>
        </w:trPr>
        <w:tc>
          <w:tcPr>
            <w:tcW w:w="1380" w:type="dxa"/>
            <w:vAlign w:val="bottom"/>
            <w:tcBorders>
              <w:lef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is subject to decrease if our leverage ratio (as</w:t>
            </w:r>
          </w:p>
        </w:tc>
      </w:tr>
      <w:tr>
        <w:trPr>
          <w:trHeight w:val="203"/>
        </w:trPr>
        <w:tc>
          <w:tcPr>
            <w:tcW w:w="1380" w:type="dxa"/>
            <w:vAlign w:val="bottom"/>
            <w:tcBorders>
              <w:left w:val="single" w:sz="8" w:color="auto"/>
            </w:tcBorders>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defined in the LTIP grant agreements) at the end of</w:t>
            </w:r>
          </w:p>
        </w:tc>
      </w:tr>
      <w:tr>
        <w:trPr>
          <w:trHeight w:val="213"/>
        </w:trPr>
        <w:tc>
          <w:tcPr>
            <w:tcW w:w="1380" w:type="dxa"/>
            <w:vAlign w:val="bottom"/>
            <w:tcBorders>
              <w:left w:val="single" w:sz="8" w:color="auto"/>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the three-year measurement period exceeds 3.5x.</w:t>
            </w:r>
          </w:p>
        </w:tc>
      </w:tr>
      <w:tr>
        <w:trPr>
          <w:trHeight w:val="199"/>
        </w:trPr>
        <w:tc>
          <w:tcPr>
            <w:tcW w:w="4020" w:type="dxa"/>
            <w:vAlign w:val="bottom"/>
            <w:tcBorders>
              <w:left w:val="single" w:sz="8" w:color="auto"/>
            </w:tcBorders>
            <w:gridSpan w:val="2"/>
            <w:shd w:val="clear" w:color="auto" w:fill="D9DCE1"/>
          </w:tcPr>
          <w:p>
            <w:pPr>
              <w:ind w:left="60"/>
              <w:spacing w:after="0"/>
              <w:rPr>
                <w:sz w:val="20"/>
                <w:szCs w:val="20"/>
                <w:color w:val="auto"/>
              </w:rPr>
            </w:pPr>
            <w:r>
              <w:rPr>
                <w:rFonts w:ascii="Arial" w:cs="Arial" w:eastAsia="Arial" w:hAnsi="Arial"/>
                <w:sz w:val="17"/>
                <w:szCs w:val="17"/>
                <w:color w:val="auto"/>
              </w:rPr>
              <w:t>Investor desire for use of a relative, returns-based</w:t>
            </w:r>
          </w:p>
        </w:tc>
        <w:tc>
          <w:tcPr>
            <w:tcW w:w="100" w:type="dxa"/>
            <w:vAlign w:val="bottom"/>
            <w:tcBorders>
              <w:right w:val="single" w:sz="8" w:color="auto"/>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Beginning in 2020 and continuing since then, our</w:t>
            </w:r>
          </w:p>
        </w:tc>
      </w:tr>
      <w:tr>
        <w:trPr>
          <w:trHeight w:val="203"/>
        </w:trPr>
        <w:tc>
          <w:tcPr>
            <w:tcW w:w="4020" w:type="dxa"/>
            <w:vAlign w:val="bottom"/>
            <w:tcBorders>
              <w:left w:val="single" w:sz="8" w:color="auto"/>
            </w:tcBorders>
            <w:gridSpan w:val="2"/>
            <w:shd w:val="clear" w:color="auto" w:fill="D9DCE1"/>
          </w:tcPr>
          <w:p>
            <w:pPr>
              <w:ind w:left="60"/>
              <w:spacing w:after="0"/>
              <w:rPr>
                <w:sz w:val="20"/>
                <w:szCs w:val="20"/>
                <w:color w:val="auto"/>
              </w:rPr>
            </w:pPr>
            <w:r>
              <w:rPr>
                <w:rFonts w:ascii="Arial" w:cs="Arial" w:eastAsia="Arial" w:hAnsi="Arial"/>
                <w:sz w:val="17"/>
                <w:szCs w:val="17"/>
                <w:color w:val="auto"/>
              </w:rPr>
              <w:t>performance metric in our equity incentive program.</w:t>
            </w:r>
          </w:p>
        </w:tc>
        <w:tc>
          <w:tcPr>
            <w:tcW w:w="100" w:type="dxa"/>
            <w:vAlign w:val="bottom"/>
            <w:tcBorders>
              <w:right w:val="single" w:sz="8" w:color="auto"/>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regular annual long-term equity incentive awards</w:t>
            </w:r>
          </w:p>
        </w:tc>
      </w:tr>
      <w:tr>
        <w:trPr>
          <w:trHeight w:val="203"/>
        </w:trPr>
        <w:tc>
          <w:tcPr>
            <w:tcW w:w="1380" w:type="dxa"/>
            <w:vAlign w:val="bottom"/>
            <w:tcBorders>
              <w:left w:val="single" w:sz="8" w:color="auto"/>
            </w:tcBorders>
            <w:shd w:val="clear" w:color="auto" w:fill="D9DCE1"/>
          </w:tcPr>
          <w:p>
            <w:pPr>
              <w:spacing w:after="0"/>
              <w:rPr>
                <w:sz w:val="17"/>
                <w:szCs w:val="17"/>
                <w:color w:val="auto"/>
              </w:rPr>
            </w:pPr>
          </w:p>
        </w:tc>
        <w:tc>
          <w:tcPr>
            <w:tcW w:w="2640" w:type="dxa"/>
            <w:vAlign w:val="bottom"/>
            <w:shd w:val="clear" w:color="auto" w:fill="D9DCE1"/>
          </w:tcPr>
          <w:p>
            <w:pPr>
              <w:spacing w:after="0"/>
              <w:rPr>
                <w:sz w:val="17"/>
                <w:szCs w:val="17"/>
                <w:color w:val="auto"/>
              </w:rPr>
            </w:pPr>
          </w:p>
        </w:tc>
        <w:tc>
          <w:tcPr>
            <w:tcW w:w="100" w:type="dxa"/>
            <w:vAlign w:val="bottom"/>
            <w:tcBorders>
              <w:right w:val="single" w:sz="8" w:color="auto"/>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have included a relative TSR metric with an</w:t>
            </w:r>
          </w:p>
        </w:tc>
      </w:tr>
      <w:tr>
        <w:trPr>
          <w:trHeight w:val="226"/>
        </w:trPr>
        <w:tc>
          <w:tcPr>
            <w:tcW w:w="1380" w:type="dxa"/>
            <w:vAlign w:val="bottom"/>
            <w:tcBorders>
              <w:left w:val="single" w:sz="8" w:color="auto"/>
              <w:bottom w:val="single" w:sz="8" w:color="auto"/>
            </w:tcBorders>
            <w:shd w:val="clear" w:color="auto" w:fill="D9DCE1"/>
          </w:tcPr>
          <w:p>
            <w:pPr>
              <w:spacing w:after="0"/>
              <w:rPr>
                <w:sz w:val="19"/>
                <w:szCs w:val="19"/>
                <w:color w:val="auto"/>
              </w:rPr>
            </w:pPr>
          </w:p>
        </w:tc>
        <w:tc>
          <w:tcPr>
            <w:tcW w:w="2640" w:type="dxa"/>
            <w:vAlign w:val="bottom"/>
            <w:tcBorders>
              <w:bottom w:val="single" w:sz="8" w:color="auto"/>
            </w:tcBorders>
            <w:shd w:val="clear" w:color="auto" w:fill="D9DCE1"/>
          </w:tcPr>
          <w:p>
            <w:pPr>
              <w:spacing w:after="0"/>
              <w:rPr>
                <w:sz w:val="19"/>
                <w:szCs w:val="19"/>
                <w:color w:val="auto"/>
              </w:rPr>
            </w:pPr>
          </w:p>
        </w:tc>
        <w:tc>
          <w:tcPr>
            <w:tcW w:w="100" w:type="dxa"/>
            <w:vAlign w:val="bottom"/>
            <w:tcBorders>
              <w:bottom w:val="single" w:sz="8" w:color="auto"/>
              <w:right w:val="single" w:sz="8" w:color="auto"/>
            </w:tcBorders>
            <w:shd w:val="clear" w:color="auto" w:fill="D9DCE1"/>
          </w:tcPr>
          <w:p>
            <w:pPr>
              <w:spacing w:after="0"/>
              <w:rPr>
                <w:sz w:val="19"/>
                <w:szCs w:val="19"/>
                <w:color w:val="auto"/>
              </w:rPr>
            </w:pPr>
          </w:p>
        </w:tc>
        <w:tc>
          <w:tcPr>
            <w:tcW w:w="80" w:type="dxa"/>
            <w:vAlign w:val="bottom"/>
            <w:tcBorders>
              <w:bottom w:val="single" w:sz="8" w:color="auto"/>
            </w:tcBorders>
            <w:shd w:val="clear" w:color="auto" w:fill="D9DCE1"/>
          </w:tcPr>
          <w:p>
            <w:pPr>
              <w:spacing w:after="0"/>
              <w:rPr>
                <w:sz w:val="19"/>
                <w:szCs w:val="19"/>
                <w:color w:val="auto"/>
              </w:rPr>
            </w:pPr>
          </w:p>
        </w:tc>
        <w:tc>
          <w:tcPr>
            <w:tcW w:w="4020" w:type="dxa"/>
            <w:vAlign w:val="bottom"/>
            <w:tcBorders>
              <w:bottom w:val="single" w:sz="8" w:color="auto"/>
              <w:right w:val="single" w:sz="8" w:color="auto"/>
            </w:tcBorders>
            <w:shd w:val="clear" w:color="auto" w:fill="D9DCE1"/>
          </w:tcPr>
          <w:p>
            <w:pPr>
              <w:spacing w:after="0"/>
              <w:rPr>
                <w:sz w:val="20"/>
                <w:szCs w:val="20"/>
                <w:color w:val="auto"/>
              </w:rPr>
            </w:pPr>
            <w:r>
              <w:rPr>
                <w:rFonts w:ascii="Arial" w:cs="Arial" w:eastAsia="Arial" w:hAnsi="Arial"/>
                <w:sz w:val="17"/>
                <w:szCs w:val="17"/>
                <w:color w:val="auto"/>
              </w:rPr>
              <w:t>absolute TSR modifier.</w:t>
            </w:r>
          </w:p>
        </w:tc>
      </w:tr>
    </w:tbl>
    <w:p>
      <w:pPr>
        <w:spacing w:after="0" w:line="3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Commitment to Pay for Performance</w:t>
      </w:r>
    </w:p>
    <w:p>
      <w:pPr>
        <w:spacing w:after="0" w:line="142" w:lineRule="exact"/>
        <w:rPr>
          <w:sz w:val="20"/>
          <w:szCs w:val="20"/>
          <w:color w:val="auto"/>
        </w:rPr>
      </w:pPr>
    </w:p>
    <w:p>
      <w:pPr>
        <w:ind w:left="1260" w:right="599" w:firstLine="360"/>
        <w:spacing w:after="0" w:line="262" w:lineRule="auto"/>
        <w:rPr>
          <w:sz w:val="20"/>
          <w:szCs w:val="20"/>
          <w:color w:val="auto"/>
        </w:rPr>
      </w:pPr>
      <w:r>
        <w:rPr>
          <w:rFonts w:ascii="Arial" w:cs="Arial" w:eastAsia="Arial" w:hAnsi="Arial"/>
          <w:sz w:val="17"/>
          <w:szCs w:val="17"/>
          <w:color w:val="auto"/>
        </w:rPr>
        <w:t>Our executive compensation philosophy is focused on a long-term pay for performance culture designed to attract and retain key management talent in a competitive industry and market. Our program combines relatively low base pay (as a percentage of total rewards) with higher variable, at-risk compensation opportunities based on objective and transparent performance requirements. As demonstrated in the graphic below, in 2022, at target, approximately 89% of our CEO’s compensation and approximately 82% of our other NEOs’ compensation consisted of at-risk compensation.</w:t>
      </w:r>
    </w:p>
    <w:p>
      <w:pPr>
        <w:spacing w:after="0" w:line="164"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Majority of NEO Pay At-Risk and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103505</wp:posOffset>
            </wp:positionV>
            <wp:extent cx="5203190" cy="3351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03190"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20" w:right="459" w:hanging="360"/>
        <w:spacing w:after="0" w:line="268"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“Other NEOs” graphic excludes Mr. Pefanis. Mr. Pefanis is a co-founder and substantial equity owner and for the last several years has requested to not participate in the long-term incentive program, which results in an at-risk compensation percentage for Mr. Pefanis of 67%.</w:t>
      </w:r>
    </w:p>
    <w:p>
      <w:pPr>
        <w:spacing w:after="0" w:line="76" w:lineRule="exact"/>
        <w:rPr>
          <w:sz w:val="20"/>
          <w:szCs w:val="20"/>
          <w:color w:val="auto"/>
        </w:rPr>
      </w:pPr>
    </w:p>
    <w:p>
      <w:pPr>
        <w:ind w:left="1260" w:right="559" w:firstLine="360"/>
        <w:spacing w:after="0" w:line="238" w:lineRule="auto"/>
        <w:rPr>
          <w:sz w:val="20"/>
          <w:szCs w:val="20"/>
          <w:color w:val="auto"/>
        </w:rPr>
      </w:pPr>
      <w:r>
        <w:rPr>
          <w:rFonts w:ascii="Arial" w:cs="Arial" w:eastAsia="Arial" w:hAnsi="Arial"/>
          <w:sz w:val="17"/>
          <w:szCs w:val="17"/>
          <w:color w:val="auto"/>
        </w:rPr>
        <w:t>At-risk compensation is typically tied to the achievement of one or more performance metrics that measure value creation over both the near and longer term, as well as service period requirements. The primary short-term financial metrics are annual earnings and cash flow levels as represented by Adjusted EBITDA</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attributable to PAA and distributable cash flow (“DCF”) per common unit equivalent</w:t>
      </w:r>
    </w:p>
    <w:p>
      <w:pPr>
        <w:spacing w:after="0" w:line="2" w:lineRule="exact"/>
        <w:rPr>
          <w:sz w:val="20"/>
          <w:szCs w:val="20"/>
          <w:color w:val="auto"/>
        </w:rPr>
      </w:pPr>
    </w:p>
    <w:p>
      <w:pPr>
        <w:ind w:left="1260" w:right="479"/>
        <w:spacing w:after="0" w:line="245" w:lineRule="auto"/>
        <w:rPr>
          <w:sz w:val="20"/>
          <w:szCs w:val="20"/>
          <w:color w:val="auto"/>
        </w:rPr>
      </w:pPr>
      <w:r>
        <w:rPr>
          <w:rFonts w:ascii="Arial" w:cs="Arial" w:eastAsia="Arial" w:hAnsi="Arial"/>
          <w:sz w:val="18"/>
          <w:szCs w:val="18"/>
          <w:color w:val="auto"/>
        </w:rPr>
        <w:t>(“CUE”). The primary long-term performance measures included in our equity incentive grants are DCF per CUE over a 3-year period (with a leverage modifier) and relative TSR over a 3-year period. We believe our short- and long-term performance metrics are consistent with our overall financial strategy of reducing our leverage and generating attractive unitholder returns.</w:t>
      </w:r>
    </w:p>
    <w:p>
      <w:pPr>
        <w:spacing w:after="0" w:line="109"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We believe our pay-for-performance approach aligns the interests of our executive officers with the interests of our equity holders. We also believe that our pay-for-performance approach helps us achieve the overall objectives of our executive compensation program, which are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59055</wp:posOffset>
            </wp:positionV>
            <wp:extent cx="12344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16" w:lineRule="exact"/>
        <w:rPr>
          <w:sz w:val="20"/>
          <w:szCs w:val="20"/>
          <w:color w:val="auto"/>
        </w:rPr>
      </w:pPr>
    </w:p>
    <w:p>
      <w:pPr>
        <w:ind w:left="1620" w:right="439" w:hanging="360"/>
        <w:spacing w:after="0" w:line="232" w:lineRule="auto"/>
        <w:tabs>
          <w:tab w:leader="none" w:pos="1620" w:val="left"/>
        </w:tabs>
        <w:numPr>
          <w:ilvl w:val="0"/>
          <w:numId w:val="40"/>
        </w:numPr>
        <w:rPr>
          <w:rFonts w:ascii="Arial" w:cs="Arial" w:eastAsia="Arial" w:hAnsi="Arial"/>
          <w:sz w:val="27"/>
          <w:szCs w:val="27"/>
          <w:color w:val="auto"/>
          <w:vertAlign w:val="superscript"/>
        </w:rPr>
      </w:pPr>
      <w:r>
        <w:rPr>
          <w:rFonts w:ascii="Arial" w:cs="Arial" w:eastAsia="Arial" w:hAnsi="Arial"/>
          <w:sz w:val="18"/>
          <w:szCs w:val="18"/>
          <w:color w:val="auto"/>
        </w:rPr>
        <w:t>Earnings before interest, taxes, depreciation and amortization (including our proportionate share of depreciation and amortization, including write-downs related to canceled projects and impairments, of unconsolidated entities), gains and losses on asset sales and asset impairments, goodwill impairment losses and gains or losses on and impairments of investments in unconsolidated entities, adjusted for certain selected items impacting comparability.</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1400" w:hanging="180"/>
        <w:spacing w:after="0" w:line="28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attract and retain </w:t>
      </w:r>
      <w:r>
        <w:rPr>
          <w:rFonts w:ascii="Arial" w:cs="Arial" w:eastAsia="Arial" w:hAnsi="Arial"/>
          <w:sz w:val="18"/>
          <w:szCs w:val="18"/>
          <w:color w:val="auto"/>
        </w:rPr>
        <w:t>individuals with the background and skills necessary to successfully execute</w:t>
      </w:r>
      <w:r>
        <w:rPr>
          <w:rFonts w:ascii="Arial" w:cs="Arial" w:eastAsia="Arial" w:hAnsi="Arial"/>
          <w:sz w:val="18"/>
          <w:szCs w:val="18"/>
          <w:b w:val="1"/>
          <w:bCs w:val="1"/>
          <w:color w:val="auto"/>
        </w:rPr>
        <w:t xml:space="preserve"> </w:t>
      </w:r>
      <w:r>
        <w:rPr>
          <w:rFonts w:ascii="Arial" w:cs="Arial" w:eastAsia="Arial" w:hAnsi="Arial"/>
          <w:sz w:val="18"/>
          <w:szCs w:val="18"/>
          <w:color w:val="auto"/>
        </w:rPr>
        <w:t>our business model in a demanding environment;</w:t>
      </w:r>
    </w:p>
    <w:p>
      <w:pPr>
        <w:spacing w:after="0" w:line="44" w:lineRule="exact"/>
        <w:rPr>
          <w:rFonts w:ascii="Arial" w:cs="Arial" w:eastAsia="Arial" w:hAnsi="Arial"/>
          <w:sz w:val="18"/>
          <w:szCs w:val="18"/>
          <w:color w:val="auto"/>
        </w:rPr>
      </w:pPr>
    </w:p>
    <w:p>
      <w:pPr>
        <w:ind w:left="1800" w:right="1400" w:hanging="180"/>
        <w:spacing w:after="0" w:line="268"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by tying more than a majority of NEO pay (58% for the CEO and 55% on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for the other NEOs) to achievement of near-term and long-term goals that drive long-term growth in unitholder value; and</w:t>
      </w:r>
    </w:p>
    <w:p>
      <w:pPr>
        <w:spacing w:after="0" w:line="62" w:lineRule="exact"/>
        <w:rPr>
          <w:rFonts w:ascii="Arial" w:cs="Arial" w:eastAsia="Arial" w:hAnsi="Arial"/>
          <w:sz w:val="18"/>
          <w:szCs w:val="18"/>
          <w:color w:val="auto"/>
        </w:rPr>
      </w:pPr>
    </w:p>
    <w:p>
      <w:pPr>
        <w:ind w:left="1800" w:right="1960" w:hanging="180"/>
        <w:spacing w:after="0" w:line="28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directly align our NEOs with our unitholders </w:t>
      </w:r>
      <w:r>
        <w:rPr>
          <w:rFonts w:ascii="Arial" w:cs="Arial" w:eastAsia="Arial" w:hAnsi="Arial"/>
          <w:sz w:val="18"/>
          <w:szCs w:val="18"/>
          <w:color w:val="auto"/>
        </w:rPr>
        <w:t>through the use of equity incentives and</w:t>
      </w:r>
      <w:r>
        <w:rPr>
          <w:rFonts w:ascii="Arial" w:cs="Arial" w:eastAsia="Arial" w:hAnsi="Arial"/>
          <w:sz w:val="18"/>
          <w:szCs w:val="18"/>
          <w:b w:val="1"/>
          <w:bCs w:val="1"/>
          <w:color w:val="auto"/>
        </w:rPr>
        <w:t xml:space="preserve"> </w:t>
      </w:r>
      <w:r>
        <w:rPr>
          <w:rFonts w:ascii="Arial" w:cs="Arial" w:eastAsia="Arial" w:hAnsi="Arial"/>
          <w:sz w:val="18"/>
          <w:szCs w:val="18"/>
          <w:color w:val="auto"/>
        </w:rPr>
        <w:t>encouragement of long-term unit ownership.</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Elements and Objectives</w:t>
      </w:r>
    </w:p>
    <w:p>
      <w:pPr>
        <w:spacing w:after="0" w:line="156" w:lineRule="exact"/>
        <w:rPr>
          <w:sz w:val="20"/>
          <w:szCs w:val="20"/>
          <w:color w:val="auto"/>
        </w:rPr>
      </w:pPr>
    </w:p>
    <w:p>
      <w:pPr>
        <w:ind w:left="1260" w:right="1400" w:firstLine="360"/>
        <w:spacing w:after="0" w:line="257" w:lineRule="auto"/>
        <w:rPr>
          <w:sz w:val="20"/>
          <w:szCs w:val="20"/>
          <w:color w:val="auto"/>
        </w:rPr>
      </w:pPr>
      <w:r>
        <w:rPr>
          <w:rFonts w:ascii="Arial" w:cs="Arial" w:eastAsia="Arial" w:hAnsi="Arial"/>
          <w:sz w:val="18"/>
          <w:szCs w:val="18"/>
          <w:color w:val="auto"/>
        </w:rPr>
        <w:t>We use three primary elements of compensation in combination with competitive benefits to achieve our executive compensation program objectives — salary, annual cash incentive awards and long-term equity incentive awards. Our mix of compensation elements is designed to reinforce near-term and long-term business and strategic objectives, recognize and reward performance, motivate long-term value creation and align the interests of our executives with those of our equity holders. The following table sets forth the key elements of our 2022 executive compensation program:</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80" w:type="dxa"/>
            <w:vAlign w:val="bottom"/>
            <w:tcBorders>
              <w:right w:val="single" w:sz="8" w:color="auto"/>
            </w:tcBorders>
          </w:tcPr>
          <w:p>
            <w:pPr>
              <w:spacing w:after="0"/>
              <w:rPr>
                <w:sz w:val="22"/>
                <w:szCs w:val="22"/>
                <w:color w:val="auto"/>
              </w:rPr>
            </w:pPr>
          </w:p>
        </w:tc>
        <w:tc>
          <w:tcPr>
            <w:tcW w:w="1680" w:type="dxa"/>
            <w:vAlign w:val="bottom"/>
            <w:tcBorders>
              <w:top w:val="single" w:sz="8" w:color="auto"/>
              <w:bottom w:val="single" w:sz="8" w:color="auto"/>
            </w:tcBorders>
            <w:shd w:val="clear" w:color="auto" w:fill="424E6A"/>
          </w:tcPr>
          <w:p>
            <w:pPr>
              <w:ind w:left="460"/>
              <w:spacing w:after="0"/>
              <w:rPr>
                <w:sz w:val="20"/>
                <w:szCs w:val="20"/>
                <w:color w:val="auto"/>
              </w:rPr>
            </w:pPr>
            <w:r>
              <w:rPr>
                <w:rFonts w:ascii="Arial" w:cs="Arial" w:eastAsia="Arial" w:hAnsi="Arial"/>
                <w:sz w:val="14"/>
                <w:szCs w:val="14"/>
                <w:b w:val="1"/>
                <w:bCs w:val="1"/>
                <w:color w:val="FFFFFF"/>
              </w:rPr>
              <w:t>What We Pay</w:t>
            </w:r>
          </w:p>
        </w:tc>
        <w:tc>
          <w:tcPr>
            <w:tcW w:w="220" w:type="dxa"/>
            <w:vAlign w:val="bottom"/>
            <w:tcBorders>
              <w:top w:val="single" w:sz="8" w:color="auto"/>
              <w:bottom w:val="single" w:sz="8" w:color="auto"/>
              <w:right w:val="single" w:sz="8" w:color="auto"/>
            </w:tcBorders>
            <w:shd w:val="clear" w:color="auto" w:fill="424E6A"/>
          </w:tcPr>
          <w:p>
            <w:pPr>
              <w:ind w:left="16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top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200" w:type="dxa"/>
            <w:vAlign w:val="bottom"/>
            <w:tcBorders>
              <w:top w:val="single" w:sz="8" w:color="auto"/>
              <w:bottom w:val="single" w:sz="8" w:color="auto"/>
            </w:tcBorders>
            <w:shd w:val="clear" w:color="auto" w:fill="424E6A"/>
          </w:tcPr>
          <w:p>
            <w:pPr>
              <w:ind w:left="600"/>
              <w:spacing w:after="0"/>
              <w:rPr>
                <w:sz w:val="20"/>
                <w:szCs w:val="20"/>
                <w:color w:val="auto"/>
              </w:rPr>
            </w:pPr>
            <w:r>
              <w:rPr>
                <w:rFonts w:ascii="Arial" w:cs="Arial" w:eastAsia="Arial" w:hAnsi="Arial"/>
                <w:sz w:val="14"/>
                <w:szCs w:val="14"/>
                <w:b w:val="1"/>
                <w:bCs w:val="1"/>
                <w:color w:val="FFFFFF"/>
              </w:rPr>
              <w:t>Why We Pay It</w:t>
            </w:r>
          </w:p>
        </w:tc>
        <w:tc>
          <w:tcPr>
            <w:tcW w:w="80" w:type="dxa"/>
            <w:vAlign w:val="bottom"/>
            <w:tcBorders>
              <w:top w:val="single" w:sz="8" w:color="auto"/>
              <w:bottom w:val="single" w:sz="8" w:color="auto"/>
              <w:right w:val="single" w:sz="8" w:color="auto"/>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top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3720" w:type="dxa"/>
            <w:vAlign w:val="bottom"/>
            <w:tcBorders>
              <w:top w:val="single" w:sz="8" w:color="auto"/>
              <w:bottom w:val="single" w:sz="8" w:color="auto"/>
              <w:right w:val="single" w:sz="8" w:color="auto"/>
            </w:tcBorders>
            <w:shd w:val="clear" w:color="auto" w:fill="424E6A"/>
          </w:tcPr>
          <w:p>
            <w:pPr>
              <w:ind w:left="1300"/>
              <w:spacing w:after="0"/>
              <w:rPr>
                <w:sz w:val="20"/>
                <w:szCs w:val="20"/>
                <w:color w:val="auto"/>
              </w:rPr>
            </w:pPr>
            <w:r>
              <w:rPr>
                <w:rFonts w:ascii="Arial" w:cs="Arial" w:eastAsia="Arial" w:hAnsi="Arial"/>
                <w:sz w:val="14"/>
                <w:szCs w:val="14"/>
                <w:b w:val="1"/>
                <w:bCs w:val="1"/>
                <w:color w:val="FFFFFF"/>
              </w:rPr>
              <w:t>Key Features</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280" w:type="dxa"/>
            <w:vAlign w:val="bottom"/>
            <w:tcBorders>
              <w:right w:val="single" w:sz="8" w:color="auto"/>
            </w:tcBorders>
          </w:tcPr>
          <w:p>
            <w:pPr>
              <w:spacing w:after="0"/>
              <w:rPr>
                <w:sz w:val="21"/>
                <w:szCs w:val="21"/>
                <w:color w:val="auto"/>
              </w:rPr>
            </w:pPr>
          </w:p>
        </w:tc>
        <w:tc>
          <w:tcPr>
            <w:tcW w:w="1680" w:type="dxa"/>
            <w:vAlign w:val="bottom"/>
          </w:tcPr>
          <w:p>
            <w:pPr>
              <w:ind w:left="40"/>
              <w:spacing w:after="0"/>
              <w:rPr>
                <w:sz w:val="20"/>
                <w:szCs w:val="20"/>
                <w:color w:val="auto"/>
              </w:rPr>
            </w:pPr>
            <w:r>
              <w:rPr>
                <w:rFonts w:ascii="Arial" w:cs="Arial" w:eastAsia="Arial" w:hAnsi="Arial"/>
                <w:sz w:val="18"/>
                <w:szCs w:val="18"/>
                <w:color w:val="auto"/>
              </w:rPr>
              <w:t>Base Salary</w:t>
            </w: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Attract and retain high-</w:t>
            </w:r>
          </w:p>
        </w:tc>
        <w:tc>
          <w:tcPr>
            <w:tcW w:w="80" w:type="dxa"/>
            <w:vAlign w:val="bottom"/>
            <w:tcBorders>
              <w:right w:val="single" w:sz="8" w:color="auto"/>
            </w:tcBorders>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Foundational element of our compensation</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performing executives by</w:t>
            </w:r>
          </w:p>
        </w:tc>
        <w:tc>
          <w:tcPr>
            <w:tcW w:w="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program; short-term and long-term incentive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providing a secure and</w:t>
            </w:r>
          </w:p>
        </w:tc>
        <w:tc>
          <w:tcPr>
            <w:tcW w:w="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compensation components are based on</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appropriate level of base</w:t>
            </w:r>
          </w:p>
        </w:tc>
        <w:tc>
          <w:tcPr>
            <w:tcW w:w="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 percentage of base salary</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80" w:type="dxa"/>
            <w:vAlign w:val="bottom"/>
            <w:tcBorders>
              <w:right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pay</w:t>
            </w:r>
          </w:p>
        </w:tc>
        <w:tc>
          <w:tcPr>
            <w:tcW w:w="8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 Subject to adjustment periodically; smallest</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1280" w:type="dxa"/>
            <w:vAlign w:val="bottom"/>
            <w:tcBorders>
              <w:right w:val="single" w:sz="8" w:color="auto"/>
            </w:tcBorders>
          </w:tcPr>
          <w:p>
            <w:pPr>
              <w:spacing w:after="0"/>
              <w:rPr>
                <w:sz w:val="6"/>
                <w:szCs w:val="6"/>
                <w:color w:val="auto"/>
              </w:rPr>
            </w:pPr>
          </w:p>
        </w:tc>
        <w:tc>
          <w:tcPr>
            <w:tcW w:w="168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3940" w:type="dxa"/>
            <w:vAlign w:val="bottom"/>
            <w:tcBorders>
              <w:right w:val="single" w:sz="8" w:color="auto"/>
            </w:tcBorders>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1280" w:type="dxa"/>
            <w:vAlign w:val="bottom"/>
            <w:tcBorders>
              <w:right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component of NEO compensation</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280" w:type="dxa"/>
            <w:vAlign w:val="bottom"/>
            <w:tcBorders>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1280" w:type="dxa"/>
            <w:vAlign w:val="bottom"/>
            <w:tcBorders>
              <w:right w:val="single" w:sz="8" w:color="auto"/>
            </w:tcBorders>
          </w:tcPr>
          <w:p>
            <w:pPr>
              <w:spacing w:after="0"/>
              <w:rPr>
                <w:sz w:val="21"/>
                <w:szCs w:val="21"/>
                <w:color w:val="auto"/>
              </w:rPr>
            </w:pPr>
          </w:p>
        </w:tc>
        <w:tc>
          <w:tcPr>
            <w:tcW w:w="1680" w:type="dxa"/>
            <w:vAlign w:val="bottom"/>
          </w:tcPr>
          <w:p>
            <w:pPr>
              <w:ind w:left="40"/>
              <w:spacing w:after="0"/>
              <w:rPr>
                <w:sz w:val="20"/>
                <w:szCs w:val="20"/>
                <w:color w:val="auto"/>
              </w:rPr>
            </w:pPr>
            <w:r>
              <w:rPr>
                <w:rFonts w:ascii="Arial" w:cs="Arial" w:eastAsia="Arial" w:hAnsi="Arial"/>
                <w:sz w:val="18"/>
                <w:szCs w:val="18"/>
                <w:color w:val="auto"/>
              </w:rPr>
              <w:t>Annual Cash</w:t>
            </w: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Motivate and reward near-</w:t>
            </w:r>
          </w:p>
        </w:tc>
        <w:tc>
          <w:tcPr>
            <w:tcW w:w="80" w:type="dxa"/>
            <w:vAlign w:val="bottom"/>
            <w:tcBorders>
              <w:right w:val="single" w:sz="8" w:color="auto"/>
            </w:tcBorders>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 performance based</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280" w:type="dxa"/>
            <w:vAlign w:val="bottom"/>
            <w:tcBorders>
              <w:right w:val="single" w:sz="8" w:color="auto"/>
            </w:tcBorders>
          </w:tcPr>
          <w:p>
            <w:pPr>
              <w:spacing w:after="0"/>
              <w:rPr>
                <w:sz w:val="20"/>
                <w:szCs w:val="20"/>
                <w:color w:val="auto"/>
              </w:rPr>
            </w:pPr>
          </w:p>
        </w:tc>
        <w:tc>
          <w:tcPr>
            <w:tcW w:w="1680" w:type="dxa"/>
            <w:vAlign w:val="bottom"/>
          </w:tcPr>
          <w:p>
            <w:pPr>
              <w:ind w:left="40"/>
              <w:spacing w:after="0"/>
              <w:rPr>
                <w:sz w:val="20"/>
                <w:szCs w:val="20"/>
                <w:color w:val="auto"/>
              </w:rPr>
            </w:pPr>
            <w:r>
              <w:rPr>
                <w:rFonts w:ascii="Arial" w:cs="Arial" w:eastAsia="Arial" w:hAnsi="Arial"/>
                <w:sz w:val="18"/>
                <w:szCs w:val="18"/>
                <w:color w:val="auto"/>
              </w:rPr>
              <w:t>Incentive Awards</w:t>
            </w: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term performance and</w:t>
            </w:r>
          </w:p>
        </w:tc>
        <w:tc>
          <w:tcPr>
            <w:tcW w:w="80" w:type="dxa"/>
            <w:vAlign w:val="bottom"/>
            <w:tcBorders>
              <w:right w:val="single" w:sz="8" w:color="auto"/>
            </w:tcBorders>
          </w:tcPr>
          <w:p>
            <w:pPr>
              <w:spacing w:after="0"/>
              <w:rPr>
                <w:sz w:val="20"/>
                <w:szCs w:val="20"/>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Encourages achievement of objective and</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280" w:type="dxa"/>
            <w:vAlign w:val="bottom"/>
            <w:tcBorders>
              <w:right w:val="single" w:sz="8" w:color="auto"/>
            </w:tcBorders>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retention</w:t>
            </w:r>
          </w:p>
        </w:tc>
        <w:tc>
          <w:tcPr>
            <w:tcW w:w="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transparent annual business, ESG and</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individual goals established at beginning of</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80" w:type="dxa"/>
            <w:vAlign w:val="bottom"/>
            <w:tcBorders>
              <w:right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year</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1280" w:type="dxa"/>
            <w:vAlign w:val="bottom"/>
            <w:tcBorders>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Payout based on formulaic framework</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80" w:type="dxa"/>
            <w:vAlign w:val="bottom"/>
            <w:tcBorders>
              <w:right w:val="single" w:sz="8" w:color="auto"/>
            </w:tcBorders>
          </w:tcPr>
          <w:p>
            <w:pPr>
              <w:spacing w:after="0"/>
              <w:rPr>
                <w:sz w:val="21"/>
                <w:szCs w:val="21"/>
                <w:color w:val="auto"/>
              </w:rPr>
            </w:pPr>
          </w:p>
        </w:tc>
        <w:tc>
          <w:tcPr>
            <w:tcW w:w="1680" w:type="dxa"/>
            <w:vAlign w:val="bottom"/>
          </w:tcPr>
          <w:p>
            <w:pPr>
              <w:ind w:left="40"/>
              <w:spacing w:after="0"/>
              <w:rPr>
                <w:sz w:val="20"/>
                <w:szCs w:val="20"/>
                <w:color w:val="auto"/>
              </w:rPr>
            </w:pPr>
            <w:r>
              <w:rPr>
                <w:rFonts w:ascii="Arial" w:cs="Arial" w:eastAsia="Arial" w:hAnsi="Arial"/>
                <w:sz w:val="18"/>
                <w:szCs w:val="18"/>
                <w:color w:val="auto"/>
              </w:rPr>
              <w:t>Long-Term Equity</w:t>
            </w: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Motivate and reward long-</w:t>
            </w:r>
          </w:p>
        </w:tc>
        <w:tc>
          <w:tcPr>
            <w:tcW w:w="80" w:type="dxa"/>
            <w:vAlign w:val="bottom"/>
            <w:tcBorders>
              <w:right w:val="single" w:sz="8" w:color="auto"/>
            </w:tcBorders>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Long-term equity incentives are 50%</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1680" w:type="dxa"/>
            <w:vAlign w:val="bottom"/>
          </w:tcPr>
          <w:p>
            <w:pPr>
              <w:ind w:left="40"/>
              <w:spacing w:after="0"/>
              <w:rPr>
                <w:sz w:val="20"/>
                <w:szCs w:val="20"/>
                <w:color w:val="auto"/>
              </w:rPr>
            </w:pPr>
            <w:r>
              <w:rPr>
                <w:rFonts w:ascii="Arial" w:cs="Arial" w:eastAsia="Arial" w:hAnsi="Arial"/>
                <w:sz w:val="18"/>
                <w:szCs w:val="18"/>
                <w:color w:val="auto"/>
              </w:rPr>
              <w:t>Incentive Awards</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term performance and</w:t>
            </w:r>
          </w:p>
        </w:tc>
        <w:tc>
          <w:tcPr>
            <w:tcW w:w="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performance based and 50% time based</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retention and create</w:t>
            </w:r>
          </w:p>
        </w:tc>
        <w:tc>
          <w:tcPr>
            <w:tcW w:w="80" w:type="dxa"/>
            <w:vAlign w:val="bottom"/>
            <w:tcBorders>
              <w:right w:val="single" w:sz="8" w:color="auto"/>
            </w:tcBorders>
          </w:tcPr>
          <w:p>
            <w:pPr>
              <w:spacing w:after="0"/>
              <w:rPr>
                <w:sz w:val="18"/>
                <w:szCs w:val="18"/>
                <w:color w:val="auto"/>
              </w:rPr>
            </w:pP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Performance-based awards earned based</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280" w:type="dxa"/>
            <w:vAlign w:val="bottom"/>
            <w:tcBorders>
              <w:right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0" w:type="dxa"/>
            <w:vAlign w:val="bottom"/>
            <w:vMerge w:val="restart"/>
          </w:tcPr>
          <w:p>
            <w:pPr>
              <w:ind w:left="20"/>
              <w:spacing w:after="0"/>
              <w:rPr>
                <w:sz w:val="20"/>
                <w:szCs w:val="20"/>
                <w:color w:val="auto"/>
              </w:rPr>
            </w:pPr>
            <w:r>
              <w:rPr>
                <w:rFonts w:ascii="Arial" w:cs="Arial" w:eastAsia="Arial" w:hAnsi="Arial"/>
                <w:sz w:val="18"/>
                <w:szCs w:val="18"/>
                <w:color w:val="auto"/>
              </w:rPr>
              <w:t>additional alignment with</w:t>
            </w:r>
          </w:p>
        </w:tc>
        <w:tc>
          <w:tcPr>
            <w:tcW w:w="80" w:type="dxa"/>
            <w:vAlign w:val="bottom"/>
            <w:tcBorders>
              <w:right w:val="single" w:sz="8" w:color="auto"/>
            </w:tcBorders>
          </w:tcPr>
          <w:p>
            <w:pPr>
              <w:spacing w:after="0"/>
              <w:rPr>
                <w:sz w:val="8"/>
                <w:szCs w:val="8"/>
                <w:color w:val="auto"/>
              </w:rPr>
            </w:pPr>
          </w:p>
        </w:tc>
        <w:tc>
          <w:tcPr>
            <w:tcW w:w="220" w:type="dxa"/>
            <w:vAlign w:val="bottom"/>
            <w:vMerge w:val="continue"/>
          </w:tcPr>
          <w:p>
            <w:pPr>
              <w:spacing w:after="0"/>
              <w:rPr>
                <w:sz w:val="8"/>
                <w:szCs w:val="8"/>
                <w:color w:val="auto"/>
              </w:rPr>
            </w:pPr>
          </w:p>
        </w:tc>
        <w:tc>
          <w:tcPr>
            <w:tcW w:w="3720" w:type="dxa"/>
            <w:vAlign w:val="bottom"/>
            <w:tcBorders>
              <w:right w:val="single" w:sz="8" w:color="auto"/>
            </w:tcBorders>
            <w:vMerge w:val="continue"/>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280" w:type="dxa"/>
            <w:vAlign w:val="bottom"/>
            <w:tcBorders>
              <w:right w:val="single" w:sz="8" w:color="auto"/>
            </w:tcBorders>
          </w:tcPr>
          <w:p>
            <w:pPr>
              <w:spacing w:after="0"/>
              <w:rPr>
                <w:sz w:val="10"/>
                <w:szCs w:val="10"/>
                <w:color w:val="auto"/>
              </w:rPr>
            </w:pPr>
          </w:p>
        </w:tc>
        <w:tc>
          <w:tcPr>
            <w:tcW w:w="16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0" w:type="dxa"/>
            <w:vAlign w:val="bottom"/>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upon performance over cumulative three-</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80" w:type="dxa"/>
            <w:vAlign w:val="bottom"/>
            <w:tcBorders>
              <w:right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0" w:type="dxa"/>
            <w:vAlign w:val="bottom"/>
            <w:vMerge w:val="restart"/>
          </w:tcPr>
          <w:p>
            <w:pPr>
              <w:ind w:left="20"/>
              <w:spacing w:after="0"/>
              <w:rPr>
                <w:sz w:val="20"/>
                <w:szCs w:val="20"/>
                <w:color w:val="auto"/>
              </w:rPr>
            </w:pPr>
            <w:r>
              <w:rPr>
                <w:rFonts w:ascii="Arial" w:cs="Arial" w:eastAsia="Arial" w:hAnsi="Arial"/>
                <w:sz w:val="18"/>
                <w:szCs w:val="18"/>
                <w:color w:val="auto"/>
              </w:rPr>
              <w:t>investors</w:t>
            </w:r>
          </w:p>
        </w:tc>
        <w:tc>
          <w:tcPr>
            <w:tcW w:w="8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720" w:type="dxa"/>
            <w:vAlign w:val="bottom"/>
            <w:tcBorders>
              <w:right w:val="single" w:sz="8" w:color="auto"/>
            </w:tcBorders>
            <w:vMerge w:val="continue"/>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280" w:type="dxa"/>
            <w:vAlign w:val="bottom"/>
            <w:tcBorders>
              <w:right w:val="single" w:sz="8" w:color="auto"/>
            </w:tcBorders>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year period</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280" w:type="dxa"/>
            <w:vAlign w:val="bottom"/>
            <w:tcBorders>
              <w:right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720" w:type="dxa"/>
            <w:vAlign w:val="bottom"/>
            <w:tcBorders>
              <w:right w:val="single" w:sz="8" w:color="auto"/>
            </w:tcBorders>
            <w:vMerge w:val="continue"/>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1280" w:type="dxa"/>
            <w:vAlign w:val="bottom"/>
            <w:tcBorders>
              <w:right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3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Performance metrics include relative TSR</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negative TSR modifier, and DCF/CUE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leverage modifier (potential downward</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80" w:type="dxa"/>
            <w:vAlign w:val="bottom"/>
            <w:tcBorders>
              <w:right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adjustment only)</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280" w:type="dxa"/>
            <w:vAlign w:val="bottom"/>
            <w:tcBorders>
              <w:right w:val="single" w:sz="8" w:color="auto"/>
            </w:tcBorders>
          </w:tcPr>
          <w:p>
            <w:pPr>
              <w:spacing w:after="0"/>
              <w:rPr>
                <w:sz w:val="23"/>
                <w:szCs w:val="23"/>
                <w:color w:val="auto"/>
              </w:rPr>
            </w:pPr>
          </w:p>
        </w:tc>
        <w:tc>
          <w:tcPr>
            <w:tcW w:w="168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3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Distribution Equivalent Rights (“DERs”)</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associated with long-term equity awards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provide additional potential motivation and</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80" w:type="dxa"/>
            <w:vAlign w:val="bottom"/>
            <w:tcBorders>
              <w:right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alignment</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280" w:type="dxa"/>
            <w:vAlign w:val="bottom"/>
            <w:tcBorders>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1280" w:type="dxa"/>
            <w:vAlign w:val="bottom"/>
            <w:tcBorders>
              <w:right w:val="single" w:sz="8" w:color="auto"/>
            </w:tcBorders>
          </w:tcPr>
          <w:p>
            <w:pPr>
              <w:spacing w:after="0"/>
              <w:rPr>
                <w:sz w:val="21"/>
                <w:szCs w:val="21"/>
                <w:color w:val="auto"/>
              </w:rPr>
            </w:pPr>
          </w:p>
        </w:tc>
        <w:tc>
          <w:tcPr>
            <w:tcW w:w="1680" w:type="dxa"/>
            <w:vAlign w:val="bottom"/>
          </w:tcPr>
          <w:p>
            <w:pPr>
              <w:ind w:left="40"/>
              <w:spacing w:after="0"/>
              <w:rPr>
                <w:sz w:val="20"/>
                <w:szCs w:val="20"/>
                <w:color w:val="auto"/>
              </w:rPr>
            </w:pPr>
            <w:r>
              <w:rPr>
                <w:rFonts w:ascii="Arial" w:cs="Arial" w:eastAsia="Arial" w:hAnsi="Arial"/>
                <w:sz w:val="18"/>
                <w:szCs w:val="18"/>
                <w:color w:val="auto"/>
              </w:rPr>
              <w:t>Employee Benefits</w:t>
            </w: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Attract and retain talent</w:t>
            </w:r>
          </w:p>
        </w:tc>
        <w:tc>
          <w:tcPr>
            <w:tcW w:w="80" w:type="dxa"/>
            <w:vAlign w:val="bottom"/>
            <w:tcBorders>
              <w:right w:val="single" w:sz="8" w:color="auto"/>
            </w:tcBorders>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Customary health and welfare benefits for all</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280" w:type="dxa"/>
            <w:vAlign w:val="bottom"/>
            <w:tcBorders>
              <w:right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 employees, including 401(k) Plan</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80" w:type="dxa"/>
            <w:vAlign w:val="bottom"/>
            <w:tcBorders>
              <w:right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3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No defined benefit or pension plans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280" w:type="dxa"/>
            <w:vAlign w:val="bottom"/>
            <w:tcBorders>
              <w:right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spacing w:after="0"/>
              <w:rPr>
                <w:sz w:val="23"/>
                <w:szCs w:val="23"/>
                <w:color w:val="auto"/>
              </w:rPr>
            </w:pPr>
          </w:p>
        </w:tc>
        <w:tc>
          <w:tcPr>
            <w:tcW w:w="80" w:type="dxa"/>
            <w:vAlign w:val="bottom"/>
            <w:tcBorders>
              <w:bottom w:val="single" w:sz="8" w:color="auto"/>
              <w:right w:val="single" w:sz="8" w:color="auto"/>
            </w:tcBorders>
          </w:tcPr>
          <w:p>
            <w:pPr>
              <w:spacing w:after="0"/>
              <w:rPr>
                <w:sz w:val="23"/>
                <w:szCs w:val="23"/>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 significant perquisites</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2"/>
        </w:trPr>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ind w:left="1980"/>
              <w:spacing w:after="0"/>
              <w:rPr>
                <w:sz w:val="20"/>
                <w:szCs w:val="20"/>
                <w:color w:val="auto"/>
              </w:rPr>
            </w:pPr>
            <w:r>
              <w:rPr>
                <w:rFonts w:ascii="Arial" w:cs="Arial" w:eastAsia="Arial" w:hAnsi="Arial"/>
                <w:sz w:val="18"/>
                <w:szCs w:val="18"/>
                <w:color w:val="auto"/>
                <w:w w:val="99"/>
              </w:rPr>
              <w:t>32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2022 Independent Benchmark Study of Executive Compensation</w:t>
      </w:r>
    </w:p>
    <w:p>
      <w:pPr>
        <w:spacing w:after="0" w:line="156" w:lineRule="exact"/>
        <w:rPr>
          <w:sz w:val="20"/>
          <w:szCs w:val="20"/>
          <w:color w:val="auto"/>
        </w:rPr>
      </w:pPr>
    </w:p>
    <w:p>
      <w:pPr>
        <w:ind w:left="1260" w:right="639" w:firstLine="360"/>
        <w:spacing w:after="0" w:line="271" w:lineRule="auto"/>
        <w:rPr>
          <w:sz w:val="20"/>
          <w:szCs w:val="20"/>
          <w:color w:val="auto"/>
        </w:rPr>
      </w:pPr>
      <w:r>
        <w:rPr>
          <w:rFonts w:ascii="Arial" w:cs="Arial" w:eastAsia="Arial" w:hAnsi="Arial"/>
          <w:sz w:val="18"/>
          <w:szCs w:val="18"/>
          <w:color w:val="auto"/>
        </w:rPr>
        <w:t>With respect to our 2022 executive compensation program, our Compensation Committee engaged Meridian to provide independent counsel, including a benchmarking review of our executive officer compensation. In connection with its engagement of Meridian, the Compensation Committee evaluated and confirmed Meridian’s independence relative to existing PAA or PAGP relationships or potential conflicts, in line with Nasdaq requirements.</w:t>
      </w:r>
    </w:p>
    <w:p>
      <w:pPr>
        <w:spacing w:after="0" w:line="100"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8"/>
          <w:szCs w:val="18"/>
          <w:color w:val="auto"/>
        </w:rPr>
        <w:t>Business consolidation and unique operating models create some challenges in identifying directly comparable peer companies. Accordingly, we take a broad view of comparability to include organizations that are similar to ours and that we believe we compete with for attracting and retaining executive talent. Our compensation benchmarking peer group for 2022 included 11 companies across a wide range of revenues, asset values and enterprise values that are primarily engaged in the midstream business in the United States (the entities in the benchmarking peer group are listed in the table below).</w:t>
      </w:r>
    </w:p>
    <w:p>
      <w:pPr>
        <w:spacing w:after="0" w:line="103"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8"/>
          <w:szCs w:val="18"/>
          <w:color w:val="auto"/>
        </w:rPr>
        <w:t>Meridian utilized publicly available information to analyze compensation practices of the companies in the benchmarking peer group, including how pay is divided among long-term incentives, annual incentives, base pay and other forms of compensation. Meridian also compared the amount and structure of compensation for our executive officers to the benchmarking peer group. Meridian’s benchmark study was first completed and presented to the Compensation Committee in August 2021 and subsequently discussed and reviewed by the Compensation Committee in December 2021 and February 2022.</w:t>
      </w:r>
    </w:p>
    <w:p>
      <w:pPr>
        <w:spacing w:after="0" w:line="103" w:lineRule="exact"/>
        <w:rPr>
          <w:sz w:val="20"/>
          <w:szCs w:val="20"/>
          <w:color w:val="auto"/>
        </w:rPr>
      </w:pPr>
    </w:p>
    <w:p>
      <w:pPr>
        <w:ind w:left="1260" w:right="979" w:firstLine="360"/>
        <w:spacing w:after="0" w:line="273" w:lineRule="auto"/>
        <w:rPr>
          <w:sz w:val="20"/>
          <w:szCs w:val="20"/>
          <w:color w:val="auto"/>
        </w:rPr>
      </w:pPr>
      <w:r>
        <w:rPr>
          <w:rFonts w:ascii="Arial" w:cs="Arial" w:eastAsia="Arial" w:hAnsi="Arial"/>
          <w:sz w:val="18"/>
          <w:szCs w:val="18"/>
          <w:color w:val="auto"/>
        </w:rPr>
        <w:t>The Compensation Committee also considered similar information from a broader sample of companies in the energy sector, including upstream, refining and regulated utilities, although the benchmarking peer group listed in the table below served as the primary source of external comparative information.</w:t>
      </w:r>
    </w:p>
    <w:p>
      <w:pPr>
        <w:spacing w:after="0" w:line="111" w:lineRule="exact"/>
        <w:rPr>
          <w:sz w:val="20"/>
          <w:szCs w:val="20"/>
          <w:color w:val="auto"/>
        </w:rPr>
      </w:pPr>
    </w:p>
    <w:p>
      <w:pPr>
        <w:ind w:left="1260" w:right="699" w:firstLine="360"/>
        <w:spacing w:after="0" w:line="266" w:lineRule="auto"/>
        <w:rPr>
          <w:sz w:val="20"/>
          <w:szCs w:val="20"/>
          <w:color w:val="auto"/>
        </w:rPr>
      </w:pPr>
      <w:r>
        <w:rPr>
          <w:rFonts w:ascii="Arial" w:cs="Arial" w:eastAsia="Arial" w:hAnsi="Arial"/>
          <w:sz w:val="18"/>
          <w:szCs w:val="18"/>
          <w:color w:val="auto"/>
        </w:rPr>
        <w:t>The results of Meridian’s study validated our view that our 2021 NEO base salary and long-term incentive target levels were significantly lower than the median of our peer group and that each component of our CEO’s 2021 compensation was at or significantly below median, with total CEO compensation falling at approximately the 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w:t>
      </w:r>
    </w:p>
    <w:p>
      <w:pPr>
        <w:spacing w:after="0" w:line="33"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8"/>
          <w:szCs w:val="18"/>
          <w:color w:val="auto"/>
        </w:rPr>
        <w:t>In response to these study results and considering individual situations and investor feedback, the Compensation Committee recommended, and the Board approved, increases to NEO base salaries and adjustments to other elements of our executive compensation program in February 2022. In August 2022, the Compensation Committee had Meridian prepare an updated executive compensation benchmark study. As confirmed by Meridian’s August 2022 benchmark study, the 2022 NEO compensation adjustments resulted in the following:</w:t>
      </w:r>
    </w:p>
    <w:p>
      <w:pPr>
        <w:spacing w:after="0" w:line="90" w:lineRule="exact"/>
        <w:rPr>
          <w:sz w:val="20"/>
          <w:szCs w:val="20"/>
          <w:color w:val="auto"/>
        </w:rPr>
      </w:pPr>
    </w:p>
    <w:p>
      <w:pPr>
        <w:ind w:left="1800" w:hanging="180"/>
        <w:spacing w:after="0"/>
        <w:tabs>
          <w:tab w:leader="none" w:pos="1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Total target compensation for all NEOs on average falls within the middle range of our peers; and</w:t>
      </w:r>
    </w:p>
    <w:p>
      <w:pPr>
        <w:spacing w:after="0" w:line="155" w:lineRule="exact"/>
        <w:rPr>
          <w:rFonts w:ascii="Arial" w:cs="Arial" w:eastAsia="Arial" w:hAnsi="Arial"/>
          <w:sz w:val="17"/>
          <w:szCs w:val="17"/>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Total target compensation for the CEO ranks slightly below median relative to peers.</w:t>
      </w:r>
    </w:p>
    <w:p>
      <w:pPr>
        <w:spacing w:after="0" w:line="158" w:lineRule="exact"/>
        <w:rPr>
          <w:sz w:val="20"/>
          <w:szCs w:val="20"/>
          <w:color w:val="auto"/>
        </w:rPr>
      </w:pPr>
    </w:p>
    <w:p>
      <w:pPr>
        <w:ind w:left="1260" w:right="479" w:firstLine="360"/>
        <w:spacing w:after="0" w:line="294" w:lineRule="auto"/>
        <w:rPr>
          <w:sz w:val="20"/>
          <w:szCs w:val="20"/>
          <w:color w:val="auto"/>
        </w:rPr>
      </w:pPr>
      <w:r>
        <w:rPr>
          <w:rFonts w:ascii="Arial" w:cs="Arial" w:eastAsia="Arial" w:hAnsi="Arial"/>
          <w:sz w:val="17"/>
          <w:szCs w:val="17"/>
          <w:color w:val="auto"/>
        </w:rPr>
        <w:t>For a portion (25%) of the long-term incentive awards granted to our executive officers in 2022, we included relative TSR as a performance metric for the three-year performance period ending June 30, 2025. The entities in our 2022 compensation benchmarking peer group and the entities and indices in our TSR Comparator Peer Group for the 2022 long-term incentive awards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4080" w:type="dxa"/>
            <w:vAlign w:val="bottom"/>
            <w:tcBorders>
              <w:top w:val="single" w:sz="8" w:color="auto"/>
              <w:left w:val="single" w:sz="8" w:color="auto"/>
            </w:tcBorders>
            <w:shd w:val="clear" w:color="auto" w:fill="424E6A"/>
          </w:tcPr>
          <w:p>
            <w:pPr>
              <w:spacing w:after="0"/>
              <w:rPr>
                <w:sz w:val="21"/>
                <w:szCs w:val="21"/>
                <w:color w:val="auto"/>
              </w:rPr>
            </w:pPr>
          </w:p>
        </w:tc>
        <w:tc>
          <w:tcPr>
            <w:tcW w:w="820" w:type="dxa"/>
            <w:vAlign w:val="bottom"/>
            <w:tcBorders>
              <w:top w:val="single" w:sz="8" w:color="auto"/>
              <w:right w:val="single" w:sz="8" w:color="auto"/>
            </w:tcBorders>
            <w:shd w:val="clear" w:color="auto" w:fill="424E6A"/>
          </w:tcPr>
          <w:p>
            <w:pPr>
              <w:spacing w:after="0"/>
              <w:rPr>
                <w:sz w:val="21"/>
                <w:szCs w:val="21"/>
                <w:color w:val="auto"/>
              </w:rPr>
            </w:pPr>
          </w:p>
        </w:tc>
        <w:tc>
          <w:tcPr>
            <w:tcW w:w="100" w:type="dxa"/>
            <w:vAlign w:val="bottom"/>
            <w:tcBorders>
              <w:top w:val="single" w:sz="8" w:color="auto"/>
            </w:tcBorders>
            <w:shd w:val="clear" w:color="auto" w:fill="424E6A"/>
          </w:tcPr>
          <w:p>
            <w:pPr>
              <w:spacing w:after="0"/>
              <w:rPr>
                <w:sz w:val="21"/>
                <w:szCs w:val="21"/>
                <w:color w:val="auto"/>
              </w:rPr>
            </w:pPr>
          </w:p>
        </w:tc>
        <w:tc>
          <w:tcPr>
            <w:tcW w:w="1400" w:type="dxa"/>
            <w:vAlign w:val="bottom"/>
            <w:tcBorders>
              <w:top w:val="single" w:sz="8" w:color="auto"/>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2022 Compensation</w:t>
            </w:r>
          </w:p>
        </w:tc>
        <w:tc>
          <w:tcPr>
            <w:tcW w:w="120" w:type="dxa"/>
            <w:vAlign w:val="bottom"/>
            <w:tcBorders>
              <w:top w:val="single" w:sz="8" w:color="auto"/>
              <w:right w:val="single" w:sz="8" w:color="auto"/>
            </w:tcBorders>
            <w:shd w:val="clear" w:color="auto" w:fill="424E6A"/>
          </w:tcPr>
          <w:p>
            <w:pPr>
              <w:spacing w:after="0"/>
              <w:rPr>
                <w:sz w:val="21"/>
                <w:szCs w:val="21"/>
                <w:color w:val="auto"/>
              </w:rPr>
            </w:pPr>
          </w:p>
        </w:tc>
        <w:tc>
          <w:tcPr>
            <w:tcW w:w="80" w:type="dxa"/>
            <w:vAlign w:val="bottom"/>
            <w:tcBorders>
              <w:top w:val="single" w:sz="8" w:color="auto"/>
            </w:tcBorders>
            <w:shd w:val="clear" w:color="auto" w:fill="424E6A"/>
          </w:tcPr>
          <w:p>
            <w:pPr>
              <w:spacing w:after="0"/>
              <w:rPr>
                <w:sz w:val="21"/>
                <w:szCs w:val="21"/>
                <w:color w:val="auto"/>
              </w:rPr>
            </w:pPr>
          </w:p>
        </w:tc>
        <w:tc>
          <w:tcPr>
            <w:tcW w:w="1620" w:type="dxa"/>
            <w:vAlign w:val="bottom"/>
            <w:tcBorders>
              <w:top w:val="single" w:sz="8" w:color="auto"/>
              <w:right w:val="single" w:sz="8" w:color="auto"/>
            </w:tcBorders>
            <w:shd w:val="clear" w:color="auto" w:fill="424E6A"/>
          </w:tcPr>
          <w:p>
            <w:pPr>
              <w:spacing w:after="0"/>
              <w:rPr>
                <w:sz w:val="21"/>
                <w:szCs w:val="21"/>
                <w:color w:val="auto"/>
              </w:rPr>
            </w:pPr>
          </w:p>
        </w:tc>
      </w:tr>
      <w:tr>
        <w:trPr>
          <w:trHeight w:val="162"/>
        </w:trPr>
        <w:tc>
          <w:tcPr>
            <w:tcW w:w="4080" w:type="dxa"/>
            <w:vAlign w:val="bottom"/>
            <w:tcBorders>
              <w:left w:val="single" w:sz="8" w:color="auto"/>
            </w:tcBorders>
            <w:shd w:val="clear" w:color="auto" w:fill="424E6A"/>
          </w:tcPr>
          <w:p>
            <w:pPr>
              <w:spacing w:after="0"/>
              <w:rPr>
                <w:sz w:val="14"/>
                <w:szCs w:val="14"/>
                <w:color w:val="auto"/>
              </w:rPr>
            </w:pPr>
          </w:p>
        </w:tc>
        <w:tc>
          <w:tcPr>
            <w:tcW w:w="820" w:type="dxa"/>
            <w:vAlign w:val="bottom"/>
            <w:tcBorders>
              <w:right w:val="single" w:sz="8" w:color="auto"/>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4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Benchmarking</w:t>
            </w:r>
          </w:p>
        </w:tc>
        <w:tc>
          <w:tcPr>
            <w:tcW w:w="120" w:type="dxa"/>
            <w:vAlign w:val="bottom"/>
            <w:tcBorders>
              <w:right w:val="single" w:sz="8" w:color="auto"/>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620" w:type="dxa"/>
            <w:vAlign w:val="bottom"/>
            <w:tcBorders>
              <w:right w:val="single" w:sz="8" w:color="auto"/>
            </w:tcBorders>
            <w:shd w:val="clear" w:color="auto" w:fill="424E6A"/>
          </w:tcPr>
          <w:p>
            <w:pPr>
              <w:jc w:val="center"/>
              <w:ind w:right="48"/>
              <w:spacing w:after="0"/>
              <w:rPr>
                <w:sz w:val="20"/>
                <w:szCs w:val="20"/>
                <w:color w:val="auto"/>
              </w:rPr>
            </w:pPr>
            <w:r>
              <w:rPr>
                <w:rFonts w:ascii="Arial" w:cs="Arial" w:eastAsia="Arial" w:hAnsi="Arial"/>
                <w:sz w:val="14"/>
                <w:szCs w:val="14"/>
                <w:b w:val="1"/>
                <w:bCs w:val="1"/>
                <w:color w:val="FFFFFF"/>
              </w:rPr>
              <w:t>2022 TSR Comparator</w:t>
            </w:r>
          </w:p>
        </w:tc>
      </w:tr>
      <w:tr>
        <w:trPr>
          <w:trHeight w:val="198"/>
        </w:trPr>
        <w:tc>
          <w:tcPr>
            <w:tcW w:w="4080" w:type="dxa"/>
            <w:vAlign w:val="bottom"/>
            <w:tcBorders>
              <w:left w:val="single" w:sz="8" w:color="auto"/>
              <w:bottom w:val="single" w:sz="8" w:color="auto"/>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Entity/Index Name (Ticker)</w:t>
            </w:r>
          </w:p>
        </w:tc>
        <w:tc>
          <w:tcPr>
            <w:tcW w:w="820" w:type="dxa"/>
            <w:vAlign w:val="bottom"/>
            <w:tcBorders>
              <w:bottom w:val="single" w:sz="8" w:color="auto"/>
              <w:right w:val="single" w:sz="8" w:color="auto"/>
            </w:tcBorders>
            <w:shd w:val="clear" w:color="auto" w:fill="424E6A"/>
          </w:tcPr>
          <w:p>
            <w:pPr>
              <w:ind w:left="7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400" w:type="dxa"/>
            <w:vAlign w:val="bottom"/>
            <w:tcBorders>
              <w:bottom w:val="single" w:sz="8" w:color="auto"/>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Peer Group</w:t>
            </w:r>
          </w:p>
        </w:tc>
        <w:tc>
          <w:tcPr>
            <w:tcW w:w="120" w:type="dxa"/>
            <w:vAlign w:val="bottom"/>
            <w:tcBorders>
              <w:bottom w:val="single" w:sz="8" w:color="auto"/>
              <w:right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620" w:type="dxa"/>
            <w:vAlign w:val="bottom"/>
            <w:tcBorders>
              <w:bottom w:val="single" w:sz="8" w:color="auto"/>
              <w:right w:val="single" w:sz="8" w:color="auto"/>
            </w:tcBorders>
            <w:shd w:val="clear" w:color="auto" w:fill="424E6A"/>
          </w:tcPr>
          <w:p>
            <w:pPr>
              <w:jc w:val="center"/>
              <w:ind w:right="8"/>
              <w:spacing w:after="0"/>
              <w:rPr>
                <w:sz w:val="20"/>
                <w:szCs w:val="20"/>
                <w:color w:val="auto"/>
              </w:rPr>
            </w:pPr>
            <w:r>
              <w:rPr>
                <w:rFonts w:ascii="Arial" w:cs="Arial" w:eastAsia="Arial" w:hAnsi="Arial"/>
                <w:sz w:val="14"/>
                <w:szCs w:val="14"/>
                <w:b w:val="1"/>
                <w:bCs w:val="1"/>
                <w:color w:val="FFFFFF"/>
              </w:rPr>
              <w:t>Peer Group</w:t>
            </w:r>
          </w:p>
        </w:tc>
      </w:tr>
      <w:tr>
        <w:trPr>
          <w:trHeight w:val="304"/>
        </w:trPr>
        <w:tc>
          <w:tcPr>
            <w:tcW w:w="4080" w:type="dxa"/>
            <w:vAlign w:val="bottom"/>
            <w:tcBorders>
              <w:left w:val="single" w:sz="8" w:color="auto"/>
              <w:bottom w:val="single" w:sz="8" w:color="auto"/>
            </w:tcBorders>
            <w:shd w:val="clear" w:color="auto" w:fill="D9DCE1"/>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Energy Transfer LP (ET)</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Enterprise Products Partners LP (EPD)</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Kinder Morgan Inc. (KMI)</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The Williams Companies Inc. (WMB)</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MPLX LP (MPLX)</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ONEOK Inc. (OKE)</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Targa Resources Corp. (TRGP)</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Magellan Midstream Partners LP (MMP)</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Western Midstream Partners LP (WES)</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EnLink Midstream LLC (ENLC)</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Equitrans Midstream Corporation (ETRN)</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Crestwood Equity Partners LP (CEQP)</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DCP Midstream LP (DCP)</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Holly Energy Partners LP (HEP)</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NuStar Energy LP (NS)</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S&amp;P 500 Index (SPX)</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Alerian Midstream Energy Index (AMNA)</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-3411220</wp:posOffset>
            </wp:positionV>
            <wp:extent cx="68580" cy="68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-3411220</wp:posOffset>
            </wp:positionV>
            <wp:extent cx="68580" cy="685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-3205480</wp:posOffset>
            </wp:positionV>
            <wp:extent cx="68580"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-3205480</wp:posOffset>
            </wp:positionV>
            <wp:extent cx="68580" cy="685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-2999740</wp:posOffset>
            </wp:positionV>
            <wp:extent cx="68580"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-2999740</wp:posOffset>
            </wp:positionV>
            <wp:extent cx="68580" cy="68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-2794000</wp:posOffset>
            </wp:positionV>
            <wp:extent cx="68580"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-2794000</wp:posOffset>
            </wp:positionV>
            <wp:extent cx="68580" cy="68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-2588260</wp:posOffset>
            </wp:positionV>
            <wp:extent cx="68580" cy="68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-2588260</wp:posOffset>
            </wp:positionV>
            <wp:extent cx="68580" cy="685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-2382520</wp:posOffset>
            </wp:positionV>
            <wp:extent cx="68580" cy="68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-2382520</wp:posOffset>
            </wp:positionV>
            <wp:extent cx="68580" cy="68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-2176780</wp:posOffset>
            </wp:positionV>
            <wp:extent cx="68580" cy="685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-2176780</wp:posOffset>
            </wp:positionV>
            <wp:extent cx="68580" cy="68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-1971040</wp:posOffset>
            </wp:positionV>
            <wp:extent cx="68580" cy="68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-1971040</wp:posOffset>
            </wp:positionV>
            <wp:extent cx="68580" cy="68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-1765300</wp:posOffset>
            </wp:positionV>
            <wp:extent cx="68580" cy="685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-1765300</wp:posOffset>
            </wp:positionV>
            <wp:extent cx="68580"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-1559560</wp:posOffset>
            </wp:positionV>
            <wp:extent cx="68580" cy="685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-1559560</wp:posOffset>
            </wp:positionV>
            <wp:extent cx="68580" cy="685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-1353820</wp:posOffset>
            </wp:positionV>
            <wp:extent cx="68580" cy="685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-1148080</wp:posOffset>
            </wp:positionV>
            <wp:extent cx="68580" cy="685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-942340</wp:posOffset>
            </wp:positionV>
            <wp:extent cx="68580" cy="685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-736600</wp:posOffset>
            </wp:positionV>
            <wp:extent cx="68580" cy="685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-530860</wp:posOffset>
            </wp:positionV>
            <wp:extent cx="68580"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-325120</wp:posOffset>
            </wp:positionV>
            <wp:extent cx="68580" cy="685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-119380</wp:posOffset>
            </wp:positionV>
            <wp:extent cx="68580"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Additional Information Regarding Compensation Practices and Processes</w:t>
      </w:r>
    </w:p>
    <w:p>
      <w:pPr>
        <w:spacing w:after="0" w:line="142" w:lineRule="exact"/>
        <w:rPr>
          <w:sz w:val="20"/>
          <w:szCs w:val="20"/>
          <w:color w:val="auto"/>
        </w:rPr>
      </w:pPr>
    </w:p>
    <w:p>
      <w:pPr>
        <w:ind w:left="1260" w:right="639" w:firstLine="360"/>
        <w:spacing w:after="0" w:line="287" w:lineRule="auto"/>
        <w:rPr>
          <w:sz w:val="20"/>
          <w:szCs w:val="20"/>
          <w:color w:val="auto"/>
        </w:rPr>
      </w:pPr>
      <w:r>
        <w:rPr>
          <w:rFonts w:ascii="Arial" w:cs="Arial" w:eastAsia="Arial" w:hAnsi="Arial"/>
          <w:sz w:val="18"/>
          <w:szCs w:val="18"/>
          <w:color w:val="auto"/>
        </w:rPr>
        <w:t>Set forth below is additional information regarding our compensation practices and processes as they relate to the elements of our compensation program:</w:t>
      </w:r>
    </w:p>
    <w:p>
      <w:pPr>
        <w:spacing w:after="0" w:line="85"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Historically, we have not made regular annual adjustments to the base salaries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(prior to 2022, the most recent across the board adjustments were made in 2017), but we have made salary adjustments in connection with promotions or the assumption of increased responsibilities. In order to enhance retention and our competitive positioning relative to peers, and taking individual situations into account, base salaries were increased in 2022.</w:t>
      </w:r>
    </w:p>
    <w:p>
      <w:pPr>
        <w:spacing w:after="0" w:line="100"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i w:val="1"/>
          <w:iCs w:val="1"/>
          <w:color w:val="auto"/>
        </w:rPr>
        <w:t xml:space="preserve">Annual Cash Incentive Awards. </w:t>
      </w:r>
      <w:r>
        <w:rPr>
          <w:rFonts w:ascii="Arial" w:cs="Arial" w:eastAsia="Arial" w:hAnsi="Arial"/>
          <w:sz w:val="18"/>
          <w:szCs w:val="18"/>
          <w:color w:val="auto"/>
        </w:rPr>
        <w:t>Annual cash incentive awards (or bonuses) are determined within</w:t>
      </w:r>
      <w:r>
        <w:rPr>
          <w:rFonts w:ascii="Arial" w:cs="Arial" w:eastAsia="Arial" w:hAnsi="Arial"/>
          <w:sz w:val="18"/>
          <w:szCs w:val="18"/>
          <w:i w:val="1"/>
          <w:iCs w:val="1"/>
          <w:color w:val="auto"/>
        </w:rPr>
        <w:t xml:space="preserve"> </w:t>
      </w:r>
      <w:r>
        <w:rPr>
          <w:rFonts w:ascii="Arial" w:cs="Arial" w:eastAsia="Arial" w:hAnsi="Arial"/>
          <w:sz w:val="18"/>
          <w:szCs w:val="18"/>
          <w:color w:val="auto"/>
        </w:rPr>
        <w:t>a formulaic framework that includes an annual bonus target for each Named Executive Officer, expressed as a percentage of base salary, and the determination of an actual payout as a percentage of such target amount based on company performance relative to specific goals, and individual contributions. Annual company goals typically include financial, safety, environmental and other specified goals, and each goal, as well as the individual performance component, is assigned a weighting or percentage share of the total payout opportunity. Annual goals and objectives, as well as weightings and potential payout ranges (expressed as a percentage of target) are established at the beginning of each year and are discussed and reviewed with the Board in conjunction with the review and approval of our annual plan. Payout percentages relative to achievement of specified goals may range from 0 – 200% of an individual’s target opportunity. The final amounts that are paid may be adjusted by the Compensation Committee and the Board based on factors it deems relevant. Such adjustments may be positive or negative depending on the circumstances.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2022 Annual Bonus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128905</wp:posOffset>
            </wp:positionV>
            <wp:extent cx="3874770" cy="21170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477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At the end of each year, the CEO assesses the Company’s performance relative to goals and objectives established at the beginning of the year. The CEO’s written analysis of our performance examines accomplishments and shortfalls relative to established goals and objectives and also assesses overall performance against opportunities and challenges, taking into account controllable and non-controllable factors encountered during the year. The CEO also assesses the individual performance and contributions of each NEO (other than himself) towards the satisfaction of the various goals and objectives established at the beginning of the year. The CEO submits his report and the supporting detail to the Compensation Committee and Board for review and comment. Based on the conclusions set forth in the annual performance assessment, the CEO submits the results of the formulaic bonus calculations along with any recommendations for adjustments to the Compensation Committee for all Named Executive Officers other than himself. In connection with his assessment of Company and individual performance, the CEO also considers various factors, including:</w:t>
      </w:r>
    </w:p>
    <w:p>
      <w:pPr>
        <w:spacing w:after="0" w:line="67" w:lineRule="exact"/>
        <w:rPr>
          <w:sz w:val="20"/>
          <w:szCs w:val="20"/>
          <w:color w:val="auto"/>
        </w:rPr>
      </w:pPr>
    </w:p>
    <w:p>
      <w:pPr>
        <w:ind w:left="1800" w:right="499" w:hanging="180"/>
        <w:spacing w:after="0" w:line="28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or not we achieved the goals established for the year and any notable shortfalls relative to expectations;</w:t>
      </w:r>
    </w:p>
    <w:p>
      <w:pPr>
        <w:spacing w:after="0" w:line="44" w:lineRule="exact"/>
        <w:rPr>
          <w:rFonts w:ascii="Arial" w:cs="Arial" w:eastAsia="Arial" w:hAnsi="Arial"/>
          <w:sz w:val="18"/>
          <w:szCs w:val="18"/>
          <w:color w:val="auto"/>
        </w:rPr>
      </w:pPr>
    </w:p>
    <w:p>
      <w:pPr>
        <w:ind w:left="1800" w:right="659" w:hanging="180"/>
        <w:spacing w:after="0" w:line="28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difficulty associated with achieving such objectives based on the opportunities and challenges encountered during the year;</w:t>
      </w:r>
    </w:p>
    <w:p>
      <w:pPr>
        <w:spacing w:after="0" w:line="44"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current year operating and financial performance relative to both public guidance and prior year’s performance;</w:t>
      </w:r>
    </w:p>
    <w:p>
      <w:pPr>
        <w:spacing w:after="0" w:line="31"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transactions or accomplishments for the period not included in the goals for the year;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relative prospects at the end of the year with respect to future growth and performance; and</w:t>
      </w:r>
    </w:p>
    <w:p>
      <w:pPr>
        <w:spacing w:after="0" w:line="117" w:lineRule="exact"/>
        <w:rPr>
          <w:rFonts w:ascii="Arial" w:cs="Arial" w:eastAsia="Arial" w:hAnsi="Arial"/>
          <w:sz w:val="18"/>
          <w:szCs w:val="18"/>
          <w:color w:val="auto"/>
        </w:rPr>
      </w:pPr>
    </w:p>
    <w:p>
      <w:pPr>
        <w:ind w:left="1800" w:right="699" w:hanging="180"/>
        <w:spacing w:after="0" w:line="28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equity price performance and returns during the year and our positioning at the end of the year with respect to our targeted leverage metrics and credit profile.</w:t>
      </w:r>
    </w:p>
    <w:p>
      <w:pPr>
        <w:spacing w:after="0" w:line="72" w:lineRule="exact"/>
        <w:rPr>
          <w:sz w:val="20"/>
          <w:szCs w:val="20"/>
          <w:color w:val="auto"/>
        </w:rPr>
      </w:pPr>
    </w:p>
    <w:p>
      <w:pPr>
        <w:jc w:val="both"/>
        <w:ind w:left="1260" w:right="459" w:firstLine="360"/>
        <w:spacing w:after="0" w:line="261" w:lineRule="auto"/>
        <w:rPr>
          <w:sz w:val="20"/>
          <w:szCs w:val="20"/>
          <w:color w:val="auto"/>
        </w:rPr>
      </w:pPr>
      <w:r>
        <w:rPr>
          <w:rFonts w:ascii="Arial" w:cs="Arial" w:eastAsia="Arial" w:hAnsi="Arial"/>
          <w:sz w:val="18"/>
          <w:szCs w:val="18"/>
          <w:color w:val="auto"/>
        </w:rPr>
        <w:t>The Compensation Committee may adjust the CEO’s recommendations upward or downward in its discretion. The Compensation Committee’s recommendations are then submitted to the Board for final review and approval.</w:t>
      </w:r>
    </w:p>
    <w:p>
      <w:pPr>
        <w:spacing w:after="0" w:line="94" w:lineRule="exact"/>
        <w:rPr>
          <w:sz w:val="20"/>
          <w:szCs w:val="20"/>
          <w:color w:val="auto"/>
        </w:rPr>
      </w:pPr>
    </w:p>
    <w:p>
      <w:pPr>
        <w:ind w:left="1260" w:right="659" w:firstLine="360"/>
        <w:spacing w:after="0" w:line="247" w:lineRule="auto"/>
        <w:rPr>
          <w:sz w:val="20"/>
          <w:szCs w:val="20"/>
          <w:color w:val="auto"/>
        </w:rPr>
      </w:pPr>
      <w:r>
        <w:rPr>
          <w:rFonts w:ascii="Arial" w:cs="Arial" w:eastAsia="Arial" w:hAnsi="Arial"/>
          <w:sz w:val="18"/>
          <w:szCs w:val="18"/>
          <w:color w:val="auto"/>
        </w:rPr>
        <w:t>As noted above, the CEO does not make a recommendation with respect to his own bonus. The Compensation Committee assesses the CEO’s performance and contributions toward meeting the goals and objectives established at the beginning of the year, and then recommends to the Board a total bonus payout for the CEO that it believes to be commensurate with such performance and contributions.</w:t>
      </w:r>
    </w:p>
    <w:p>
      <w:pPr>
        <w:spacing w:after="0" w:line="109"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We use performance and time-based phantom unit grants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Long-Term Incentive Plans to incentivize and retain our executive officers and encourage and reward timely achievement of targeted metrics designed to align the long-term interests of the Named Executive Officers with those of our unitholders.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2022 Annual LTIP Award; Determination of Units for Annual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137795</wp:posOffset>
            </wp:positionV>
            <wp:extent cx="4183380" cy="13290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18338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1260" w:right="639" w:firstLine="360"/>
        <w:spacing w:after="0" w:line="262" w:lineRule="auto"/>
        <w:rPr>
          <w:sz w:val="20"/>
          <w:szCs w:val="20"/>
          <w:color w:val="auto"/>
        </w:rPr>
      </w:pPr>
      <w:r>
        <w:rPr>
          <w:rFonts w:ascii="Arial" w:cs="Arial" w:eastAsia="Arial" w:hAnsi="Arial"/>
          <w:sz w:val="18"/>
          <w:szCs w:val="18"/>
          <w:color w:val="auto"/>
        </w:rPr>
        <w:t>NEOs are eligible to receive an annual grant of phantom units based on a formula tied to salary and PAA’s unit price. The size of the annual grant for a specified individual is based on a designated target percentage of their base salary that takes into account their expected contribution in respect of longer term performance objectives.</w:t>
      </w:r>
    </w:p>
    <w:p>
      <w:pPr>
        <w:spacing w:after="0" w:line="109"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Annual equity grants typically require minimum service periods of three years in order to encourage long-term retention. A phantom unit grant provides the holder with the right to receive, upon the satisfaction of vesting criteria specified in the grant, a PAA common unit (or cash equivalent). We do not use options as a form of incentive compensation. Terms of phantom unit grants may vary, but generally phantom units vest upon the later of achievement of designated performance thresholds and continued employment for a full three-year period. Phantom unit grants for the Named Executive Officers typically include DERs, and for awards granted in 2022, DERs on the performance-based portion of such awards accrue from the grant date and will be payable only if and to the extent the underlying phantom units vest at the end of the three-year performance period. DERs on the time-based portion of such awards accrue for the first year following the grant date, with such accrued amount being paid out on the first anniversary of the grant date, and then are paid on a quarterly basis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2022 Performance Overview and Specific Application of Compensation Elements in 2022</w:t>
      </w:r>
    </w:p>
    <w:p>
      <w:pPr>
        <w:spacing w:after="0" w:line="156" w:lineRule="exact"/>
        <w:rPr>
          <w:sz w:val="20"/>
          <w:szCs w:val="20"/>
          <w:color w:val="auto"/>
        </w:rPr>
      </w:pPr>
    </w:p>
    <w:p>
      <w:pPr>
        <w:ind w:left="1260" w:right="439" w:firstLine="360"/>
        <w:spacing w:after="0" w:line="276" w:lineRule="auto"/>
        <w:rPr>
          <w:sz w:val="20"/>
          <w:szCs w:val="20"/>
          <w:color w:val="auto"/>
        </w:rPr>
      </w:pPr>
      <w:r>
        <w:rPr>
          <w:rFonts w:ascii="Arial" w:cs="Arial" w:eastAsia="Arial" w:hAnsi="Arial"/>
          <w:sz w:val="18"/>
          <w:szCs w:val="18"/>
          <w:color w:val="auto"/>
        </w:rPr>
        <w:t>At the beginning of 2022, we established key quantitative financial, safety and environmental objectives, along with several qualitative goals. These objectives and goals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98425</wp:posOffset>
            </wp:positionV>
            <wp:extent cx="5212080" cy="46202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2080" cy="4620260"/>
                    </a:xfrm>
                    <a:prstGeom prst="rect">
                      <a:avLst/>
                    </a:prstGeom>
                    <a:noFill/>
                  </pic:spPr>
                </pic:pic>
              </a:graphicData>
            </a:graphic>
          </wp:anchor>
        </w:drawing>
      </w:r>
    </w:p>
    <w:p>
      <w:pPr>
        <w:spacing w:after="0" w:line="180" w:lineRule="exact"/>
        <w:rPr>
          <w:sz w:val="20"/>
          <w:szCs w:val="20"/>
          <w:color w:val="auto"/>
        </w:rPr>
      </w:pPr>
    </w:p>
    <w:p>
      <w:pPr>
        <w:ind w:left="3240"/>
        <w:spacing w:after="0"/>
        <w:rPr>
          <w:sz w:val="20"/>
          <w:szCs w:val="20"/>
          <w:color w:val="auto"/>
        </w:rPr>
      </w:pPr>
      <w:r>
        <w:rPr>
          <w:rFonts w:ascii="Arial" w:cs="Arial" w:eastAsia="Arial" w:hAnsi="Arial"/>
          <w:sz w:val="14"/>
          <w:szCs w:val="14"/>
          <w:b w:val="1"/>
          <w:bCs w:val="1"/>
          <w:color w:val="FFFFFF"/>
        </w:rPr>
        <w:t>2022 Performance Objectives and Results (all figures rounded)</w:t>
      </w:r>
    </w:p>
    <w:p>
      <w:pPr>
        <w:spacing w:after="0" w:line="55" w:lineRule="exact"/>
        <w:rPr>
          <w:sz w:val="20"/>
          <w:szCs w:val="20"/>
          <w:color w:val="auto"/>
        </w:rPr>
      </w:pPr>
    </w:p>
    <w:tbl>
      <w:tblPr>
        <w:tblLayout w:type="fixed"/>
        <w:tblInd w:w="1260" w:type="dxa"/>
        <w:tblCellMar>
          <w:top w:w="0" w:type="dxa"/>
          <w:left w:w="0" w:type="dxa"/>
          <w:bottom w:w="0" w:type="dxa"/>
          <w:right w:w="0" w:type="dxa"/>
        </w:tblCellMar>
      </w:tblPr>
      <w:tr>
        <w:trPr>
          <w:trHeight w:val="266"/>
        </w:trPr>
        <w:tc>
          <w:tcPr>
            <w:tcW w:w="20" w:type="dxa"/>
            <w:vAlign w:val="bottom"/>
          </w:tcPr>
          <w:p>
            <w:pPr>
              <w:spacing w:after="0"/>
              <w:rPr>
                <w:sz w:val="23"/>
                <w:szCs w:val="23"/>
                <w:color w:val="auto"/>
              </w:rPr>
            </w:pPr>
          </w:p>
        </w:tc>
        <w:tc>
          <w:tcPr>
            <w:tcW w:w="26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8"/>
                <w:szCs w:val="18"/>
                <w:b w:val="1"/>
                <w:bCs w:val="1"/>
                <w:color w:val="auto"/>
              </w:rPr>
              <w:t>Quantitative Goals</w:t>
            </w:r>
          </w:p>
        </w:tc>
        <w:tc>
          <w:tcPr>
            <w:tcW w:w="100" w:type="dxa"/>
            <w:vAlign w:val="bottom"/>
            <w:tcBorders>
              <w:bottom w:val="single" w:sz="8" w:color="424E6A"/>
              <w:right w:val="single" w:sz="8" w:color="D9DCE1"/>
            </w:tcBorders>
            <w:shd w:val="clear" w:color="auto" w:fill="D9DCE1"/>
          </w:tcPr>
          <w:p>
            <w:pPr>
              <w:spacing w:after="0"/>
              <w:rPr>
                <w:sz w:val="23"/>
                <w:szCs w:val="23"/>
                <w:color w:val="auto"/>
              </w:rPr>
            </w:pPr>
          </w:p>
        </w:tc>
        <w:tc>
          <w:tcPr>
            <w:tcW w:w="720" w:type="dxa"/>
            <w:vAlign w:val="bottom"/>
            <w:tcBorders>
              <w:bottom w:val="single" w:sz="8" w:color="424E6A"/>
            </w:tcBorders>
            <w:shd w:val="clear" w:color="auto" w:fill="D9DCE1"/>
          </w:tcPr>
          <w:p>
            <w:pPr>
              <w:spacing w:after="0"/>
              <w:rPr>
                <w:sz w:val="23"/>
                <w:szCs w:val="23"/>
                <w:color w:val="auto"/>
              </w:rPr>
            </w:pPr>
          </w:p>
        </w:tc>
        <w:tc>
          <w:tcPr>
            <w:tcW w:w="1780" w:type="dxa"/>
            <w:vAlign w:val="bottom"/>
            <w:tcBorders>
              <w:bottom w:val="single" w:sz="8" w:color="424E6A"/>
            </w:tcBorders>
            <w:shd w:val="clear" w:color="auto" w:fill="D9DCE1"/>
          </w:tcPr>
          <w:p>
            <w:pPr>
              <w:spacing w:after="0"/>
              <w:rPr>
                <w:sz w:val="23"/>
                <w:szCs w:val="23"/>
                <w:color w:val="auto"/>
              </w:rPr>
            </w:pPr>
          </w:p>
        </w:tc>
        <w:tc>
          <w:tcPr>
            <w:tcW w:w="260" w:type="dxa"/>
            <w:vAlign w:val="bottom"/>
            <w:tcBorders>
              <w:bottom w:val="single" w:sz="8" w:color="424E6A"/>
              <w:right w:val="single" w:sz="8" w:color="D9DCE1"/>
            </w:tcBorders>
            <w:shd w:val="clear" w:color="auto" w:fill="D9DCE1"/>
          </w:tcPr>
          <w:p>
            <w:pPr>
              <w:spacing w:after="0"/>
              <w:rPr>
                <w:sz w:val="23"/>
                <w:szCs w:val="23"/>
                <w:color w:val="auto"/>
              </w:rPr>
            </w:pPr>
          </w:p>
        </w:tc>
        <w:tc>
          <w:tcPr>
            <w:tcW w:w="220" w:type="dxa"/>
            <w:vAlign w:val="bottom"/>
            <w:tcBorders>
              <w:bottom w:val="single" w:sz="8" w:color="424E6A"/>
            </w:tcBorders>
            <w:shd w:val="clear" w:color="auto" w:fill="D9DCE1"/>
          </w:tcPr>
          <w:p>
            <w:pPr>
              <w:spacing w:after="0"/>
              <w:rPr>
                <w:sz w:val="23"/>
                <w:szCs w:val="23"/>
                <w:color w:val="auto"/>
              </w:rPr>
            </w:pPr>
          </w:p>
        </w:tc>
        <w:tc>
          <w:tcPr>
            <w:tcW w:w="2480" w:type="dxa"/>
            <w:vAlign w:val="bottom"/>
            <w:tcBorders>
              <w:bottom w:val="single" w:sz="8" w:color="424E6A"/>
            </w:tcBorders>
            <w:shd w:val="clear" w:color="auto" w:fill="D9DCE1"/>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20" w:type="dxa"/>
            <w:vAlign w:val="bottom"/>
            <w:tcBorders>
              <w:bottom w:val="single" w:sz="8" w:color="424E6A"/>
            </w:tcBorders>
          </w:tcPr>
          <w:p>
            <w:pPr>
              <w:ind w:left="1020"/>
              <w:spacing w:after="0"/>
              <w:rPr>
                <w:sz w:val="20"/>
                <w:szCs w:val="20"/>
                <w:color w:val="auto"/>
              </w:rPr>
            </w:pPr>
            <w:r>
              <w:rPr>
                <w:rFonts w:ascii="Arial" w:cs="Arial" w:eastAsia="Arial" w:hAnsi="Arial"/>
                <w:sz w:val="18"/>
                <w:szCs w:val="18"/>
                <w:b w:val="1"/>
                <w:bCs w:val="1"/>
                <w:color w:val="auto"/>
              </w:rPr>
              <w:t>Metrics</w:t>
            </w:r>
          </w:p>
        </w:tc>
        <w:tc>
          <w:tcPr>
            <w:tcW w:w="10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424E6A"/>
            </w:tcBorders>
          </w:tcPr>
          <w:p>
            <w:pPr>
              <w:ind w:left="4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424E6A"/>
            </w:tcBorders>
          </w:tcPr>
          <w:p>
            <w:pPr>
              <w:ind w:left="180"/>
              <w:spacing w:after="0"/>
              <w:rPr>
                <w:sz w:val="20"/>
                <w:szCs w:val="20"/>
                <w:color w:val="auto"/>
              </w:rPr>
            </w:pPr>
            <w:r>
              <w:rPr>
                <w:rFonts w:ascii="Arial" w:cs="Arial" w:eastAsia="Arial" w:hAnsi="Arial"/>
                <w:sz w:val="18"/>
                <w:szCs w:val="18"/>
                <w:b w:val="1"/>
                <w:bCs w:val="1"/>
                <w:color w:val="auto"/>
              </w:rPr>
              <w:t>2022 Goals</w:t>
            </w:r>
          </w:p>
        </w:tc>
        <w:tc>
          <w:tcPr>
            <w:tcW w:w="260" w:type="dxa"/>
            <w:vAlign w:val="bottom"/>
            <w:tcBorders>
              <w:bottom w:val="single" w:sz="8" w:color="424E6A"/>
              <w:right w:val="single" w:sz="8" w:color="424E6A"/>
            </w:tcBorders>
          </w:tcPr>
          <w:p>
            <w:pPr>
              <w:ind w:left="2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424E6A"/>
            </w:tcBorders>
          </w:tcPr>
          <w:p>
            <w:pPr>
              <w:ind w:left="40"/>
              <w:spacing w:after="0"/>
              <w:rPr>
                <w:sz w:val="20"/>
                <w:szCs w:val="20"/>
                <w:color w:val="auto"/>
              </w:rPr>
            </w:pPr>
            <w:r>
              <w:rPr>
                <w:rFonts w:ascii="Arial" w:cs="Arial" w:eastAsia="Arial" w:hAnsi="Arial"/>
                <w:sz w:val="18"/>
                <w:szCs w:val="18"/>
                <w:b w:val="1"/>
                <w:bCs w:val="1"/>
                <w:color w:val="auto"/>
              </w:rPr>
              <w:t>​</w:t>
            </w:r>
          </w:p>
        </w:tc>
        <w:tc>
          <w:tcPr>
            <w:tcW w:w="2480" w:type="dxa"/>
            <w:vAlign w:val="bottom"/>
            <w:tcBorders>
              <w:bottom w:val="single" w:sz="8" w:color="424E6A"/>
            </w:tcBorders>
          </w:tcPr>
          <w:p>
            <w:pPr>
              <w:ind w:left="600"/>
              <w:spacing w:after="0"/>
              <w:rPr>
                <w:sz w:val="20"/>
                <w:szCs w:val="20"/>
                <w:color w:val="auto"/>
              </w:rPr>
            </w:pPr>
            <w:r>
              <w:rPr>
                <w:rFonts w:ascii="Arial" w:cs="Arial" w:eastAsia="Arial" w:hAnsi="Arial"/>
                <w:sz w:val="18"/>
                <w:szCs w:val="18"/>
                <w:b w:val="1"/>
                <w:bCs w:val="1"/>
                <w:color w:val="auto"/>
              </w:rPr>
              <w:t>2022 Results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ind w:left="60"/>
              <w:spacing w:after="0" w:line="202" w:lineRule="exact"/>
              <w:rPr>
                <w:sz w:val="20"/>
                <w:szCs w:val="20"/>
                <w:color w:val="auto"/>
              </w:rPr>
            </w:pPr>
            <w:r>
              <w:rPr>
                <w:rFonts w:ascii="Arial" w:cs="Arial" w:eastAsia="Arial" w:hAnsi="Arial"/>
                <w:sz w:val="18"/>
                <w:szCs w:val="18"/>
                <w:color w:val="auto"/>
                <w:w w:val="99"/>
              </w:rPr>
              <w:t>Adjusted EBITDA attributable to</w:t>
            </w:r>
          </w:p>
        </w:tc>
        <w:tc>
          <w:tcPr>
            <w:tcW w:w="100" w:type="dxa"/>
            <w:vAlign w:val="bottom"/>
            <w:tcBorders>
              <w:right w:val="single" w:sz="8" w:color="424E6A"/>
            </w:tcBorders>
          </w:tcPr>
          <w:p>
            <w:pPr>
              <w:spacing w:after="0"/>
              <w:rPr>
                <w:sz w:val="17"/>
                <w:szCs w:val="17"/>
                <w:color w:val="auto"/>
              </w:rPr>
            </w:pPr>
          </w:p>
        </w:tc>
        <w:tc>
          <w:tcPr>
            <w:tcW w:w="2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$2.2 billion</w:t>
            </w:r>
          </w:p>
        </w:tc>
        <w:tc>
          <w:tcPr>
            <w:tcW w:w="260" w:type="dxa"/>
            <w:vAlign w:val="bottom"/>
            <w:tcBorders>
              <w:right w:val="single" w:sz="8" w:color="424E6A"/>
            </w:tcBorders>
          </w:tcPr>
          <w:p>
            <w:pPr>
              <w:spacing w:after="0"/>
              <w:rPr>
                <w:sz w:val="17"/>
                <w:szCs w:val="17"/>
                <w:color w:val="auto"/>
              </w:rPr>
            </w:pPr>
          </w:p>
        </w:tc>
        <w:tc>
          <w:tcPr>
            <w:tcW w:w="2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$2.510 billion</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620" w:type="dxa"/>
            <w:vAlign w:val="bottom"/>
            <w:tcBorders>
              <w:bottom w:val="single" w:sz="8" w:color="424E6A"/>
            </w:tcBorders>
          </w:tcPr>
          <w:p>
            <w:pPr>
              <w:ind w:left="60"/>
              <w:spacing w:after="0" w:line="278" w:lineRule="exact"/>
              <w:rPr>
                <w:sz w:val="20"/>
                <w:szCs w:val="20"/>
                <w:color w:val="auto"/>
              </w:rPr>
            </w:pPr>
            <w:r>
              <w:rPr>
                <w:rFonts w:ascii="Arial" w:cs="Arial" w:eastAsia="Arial" w:hAnsi="Arial"/>
                <w:sz w:val="32"/>
                <w:szCs w:val="32"/>
                <w:color w:val="auto"/>
                <w:vertAlign w:val="subscript"/>
              </w:rPr>
              <w:t>PAA</w:t>
            </w:r>
            <w:r>
              <w:rPr>
                <w:rFonts w:ascii="Arial" w:cs="Arial" w:eastAsia="Arial" w:hAnsi="Arial"/>
                <w:sz w:val="11"/>
                <w:szCs w:val="11"/>
                <w:color w:val="auto"/>
              </w:rPr>
              <w:t>(1)</w:t>
            </w:r>
          </w:p>
        </w:tc>
        <w:tc>
          <w:tcPr>
            <w:tcW w:w="100" w:type="dxa"/>
            <w:vAlign w:val="bottom"/>
            <w:tcBorders>
              <w:bottom w:val="single" w:sz="8" w:color="424E6A"/>
              <w:right w:val="single" w:sz="8" w:color="424E6A"/>
            </w:tcBorders>
          </w:tcPr>
          <w:p>
            <w:pPr>
              <w:spacing w:after="0"/>
              <w:rPr>
                <w:sz w:val="24"/>
                <w:szCs w:val="24"/>
                <w:color w:val="auto"/>
              </w:rPr>
            </w:pPr>
          </w:p>
        </w:tc>
        <w:tc>
          <w:tcPr>
            <w:tcW w:w="720" w:type="dxa"/>
            <w:vAlign w:val="bottom"/>
            <w:tcBorders>
              <w:bottom w:val="single" w:sz="8" w:color="424E6A"/>
            </w:tcBorders>
          </w:tcPr>
          <w:p>
            <w:pPr>
              <w:spacing w:after="0"/>
              <w:rPr>
                <w:sz w:val="24"/>
                <w:szCs w:val="24"/>
                <w:color w:val="auto"/>
              </w:rPr>
            </w:pPr>
          </w:p>
        </w:tc>
        <w:tc>
          <w:tcPr>
            <w:tcW w:w="1780" w:type="dxa"/>
            <w:vAlign w:val="bottom"/>
            <w:tcBorders>
              <w:bottom w:val="single" w:sz="8" w:color="424E6A"/>
            </w:tcBorders>
          </w:tcPr>
          <w:p>
            <w:pPr>
              <w:spacing w:after="0"/>
              <w:rPr>
                <w:sz w:val="24"/>
                <w:szCs w:val="24"/>
                <w:color w:val="auto"/>
              </w:rPr>
            </w:pPr>
          </w:p>
        </w:tc>
        <w:tc>
          <w:tcPr>
            <w:tcW w:w="260" w:type="dxa"/>
            <w:vAlign w:val="bottom"/>
            <w:tcBorders>
              <w:bottom w:val="single" w:sz="8" w:color="424E6A"/>
              <w:right w:val="single" w:sz="8" w:color="424E6A"/>
            </w:tcBorders>
          </w:tcPr>
          <w:p>
            <w:pPr>
              <w:spacing w:after="0"/>
              <w:rPr>
                <w:sz w:val="24"/>
                <w:szCs w:val="24"/>
                <w:color w:val="auto"/>
              </w:rPr>
            </w:pPr>
          </w:p>
        </w:tc>
        <w:tc>
          <w:tcPr>
            <w:tcW w:w="220" w:type="dxa"/>
            <w:vAlign w:val="bottom"/>
            <w:tcBorders>
              <w:bottom w:val="single" w:sz="8" w:color="424E6A"/>
            </w:tcBorders>
          </w:tcPr>
          <w:p>
            <w:pPr>
              <w:spacing w:after="0"/>
              <w:rPr>
                <w:sz w:val="24"/>
                <w:szCs w:val="24"/>
                <w:color w:val="auto"/>
              </w:rPr>
            </w:pPr>
          </w:p>
        </w:tc>
        <w:tc>
          <w:tcPr>
            <w:tcW w:w="2480" w:type="dxa"/>
            <w:vAlign w:val="bottom"/>
            <w:tcBorders>
              <w:bottom w:val="single" w:sz="8" w:color="424E6A"/>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ind w:left="60"/>
              <w:spacing w:after="0" w:line="201" w:lineRule="exact"/>
              <w:rPr>
                <w:sz w:val="20"/>
                <w:szCs w:val="20"/>
                <w:color w:val="auto"/>
              </w:rPr>
            </w:pPr>
            <w:r>
              <w:rPr>
                <w:rFonts w:ascii="Arial" w:cs="Arial" w:eastAsia="Arial" w:hAnsi="Arial"/>
                <w:sz w:val="18"/>
                <w:szCs w:val="18"/>
                <w:color w:val="auto"/>
              </w:rPr>
              <w:t>Implied DCF per common unit</w:t>
            </w:r>
          </w:p>
        </w:tc>
        <w:tc>
          <w:tcPr>
            <w:tcW w:w="100" w:type="dxa"/>
            <w:vAlign w:val="bottom"/>
            <w:tcBorders>
              <w:right w:val="single" w:sz="8" w:color="424E6A"/>
            </w:tcBorders>
          </w:tcPr>
          <w:p>
            <w:pPr>
              <w:spacing w:after="0"/>
              <w:rPr>
                <w:sz w:val="17"/>
                <w:szCs w:val="17"/>
                <w:color w:val="auto"/>
              </w:rPr>
            </w:pPr>
          </w:p>
        </w:tc>
        <w:tc>
          <w:tcPr>
            <w:tcW w:w="720" w:type="dxa"/>
            <w:vAlign w:val="bottom"/>
          </w:tcPr>
          <w:p>
            <w:pPr>
              <w:ind w:left="100"/>
              <w:spacing w:after="0" w:line="201" w:lineRule="exact"/>
              <w:rPr>
                <w:sz w:val="20"/>
                <w:szCs w:val="20"/>
                <w:color w:val="auto"/>
              </w:rPr>
            </w:pPr>
            <w:r>
              <w:rPr>
                <w:rFonts w:ascii="Arial" w:cs="Arial" w:eastAsia="Arial" w:hAnsi="Arial"/>
                <w:sz w:val="18"/>
                <w:szCs w:val="18"/>
                <w:color w:val="auto"/>
              </w:rPr>
              <w:t>$2.00</w:t>
            </w:r>
          </w:p>
        </w:tc>
        <w:tc>
          <w:tcPr>
            <w:tcW w:w="1780" w:type="dxa"/>
            <w:vAlign w:val="bottom"/>
          </w:tcPr>
          <w:p>
            <w:pPr>
              <w:spacing w:after="0"/>
              <w:rPr>
                <w:sz w:val="17"/>
                <w:szCs w:val="17"/>
                <w:color w:val="auto"/>
              </w:rPr>
            </w:pPr>
          </w:p>
        </w:tc>
        <w:tc>
          <w:tcPr>
            <w:tcW w:w="260" w:type="dxa"/>
            <w:vAlign w:val="bottom"/>
            <w:tcBorders>
              <w:right w:val="single" w:sz="8" w:color="424E6A"/>
            </w:tcBorders>
          </w:tcPr>
          <w:p>
            <w:pPr>
              <w:spacing w:after="0"/>
              <w:rPr>
                <w:sz w:val="17"/>
                <w:szCs w:val="17"/>
                <w:color w:val="auto"/>
              </w:rPr>
            </w:pPr>
          </w:p>
        </w:tc>
        <w:tc>
          <w:tcPr>
            <w:tcW w:w="27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62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and CUE</w:t>
            </w:r>
            <w:r>
              <w:rPr>
                <w:rFonts w:ascii="Arial" w:cs="Arial" w:eastAsia="Arial" w:hAnsi="Arial"/>
                <w:sz w:val="23"/>
                <w:szCs w:val="23"/>
                <w:color w:val="auto"/>
                <w:vertAlign w:val="superscript"/>
              </w:rPr>
              <w:t>(1)</w:t>
            </w:r>
          </w:p>
        </w:tc>
        <w:tc>
          <w:tcPr>
            <w:tcW w:w="100" w:type="dxa"/>
            <w:vAlign w:val="bottom"/>
            <w:tcBorders>
              <w:bottom w:val="single" w:sz="8" w:color="424E6A"/>
              <w:right w:val="single" w:sz="8" w:color="424E6A"/>
            </w:tcBorders>
          </w:tcPr>
          <w:p>
            <w:pPr>
              <w:spacing w:after="0"/>
              <w:rPr>
                <w:sz w:val="24"/>
                <w:szCs w:val="24"/>
                <w:color w:val="auto"/>
              </w:rPr>
            </w:pPr>
          </w:p>
        </w:tc>
        <w:tc>
          <w:tcPr>
            <w:tcW w:w="720" w:type="dxa"/>
            <w:vAlign w:val="bottom"/>
            <w:tcBorders>
              <w:bottom w:val="single" w:sz="8" w:color="424E6A"/>
            </w:tcBorders>
          </w:tcPr>
          <w:p>
            <w:pPr>
              <w:spacing w:after="0"/>
              <w:rPr>
                <w:sz w:val="24"/>
                <w:szCs w:val="24"/>
                <w:color w:val="auto"/>
              </w:rPr>
            </w:pPr>
          </w:p>
        </w:tc>
        <w:tc>
          <w:tcPr>
            <w:tcW w:w="1780" w:type="dxa"/>
            <w:vAlign w:val="bottom"/>
            <w:tcBorders>
              <w:bottom w:val="single" w:sz="8" w:color="424E6A"/>
            </w:tcBorders>
          </w:tcPr>
          <w:p>
            <w:pPr>
              <w:spacing w:after="0"/>
              <w:rPr>
                <w:sz w:val="24"/>
                <w:szCs w:val="24"/>
                <w:color w:val="auto"/>
              </w:rPr>
            </w:pPr>
          </w:p>
        </w:tc>
        <w:tc>
          <w:tcPr>
            <w:tcW w:w="260" w:type="dxa"/>
            <w:vAlign w:val="bottom"/>
            <w:tcBorders>
              <w:bottom w:val="single" w:sz="8" w:color="424E6A"/>
              <w:right w:val="single" w:sz="8" w:color="424E6A"/>
            </w:tcBorders>
          </w:tcPr>
          <w:p>
            <w:pPr>
              <w:spacing w:after="0"/>
              <w:rPr>
                <w:sz w:val="24"/>
                <w:szCs w:val="24"/>
                <w:color w:val="auto"/>
              </w:rPr>
            </w:pPr>
          </w:p>
        </w:tc>
        <w:tc>
          <w:tcPr>
            <w:tcW w:w="220" w:type="dxa"/>
            <w:vAlign w:val="bottom"/>
            <w:tcBorders>
              <w:bottom w:val="single" w:sz="8" w:color="424E6A"/>
            </w:tcBorders>
          </w:tcPr>
          <w:p>
            <w:pPr>
              <w:spacing w:after="0"/>
              <w:rPr>
                <w:sz w:val="24"/>
                <w:szCs w:val="24"/>
                <w:color w:val="auto"/>
              </w:rPr>
            </w:pPr>
          </w:p>
        </w:tc>
        <w:tc>
          <w:tcPr>
            <w:tcW w:w="2480" w:type="dxa"/>
            <w:vAlign w:val="bottom"/>
            <w:tcBorders>
              <w:bottom w:val="single" w:sz="8" w:color="424E6A"/>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auto"/>
              </w:rPr>
              <w:t>Safety and Environmental</w:t>
            </w:r>
          </w:p>
        </w:tc>
        <w:tc>
          <w:tcPr>
            <w:tcW w:w="100" w:type="dxa"/>
            <w:vAlign w:val="bottom"/>
            <w:tcBorders>
              <w:right w:val="single" w:sz="8" w:color="424E6A"/>
            </w:tcBorders>
          </w:tcPr>
          <w:p>
            <w:pPr>
              <w:spacing w:after="0"/>
              <w:rPr>
                <w:sz w:val="21"/>
                <w:szCs w:val="21"/>
                <w:color w:val="auto"/>
              </w:rPr>
            </w:pP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20% improvement in certain</w:t>
            </w:r>
          </w:p>
        </w:tc>
        <w:tc>
          <w:tcPr>
            <w:tcW w:w="260" w:type="dxa"/>
            <w:vAlign w:val="bottom"/>
            <w:tcBorders>
              <w:right w:val="single" w:sz="8" w:color="424E6A"/>
            </w:tcBorders>
          </w:tcPr>
          <w:p>
            <w:pPr>
              <w:spacing w:after="0"/>
              <w:rPr>
                <w:sz w:val="21"/>
                <w:szCs w:val="21"/>
                <w:color w:val="auto"/>
              </w:rPr>
            </w:pP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  ~18% reduction in recordable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Borders>
              <w:right w:val="single" w:sz="8" w:color="424E6A"/>
            </w:tcBorders>
          </w:tcPr>
          <w:p>
            <w:pPr>
              <w:spacing w:after="0"/>
              <w:rPr>
                <w:sz w:val="18"/>
                <w:szCs w:val="18"/>
                <w:color w:val="auto"/>
              </w:rPr>
            </w:pP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safety and environmental</w:t>
            </w:r>
          </w:p>
        </w:tc>
        <w:tc>
          <w:tcPr>
            <w:tcW w:w="260" w:type="dxa"/>
            <w:vAlign w:val="bottom"/>
            <w:tcBorders>
              <w:right w:val="single" w:sz="8" w:color="424E6A"/>
            </w:tcBorders>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ind w:left="80"/>
              <w:spacing w:after="0"/>
              <w:rPr>
                <w:sz w:val="20"/>
                <w:szCs w:val="20"/>
                <w:color w:val="auto"/>
              </w:rPr>
            </w:pPr>
            <w:r>
              <w:rPr>
                <w:rFonts w:ascii="Arial" w:cs="Arial" w:eastAsia="Arial" w:hAnsi="Arial"/>
                <w:sz w:val="18"/>
                <w:szCs w:val="18"/>
                <w:color w:val="auto"/>
              </w:rPr>
              <w:t>injuries</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Borders>
              <w:right w:val="single" w:sz="8" w:color="424E6A"/>
            </w:tcBorders>
          </w:tcPr>
          <w:p>
            <w:pPr>
              <w:spacing w:after="0"/>
              <w:rPr>
                <w:sz w:val="20"/>
                <w:szCs w:val="20"/>
                <w:color w:val="auto"/>
              </w:rPr>
            </w:pP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metrics over 2020 results</w:t>
            </w:r>
          </w:p>
        </w:tc>
        <w:tc>
          <w:tcPr>
            <w:tcW w:w="260" w:type="dxa"/>
            <w:vAlign w:val="bottom"/>
            <w:tcBorders>
              <w:right w:val="single" w:sz="8" w:color="424E6A"/>
            </w:tcBorders>
          </w:tcPr>
          <w:p>
            <w:pPr>
              <w:spacing w:after="0"/>
              <w:rPr>
                <w:sz w:val="20"/>
                <w:szCs w:val="20"/>
                <w:color w:val="auto"/>
              </w:rPr>
            </w:pPr>
          </w:p>
        </w:tc>
        <w:tc>
          <w:tcPr>
            <w:tcW w:w="22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480" w:type="dxa"/>
            <w:vAlign w:val="bottom"/>
            <w:vMerge w:val="restart"/>
          </w:tcPr>
          <w:p>
            <w:pPr>
              <w:ind w:left="40"/>
              <w:spacing w:after="0"/>
              <w:rPr>
                <w:sz w:val="20"/>
                <w:szCs w:val="20"/>
                <w:color w:val="auto"/>
              </w:rPr>
            </w:pPr>
            <w:r>
              <w:rPr>
                <w:rFonts w:ascii="Arial" w:cs="Arial" w:eastAsia="Arial" w:hAnsi="Arial"/>
                <w:sz w:val="18"/>
                <w:szCs w:val="18"/>
                <w:color w:val="auto"/>
              </w:rPr>
              <w:t>~35% decrease in number of</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00" w:type="dxa"/>
            <w:vAlign w:val="bottom"/>
            <w:tcBorders>
              <w:right w:val="single" w:sz="8" w:color="424E6A"/>
            </w:tcBorders>
          </w:tcPr>
          <w:p>
            <w:pPr>
              <w:spacing w:after="0"/>
              <w:rPr>
                <w:sz w:val="6"/>
                <w:szCs w:val="6"/>
                <w:color w:val="auto"/>
              </w:rPr>
            </w:pPr>
          </w:p>
        </w:tc>
        <w:tc>
          <w:tcPr>
            <w:tcW w:w="7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60" w:type="dxa"/>
            <w:vAlign w:val="bottom"/>
            <w:tcBorders>
              <w:right w:val="single" w:sz="8" w:color="424E6A"/>
            </w:tcBorders>
          </w:tcPr>
          <w:p>
            <w:pPr>
              <w:spacing w:after="0"/>
              <w:rPr>
                <w:sz w:val="6"/>
                <w:szCs w:val="6"/>
                <w:color w:val="auto"/>
              </w:rPr>
            </w:pPr>
          </w:p>
        </w:tc>
        <w:tc>
          <w:tcPr>
            <w:tcW w:w="220" w:type="dxa"/>
            <w:vAlign w:val="bottom"/>
            <w:vMerge w:val="continue"/>
          </w:tcPr>
          <w:p>
            <w:pPr>
              <w:spacing w:after="0"/>
              <w:rPr>
                <w:sz w:val="6"/>
                <w:szCs w:val="6"/>
                <w:color w:val="auto"/>
              </w:rPr>
            </w:pPr>
          </w:p>
        </w:tc>
        <w:tc>
          <w:tcPr>
            <w:tcW w:w="2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424E6A"/>
            </w:tcBorders>
          </w:tcPr>
          <w:p>
            <w:pPr>
              <w:spacing w:after="0"/>
              <w:rPr>
                <w:sz w:val="21"/>
                <w:szCs w:val="21"/>
                <w:color w:val="auto"/>
              </w:rPr>
            </w:pPr>
          </w:p>
        </w:tc>
        <w:tc>
          <w:tcPr>
            <w:tcW w:w="2620" w:type="dxa"/>
            <w:vAlign w:val="bottom"/>
            <w:tcBorders>
              <w:bottom w:val="single" w:sz="8" w:color="424E6A"/>
            </w:tcBorders>
          </w:tcPr>
          <w:p>
            <w:pPr>
              <w:spacing w:after="0"/>
              <w:rPr>
                <w:sz w:val="21"/>
                <w:szCs w:val="21"/>
                <w:color w:val="auto"/>
              </w:rPr>
            </w:pPr>
          </w:p>
        </w:tc>
        <w:tc>
          <w:tcPr>
            <w:tcW w:w="100" w:type="dxa"/>
            <w:vAlign w:val="bottom"/>
            <w:tcBorders>
              <w:bottom w:val="single" w:sz="8" w:color="424E6A"/>
              <w:right w:val="single" w:sz="8" w:color="424E6A"/>
            </w:tcBorders>
          </w:tcPr>
          <w:p>
            <w:pPr>
              <w:spacing w:after="0"/>
              <w:rPr>
                <w:sz w:val="21"/>
                <w:szCs w:val="21"/>
                <w:color w:val="auto"/>
              </w:rPr>
            </w:pPr>
          </w:p>
        </w:tc>
        <w:tc>
          <w:tcPr>
            <w:tcW w:w="720" w:type="dxa"/>
            <w:vAlign w:val="bottom"/>
            <w:tcBorders>
              <w:bottom w:val="single" w:sz="8" w:color="424E6A"/>
            </w:tcBorders>
          </w:tcPr>
          <w:p>
            <w:pPr>
              <w:spacing w:after="0"/>
              <w:rPr>
                <w:sz w:val="21"/>
                <w:szCs w:val="21"/>
                <w:color w:val="auto"/>
              </w:rPr>
            </w:pPr>
          </w:p>
        </w:tc>
        <w:tc>
          <w:tcPr>
            <w:tcW w:w="1780" w:type="dxa"/>
            <w:vAlign w:val="bottom"/>
            <w:tcBorders>
              <w:bottom w:val="single" w:sz="8" w:color="424E6A"/>
            </w:tcBorders>
          </w:tcPr>
          <w:p>
            <w:pPr>
              <w:spacing w:after="0"/>
              <w:rPr>
                <w:sz w:val="21"/>
                <w:szCs w:val="21"/>
                <w:color w:val="auto"/>
              </w:rPr>
            </w:pPr>
          </w:p>
        </w:tc>
        <w:tc>
          <w:tcPr>
            <w:tcW w:w="260" w:type="dxa"/>
            <w:vAlign w:val="bottom"/>
            <w:tcBorders>
              <w:bottom w:val="single" w:sz="8" w:color="424E6A"/>
              <w:right w:val="single" w:sz="8" w:color="424E6A"/>
            </w:tcBorders>
          </w:tcPr>
          <w:p>
            <w:pPr>
              <w:spacing w:after="0"/>
              <w:rPr>
                <w:sz w:val="21"/>
                <w:szCs w:val="21"/>
                <w:color w:val="auto"/>
              </w:rPr>
            </w:pPr>
          </w:p>
        </w:tc>
        <w:tc>
          <w:tcPr>
            <w:tcW w:w="220" w:type="dxa"/>
            <w:vAlign w:val="bottom"/>
            <w:tcBorders>
              <w:bottom w:val="single" w:sz="8" w:color="424E6A"/>
            </w:tcBorders>
          </w:tcPr>
          <w:p>
            <w:pPr>
              <w:spacing w:after="0"/>
              <w:rPr>
                <w:sz w:val="21"/>
                <w:szCs w:val="21"/>
                <w:color w:val="auto"/>
              </w:rPr>
            </w:pPr>
          </w:p>
        </w:tc>
        <w:tc>
          <w:tcPr>
            <w:tcW w:w="24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federally reportable releases</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shd w:val="clear" w:color="auto" w:fill="D9DCE1"/>
          </w:tcPr>
          <w:p>
            <w:pPr>
              <w:ind w:left="40"/>
              <w:spacing w:after="0"/>
              <w:rPr>
                <w:sz w:val="20"/>
                <w:szCs w:val="20"/>
                <w:color w:val="auto"/>
              </w:rPr>
            </w:pPr>
            <w:r>
              <w:rPr>
                <w:rFonts w:ascii="Arial" w:cs="Arial" w:eastAsia="Arial" w:hAnsi="Arial"/>
                <w:sz w:val="18"/>
                <w:szCs w:val="18"/>
                <w:b w:val="1"/>
                <w:bCs w:val="1"/>
                <w:color w:val="auto"/>
              </w:rPr>
              <w:t>Qualitative Goals</w:t>
            </w:r>
          </w:p>
        </w:tc>
        <w:tc>
          <w:tcPr>
            <w:tcW w:w="100" w:type="dxa"/>
            <w:vAlign w:val="bottom"/>
            <w:tcBorders>
              <w:right w:val="single" w:sz="8" w:color="D9DCE1"/>
            </w:tcBorders>
            <w:shd w:val="clear" w:color="auto" w:fill="D9DCE1"/>
          </w:tcPr>
          <w:p>
            <w:pPr>
              <w:spacing w:after="0"/>
              <w:rPr>
                <w:sz w:val="23"/>
                <w:szCs w:val="23"/>
                <w:color w:val="auto"/>
              </w:rPr>
            </w:pPr>
          </w:p>
        </w:tc>
        <w:tc>
          <w:tcPr>
            <w:tcW w:w="720" w:type="dxa"/>
            <w:vAlign w:val="bottom"/>
            <w:shd w:val="clear" w:color="auto" w:fill="D9DCE1"/>
          </w:tcPr>
          <w:p>
            <w:pPr>
              <w:spacing w:after="0"/>
              <w:rPr>
                <w:sz w:val="23"/>
                <w:szCs w:val="23"/>
                <w:color w:val="auto"/>
              </w:rPr>
            </w:pPr>
          </w:p>
        </w:tc>
        <w:tc>
          <w:tcPr>
            <w:tcW w:w="1780" w:type="dxa"/>
            <w:vAlign w:val="bottom"/>
            <w:shd w:val="clear" w:color="auto" w:fill="D9DCE1"/>
          </w:tcPr>
          <w:p>
            <w:pPr>
              <w:spacing w:after="0"/>
              <w:rPr>
                <w:sz w:val="23"/>
                <w:szCs w:val="23"/>
                <w:color w:val="auto"/>
              </w:rPr>
            </w:pPr>
          </w:p>
        </w:tc>
        <w:tc>
          <w:tcPr>
            <w:tcW w:w="260" w:type="dxa"/>
            <w:vAlign w:val="bottom"/>
            <w:tcBorders>
              <w:right w:val="single" w:sz="8" w:color="D9DCE1"/>
            </w:tcBorders>
            <w:shd w:val="clear" w:color="auto" w:fill="D9DCE1"/>
          </w:tcPr>
          <w:p>
            <w:pPr>
              <w:spacing w:after="0"/>
              <w:rPr>
                <w:sz w:val="23"/>
                <w:szCs w:val="23"/>
                <w:color w:val="auto"/>
              </w:rPr>
            </w:pPr>
          </w:p>
        </w:tc>
        <w:tc>
          <w:tcPr>
            <w:tcW w:w="220" w:type="dxa"/>
            <w:vAlign w:val="bottom"/>
            <w:shd w:val="clear" w:color="auto" w:fill="D9DCE1"/>
          </w:tcPr>
          <w:p>
            <w:pPr>
              <w:spacing w:after="0"/>
              <w:rPr>
                <w:sz w:val="23"/>
                <w:szCs w:val="23"/>
                <w:color w:val="auto"/>
              </w:rPr>
            </w:pPr>
          </w:p>
        </w:tc>
        <w:tc>
          <w:tcPr>
            <w:tcW w:w="2480" w:type="dxa"/>
            <w:vAlign w:val="bottom"/>
            <w:shd w:val="clear" w:color="auto" w:fill="D9DCE1"/>
          </w:tcPr>
          <w:p>
            <w:pPr>
              <w:spacing w:after="0"/>
              <w:rPr>
                <w:sz w:val="23"/>
                <w:szCs w:val="23"/>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80" w:right="619" w:hanging="173"/>
        <w:spacing w:after="0" w:line="262"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Financial</w:t>
      </w:r>
      <w:r>
        <w:rPr>
          <w:rFonts w:ascii="Arial" w:cs="Arial" w:eastAsia="Arial" w:hAnsi="Arial"/>
          <w:sz w:val="18"/>
          <w:szCs w:val="18"/>
          <w:color w:val="auto"/>
        </w:rPr>
        <w:t>: strengthen financial positioning and flexibility; complete asset sales of $150 million; achieve a total debt to Adjusted EBITDA ratio of 4.25x or lower by year end; deliver $678 million of free cash flow after distributions (excluding proceeds from asset sales); and return up to 25% of free cash flow after distributions to unitholders.</w:t>
      </w:r>
    </w:p>
    <w:p>
      <w:pPr>
        <w:spacing w:after="0" w:line="41" w:lineRule="exact"/>
        <w:rPr>
          <w:rFonts w:ascii="Arial" w:cs="Arial" w:eastAsia="Arial" w:hAnsi="Arial"/>
          <w:sz w:val="18"/>
          <w:szCs w:val="18"/>
          <w:color w:val="auto"/>
        </w:rPr>
      </w:pPr>
    </w:p>
    <w:p>
      <w:pPr>
        <w:ind w:left="1680" w:hanging="173"/>
        <w:spacing w:after="0"/>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Investment</w:t>
      </w:r>
      <w:r>
        <w:rPr>
          <w:rFonts w:ascii="Arial" w:cs="Arial" w:eastAsia="Arial" w:hAnsi="Arial"/>
          <w:sz w:val="18"/>
          <w:szCs w:val="18"/>
          <w:color w:val="auto"/>
        </w:rPr>
        <w:t>: maintain capital discipline by limiting capital expenditures to no more than</w:t>
      </w:r>
    </w:p>
    <w:p>
      <w:pPr>
        <w:spacing w:after="0" w:line="27" w:lineRule="exact"/>
        <w:rPr>
          <w:rFonts w:ascii="Arial" w:cs="Arial" w:eastAsia="Arial" w:hAnsi="Arial"/>
          <w:sz w:val="18"/>
          <w:szCs w:val="18"/>
          <w:color w:val="auto"/>
        </w:rPr>
      </w:pPr>
    </w:p>
    <w:p>
      <w:pPr>
        <w:ind w:left="1680" w:right="839"/>
        <w:spacing w:after="0" w:line="266" w:lineRule="auto"/>
        <w:rPr>
          <w:rFonts w:ascii="Arial" w:cs="Arial" w:eastAsia="Arial" w:hAnsi="Arial"/>
          <w:sz w:val="18"/>
          <w:szCs w:val="18"/>
          <w:color w:val="auto"/>
        </w:rPr>
      </w:pPr>
      <w:r>
        <w:rPr>
          <w:rFonts w:ascii="Arial" w:cs="Arial" w:eastAsia="Arial" w:hAnsi="Arial"/>
          <w:sz w:val="18"/>
          <w:szCs w:val="18"/>
          <w:color w:val="auto"/>
        </w:rPr>
        <w:t>$275 million; advance key projects, including emerging energy opportunities, that will support future growth and returns; and optimize existing assets.</w:t>
      </w:r>
    </w:p>
    <w:p>
      <w:pPr>
        <w:spacing w:after="0" w:line="49" w:lineRule="exact"/>
        <w:rPr>
          <w:rFonts w:ascii="Arial" w:cs="Arial" w:eastAsia="Arial" w:hAnsi="Arial"/>
          <w:sz w:val="18"/>
          <w:szCs w:val="18"/>
          <w:color w:val="auto"/>
        </w:rPr>
      </w:pPr>
    </w:p>
    <w:p>
      <w:pPr>
        <w:ind w:left="1680" w:right="679" w:hanging="173"/>
        <w:spacing w:after="0" w:line="259"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Operations and Management</w:t>
      </w:r>
      <w:r>
        <w:rPr>
          <w:rFonts w:ascii="Arial" w:cs="Arial" w:eastAsia="Arial" w:hAnsi="Arial"/>
          <w:sz w:val="18"/>
          <w:szCs w:val="18"/>
          <w:color w:val="auto"/>
        </w:rPr>
        <w:t>: advance and complete key programs and initiatives, including convergence efforts, designed to improve the efficiency and scalability of our operations and accounting processes and information systems; progress sustainability goals; and advance key initiatives related to talent development/management, diversity and inclusion, succession planning, employee wellness and performance management.</w:t>
      </w:r>
    </w:p>
    <w:p>
      <w:pPr>
        <w:spacing w:after="0" w:line="125" w:lineRule="exact"/>
        <w:rPr>
          <w:rFonts w:ascii="Arial" w:cs="Arial" w:eastAsia="Arial" w:hAnsi="Arial"/>
          <w:sz w:val="18"/>
          <w:szCs w:val="18"/>
          <w:color w:val="auto"/>
        </w:rPr>
      </w:pPr>
    </w:p>
    <w:p>
      <w:pPr>
        <w:ind w:left="2040" w:right="659" w:hanging="353"/>
        <w:spacing w:after="0" w:line="242" w:lineRule="auto"/>
        <w:tabs>
          <w:tab w:leader="none" w:pos="2040" w:val="left"/>
        </w:tabs>
        <w:numPr>
          <w:ilvl w:val="1"/>
          <w:numId w:val="44"/>
        </w:numPr>
        <w:rPr>
          <w:rFonts w:ascii="Arial" w:cs="Arial" w:eastAsia="Arial" w:hAnsi="Arial"/>
          <w:sz w:val="23"/>
          <w:szCs w:val="23"/>
          <w:color w:val="auto"/>
          <w:vertAlign w:val="superscript"/>
        </w:rPr>
      </w:pPr>
      <w:r>
        <w:rPr>
          <w:rFonts w:ascii="Arial" w:cs="Arial" w:eastAsia="Arial" w:hAnsi="Arial"/>
          <w:sz w:val="18"/>
          <w:szCs w:val="18"/>
          <w:color w:val="auto"/>
        </w:rPr>
        <w:t>Adjusted EBITDA attributable to PAA and Implied DCF are non-GAAP financial measures. Information regarding these non-GAAP financial measures, including a reconciliation to the most directly comparable GAAP measures, is included under the caption “Non-GAAP Financial Measures” beginning on page 72 of PAA’s Annual Report on Form 10-K for the year ended December 31, 2022 as filed with the SEC.</w:t>
      </w:r>
    </w:p>
    <w:p>
      <w:pPr>
        <w:spacing w:after="0" w:line="208" w:lineRule="exact"/>
        <w:rPr>
          <w:sz w:val="20"/>
          <w:szCs w:val="20"/>
          <w:color w:val="auto"/>
        </w:rPr>
      </w:pPr>
    </w:p>
    <w:p>
      <w:pPr>
        <w:ind w:left="1260" w:right="879" w:firstLine="360"/>
        <w:spacing w:after="0" w:line="303" w:lineRule="auto"/>
        <w:rPr>
          <w:sz w:val="20"/>
          <w:szCs w:val="20"/>
          <w:color w:val="auto"/>
        </w:rPr>
      </w:pPr>
      <w:r>
        <w:rPr>
          <w:rFonts w:ascii="Arial" w:cs="Arial" w:eastAsia="Arial" w:hAnsi="Arial"/>
          <w:sz w:val="18"/>
          <w:szCs w:val="18"/>
          <w:color w:val="auto"/>
        </w:rPr>
        <w:t>Set forth below are some highlights regarding our 2022 performance relative to our goals and objectives for the year:</w:t>
      </w:r>
    </w:p>
    <w:p>
      <w:pPr>
        <w:spacing w:after="0" w:line="44" w:lineRule="exact"/>
        <w:rPr>
          <w:sz w:val="20"/>
          <w:szCs w:val="20"/>
          <w:color w:val="auto"/>
        </w:rPr>
      </w:pPr>
    </w:p>
    <w:p>
      <w:pPr>
        <w:ind w:left="1800" w:right="879" w:hanging="180"/>
        <w:spacing w:after="0" w:line="28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Adjusted EBITDA attributable to PAA, we exceeded our goal by 14% driven primarily by volume growth, higher commodity prices and operating performance.</w:t>
      </w:r>
    </w:p>
    <w:p>
      <w:pPr>
        <w:spacing w:after="0" w:line="58" w:lineRule="exact"/>
        <w:rPr>
          <w:rFonts w:ascii="Arial" w:cs="Arial" w:eastAsia="Arial" w:hAnsi="Arial"/>
          <w:sz w:val="18"/>
          <w:szCs w:val="18"/>
          <w:color w:val="auto"/>
        </w:rPr>
      </w:pPr>
    </w:p>
    <w:p>
      <w:pPr>
        <w:ind w:left="1800" w:right="879" w:hanging="180"/>
        <w:spacing w:after="0" w:line="28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addition to the results set forth in the table above, we also reported Free Cash Flow after Distributions of approximately $828 million (vs. our goal for the year of $678 million).</w:t>
      </w:r>
    </w:p>
    <w:p>
      <w:pPr>
        <w:spacing w:after="0" w:line="71" w:lineRule="exact"/>
        <w:rPr>
          <w:rFonts w:ascii="Arial" w:cs="Arial" w:eastAsia="Arial" w:hAnsi="Arial"/>
          <w:sz w:val="18"/>
          <w:szCs w:val="18"/>
          <w:color w:val="auto"/>
        </w:rPr>
      </w:pPr>
    </w:p>
    <w:p>
      <w:pPr>
        <w:ind w:left="1800" w:right="479" w:hanging="180"/>
        <w:spacing w:after="0" w:line="262"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reduced our debt by $774 million and returned approximately $658 million to common equity holders via distributions and unit repurchases. We exited the year with a leverage ratio of 3.7x, achieving the low end of our target range approximately one year earlier than originally planned. We also ended the year with approximately $3.0 billion of committed liquidity.</w:t>
      </w:r>
    </w:p>
    <w:p>
      <w:pPr>
        <w:spacing w:after="0" w:line="95" w:lineRule="exact"/>
        <w:rPr>
          <w:rFonts w:ascii="Arial" w:cs="Arial" w:eastAsia="Arial" w:hAnsi="Arial"/>
          <w:sz w:val="18"/>
          <w:szCs w:val="18"/>
          <w:color w:val="auto"/>
        </w:rPr>
      </w:pPr>
    </w:p>
    <w:p>
      <w:pPr>
        <w:ind w:left="1800" w:right="439" w:hanging="180"/>
        <w:spacing w:after="0" w:line="282" w:lineRule="auto"/>
        <w:tabs>
          <w:tab w:leader="none" w:pos="1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With respect to our stated goals regarding safety and environmental metrics, we achieved a 35% reduction in federally reportable releases and an 18% reduction in safety-related total recordable injury rate, in each case relative to 2020 results. Notably, over the last six years, we have reduced our federally reportable releases by 74% and our total recordable injuries by 78%.</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firstLine="360"/>
        <w:spacing w:after="0" w:line="284" w:lineRule="auto"/>
        <w:rPr>
          <w:sz w:val="20"/>
          <w:szCs w:val="20"/>
          <w:color w:val="auto"/>
        </w:rPr>
      </w:pPr>
      <w:r>
        <w:rPr>
          <w:rFonts w:ascii="Arial" w:cs="Arial" w:eastAsia="Arial" w:hAnsi="Arial"/>
          <w:sz w:val="18"/>
          <w:szCs w:val="18"/>
          <w:color w:val="auto"/>
        </w:rPr>
        <w:t>In developing his annual bonus compensation recommendations, our CEO primarily considered the quantitative factors and context described above. Other factors noted by our CEO as being relevant to his assessment of our 2022 performance included the following:</w:t>
      </w:r>
    </w:p>
    <w:p>
      <w:pPr>
        <w:spacing w:after="0" w:line="75" w:lineRule="exact"/>
        <w:rPr>
          <w:sz w:val="20"/>
          <w:szCs w:val="20"/>
          <w:color w:val="auto"/>
        </w:rPr>
      </w:pPr>
    </w:p>
    <w:p>
      <w:pPr>
        <w:ind w:left="1800" w:right="899" w:hanging="180"/>
        <w:spacing w:after="0" w:line="28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substantially completed the integration of the legacy Oryx assets in connection with the October 2021 formation of the Plains Oryx Permian JV (“POP JV”);</w:t>
      </w:r>
    </w:p>
    <w:p>
      <w:pPr>
        <w:spacing w:after="0" w:line="58" w:lineRule="exact"/>
        <w:rPr>
          <w:rFonts w:ascii="Arial" w:cs="Arial" w:eastAsia="Arial" w:hAnsi="Arial"/>
          <w:sz w:val="18"/>
          <w:szCs w:val="18"/>
          <w:color w:val="auto"/>
        </w:rPr>
      </w:pPr>
    </w:p>
    <w:p>
      <w:pPr>
        <w:ind w:left="1800" w:right="659" w:hanging="180"/>
        <w:spacing w:after="0" w:line="28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added additional dedicated acres to the POP JV and captured additional tariff volumes vs. plan, with a meaningful increase in long-haul volumes;</w:t>
      </w:r>
    </w:p>
    <w:p>
      <w:pPr>
        <w:spacing w:after="0" w:line="71" w:lineRule="exact"/>
        <w:rPr>
          <w:rFonts w:ascii="Arial" w:cs="Arial" w:eastAsia="Arial" w:hAnsi="Arial"/>
          <w:sz w:val="18"/>
          <w:szCs w:val="18"/>
          <w:color w:val="auto"/>
        </w:rPr>
      </w:pPr>
    </w:p>
    <w:p>
      <w:pPr>
        <w:ind w:left="1800" w:right="659" w:hanging="180"/>
        <w:spacing w:after="0" w:line="268"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announced a multi-year capital allocation framework that prioritizes the generation of Free Cash Flow, continued improvement of financial flexibility, and increasing returns of capital to equity holders;</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acquired additional interests in the Cactus II and Advantage pipelines;</w:t>
      </w:r>
    </w:p>
    <w:p>
      <w:pPr>
        <w:spacing w:after="0" w:line="130" w:lineRule="exact"/>
        <w:rPr>
          <w:rFonts w:ascii="Arial" w:cs="Arial" w:eastAsia="Arial" w:hAnsi="Arial"/>
          <w:sz w:val="18"/>
          <w:szCs w:val="18"/>
          <w:color w:val="auto"/>
        </w:rPr>
      </w:pPr>
    </w:p>
    <w:p>
      <w:pPr>
        <w:ind w:left="1800" w:right="1119" w:hanging="180"/>
        <w:spacing w:after="0" w:line="28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advanced several debottlenecking projects at our NGL facilities designed to improve efficiencies;</w:t>
      </w:r>
    </w:p>
    <w:p>
      <w:pPr>
        <w:spacing w:after="0" w:line="71" w:lineRule="exact"/>
        <w:rPr>
          <w:rFonts w:ascii="Arial" w:cs="Arial" w:eastAsia="Arial" w:hAnsi="Arial"/>
          <w:sz w:val="18"/>
          <w:szCs w:val="18"/>
          <w:color w:val="auto"/>
        </w:rPr>
      </w:pPr>
    </w:p>
    <w:p>
      <w:pPr>
        <w:ind w:left="1800" w:right="719" w:hanging="180"/>
        <w:spacing w:after="0" w:line="28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signed agreements to sell our minority interest in the Keyera Ft. Sask JV (this transaction closed in February 2023);</w:t>
      </w:r>
    </w:p>
    <w:p>
      <w:pPr>
        <w:spacing w:after="0" w:line="58"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restructured our Empress Joint Venture, which will allow us to improve operating efficiency at our Empress straddle plants;</w:t>
      </w:r>
    </w:p>
    <w:p>
      <w:pPr>
        <w:spacing w:after="0" w:line="71"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completed the convergence of our U.S. and Canada Operations Management System; and</w:t>
      </w:r>
    </w:p>
    <w:p>
      <w:pPr>
        <w:spacing w:after="0" w:line="144" w:lineRule="exact"/>
        <w:rPr>
          <w:rFonts w:ascii="Arial" w:cs="Arial" w:eastAsia="Arial" w:hAnsi="Arial"/>
          <w:sz w:val="18"/>
          <w:szCs w:val="18"/>
          <w:color w:val="auto"/>
        </w:rPr>
      </w:pPr>
    </w:p>
    <w:p>
      <w:pPr>
        <w:ind w:left="1800" w:right="519" w:hanging="180"/>
        <w:spacing w:after="0" w:line="262"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advanced several emerging energy projects and continued to make meaningful progress on our efforts to plan for the future and continue to improve effectiveness and efficiency in a variety of areas, including employee development and succession planning, internal systems and processes, safety, integrity, environmental stewardship and sustainability.</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2022 Compensation Elements</w:t>
      </w:r>
    </w:p>
    <w:p>
      <w:pPr>
        <w:spacing w:after="0" w:line="14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2022, the elements of compensation were applied as described below.</w:t>
      </w:r>
    </w:p>
    <w:p>
      <w:pPr>
        <w:spacing w:after="0" w:line="158"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In February 2022, the Compensation Committee recommended, and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increases to the base salaries of our Named Executive Officers to maintain competitive pay levels and retain talent. These were the first base salary adjustments since 2017 (other than adjustments in connection with promotions or the assumption of increased responsibility). Following the February 2022 increases, the annual base salaries for the NEOs were as follows:</w:t>
      </w:r>
    </w:p>
    <w:p>
      <w:pPr>
        <w:spacing w:after="0" w:line="164" w:lineRule="exact"/>
        <w:rPr>
          <w:sz w:val="20"/>
          <w:szCs w:val="20"/>
          <w:color w:val="auto"/>
        </w:rPr>
      </w:pPr>
    </w:p>
    <w:tbl>
      <w:tblPr>
        <w:tblLayout w:type="fixed"/>
        <w:tblInd w:w="1630" w:type="dxa"/>
        <w:tblCellMar>
          <w:top w:w="0" w:type="dxa"/>
          <w:left w:w="0" w:type="dxa"/>
          <w:bottom w:w="0" w:type="dxa"/>
          <w:right w:w="0" w:type="dxa"/>
        </w:tblCellMar>
      </w:tblPr>
      <w:tr>
        <w:trPr>
          <w:trHeight w:val="310"/>
        </w:trPr>
        <w:tc>
          <w:tcPr>
            <w:tcW w:w="50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580" w:type="dxa"/>
            <w:vAlign w:val="bottom"/>
            <w:shd w:val="clear" w:color="auto" w:fill="424E6A"/>
          </w:tcPr>
          <w:p>
            <w:pPr>
              <w:ind w:left="440"/>
              <w:spacing w:after="0"/>
              <w:rPr>
                <w:sz w:val="20"/>
                <w:szCs w:val="20"/>
                <w:color w:val="auto"/>
              </w:rPr>
            </w:pPr>
            <w:r>
              <w:rPr>
                <w:rFonts w:ascii="Arial" w:cs="Arial" w:eastAsia="Arial" w:hAnsi="Arial"/>
                <w:sz w:val="14"/>
                <w:szCs w:val="14"/>
                <w:b w:val="1"/>
                <w:bCs w:val="1"/>
                <w:color w:val="FFFFFF"/>
              </w:rPr>
              <w:t>Named Executive Officer</w:t>
            </w:r>
          </w:p>
        </w:tc>
        <w:tc>
          <w:tcPr>
            <w:tcW w:w="1220" w:type="dxa"/>
            <w:vAlign w:val="bottom"/>
            <w:gridSpan w:val="2"/>
            <w:shd w:val="clear" w:color="auto" w:fill="424E6A"/>
          </w:tcPr>
          <w:p>
            <w:pPr>
              <w:ind w:left="460"/>
              <w:spacing w:after="0"/>
              <w:rPr>
                <w:sz w:val="20"/>
                <w:szCs w:val="20"/>
                <w:color w:val="auto"/>
              </w:rPr>
            </w:pPr>
            <w:r>
              <w:rPr>
                <w:rFonts w:ascii="Arial" w:cs="Arial" w:eastAsia="Arial" w:hAnsi="Arial"/>
                <w:sz w:val="14"/>
                <w:szCs w:val="14"/>
                <w:b w:val="1"/>
                <w:bCs w:val="1"/>
                <w:color w:val="FFFFFF"/>
              </w:rPr>
              <w:t>​ ​</w:t>
            </w:r>
          </w:p>
        </w:tc>
        <w:tc>
          <w:tcPr>
            <w:tcW w:w="25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Annual Base Salary</w:t>
            </w:r>
          </w:p>
        </w:tc>
        <w:tc>
          <w:tcPr>
            <w:tcW w:w="66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r>
      <w:tr>
        <w:trPr>
          <w:trHeight w:val="256"/>
        </w:trPr>
        <w:tc>
          <w:tcPr>
            <w:tcW w:w="3080" w:type="dxa"/>
            <w:vAlign w:val="bottom"/>
            <w:tcBorders>
              <w:left w:val="single" w:sz="8" w:color="424E6A"/>
              <w:bottom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Willie Chiang</w:t>
            </w:r>
          </w:p>
        </w:tc>
        <w:tc>
          <w:tcPr>
            <w:tcW w:w="540" w:type="dxa"/>
            <w:vAlign w:val="bottom"/>
            <w:tcBorders>
              <w:bottom w:val="single" w:sz="8" w:color="424E6A"/>
              <w:right w:val="single" w:sz="8" w:color="424E6A"/>
            </w:tcBorders>
            <w:shd w:val="clear" w:color="auto" w:fill="D9DCE1"/>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shd w:val="clear" w:color="auto" w:fill="D9DCE1"/>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$800,000</w:t>
            </w:r>
          </w:p>
        </w:tc>
        <w:tc>
          <w:tcPr>
            <w:tcW w:w="6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08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Harry Pefanis</w:t>
            </w:r>
          </w:p>
        </w:tc>
        <w:tc>
          <w:tcPr>
            <w:tcW w:w="5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$600,000</w:t>
            </w:r>
          </w:p>
        </w:tc>
        <w:tc>
          <w:tcPr>
            <w:tcW w:w="6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08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 Swanson</w:t>
            </w:r>
          </w:p>
        </w:tc>
        <w:tc>
          <w:tcPr>
            <w:tcW w:w="540" w:type="dxa"/>
            <w:vAlign w:val="bottom"/>
            <w:tcBorders>
              <w:bottom w:val="single" w:sz="8" w:color="424E6A"/>
              <w:right w:val="single" w:sz="8" w:color="424E6A"/>
            </w:tcBorders>
            <w:shd w:val="clear" w:color="auto" w:fill="D9DCE1"/>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$550,000</w:t>
            </w:r>
          </w:p>
        </w:tc>
        <w:tc>
          <w:tcPr>
            <w:tcW w:w="6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08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5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$550,000</w:t>
            </w:r>
          </w:p>
        </w:tc>
        <w:tc>
          <w:tcPr>
            <w:tcW w:w="6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08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 Chandler</w:t>
            </w:r>
          </w:p>
        </w:tc>
        <w:tc>
          <w:tcPr>
            <w:tcW w:w="540" w:type="dxa"/>
            <w:vAlign w:val="bottom"/>
            <w:tcBorders>
              <w:bottom w:val="single" w:sz="8" w:color="424E6A"/>
              <w:right w:val="single" w:sz="8" w:color="424E6A"/>
            </w:tcBorders>
            <w:shd w:val="clear" w:color="auto" w:fill="D9DCE1"/>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$600,000</w:t>
            </w:r>
          </w:p>
        </w:tc>
        <w:tc>
          <w:tcPr>
            <w:tcW w:w="6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08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5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$600,000</w:t>
            </w:r>
          </w:p>
        </w:tc>
        <w:tc>
          <w:tcPr>
            <w:tcW w:w="6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bl>
    <w:p>
      <w:pPr>
        <w:spacing w:after="0" w:line="143" w:lineRule="exact"/>
        <w:rPr>
          <w:sz w:val="20"/>
          <w:szCs w:val="20"/>
          <w:color w:val="auto"/>
        </w:rPr>
      </w:pPr>
    </w:p>
    <w:p>
      <w:pPr>
        <w:jc w:val="both"/>
        <w:ind w:left="1260" w:right="559" w:firstLine="360"/>
        <w:spacing w:after="0" w:line="308" w:lineRule="auto"/>
        <w:rPr>
          <w:sz w:val="20"/>
          <w:szCs w:val="20"/>
          <w:color w:val="auto"/>
        </w:rPr>
      </w:pPr>
      <w:r>
        <w:rPr>
          <w:rFonts w:ascii="Arial" w:cs="Arial" w:eastAsia="Arial" w:hAnsi="Arial"/>
          <w:sz w:val="17"/>
          <w:szCs w:val="17"/>
          <w:i w:val="1"/>
          <w:iCs w:val="1"/>
          <w:color w:val="auto"/>
        </w:rPr>
        <w:t xml:space="preserve">Annual Cash Incentive Awards. </w:t>
      </w:r>
      <w:r>
        <w:rPr>
          <w:rFonts w:ascii="Arial" w:cs="Arial" w:eastAsia="Arial" w:hAnsi="Arial"/>
          <w:sz w:val="17"/>
          <w:szCs w:val="17"/>
          <w:color w:val="auto"/>
        </w:rPr>
        <w:t>Annual bonus targets, expressed as a percentage of base salary,</w:t>
      </w:r>
      <w:r>
        <w:rPr>
          <w:rFonts w:ascii="Arial" w:cs="Arial" w:eastAsia="Arial" w:hAnsi="Arial"/>
          <w:sz w:val="17"/>
          <w:szCs w:val="17"/>
          <w:i w:val="1"/>
          <w:iCs w:val="1"/>
          <w:color w:val="auto"/>
        </w:rPr>
        <w:t xml:space="preserve"> </w:t>
      </w:r>
      <w:r>
        <w:rPr>
          <w:rFonts w:ascii="Arial" w:cs="Arial" w:eastAsia="Arial" w:hAnsi="Arial"/>
          <w:sz w:val="17"/>
          <w:szCs w:val="17"/>
          <w:color w:val="auto"/>
        </w:rPr>
        <w:t>were also adjusted in February 2022. Following the February 2022 adjustments, annual bonus targets for the Named Executive Officers, expressed as a percentage of base salary, were as follows:</w:t>
      </w: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630" w:type="dxa"/>
        <w:tblCellMar>
          <w:top w:w="0" w:type="dxa"/>
          <w:left w:w="0" w:type="dxa"/>
          <w:bottom w:w="0" w:type="dxa"/>
          <w:right w:w="0" w:type="dxa"/>
        </w:tblCellMar>
      </w:tblPr>
      <w:tr>
        <w:trPr>
          <w:trHeight w:val="247"/>
        </w:trPr>
        <w:tc>
          <w:tcPr>
            <w:tcW w:w="500" w:type="dxa"/>
            <w:vAlign w:val="bottom"/>
            <w:tcBorders>
              <w:left w:val="single" w:sz="8" w:color="424E6A"/>
            </w:tcBorders>
            <w:shd w:val="clear" w:color="auto" w:fill="424E6A"/>
          </w:tcPr>
          <w:p>
            <w:pPr>
              <w:spacing w:after="0"/>
              <w:rPr>
                <w:sz w:val="21"/>
                <w:szCs w:val="21"/>
                <w:color w:val="auto"/>
              </w:rPr>
            </w:pPr>
          </w:p>
        </w:tc>
        <w:tc>
          <w:tcPr>
            <w:tcW w:w="2600" w:type="dxa"/>
            <w:vAlign w:val="bottom"/>
            <w:shd w:val="clear" w:color="auto" w:fill="424E6A"/>
          </w:tcPr>
          <w:p>
            <w:pPr>
              <w:spacing w:after="0"/>
              <w:rPr>
                <w:sz w:val="21"/>
                <w:szCs w:val="21"/>
                <w:color w:val="auto"/>
              </w:rPr>
            </w:pPr>
          </w:p>
        </w:tc>
        <w:tc>
          <w:tcPr>
            <w:tcW w:w="540" w:type="dxa"/>
            <w:vAlign w:val="bottom"/>
            <w:tcBorders>
              <w:right w:val="single" w:sz="8" w:color="424E6A"/>
            </w:tcBorders>
            <w:shd w:val="clear" w:color="auto" w:fill="424E6A"/>
          </w:tcPr>
          <w:p>
            <w:pPr>
              <w:spacing w:after="0"/>
              <w:rPr>
                <w:sz w:val="21"/>
                <w:szCs w:val="21"/>
                <w:color w:val="auto"/>
              </w:rPr>
            </w:pPr>
          </w:p>
        </w:tc>
        <w:tc>
          <w:tcPr>
            <w:tcW w:w="460" w:type="dxa"/>
            <w:vAlign w:val="bottom"/>
            <w:shd w:val="clear" w:color="auto" w:fill="424E6A"/>
          </w:tcPr>
          <w:p>
            <w:pPr>
              <w:spacing w:after="0"/>
              <w:rPr>
                <w:sz w:val="21"/>
                <w:szCs w:val="21"/>
                <w:color w:val="auto"/>
              </w:rPr>
            </w:pPr>
          </w:p>
        </w:tc>
        <w:tc>
          <w:tcPr>
            <w:tcW w:w="2940" w:type="dxa"/>
            <w:vAlign w:val="bottom"/>
            <w:shd w:val="clear" w:color="auto" w:fill="424E6A"/>
          </w:tcPr>
          <w:p>
            <w:pPr>
              <w:ind w:left="740"/>
              <w:spacing w:after="0"/>
              <w:rPr>
                <w:sz w:val="20"/>
                <w:szCs w:val="20"/>
                <w:color w:val="auto"/>
              </w:rPr>
            </w:pPr>
            <w:r>
              <w:rPr>
                <w:rFonts w:ascii="Arial" w:cs="Arial" w:eastAsia="Arial" w:hAnsi="Arial"/>
                <w:sz w:val="14"/>
                <w:szCs w:val="14"/>
                <w:b w:val="1"/>
                <w:bCs w:val="1"/>
                <w:color w:val="FFFFFF"/>
              </w:rPr>
              <w:t>Annual Bonus Target</w:t>
            </w:r>
          </w:p>
        </w:tc>
        <w:tc>
          <w:tcPr>
            <w:tcW w:w="440" w:type="dxa"/>
            <w:vAlign w:val="bottom"/>
            <w:tcBorders>
              <w:right w:val="single" w:sz="8" w:color="424E6A"/>
            </w:tcBorders>
            <w:shd w:val="clear" w:color="auto" w:fill="424E6A"/>
          </w:tcPr>
          <w:p>
            <w:pPr>
              <w:spacing w:after="0"/>
              <w:rPr>
                <w:sz w:val="21"/>
                <w:szCs w:val="21"/>
                <w:color w:val="auto"/>
              </w:rPr>
            </w:pPr>
          </w:p>
        </w:tc>
      </w:tr>
      <w:tr>
        <w:trPr>
          <w:trHeight w:val="212"/>
        </w:trPr>
        <w:tc>
          <w:tcPr>
            <w:tcW w:w="50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600" w:type="dxa"/>
            <w:vAlign w:val="bottom"/>
            <w:shd w:val="clear" w:color="auto" w:fill="424E6A"/>
          </w:tcPr>
          <w:p>
            <w:pPr>
              <w:ind w:left="440"/>
              <w:spacing w:after="0"/>
              <w:rPr>
                <w:sz w:val="20"/>
                <w:szCs w:val="20"/>
                <w:color w:val="auto"/>
              </w:rPr>
            </w:pPr>
            <w:r>
              <w:rPr>
                <w:rFonts w:ascii="Arial" w:cs="Arial" w:eastAsia="Arial" w:hAnsi="Arial"/>
                <w:sz w:val="14"/>
                <w:szCs w:val="14"/>
                <w:b w:val="1"/>
                <w:bCs w:val="1"/>
                <w:color w:val="FFFFFF"/>
              </w:rPr>
              <w:t>Named Executive Officer</w:t>
            </w:r>
          </w:p>
        </w:tc>
        <w:tc>
          <w:tcPr>
            <w:tcW w:w="1000" w:type="dxa"/>
            <w:vAlign w:val="bottom"/>
            <w:gridSpan w:val="2"/>
            <w:shd w:val="clear" w:color="auto" w:fill="424E6A"/>
          </w:tcPr>
          <w:p>
            <w:pPr>
              <w:ind w:left="480"/>
              <w:spacing w:after="0"/>
              <w:rPr>
                <w:sz w:val="20"/>
                <w:szCs w:val="20"/>
                <w:color w:val="auto"/>
              </w:rPr>
            </w:pPr>
            <w:r>
              <w:rPr>
                <w:rFonts w:ascii="Arial" w:cs="Arial" w:eastAsia="Arial" w:hAnsi="Arial"/>
                <w:sz w:val="14"/>
                <w:szCs w:val="14"/>
                <w:b w:val="1"/>
                <w:bCs w:val="1"/>
                <w:color w:val="FFFFFF"/>
              </w:rPr>
              <w:t>​ ​</w:t>
            </w:r>
          </w:p>
        </w:tc>
        <w:tc>
          <w:tcPr>
            <w:tcW w:w="2940" w:type="dxa"/>
            <w:vAlign w:val="bottom"/>
            <w:shd w:val="clear" w:color="auto" w:fill="424E6A"/>
          </w:tcPr>
          <w:p>
            <w:pPr>
              <w:ind w:left="360"/>
              <w:spacing w:after="0"/>
              <w:rPr>
                <w:sz w:val="20"/>
                <w:szCs w:val="20"/>
                <w:color w:val="auto"/>
              </w:rPr>
            </w:pPr>
            <w:r>
              <w:rPr>
                <w:rFonts w:ascii="Arial" w:cs="Arial" w:eastAsia="Arial" w:hAnsi="Arial"/>
                <w:sz w:val="14"/>
                <w:szCs w:val="14"/>
                <w:b w:val="1"/>
                <w:bCs w:val="1"/>
                <w:color w:val="FFFFFF"/>
              </w:rPr>
              <w:t>(as a Percentage of Base Salary)</w:t>
            </w:r>
          </w:p>
        </w:tc>
        <w:tc>
          <w:tcPr>
            <w:tcW w:w="44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r>
      <w:tr>
        <w:trPr>
          <w:trHeight w:val="256"/>
        </w:trPr>
        <w:tc>
          <w:tcPr>
            <w:tcW w:w="3100" w:type="dxa"/>
            <w:vAlign w:val="bottom"/>
            <w:tcBorders>
              <w:left w:val="single" w:sz="8" w:color="424E6A"/>
              <w:bottom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Willie Chiang</w:t>
            </w:r>
          </w:p>
        </w:tc>
        <w:tc>
          <w:tcPr>
            <w:tcW w:w="540" w:type="dxa"/>
            <w:vAlign w:val="bottom"/>
            <w:tcBorders>
              <w:bottom w:val="single" w:sz="8" w:color="424E6A"/>
              <w:right w:val="single" w:sz="8" w:color="424E6A"/>
            </w:tcBorders>
            <w:shd w:val="clear" w:color="auto" w:fill="D9DCE1"/>
          </w:tcPr>
          <w:p>
            <w:pPr>
              <w:ind w:left="4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424E6A"/>
            </w:tcBorders>
            <w:shd w:val="clear" w:color="auto" w:fill="D9DCE1"/>
          </w:tcPr>
          <w:p>
            <w:pPr>
              <w:ind w:left="1320"/>
              <w:spacing w:after="0"/>
              <w:rPr>
                <w:sz w:val="20"/>
                <w:szCs w:val="20"/>
                <w:color w:val="auto"/>
              </w:rPr>
            </w:pPr>
            <w:r>
              <w:rPr>
                <w:rFonts w:ascii="Arial" w:cs="Arial" w:eastAsia="Arial" w:hAnsi="Arial"/>
                <w:sz w:val="18"/>
                <w:szCs w:val="18"/>
                <w:color w:val="auto"/>
              </w:rPr>
              <w:t>​250%</w:t>
            </w:r>
          </w:p>
        </w:tc>
        <w:tc>
          <w:tcPr>
            <w:tcW w:w="4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0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Harry Pefanis</w:t>
            </w:r>
          </w:p>
        </w:tc>
        <w:tc>
          <w:tcPr>
            <w:tcW w:w="540" w:type="dxa"/>
            <w:vAlign w:val="bottom"/>
            <w:tcBorders>
              <w:bottom w:val="single" w:sz="8" w:color="424E6A"/>
              <w:right w:val="single" w:sz="8" w:color="424E6A"/>
            </w:tcBorders>
          </w:tcPr>
          <w:p>
            <w:pPr>
              <w:ind w:left="4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424E6A"/>
            </w:tcBorders>
          </w:tcPr>
          <w:p>
            <w:pPr>
              <w:ind w:left="1320"/>
              <w:spacing w:after="0"/>
              <w:rPr>
                <w:sz w:val="20"/>
                <w:szCs w:val="20"/>
                <w:color w:val="auto"/>
              </w:rPr>
            </w:pPr>
            <w:r>
              <w:rPr>
                <w:rFonts w:ascii="Arial" w:cs="Arial" w:eastAsia="Arial" w:hAnsi="Arial"/>
                <w:sz w:val="18"/>
                <w:szCs w:val="18"/>
                <w:color w:val="auto"/>
              </w:rPr>
              <w:t>​200%</w:t>
            </w:r>
          </w:p>
        </w:tc>
        <w:tc>
          <w:tcPr>
            <w:tcW w:w="4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0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 Swanson</w:t>
            </w:r>
          </w:p>
        </w:tc>
        <w:tc>
          <w:tcPr>
            <w:tcW w:w="540" w:type="dxa"/>
            <w:vAlign w:val="bottom"/>
            <w:tcBorders>
              <w:bottom w:val="single" w:sz="8" w:color="424E6A"/>
              <w:right w:val="single" w:sz="8" w:color="424E6A"/>
            </w:tcBorders>
            <w:shd w:val="clear" w:color="auto" w:fill="D9DCE1"/>
          </w:tcPr>
          <w:p>
            <w:pPr>
              <w:ind w:left="4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424E6A"/>
            </w:tcBorders>
            <w:shd w:val="clear" w:color="auto" w:fill="D9DCE1"/>
          </w:tcPr>
          <w:p>
            <w:pPr>
              <w:ind w:left="1320"/>
              <w:spacing w:after="0"/>
              <w:rPr>
                <w:sz w:val="20"/>
                <w:szCs w:val="20"/>
                <w:color w:val="auto"/>
              </w:rPr>
            </w:pPr>
            <w:r>
              <w:rPr>
                <w:rFonts w:ascii="Arial" w:cs="Arial" w:eastAsia="Arial" w:hAnsi="Arial"/>
                <w:sz w:val="18"/>
                <w:szCs w:val="18"/>
                <w:color w:val="auto"/>
              </w:rPr>
              <w:t>​150%</w:t>
            </w:r>
          </w:p>
        </w:tc>
        <w:tc>
          <w:tcPr>
            <w:tcW w:w="4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0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540" w:type="dxa"/>
            <w:vAlign w:val="bottom"/>
            <w:tcBorders>
              <w:bottom w:val="single" w:sz="8" w:color="424E6A"/>
              <w:right w:val="single" w:sz="8" w:color="424E6A"/>
            </w:tcBorders>
          </w:tcPr>
          <w:p>
            <w:pPr>
              <w:ind w:left="4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424E6A"/>
            </w:tcBorders>
          </w:tcPr>
          <w:p>
            <w:pPr>
              <w:ind w:left="1320"/>
              <w:spacing w:after="0"/>
              <w:rPr>
                <w:sz w:val="20"/>
                <w:szCs w:val="20"/>
                <w:color w:val="auto"/>
              </w:rPr>
            </w:pPr>
            <w:r>
              <w:rPr>
                <w:rFonts w:ascii="Arial" w:cs="Arial" w:eastAsia="Arial" w:hAnsi="Arial"/>
                <w:sz w:val="18"/>
                <w:szCs w:val="18"/>
                <w:color w:val="auto"/>
              </w:rPr>
              <w:t>​150%</w:t>
            </w:r>
          </w:p>
        </w:tc>
        <w:tc>
          <w:tcPr>
            <w:tcW w:w="4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0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 Chandler</w:t>
            </w:r>
          </w:p>
        </w:tc>
        <w:tc>
          <w:tcPr>
            <w:tcW w:w="540" w:type="dxa"/>
            <w:vAlign w:val="bottom"/>
            <w:tcBorders>
              <w:bottom w:val="single" w:sz="8" w:color="424E6A"/>
              <w:right w:val="single" w:sz="8" w:color="424E6A"/>
            </w:tcBorders>
            <w:shd w:val="clear" w:color="auto" w:fill="D9DCE1"/>
          </w:tcPr>
          <w:p>
            <w:pPr>
              <w:ind w:left="4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424E6A"/>
            </w:tcBorders>
            <w:shd w:val="clear" w:color="auto" w:fill="D9DCE1"/>
          </w:tcPr>
          <w:p>
            <w:pPr>
              <w:ind w:left="1320"/>
              <w:spacing w:after="0"/>
              <w:rPr>
                <w:sz w:val="20"/>
                <w:szCs w:val="20"/>
                <w:color w:val="auto"/>
              </w:rPr>
            </w:pPr>
            <w:r>
              <w:rPr>
                <w:rFonts w:ascii="Arial" w:cs="Arial" w:eastAsia="Arial" w:hAnsi="Arial"/>
                <w:sz w:val="18"/>
                <w:szCs w:val="18"/>
                <w:color w:val="auto"/>
              </w:rPr>
              <w:t>​150%</w:t>
            </w:r>
          </w:p>
        </w:tc>
        <w:tc>
          <w:tcPr>
            <w:tcW w:w="4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0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540" w:type="dxa"/>
            <w:vAlign w:val="bottom"/>
            <w:tcBorders>
              <w:bottom w:val="single" w:sz="8" w:color="424E6A"/>
              <w:right w:val="single" w:sz="8" w:color="424E6A"/>
            </w:tcBorders>
          </w:tcPr>
          <w:p>
            <w:pPr>
              <w:ind w:left="4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940" w:type="dxa"/>
            <w:vAlign w:val="bottom"/>
            <w:tcBorders>
              <w:bottom w:val="single" w:sz="8" w:color="424E6A"/>
            </w:tcBorders>
          </w:tcPr>
          <w:p>
            <w:pPr>
              <w:ind w:left="1320"/>
              <w:spacing w:after="0"/>
              <w:rPr>
                <w:sz w:val="20"/>
                <w:szCs w:val="20"/>
                <w:color w:val="auto"/>
              </w:rPr>
            </w:pPr>
            <w:r>
              <w:rPr>
                <w:rFonts w:ascii="Arial" w:cs="Arial" w:eastAsia="Arial" w:hAnsi="Arial"/>
                <w:sz w:val="18"/>
                <w:szCs w:val="18"/>
                <w:color w:val="auto"/>
              </w:rPr>
              <w:t>​150%</w:t>
            </w:r>
          </w:p>
        </w:tc>
        <w:tc>
          <w:tcPr>
            <w:tcW w:w="4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goals (and weightings) for 2022 cash incentive awards established at the beginning of the year were company performance (67% overall weighting allocated among Adjusted EBITDA attributable to PAA (40%), DCF per common unit and CUE (40%) and safety/environmental (20%)) and individual performance (33% weighting). The minimum and maximum payout levels of 0% and 200%, respectively, for Adjusted EBITDA attributable to PAA and DCF per common unit and CUE were set at 92.5% and 110%, respectively, of the applicable target with linear interpolation between those points, while the minimum and maximum payout levels of 0% and 200%, respectively, for safety and environmental metrics were set at 10% improvement and 30% improvement, respectively, over 2020 results with linear interpolation between those points (2020 results were used as the benchmark for reductions given that 2021 results for each metric were higher than our 2020 results). Individual performance metric payouts were determined by the Compensation Committee based on its assessment of individual contributions towards our 2022 goals and objectives.</w:t>
      </w:r>
    </w:p>
    <w:p>
      <w:pPr>
        <w:spacing w:after="0" w:line="118" w:lineRule="exact"/>
        <w:rPr>
          <w:sz w:val="20"/>
          <w:szCs w:val="20"/>
          <w:color w:val="auto"/>
        </w:rPr>
      </w:pPr>
    </w:p>
    <w:p>
      <w:pPr>
        <w:ind w:left="1260" w:right="639" w:firstLine="360"/>
        <w:spacing w:after="0" w:line="253" w:lineRule="auto"/>
        <w:rPr>
          <w:sz w:val="20"/>
          <w:szCs w:val="20"/>
          <w:color w:val="auto"/>
        </w:rPr>
      </w:pPr>
      <w:r>
        <w:rPr>
          <w:rFonts w:ascii="Arial" w:cs="Arial" w:eastAsia="Arial" w:hAnsi="Arial"/>
          <w:sz w:val="18"/>
          <w:szCs w:val="18"/>
          <w:color w:val="auto"/>
        </w:rPr>
        <w:t>The tables below reflect the weighting, payout range and actual results for each company performance metric. Individual performance scores and payout calculations are set forth below under “— Individual Performance.”</w:t>
      </w:r>
    </w:p>
    <w:p>
      <w:pPr>
        <w:spacing w:after="0" w:line="182"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Company Performance Payout Thresholds &amp; Ranges: (interpolate between points)</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335"/>
        </w:trPr>
        <w:tc>
          <w:tcPr>
            <w:tcW w:w="20" w:type="dxa"/>
            <w:vAlign w:val="bottom"/>
            <w:shd w:val="clear" w:color="auto" w:fill="424E6A"/>
          </w:tcPr>
          <w:p>
            <w:pPr>
              <w:spacing w:after="0"/>
              <w:rPr>
                <w:sz w:val="24"/>
                <w:szCs w:val="24"/>
                <w:color w:val="auto"/>
              </w:rPr>
            </w:pPr>
          </w:p>
        </w:tc>
        <w:tc>
          <w:tcPr>
            <w:tcW w:w="2260" w:type="dxa"/>
            <w:vAlign w:val="bottom"/>
            <w:gridSpan w:val="2"/>
            <w:shd w:val="clear" w:color="auto" w:fill="424E6A"/>
          </w:tcPr>
          <w:p>
            <w:pPr>
              <w:ind w:left="20"/>
              <w:spacing w:after="0"/>
              <w:rPr>
                <w:sz w:val="20"/>
                <w:szCs w:val="20"/>
                <w:color w:val="auto"/>
              </w:rPr>
            </w:pPr>
            <w:r>
              <w:rPr>
                <w:rFonts w:ascii="Arial" w:cs="Arial" w:eastAsia="Arial" w:hAnsi="Arial"/>
                <w:sz w:val="14"/>
                <w:szCs w:val="14"/>
                <w:b w:val="1"/>
                <w:bCs w:val="1"/>
                <w:color w:val="FFFFFF"/>
              </w:rPr>
              <w:t>(67% weighting)</w:t>
            </w:r>
          </w:p>
        </w:tc>
        <w:tc>
          <w:tcPr>
            <w:tcW w:w="560" w:type="dxa"/>
            <w:vAlign w:val="bottom"/>
            <w:shd w:val="clear" w:color="auto" w:fill="424E6A"/>
          </w:tcPr>
          <w:p>
            <w:pPr>
              <w:spacing w:after="0"/>
              <w:rPr>
                <w:sz w:val="24"/>
                <w:szCs w:val="24"/>
                <w:color w:val="auto"/>
              </w:rPr>
            </w:pPr>
          </w:p>
        </w:tc>
        <w:tc>
          <w:tcPr>
            <w:tcW w:w="300" w:type="dxa"/>
            <w:vAlign w:val="bottom"/>
            <w:shd w:val="clear" w:color="auto" w:fill="424E6A"/>
          </w:tcPr>
          <w:p>
            <w:pPr>
              <w:spacing w:after="0"/>
              <w:rPr>
                <w:sz w:val="24"/>
                <w:szCs w:val="24"/>
                <w:color w:val="auto"/>
              </w:rPr>
            </w:pPr>
          </w:p>
        </w:tc>
        <w:tc>
          <w:tcPr>
            <w:tcW w:w="240" w:type="dxa"/>
            <w:vAlign w:val="bottom"/>
            <w:shd w:val="clear" w:color="auto" w:fill="424E6A"/>
          </w:tcPr>
          <w:p>
            <w:pPr>
              <w:spacing w:after="0"/>
              <w:rPr>
                <w:sz w:val="24"/>
                <w:szCs w:val="24"/>
                <w:color w:val="auto"/>
              </w:rPr>
            </w:pPr>
          </w:p>
        </w:tc>
        <w:tc>
          <w:tcPr>
            <w:tcW w:w="500" w:type="dxa"/>
            <w:vAlign w:val="bottom"/>
            <w:shd w:val="clear" w:color="auto" w:fill="424E6A"/>
          </w:tcPr>
          <w:p>
            <w:pPr>
              <w:spacing w:after="0"/>
              <w:rPr>
                <w:sz w:val="24"/>
                <w:szCs w:val="24"/>
                <w:color w:val="auto"/>
              </w:rPr>
            </w:pPr>
          </w:p>
        </w:tc>
        <w:tc>
          <w:tcPr>
            <w:tcW w:w="420" w:type="dxa"/>
            <w:vAlign w:val="bottom"/>
            <w:shd w:val="clear" w:color="auto" w:fill="424E6A"/>
          </w:tcPr>
          <w:p>
            <w:pPr>
              <w:spacing w:after="0"/>
              <w:rPr>
                <w:sz w:val="24"/>
                <w:szCs w:val="24"/>
                <w:color w:val="auto"/>
              </w:rPr>
            </w:pPr>
          </w:p>
        </w:tc>
        <w:tc>
          <w:tcPr>
            <w:tcW w:w="1160" w:type="dxa"/>
            <w:vAlign w:val="bottom"/>
            <w:gridSpan w:val="3"/>
            <w:shd w:val="clear" w:color="auto" w:fill="424E6A"/>
          </w:tcPr>
          <w:p>
            <w:pPr>
              <w:jc w:val="right"/>
              <w:ind w:right="60"/>
              <w:spacing w:after="0"/>
              <w:rPr>
                <w:sz w:val="20"/>
                <w:szCs w:val="20"/>
                <w:color w:val="auto"/>
              </w:rPr>
            </w:pPr>
            <w:r>
              <w:rPr>
                <w:rFonts w:ascii="Arial" w:cs="Arial" w:eastAsia="Arial" w:hAnsi="Arial"/>
                <w:sz w:val="14"/>
                <w:szCs w:val="14"/>
                <w:b w:val="1"/>
                <w:bCs w:val="1"/>
                <w:color w:val="FFFFFF"/>
              </w:rPr>
              <w:t xml:space="preserve">Threshold </w:t>
            </w:r>
            <w:r>
              <w:rPr>
                <w:rFonts w:ascii="Arial" w:cs="Arial" w:eastAsia="Arial" w:hAnsi="Arial"/>
                <w:sz w:val="28"/>
                <w:szCs w:val="28"/>
                <w:b w:val="1"/>
                <w:bCs w:val="1"/>
                <w:color w:val="FFFFFF"/>
                <w:vertAlign w:val="subscript"/>
              </w:rPr>
              <w:t>​ ​</w:t>
            </w:r>
          </w:p>
        </w:tc>
        <w:tc>
          <w:tcPr>
            <w:tcW w:w="460" w:type="dxa"/>
            <w:vAlign w:val="bottom"/>
            <w:gridSpan w:val="2"/>
            <w:shd w:val="clear" w:color="auto" w:fill="424E6A"/>
          </w:tcPr>
          <w:p>
            <w:pPr>
              <w:spacing w:after="0"/>
              <w:rPr>
                <w:sz w:val="20"/>
                <w:szCs w:val="20"/>
                <w:color w:val="auto"/>
              </w:rPr>
            </w:pPr>
            <w:r>
              <w:rPr>
                <w:rFonts w:ascii="Arial" w:cs="Arial" w:eastAsia="Arial" w:hAnsi="Arial"/>
                <w:sz w:val="14"/>
                <w:szCs w:val="14"/>
                <w:b w:val="1"/>
                <w:bCs w:val="1"/>
                <w:color w:val="FFFFFF"/>
              </w:rPr>
              <w:t>Target</w:t>
            </w:r>
          </w:p>
        </w:tc>
        <w:tc>
          <w:tcPr>
            <w:tcW w:w="80" w:type="dxa"/>
            <w:vAlign w:val="bottom"/>
            <w:shd w:val="clear" w:color="auto" w:fill="424E6A"/>
          </w:tcPr>
          <w:p>
            <w:pPr>
              <w:spacing w:after="0"/>
              <w:rPr>
                <w:sz w:val="24"/>
                <w:szCs w:val="24"/>
                <w:color w:val="auto"/>
              </w:rPr>
            </w:pPr>
          </w:p>
        </w:tc>
        <w:tc>
          <w:tcPr>
            <w:tcW w:w="340" w:type="dxa"/>
            <w:vAlign w:val="bottom"/>
            <w:shd w:val="clear" w:color="auto" w:fill="424E6A"/>
          </w:tcPr>
          <w:p>
            <w:pPr>
              <w:jc w:val="right"/>
              <w:ind w:right="74"/>
              <w:spacing w:after="0"/>
              <w:rPr>
                <w:sz w:val="20"/>
                <w:szCs w:val="20"/>
                <w:color w:val="auto"/>
              </w:rPr>
            </w:pPr>
            <w:r>
              <w:rPr>
                <w:rFonts w:ascii="Arial" w:cs="Arial" w:eastAsia="Arial" w:hAnsi="Arial"/>
                <w:sz w:val="14"/>
                <w:szCs w:val="14"/>
                <w:b w:val="1"/>
                <w:bCs w:val="1"/>
                <w:color w:val="FFFFFF"/>
              </w:rPr>
              <w:t>​ ​</w:t>
            </w:r>
          </w:p>
        </w:tc>
        <w:tc>
          <w:tcPr>
            <w:tcW w:w="500" w:type="dxa"/>
            <w:vAlign w:val="bottom"/>
            <w:gridSpan w:val="3"/>
            <w:shd w:val="clear" w:color="auto" w:fill="424E6A"/>
          </w:tcPr>
          <w:p>
            <w:pPr>
              <w:ind w:left="40"/>
              <w:spacing w:after="0"/>
              <w:rPr>
                <w:sz w:val="20"/>
                <w:szCs w:val="20"/>
                <w:color w:val="auto"/>
              </w:rPr>
            </w:pPr>
            <w:r>
              <w:rPr>
                <w:rFonts w:ascii="Arial" w:cs="Arial" w:eastAsia="Arial" w:hAnsi="Arial"/>
                <w:sz w:val="14"/>
                <w:szCs w:val="14"/>
                <w:b w:val="1"/>
                <w:bCs w:val="1"/>
                <w:color w:val="FFFFFF"/>
              </w:rPr>
              <w:t>Max</w:t>
            </w:r>
          </w:p>
        </w:tc>
        <w:tc>
          <w:tcPr>
            <w:tcW w:w="120" w:type="dxa"/>
            <w:vAlign w:val="bottom"/>
            <w:tcBorders>
              <w:right w:val="single" w:sz="8" w:color="auto"/>
            </w:tcBorders>
            <w:shd w:val="clear" w:color="auto" w:fill="424E6A"/>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424E6A"/>
          </w:tcPr>
          <w:p>
            <w:pPr>
              <w:spacing w:after="0"/>
              <w:rPr>
                <w:sz w:val="17"/>
                <w:szCs w:val="17"/>
                <w:color w:val="auto"/>
              </w:rPr>
            </w:pPr>
          </w:p>
        </w:tc>
        <w:tc>
          <w:tcPr>
            <w:tcW w:w="5440" w:type="dxa"/>
            <w:vAlign w:val="bottom"/>
            <w:gridSpan w:val="10"/>
            <w:shd w:val="clear" w:color="auto" w:fill="D9DCE1"/>
          </w:tcPr>
          <w:p>
            <w:pPr>
              <w:ind w:left="60"/>
              <w:spacing w:after="0" w:line="202" w:lineRule="exact"/>
              <w:rPr>
                <w:sz w:val="20"/>
                <w:szCs w:val="20"/>
                <w:color w:val="auto"/>
              </w:rPr>
            </w:pPr>
            <w:r>
              <w:rPr>
                <w:rFonts w:ascii="Arial" w:cs="Arial" w:eastAsia="Arial" w:hAnsi="Arial"/>
                <w:sz w:val="18"/>
                <w:szCs w:val="18"/>
                <w:color w:val="auto"/>
                <w:highlight w:val="lightGray"/>
              </w:rPr>
              <w:t>Adjusted EBITDA attributable to PAA/DCF (% Target)   92.50%</w:t>
            </w:r>
          </w:p>
        </w:tc>
        <w:tc>
          <w:tcPr>
            <w:tcW w:w="540" w:type="dxa"/>
            <w:vAlign w:val="bottom"/>
            <w:gridSpan w:val="3"/>
            <w:shd w:val="clear" w:color="auto" w:fill="D9DCE1"/>
          </w:tcPr>
          <w:p>
            <w:pPr>
              <w:jc w:val="right"/>
              <w:spacing w:after="0" w:line="202" w:lineRule="exact"/>
              <w:rPr>
                <w:sz w:val="20"/>
                <w:szCs w:val="20"/>
                <w:color w:val="auto"/>
              </w:rPr>
            </w:pPr>
            <w:r>
              <w:rPr>
                <w:rFonts w:ascii="Arial" w:cs="Arial" w:eastAsia="Arial" w:hAnsi="Arial"/>
                <w:sz w:val="18"/>
                <w:szCs w:val="18"/>
                <w:color w:val="auto"/>
                <w:highlight w:val="lightGray"/>
              </w:rPr>
              <w:t>100%</w:t>
            </w:r>
          </w:p>
        </w:tc>
        <w:tc>
          <w:tcPr>
            <w:tcW w:w="340" w:type="dxa"/>
            <w:vAlign w:val="bottom"/>
            <w:vMerge w:val="restart"/>
            <w:shd w:val="clear" w:color="auto" w:fill="D9DCE1"/>
          </w:tcPr>
          <w:p>
            <w:pPr>
              <w:jc w:val="right"/>
              <w:ind w:right="54"/>
              <w:spacing w:after="0"/>
              <w:rPr>
                <w:sz w:val="20"/>
                <w:szCs w:val="20"/>
                <w:color w:val="auto"/>
              </w:rPr>
            </w:pPr>
            <w:r>
              <w:rPr>
                <w:rFonts w:ascii="Arial" w:cs="Arial" w:eastAsia="Arial" w:hAnsi="Arial"/>
                <w:sz w:val="18"/>
                <w:szCs w:val="18"/>
                <w:color w:val="auto"/>
                <w:highlight w:val="lightGray"/>
              </w:rPr>
              <w:t>​​ ​</w:t>
            </w:r>
          </w:p>
        </w:tc>
        <w:tc>
          <w:tcPr>
            <w:tcW w:w="500" w:type="dxa"/>
            <w:vAlign w:val="bottom"/>
            <w:gridSpan w:val="3"/>
            <w:shd w:val="clear" w:color="auto" w:fill="D9DCE1"/>
          </w:tcPr>
          <w:p>
            <w:pPr>
              <w:jc w:val="right"/>
              <w:spacing w:after="0" w:line="202" w:lineRule="exact"/>
              <w:rPr>
                <w:sz w:val="20"/>
                <w:szCs w:val="20"/>
                <w:color w:val="auto"/>
              </w:rPr>
            </w:pPr>
            <w:r>
              <w:rPr>
                <w:rFonts w:ascii="Arial" w:cs="Arial" w:eastAsia="Arial" w:hAnsi="Arial"/>
                <w:sz w:val="18"/>
                <w:szCs w:val="18"/>
                <w:color w:val="auto"/>
                <w:highlight w:val="lightGray"/>
              </w:rPr>
              <w:t>110%</w:t>
            </w:r>
          </w:p>
        </w:tc>
        <w:tc>
          <w:tcPr>
            <w:tcW w:w="120" w:type="dxa"/>
            <w:vAlign w:val="bottom"/>
            <w:tcBorders>
              <w:right w:val="single" w:sz="8" w:color="auto"/>
            </w:tcBorders>
            <w:vMerge w:val="restart"/>
            <w:shd w:val="clear" w:color="auto" w:fill="D9DCE1"/>
          </w:tcPr>
          <w:p>
            <w:pPr>
              <w:ind w:left="20"/>
              <w:spacing w:after="0"/>
              <w:rPr>
                <w:sz w:val="20"/>
                <w:szCs w:val="20"/>
                <w:color w:val="auto"/>
              </w:rPr>
            </w:pPr>
            <w:r>
              <w:rPr>
                <w:rFonts w:ascii="Arial" w:cs="Arial" w:eastAsia="Arial" w:hAnsi="Arial"/>
                <w:sz w:val="18"/>
                <w:szCs w:val="18"/>
                <w:color w:val="auto"/>
                <w:highlight w:val="lightGray"/>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424E6A"/>
            </w:tcBorders>
            <w:shd w:val="clear" w:color="auto" w:fill="424E6A"/>
          </w:tcPr>
          <w:p>
            <w:pPr>
              <w:spacing w:after="0"/>
              <w:rPr>
                <w:sz w:val="5"/>
                <w:szCs w:val="5"/>
                <w:color w:val="auto"/>
              </w:rPr>
            </w:pPr>
          </w:p>
        </w:tc>
        <w:tc>
          <w:tcPr>
            <w:tcW w:w="140" w:type="dxa"/>
            <w:vAlign w:val="bottom"/>
            <w:tcBorders>
              <w:bottom w:val="single" w:sz="8" w:color="424E6A"/>
            </w:tcBorders>
            <w:shd w:val="clear" w:color="auto" w:fill="D9DCE1"/>
          </w:tcPr>
          <w:p>
            <w:pPr>
              <w:spacing w:after="0"/>
              <w:rPr>
                <w:sz w:val="5"/>
                <w:szCs w:val="5"/>
                <w:color w:val="auto"/>
              </w:rPr>
            </w:pPr>
          </w:p>
        </w:tc>
        <w:tc>
          <w:tcPr>
            <w:tcW w:w="2120" w:type="dxa"/>
            <w:vAlign w:val="bottom"/>
            <w:tcBorders>
              <w:bottom w:val="single" w:sz="8" w:color="424E6A"/>
            </w:tcBorders>
            <w:shd w:val="clear" w:color="auto" w:fill="D9DCE1"/>
          </w:tcPr>
          <w:p>
            <w:pPr>
              <w:spacing w:after="0"/>
              <w:rPr>
                <w:sz w:val="5"/>
                <w:szCs w:val="5"/>
                <w:color w:val="auto"/>
              </w:rPr>
            </w:pPr>
          </w:p>
        </w:tc>
        <w:tc>
          <w:tcPr>
            <w:tcW w:w="560" w:type="dxa"/>
            <w:vAlign w:val="bottom"/>
            <w:tcBorders>
              <w:bottom w:val="single" w:sz="8" w:color="424E6A"/>
            </w:tcBorders>
            <w:shd w:val="clear" w:color="auto" w:fill="D9DCE1"/>
          </w:tcPr>
          <w:p>
            <w:pPr>
              <w:spacing w:after="0"/>
              <w:rPr>
                <w:sz w:val="5"/>
                <w:szCs w:val="5"/>
                <w:color w:val="auto"/>
              </w:rPr>
            </w:pPr>
          </w:p>
        </w:tc>
        <w:tc>
          <w:tcPr>
            <w:tcW w:w="300" w:type="dxa"/>
            <w:vAlign w:val="bottom"/>
            <w:tcBorders>
              <w:bottom w:val="single" w:sz="8" w:color="424E6A"/>
            </w:tcBorders>
            <w:shd w:val="clear" w:color="auto" w:fill="D9DCE1"/>
          </w:tcPr>
          <w:p>
            <w:pPr>
              <w:spacing w:after="0"/>
              <w:rPr>
                <w:sz w:val="5"/>
                <w:szCs w:val="5"/>
                <w:color w:val="auto"/>
              </w:rPr>
            </w:pPr>
          </w:p>
        </w:tc>
        <w:tc>
          <w:tcPr>
            <w:tcW w:w="240" w:type="dxa"/>
            <w:vAlign w:val="bottom"/>
            <w:tcBorders>
              <w:bottom w:val="single" w:sz="8" w:color="424E6A"/>
            </w:tcBorders>
            <w:shd w:val="clear" w:color="auto" w:fill="D9DCE1"/>
          </w:tcPr>
          <w:p>
            <w:pPr>
              <w:spacing w:after="0"/>
              <w:rPr>
                <w:sz w:val="5"/>
                <w:szCs w:val="5"/>
                <w:color w:val="auto"/>
              </w:rPr>
            </w:pPr>
          </w:p>
        </w:tc>
        <w:tc>
          <w:tcPr>
            <w:tcW w:w="500" w:type="dxa"/>
            <w:vAlign w:val="bottom"/>
            <w:tcBorders>
              <w:bottom w:val="single" w:sz="8" w:color="424E6A"/>
            </w:tcBorders>
            <w:shd w:val="clear" w:color="auto" w:fill="D9DCE1"/>
          </w:tcPr>
          <w:p>
            <w:pPr>
              <w:spacing w:after="0"/>
              <w:rPr>
                <w:sz w:val="5"/>
                <w:szCs w:val="5"/>
                <w:color w:val="auto"/>
              </w:rPr>
            </w:pPr>
          </w:p>
        </w:tc>
        <w:tc>
          <w:tcPr>
            <w:tcW w:w="420" w:type="dxa"/>
            <w:vAlign w:val="bottom"/>
            <w:tcBorders>
              <w:bottom w:val="single" w:sz="8" w:color="424E6A"/>
            </w:tcBorders>
            <w:shd w:val="clear" w:color="auto" w:fill="D9DCE1"/>
          </w:tcPr>
          <w:p>
            <w:pPr>
              <w:spacing w:after="0"/>
              <w:rPr>
                <w:sz w:val="5"/>
                <w:szCs w:val="5"/>
                <w:color w:val="auto"/>
              </w:rPr>
            </w:pPr>
          </w:p>
        </w:tc>
        <w:tc>
          <w:tcPr>
            <w:tcW w:w="400" w:type="dxa"/>
            <w:vAlign w:val="bottom"/>
            <w:tcBorders>
              <w:bottom w:val="single" w:sz="8" w:color="424E6A"/>
            </w:tcBorders>
            <w:shd w:val="clear" w:color="auto" w:fill="D9DCE1"/>
          </w:tcPr>
          <w:p>
            <w:pPr>
              <w:jc w:val="right"/>
              <w:ind w:right="22"/>
              <w:spacing w:after="0" w:line="68" w:lineRule="exact"/>
              <w:rPr>
                <w:sz w:val="20"/>
                <w:szCs w:val="20"/>
                <w:color w:val="auto"/>
              </w:rPr>
            </w:pPr>
            <w:r>
              <w:rPr>
                <w:rFonts w:ascii="Arial" w:cs="Arial" w:eastAsia="Arial" w:hAnsi="Arial"/>
                <w:sz w:val="7"/>
                <w:szCs w:val="7"/>
                <w:color w:val="auto"/>
                <w:highlight w:val="lightGray"/>
              </w:rPr>
              <w:t>​</w:t>
            </w:r>
          </w:p>
        </w:tc>
        <w:tc>
          <w:tcPr>
            <w:tcW w:w="240" w:type="dxa"/>
            <w:vAlign w:val="bottom"/>
            <w:tcBorders>
              <w:bottom w:val="single" w:sz="8" w:color="424E6A"/>
            </w:tcBorders>
            <w:shd w:val="clear" w:color="auto" w:fill="D9DCE1"/>
          </w:tcPr>
          <w:p>
            <w:pPr>
              <w:spacing w:after="0"/>
              <w:rPr>
                <w:sz w:val="5"/>
                <w:szCs w:val="5"/>
                <w:color w:val="auto"/>
              </w:rPr>
            </w:pPr>
          </w:p>
        </w:tc>
        <w:tc>
          <w:tcPr>
            <w:tcW w:w="520" w:type="dxa"/>
            <w:vAlign w:val="bottom"/>
            <w:tcBorders>
              <w:bottom w:val="single" w:sz="8" w:color="424E6A"/>
            </w:tcBorders>
            <w:shd w:val="clear" w:color="auto" w:fill="D9DCE1"/>
          </w:tcPr>
          <w:p>
            <w:pPr>
              <w:jc w:val="right"/>
              <w:ind w:right="60"/>
              <w:spacing w:after="0" w:line="68" w:lineRule="exact"/>
              <w:rPr>
                <w:sz w:val="20"/>
                <w:szCs w:val="20"/>
                <w:color w:val="auto"/>
              </w:rPr>
            </w:pPr>
            <w:r>
              <w:rPr>
                <w:rFonts w:ascii="Arial" w:cs="Arial" w:eastAsia="Arial" w:hAnsi="Arial"/>
                <w:sz w:val="7"/>
                <w:szCs w:val="7"/>
                <w:color w:val="auto"/>
                <w:highlight w:val="lightGray"/>
              </w:rPr>
              <w:t>​​ ​</w:t>
            </w:r>
          </w:p>
        </w:tc>
        <w:tc>
          <w:tcPr>
            <w:tcW w:w="120" w:type="dxa"/>
            <w:vAlign w:val="bottom"/>
            <w:tcBorders>
              <w:bottom w:val="single" w:sz="8" w:color="424E6A"/>
            </w:tcBorders>
            <w:shd w:val="clear" w:color="auto" w:fill="D9DCE1"/>
          </w:tcPr>
          <w:p>
            <w:pPr>
              <w:ind w:left="60"/>
              <w:spacing w:after="0" w:line="68" w:lineRule="exact"/>
              <w:rPr>
                <w:sz w:val="20"/>
                <w:szCs w:val="20"/>
                <w:color w:val="auto"/>
              </w:rPr>
            </w:pPr>
            <w:r>
              <w:rPr>
                <w:rFonts w:ascii="Arial" w:cs="Arial" w:eastAsia="Arial" w:hAnsi="Arial"/>
                <w:sz w:val="7"/>
                <w:szCs w:val="7"/>
                <w:color w:val="auto"/>
                <w:highlight w:val="lightGray"/>
              </w:rPr>
              <w:t>​</w:t>
            </w:r>
          </w:p>
        </w:tc>
        <w:tc>
          <w:tcPr>
            <w:tcW w:w="340" w:type="dxa"/>
            <w:vAlign w:val="bottom"/>
            <w:tcBorders>
              <w:bottom w:val="single" w:sz="8" w:color="424E6A"/>
            </w:tcBorders>
            <w:shd w:val="clear" w:color="auto" w:fill="D9DCE1"/>
          </w:tcPr>
          <w:p>
            <w:pPr>
              <w:spacing w:after="0"/>
              <w:rPr>
                <w:sz w:val="5"/>
                <w:szCs w:val="5"/>
                <w:color w:val="auto"/>
              </w:rPr>
            </w:pPr>
          </w:p>
        </w:tc>
        <w:tc>
          <w:tcPr>
            <w:tcW w:w="80" w:type="dxa"/>
            <w:vAlign w:val="bottom"/>
            <w:tcBorders>
              <w:bottom w:val="single" w:sz="8" w:color="424E6A"/>
            </w:tcBorders>
            <w:shd w:val="clear" w:color="auto" w:fill="D9DCE1"/>
          </w:tcPr>
          <w:p>
            <w:pPr>
              <w:spacing w:after="0"/>
              <w:rPr>
                <w:sz w:val="5"/>
                <w:szCs w:val="5"/>
                <w:color w:val="auto"/>
              </w:rPr>
            </w:pPr>
          </w:p>
        </w:tc>
        <w:tc>
          <w:tcPr>
            <w:tcW w:w="340" w:type="dxa"/>
            <w:vAlign w:val="bottom"/>
            <w:tcBorders>
              <w:bottom w:val="single" w:sz="8" w:color="424E6A"/>
            </w:tcBorders>
            <w:vMerge w:val="continue"/>
            <w:shd w:val="clear" w:color="auto" w:fill="D9DCE1"/>
          </w:tcPr>
          <w:p>
            <w:pPr>
              <w:spacing w:after="0"/>
              <w:rPr>
                <w:sz w:val="5"/>
                <w:szCs w:val="5"/>
                <w:color w:val="auto"/>
              </w:rPr>
            </w:pPr>
          </w:p>
        </w:tc>
        <w:tc>
          <w:tcPr>
            <w:tcW w:w="80" w:type="dxa"/>
            <w:vAlign w:val="bottom"/>
            <w:tcBorders>
              <w:bottom w:val="single" w:sz="8" w:color="424E6A"/>
            </w:tcBorders>
            <w:shd w:val="clear" w:color="auto" w:fill="D9DCE1"/>
          </w:tcPr>
          <w:p>
            <w:pPr>
              <w:ind w:left="40"/>
              <w:spacing w:after="0" w:line="68" w:lineRule="exact"/>
              <w:rPr>
                <w:sz w:val="20"/>
                <w:szCs w:val="20"/>
                <w:color w:val="auto"/>
              </w:rPr>
            </w:pPr>
            <w:r>
              <w:rPr>
                <w:rFonts w:ascii="Arial" w:cs="Arial" w:eastAsia="Arial" w:hAnsi="Arial"/>
                <w:sz w:val="7"/>
                <w:szCs w:val="7"/>
                <w:color w:val="auto"/>
                <w:highlight w:val="lightGray"/>
              </w:rPr>
              <w:t>​</w:t>
            </w:r>
          </w:p>
        </w:tc>
        <w:tc>
          <w:tcPr>
            <w:tcW w:w="120" w:type="dxa"/>
            <w:vAlign w:val="bottom"/>
            <w:tcBorders>
              <w:bottom w:val="single" w:sz="8" w:color="424E6A"/>
            </w:tcBorders>
            <w:shd w:val="clear" w:color="auto" w:fill="D9DCE1"/>
          </w:tcPr>
          <w:p>
            <w:pPr>
              <w:spacing w:after="0"/>
              <w:rPr>
                <w:sz w:val="5"/>
                <w:szCs w:val="5"/>
                <w:color w:val="auto"/>
              </w:rPr>
            </w:pPr>
          </w:p>
        </w:tc>
        <w:tc>
          <w:tcPr>
            <w:tcW w:w="300" w:type="dxa"/>
            <w:vAlign w:val="bottom"/>
            <w:tcBorders>
              <w:bottom w:val="single" w:sz="8" w:color="424E6A"/>
            </w:tcBorders>
            <w:shd w:val="clear" w:color="auto" w:fill="D9DCE1"/>
          </w:tcPr>
          <w:p>
            <w:pPr>
              <w:spacing w:after="0"/>
              <w:rPr>
                <w:sz w:val="5"/>
                <w:szCs w:val="5"/>
                <w:color w:val="auto"/>
              </w:rPr>
            </w:pPr>
          </w:p>
        </w:tc>
        <w:tc>
          <w:tcPr>
            <w:tcW w:w="120" w:type="dxa"/>
            <w:vAlign w:val="bottom"/>
            <w:tcBorders>
              <w:bottom w:val="single" w:sz="8" w:color="424E6A"/>
              <w:right w:val="single" w:sz="8" w:color="auto"/>
            </w:tcBorders>
            <w:vMerge w:val="continue"/>
            <w:shd w:val="clear" w:color="auto" w:fill="D9DCE1"/>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424E6A"/>
          </w:tcPr>
          <w:p>
            <w:pPr>
              <w:spacing w:after="0"/>
              <w:rPr>
                <w:sz w:val="18"/>
                <w:szCs w:val="18"/>
                <w:color w:val="auto"/>
              </w:rPr>
            </w:pPr>
          </w:p>
        </w:tc>
        <w:tc>
          <w:tcPr>
            <w:tcW w:w="140" w:type="dxa"/>
            <w:vAlign w:val="bottom"/>
          </w:tcPr>
          <w:p>
            <w:pPr>
              <w:spacing w:after="0"/>
              <w:rPr>
                <w:sz w:val="18"/>
                <w:szCs w:val="18"/>
                <w:color w:val="auto"/>
              </w:rPr>
            </w:pPr>
          </w:p>
        </w:tc>
        <w:tc>
          <w:tcPr>
            <w:tcW w:w="4140" w:type="dxa"/>
            <w:vAlign w:val="bottom"/>
            <w:gridSpan w:val="6"/>
          </w:tcPr>
          <w:p>
            <w:pPr>
              <w:jc w:val="right"/>
              <w:spacing w:after="0"/>
              <w:rPr>
                <w:sz w:val="20"/>
                <w:szCs w:val="20"/>
                <w:color w:val="auto"/>
              </w:rPr>
            </w:pPr>
            <w:r>
              <w:rPr>
                <w:rFonts w:ascii="Arial" w:cs="Arial" w:eastAsia="Arial" w:hAnsi="Arial"/>
                <w:sz w:val="18"/>
                <w:szCs w:val="18"/>
                <w:color w:val="auto"/>
              </w:rPr>
              <w:t>Safety/Env Reduction vs. ‘20 (% Target)</w:t>
            </w:r>
          </w:p>
        </w:tc>
        <w:tc>
          <w:tcPr>
            <w:tcW w:w="400" w:type="dxa"/>
            <w:vAlign w:val="bottom"/>
            <w:vMerge w:val="restart"/>
          </w:tcPr>
          <w:p>
            <w:pPr>
              <w:jc w:val="right"/>
              <w:ind w:right="2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-20%</w:t>
            </w:r>
          </w:p>
        </w:tc>
        <w:tc>
          <w:tcPr>
            <w:tcW w:w="340" w:type="dxa"/>
            <w:vAlign w:val="bottom"/>
            <w:vMerge w:val="restart"/>
          </w:tcPr>
          <w:p>
            <w:pPr>
              <w:jc w:val="right"/>
              <w:ind w:right="54"/>
              <w:spacing w:after="0"/>
              <w:rPr>
                <w:sz w:val="20"/>
                <w:szCs w:val="20"/>
                <w:color w:val="auto"/>
              </w:rPr>
            </w:pPr>
            <w:r>
              <w:rPr>
                <w:rFonts w:ascii="Arial" w:cs="Arial" w:eastAsia="Arial" w:hAnsi="Arial"/>
                <w:sz w:val="18"/>
                <w:szCs w:val="18"/>
                <w:color w:val="auto"/>
              </w:rPr>
              <w:t>​​ ​</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-30%</w:t>
            </w:r>
          </w:p>
        </w:tc>
        <w:tc>
          <w:tcPr>
            <w:tcW w:w="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rPr>
              <w:t>2022 Formulaic</w:t>
            </w:r>
          </w:p>
        </w:tc>
        <w:tc>
          <w:tcPr>
            <w:tcW w:w="0" w:type="dxa"/>
            <w:vAlign w:val="bottom"/>
          </w:tcPr>
          <w:p>
            <w:pPr>
              <w:spacing w:after="0"/>
              <w:rPr>
                <w:sz w:val="1"/>
                <w:szCs w:val="1"/>
                <w:color w:val="auto"/>
              </w:rPr>
            </w:pPr>
          </w:p>
        </w:tc>
      </w:tr>
      <w:tr>
        <w:trPr>
          <w:trHeight w:val="54"/>
        </w:trPr>
        <w:tc>
          <w:tcPr>
            <w:tcW w:w="20" w:type="dxa"/>
            <w:vAlign w:val="bottom"/>
            <w:tcBorders>
              <w:bottom w:val="single" w:sz="8" w:color="424E6A"/>
            </w:tcBorders>
            <w:shd w:val="clear" w:color="auto" w:fill="424E6A"/>
          </w:tcPr>
          <w:p>
            <w:pPr>
              <w:spacing w:after="0"/>
              <w:rPr>
                <w:sz w:val="4"/>
                <w:szCs w:val="4"/>
                <w:color w:val="auto"/>
              </w:rPr>
            </w:pPr>
          </w:p>
        </w:tc>
        <w:tc>
          <w:tcPr>
            <w:tcW w:w="140" w:type="dxa"/>
            <w:vAlign w:val="bottom"/>
            <w:tcBorders>
              <w:bottom w:val="single" w:sz="8" w:color="424E6A"/>
            </w:tcBorders>
          </w:tcPr>
          <w:p>
            <w:pPr>
              <w:spacing w:after="0"/>
              <w:rPr>
                <w:sz w:val="4"/>
                <w:szCs w:val="4"/>
                <w:color w:val="auto"/>
              </w:rPr>
            </w:pPr>
          </w:p>
        </w:tc>
        <w:tc>
          <w:tcPr>
            <w:tcW w:w="2120" w:type="dxa"/>
            <w:vAlign w:val="bottom"/>
            <w:tcBorders>
              <w:bottom w:val="single" w:sz="8" w:color="424E6A"/>
            </w:tcBorders>
          </w:tcPr>
          <w:p>
            <w:pPr>
              <w:spacing w:after="0"/>
              <w:rPr>
                <w:sz w:val="4"/>
                <w:szCs w:val="4"/>
                <w:color w:val="auto"/>
              </w:rPr>
            </w:pPr>
          </w:p>
        </w:tc>
        <w:tc>
          <w:tcPr>
            <w:tcW w:w="560" w:type="dxa"/>
            <w:vAlign w:val="bottom"/>
            <w:tcBorders>
              <w:bottom w:val="single" w:sz="8" w:color="424E6A"/>
            </w:tcBorders>
          </w:tcPr>
          <w:p>
            <w:pPr>
              <w:spacing w:after="0"/>
              <w:rPr>
                <w:sz w:val="4"/>
                <w:szCs w:val="4"/>
                <w:color w:val="auto"/>
              </w:rPr>
            </w:pPr>
          </w:p>
        </w:tc>
        <w:tc>
          <w:tcPr>
            <w:tcW w:w="300" w:type="dxa"/>
            <w:vAlign w:val="bottom"/>
            <w:tcBorders>
              <w:bottom w:val="single" w:sz="8" w:color="424E6A"/>
            </w:tcBorders>
          </w:tcPr>
          <w:p>
            <w:pPr>
              <w:spacing w:after="0"/>
              <w:rPr>
                <w:sz w:val="4"/>
                <w:szCs w:val="4"/>
                <w:color w:val="auto"/>
              </w:rPr>
            </w:pPr>
          </w:p>
        </w:tc>
        <w:tc>
          <w:tcPr>
            <w:tcW w:w="240" w:type="dxa"/>
            <w:vAlign w:val="bottom"/>
            <w:tcBorders>
              <w:bottom w:val="single" w:sz="8" w:color="424E6A"/>
            </w:tcBorders>
          </w:tcPr>
          <w:p>
            <w:pPr>
              <w:spacing w:after="0"/>
              <w:rPr>
                <w:sz w:val="4"/>
                <w:szCs w:val="4"/>
                <w:color w:val="auto"/>
              </w:rPr>
            </w:pPr>
          </w:p>
        </w:tc>
        <w:tc>
          <w:tcPr>
            <w:tcW w:w="500" w:type="dxa"/>
            <w:vAlign w:val="bottom"/>
            <w:tcBorders>
              <w:bottom w:val="single" w:sz="8" w:color="424E6A"/>
            </w:tcBorders>
          </w:tcPr>
          <w:p>
            <w:pPr>
              <w:spacing w:after="0"/>
              <w:rPr>
                <w:sz w:val="4"/>
                <w:szCs w:val="4"/>
                <w:color w:val="auto"/>
              </w:rPr>
            </w:pPr>
          </w:p>
        </w:tc>
        <w:tc>
          <w:tcPr>
            <w:tcW w:w="420" w:type="dxa"/>
            <w:vAlign w:val="bottom"/>
            <w:tcBorders>
              <w:bottom w:val="single" w:sz="8" w:color="424E6A"/>
            </w:tcBorders>
          </w:tcPr>
          <w:p>
            <w:pPr>
              <w:spacing w:after="0"/>
              <w:rPr>
                <w:sz w:val="4"/>
                <w:szCs w:val="4"/>
                <w:color w:val="auto"/>
              </w:rPr>
            </w:pPr>
          </w:p>
        </w:tc>
        <w:tc>
          <w:tcPr>
            <w:tcW w:w="400" w:type="dxa"/>
            <w:vAlign w:val="bottom"/>
            <w:tcBorders>
              <w:bottom w:val="single" w:sz="8" w:color="424E6A"/>
            </w:tcBorders>
            <w:vMerge w:val="continue"/>
          </w:tcPr>
          <w:p>
            <w:pPr>
              <w:spacing w:after="0"/>
              <w:rPr>
                <w:sz w:val="4"/>
                <w:szCs w:val="4"/>
                <w:color w:val="auto"/>
              </w:rPr>
            </w:pPr>
          </w:p>
        </w:tc>
        <w:tc>
          <w:tcPr>
            <w:tcW w:w="240" w:type="dxa"/>
            <w:vAlign w:val="bottom"/>
            <w:tcBorders>
              <w:bottom w:val="single" w:sz="8" w:color="424E6A"/>
            </w:tcBorders>
          </w:tcPr>
          <w:p>
            <w:pPr>
              <w:spacing w:after="0"/>
              <w:rPr>
                <w:sz w:val="4"/>
                <w:szCs w:val="4"/>
                <w:color w:val="auto"/>
              </w:rPr>
            </w:pPr>
          </w:p>
        </w:tc>
        <w:tc>
          <w:tcPr>
            <w:tcW w:w="520" w:type="dxa"/>
            <w:vAlign w:val="bottom"/>
            <w:tcBorders>
              <w:bottom w:val="single" w:sz="8" w:color="424E6A"/>
            </w:tcBorders>
          </w:tcPr>
          <w:p>
            <w:pPr>
              <w:jc w:val="right"/>
              <w:ind w:right="60"/>
              <w:spacing w:after="0" w:line="54" w:lineRule="exact"/>
              <w:rPr>
                <w:sz w:val="20"/>
                <w:szCs w:val="20"/>
                <w:color w:val="auto"/>
              </w:rPr>
            </w:pPr>
            <w:r>
              <w:rPr>
                <w:rFonts w:ascii="Arial" w:cs="Arial" w:eastAsia="Arial" w:hAnsi="Arial"/>
                <w:sz w:val="6"/>
                <w:szCs w:val="6"/>
                <w:color w:val="auto"/>
              </w:rPr>
              <w:t>​​ ​</w:t>
            </w:r>
          </w:p>
        </w:tc>
        <w:tc>
          <w:tcPr>
            <w:tcW w:w="120" w:type="dxa"/>
            <w:vAlign w:val="bottom"/>
            <w:tcBorders>
              <w:bottom w:val="single" w:sz="8" w:color="424E6A"/>
            </w:tcBorders>
            <w:vMerge w:val="continue"/>
          </w:tcPr>
          <w:p>
            <w:pPr>
              <w:spacing w:after="0"/>
              <w:rPr>
                <w:sz w:val="4"/>
                <w:szCs w:val="4"/>
                <w:color w:val="auto"/>
              </w:rPr>
            </w:pPr>
          </w:p>
        </w:tc>
        <w:tc>
          <w:tcPr>
            <w:tcW w:w="340" w:type="dxa"/>
            <w:vAlign w:val="bottom"/>
            <w:tcBorders>
              <w:bottom w:val="single" w:sz="8" w:color="424E6A"/>
            </w:tcBorders>
          </w:tcPr>
          <w:p>
            <w:pPr>
              <w:spacing w:after="0"/>
              <w:rPr>
                <w:sz w:val="4"/>
                <w:szCs w:val="4"/>
                <w:color w:val="auto"/>
              </w:rPr>
            </w:pPr>
          </w:p>
        </w:tc>
        <w:tc>
          <w:tcPr>
            <w:tcW w:w="80" w:type="dxa"/>
            <w:vAlign w:val="bottom"/>
            <w:tcBorders>
              <w:bottom w:val="single" w:sz="8" w:color="424E6A"/>
            </w:tcBorders>
          </w:tcPr>
          <w:p>
            <w:pPr>
              <w:spacing w:after="0"/>
              <w:rPr>
                <w:sz w:val="4"/>
                <w:szCs w:val="4"/>
                <w:color w:val="auto"/>
              </w:rPr>
            </w:pPr>
          </w:p>
        </w:tc>
        <w:tc>
          <w:tcPr>
            <w:tcW w:w="340" w:type="dxa"/>
            <w:vAlign w:val="bottom"/>
            <w:tcBorders>
              <w:bottom w:val="single" w:sz="8" w:color="424E6A"/>
            </w:tcBorders>
            <w:vMerge w:val="continue"/>
          </w:tcPr>
          <w:p>
            <w:pPr>
              <w:spacing w:after="0"/>
              <w:rPr>
                <w:sz w:val="4"/>
                <w:szCs w:val="4"/>
                <w:color w:val="auto"/>
              </w:rPr>
            </w:pPr>
          </w:p>
        </w:tc>
        <w:tc>
          <w:tcPr>
            <w:tcW w:w="80" w:type="dxa"/>
            <w:vAlign w:val="bottom"/>
            <w:tcBorders>
              <w:bottom w:val="single" w:sz="8" w:color="424E6A"/>
            </w:tcBorders>
            <w:vMerge w:val="continue"/>
          </w:tcPr>
          <w:p>
            <w:pPr>
              <w:spacing w:after="0"/>
              <w:rPr>
                <w:sz w:val="4"/>
                <w:szCs w:val="4"/>
                <w:color w:val="auto"/>
              </w:rPr>
            </w:pPr>
          </w:p>
        </w:tc>
        <w:tc>
          <w:tcPr>
            <w:tcW w:w="120" w:type="dxa"/>
            <w:vAlign w:val="bottom"/>
            <w:tcBorders>
              <w:bottom w:val="single" w:sz="8" w:color="424E6A"/>
            </w:tcBorders>
          </w:tcPr>
          <w:p>
            <w:pPr>
              <w:spacing w:after="0"/>
              <w:rPr>
                <w:sz w:val="4"/>
                <w:szCs w:val="4"/>
                <w:color w:val="auto"/>
              </w:rPr>
            </w:pPr>
          </w:p>
        </w:tc>
        <w:tc>
          <w:tcPr>
            <w:tcW w:w="300" w:type="dxa"/>
            <w:vAlign w:val="bottom"/>
            <w:tcBorders>
              <w:bottom w:val="single" w:sz="8" w:color="424E6A"/>
            </w:tcBorders>
          </w:tcPr>
          <w:p>
            <w:pPr>
              <w:spacing w:after="0"/>
              <w:rPr>
                <w:sz w:val="4"/>
                <w:szCs w:val="4"/>
                <w:color w:val="auto"/>
              </w:rPr>
            </w:pPr>
          </w:p>
        </w:tc>
        <w:tc>
          <w:tcPr>
            <w:tcW w:w="120" w:type="dxa"/>
            <w:vAlign w:val="bottom"/>
            <w:tcBorders>
              <w:bottom w:val="single" w:sz="8" w:color="424E6A"/>
              <w:right w:val="single" w:sz="8" w:color="auto"/>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gridSpan w:val="3"/>
            <w:vMerge w:val="restart"/>
          </w:tcPr>
          <w:p>
            <w:pPr>
              <w:jc w:val="center"/>
              <w:ind w:right="316"/>
              <w:spacing w:after="0" w:line="149" w:lineRule="exact"/>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75"/>
        </w:trPr>
        <w:tc>
          <w:tcPr>
            <w:tcW w:w="20" w:type="dxa"/>
            <w:vAlign w:val="bottom"/>
            <w:shd w:val="clear" w:color="auto" w:fill="424E6A"/>
          </w:tcPr>
          <w:p>
            <w:pPr>
              <w:spacing w:after="0"/>
              <w:rPr>
                <w:sz w:val="6"/>
                <w:szCs w:val="6"/>
                <w:color w:val="auto"/>
              </w:rPr>
            </w:pPr>
          </w:p>
        </w:tc>
        <w:tc>
          <w:tcPr>
            <w:tcW w:w="140" w:type="dxa"/>
            <w:vAlign w:val="bottom"/>
            <w:shd w:val="clear" w:color="auto" w:fill="D9DCE1"/>
          </w:tcPr>
          <w:p>
            <w:pPr>
              <w:spacing w:after="0"/>
              <w:rPr>
                <w:sz w:val="6"/>
                <w:szCs w:val="6"/>
                <w:color w:val="auto"/>
              </w:rPr>
            </w:pPr>
          </w:p>
        </w:tc>
        <w:tc>
          <w:tcPr>
            <w:tcW w:w="2120" w:type="dxa"/>
            <w:vAlign w:val="bottom"/>
            <w:shd w:val="clear" w:color="auto" w:fill="D9DCE1"/>
          </w:tcPr>
          <w:p>
            <w:pPr>
              <w:spacing w:after="0"/>
              <w:rPr>
                <w:sz w:val="6"/>
                <w:szCs w:val="6"/>
                <w:color w:val="auto"/>
              </w:rPr>
            </w:pPr>
          </w:p>
        </w:tc>
        <w:tc>
          <w:tcPr>
            <w:tcW w:w="560" w:type="dxa"/>
            <w:vAlign w:val="bottom"/>
            <w:shd w:val="clear" w:color="auto" w:fill="D9DCE1"/>
          </w:tcPr>
          <w:p>
            <w:pPr>
              <w:spacing w:after="0"/>
              <w:rPr>
                <w:sz w:val="6"/>
                <w:szCs w:val="6"/>
                <w:color w:val="auto"/>
              </w:rPr>
            </w:pPr>
          </w:p>
        </w:tc>
        <w:tc>
          <w:tcPr>
            <w:tcW w:w="300" w:type="dxa"/>
            <w:vAlign w:val="bottom"/>
            <w:shd w:val="clear" w:color="auto" w:fill="D9DCE1"/>
          </w:tcPr>
          <w:p>
            <w:pPr>
              <w:spacing w:after="0"/>
              <w:rPr>
                <w:sz w:val="6"/>
                <w:szCs w:val="6"/>
                <w:color w:val="auto"/>
              </w:rPr>
            </w:pPr>
          </w:p>
        </w:tc>
        <w:tc>
          <w:tcPr>
            <w:tcW w:w="240" w:type="dxa"/>
            <w:vAlign w:val="bottom"/>
            <w:shd w:val="clear" w:color="auto" w:fill="D9DCE1"/>
          </w:tcPr>
          <w:p>
            <w:pPr>
              <w:spacing w:after="0"/>
              <w:rPr>
                <w:sz w:val="6"/>
                <w:szCs w:val="6"/>
                <w:color w:val="auto"/>
              </w:rPr>
            </w:pPr>
          </w:p>
        </w:tc>
        <w:tc>
          <w:tcPr>
            <w:tcW w:w="920" w:type="dxa"/>
            <w:vAlign w:val="bottom"/>
            <w:gridSpan w:val="2"/>
            <w:vMerge w:val="restart"/>
            <w:shd w:val="clear" w:color="auto" w:fill="D9DCE1"/>
          </w:tcPr>
          <w:p>
            <w:pPr>
              <w:jc w:val="right"/>
              <w:spacing w:after="0"/>
              <w:rPr>
                <w:sz w:val="20"/>
                <w:szCs w:val="20"/>
                <w:color w:val="auto"/>
              </w:rPr>
            </w:pPr>
            <w:r>
              <w:rPr>
                <w:rFonts w:ascii="Arial" w:cs="Arial" w:eastAsia="Arial" w:hAnsi="Arial"/>
                <w:sz w:val="18"/>
                <w:szCs w:val="18"/>
                <w:color w:val="auto"/>
              </w:rPr>
              <w:t>Payout</w:t>
            </w:r>
          </w:p>
        </w:tc>
        <w:tc>
          <w:tcPr>
            <w:tcW w:w="400" w:type="dxa"/>
            <w:vAlign w:val="bottom"/>
            <w:vMerge w:val="restart"/>
            <w:shd w:val="clear" w:color="auto" w:fill="D9DCE1"/>
          </w:tcPr>
          <w:p>
            <w:pPr>
              <w:jc w:val="right"/>
              <w:ind w:right="22"/>
              <w:spacing w:after="0"/>
              <w:rPr>
                <w:sz w:val="20"/>
                <w:szCs w:val="20"/>
                <w:color w:val="auto"/>
              </w:rPr>
            </w:pPr>
            <w:r>
              <w:rPr>
                <w:rFonts w:ascii="Arial" w:cs="Arial" w:eastAsia="Arial" w:hAnsi="Arial"/>
                <w:sz w:val="18"/>
                <w:szCs w:val="18"/>
                <w:color w:val="auto"/>
              </w:rPr>
              <w:t>​</w:t>
            </w:r>
          </w:p>
        </w:tc>
        <w:tc>
          <w:tcPr>
            <w:tcW w:w="240" w:type="dxa"/>
            <w:vAlign w:val="bottom"/>
            <w:shd w:val="clear" w:color="auto" w:fill="D9DCE1"/>
          </w:tcPr>
          <w:p>
            <w:pPr>
              <w:spacing w:after="0"/>
              <w:rPr>
                <w:sz w:val="6"/>
                <w:szCs w:val="6"/>
                <w:color w:val="auto"/>
              </w:rPr>
            </w:pPr>
          </w:p>
        </w:tc>
        <w:tc>
          <w:tcPr>
            <w:tcW w:w="520" w:type="dxa"/>
            <w:vAlign w:val="bottom"/>
            <w:vMerge w:val="restart"/>
            <w:shd w:val="clear" w:color="auto" w:fill="D9DCE1"/>
          </w:tcPr>
          <w:p>
            <w:pPr>
              <w:jc w:val="right"/>
              <w:ind w:right="200"/>
              <w:spacing w:after="0"/>
              <w:rPr>
                <w:sz w:val="20"/>
                <w:szCs w:val="20"/>
                <w:color w:val="auto"/>
              </w:rPr>
            </w:pPr>
            <w:r>
              <w:rPr>
                <w:rFonts w:ascii="Arial" w:cs="Arial" w:eastAsia="Arial" w:hAnsi="Arial"/>
                <w:sz w:val="18"/>
                <w:szCs w:val="18"/>
                <w:color w:val="auto"/>
                <w:w w:val="92"/>
              </w:rPr>
              <w:t>0%</w:t>
            </w:r>
          </w:p>
        </w:tc>
        <w:tc>
          <w:tcPr>
            <w:tcW w:w="540" w:type="dxa"/>
            <w:vAlign w:val="bottom"/>
            <w:gridSpan w:val="3"/>
            <w:vMerge w:val="restart"/>
            <w:shd w:val="clear" w:color="auto" w:fill="D9DCE1"/>
          </w:tcPr>
          <w:p>
            <w:pPr>
              <w:jc w:val="right"/>
              <w:spacing w:after="0"/>
              <w:rPr>
                <w:sz w:val="20"/>
                <w:szCs w:val="20"/>
                <w:color w:val="auto"/>
              </w:rPr>
            </w:pPr>
            <w:r>
              <w:rPr>
                <w:rFonts w:ascii="Arial" w:cs="Arial" w:eastAsia="Arial" w:hAnsi="Arial"/>
                <w:sz w:val="18"/>
                <w:szCs w:val="18"/>
                <w:color w:val="auto"/>
              </w:rPr>
              <w:t>100%</w:t>
            </w:r>
          </w:p>
        </w:tc>
        <w:tc>
          <w:tcPr>
            <w:tcW w:w="340" w:type="dxa"/>
            <w:vAlign w:val="bottom"/>
            <w:vMerge w:val="restart"/>
            <w:shd w:val="clear" w:color="auto" w:fill="D9DCE1"/>
          </w:tcPr>
          <w:p>
            <w:pPr>
              <w:jc w:val="right"/>
              <w:ind w:right="54"/>
              <w:spacing w:after="0"/>
              <w:rPr>
                <w:sz w:val="20"/>
                <w:szCs w:val="20"/>
                <w:color w:val="auto"/>
              </w:rPr>
            </w:pPr>
            <w:r>
              <w:rPr>
                <w:rFonts w:ascii="Arial" w:cs="Arial" w:eastAsia="Arial" w:hAnsi="Arial"/>
                <w:sz w:val="18"/>
                <w:szCs w:val="18"/>
                <w:color w:val="auto"/>
              </w:rPr>
              <w:t>​​ ​</w:t>
            </w:r>
          </w:p>
        </w:tc>
        <w:tc>
          <w:tcPr>
            <w:tcW w:w="500" w:type="dxa"/>
            <w:vAlign w:val="bottom"/>
            <w:gridSpan w:val="3"/>
            <w:vMerge w:val="restart"/>
            <w:shd w:val="clear" w:color="auto" w:fill="D9DCE1"/>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right w:val="single" w:sz="8" w:color="auto"/>
            </w:tcBorders>
            <w:vMerge w:val="restart"/>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424E6A"/>
          </w:tcPr>
          <w:p>
            <w:pPr>
              <w:spacing w:after="0"/>
              <w:rPr>
                <w:sz w:val="11"/>
                <w:szCs w:val="11"/>
                <w:color w:val="auto"/>
              </w:rPr>
            </w:pPr>
          </w:p>
        </w:tc>
        <w:tc>
          <w:tcPr>
            <w:tcW w:w="140" w:type="dxa"/>
            <w:vAlign w:val="bottom"/>
            <w:shd w:val="clear" w:color="auto" w:fill="D9DCE1"/>
          </w:tcPr>
          <w:p>
            <w:pPr>
              <w:spacing w:after="0"/>
              <w:rPr>
                <w:sz w:val="11"/>
                <w:szCs w:val="11"/>
                <w:color w:val="auto"/>
              </w:rPr>
            </w:pPr>
          </w:p>
        </w:tc>
        <w:tc>
          <w:tcPr>
            <w:tcW w:w="2120" w:type="dxa"/>
            <w:vAlign w:val="bottom"/>
            <w:shd w:val="clear" w:color="auto" w:fill="D9DCE1"/>
          </w:tcPr>
          <w:p>
            <w:pPr>
              <w:spacing w:after="0"/>
              <w:rPr>
                <w:sz w:val="11"/>
                <w:szCs w:val="11"/>
                <w:color w:val="auto"/>
              </w:rPr>
            </w:pPr>
          </w:p>
        </w:tc>
        <w:tc>
          <w:tcPr>
            <w:tcW w:w="560" w:type="dxa"/>
            <w:vAlign w:val="bottom"/>
            <w:shd w:val="clear" w:color="auto" w:fill="D9DCE1"/>
          </w:tcPr>
          <w:p>
            <w:pPr>
              <w:spacing w:after="0"/>
              <w:rPr>
                <w:sz w:val="11"/>
                <w:szCs w:val="11"/>
                <w:color w:val="auto"/>
              </w:rPr>
            </w:pPr>
          </w:p>
        </w:tc>
        <w:tc>
          <w:tcPr>
            <w:tcW w:w="300" w:type="dxa"/>
            <w:vAlign w:val="bottom"/>
            <w:shd w:val="clear" w:color="auto" w:fill="D9DCE1"/>
          </w:tcPr>
          <w:p>
            <w:pPr>
              <w:spacing w:after="0"/>
              <w:rPr>
                <w:sz w:val="11"/>
                <w:szCs w:val="11"/>
                <w:color w:val="auto"/>
              </w:rPr>
            </w:pPr>
          </w:p>
        </w:tc>
        <w:tc>
          <w:tcPr>
            <w:tcW w:w="240" w:type="dxa"/>
            <w:vAlign w:val="bottom"/>
            <w:shd w:val="clear" w:color="auto" w:fill="D9DCE1"/>
          </w:tcPr>
          <w:p>
            <w:pPr>
              <w:spacing w:after="0"/>
              <w:rPr>
                <w:sz w:val="11"/>
                <w:szCs w:val="11"/>
                <w:color w:val="auto"/>
              </w:rPr>
            </w:pPr>
          </w:p>
        </w:tc>
        <w:tc>
          <w:tcPr>
            <w:tcW w:w="920" w:type="dxa"/>
            <w:vAlign w:val="bottom"/>
            <w:gridSpan w:val="2"/>
            <w:vMerge w:val="continue"/>
            <w:shd w:val="clear" w:color="auto" w:fill="D9DCE1"/>
          </w:tcPr>
          <w:p>
            <w:pPr>
              <w:spacing w:after="0"/>
              <w:rPr>
                <w:sz w:val="11"/>
                <w:szCs w:val="11"/>
                <w:color w:val="auto"/>
              </w:rPr>
            </w:pPr>
          </w:p>
        </w:tc>
        <w:tc>
          <w:tcPr>
            <w:tcW w:w="400" w:type="dxa"/>
            <w:vAlign w:val="bottom"/>
            <w:vMerge w:val="continue"/>
            <w:shd w:val="clear" w:color="auto" w:fill="D9DCE1"/>
          </w:tcPr>
          <w:p>
            <w:pPr>
              <w:spacing w:after="0"/>
              <w:rPr>
                <w:sz w:val="11"/>
                <w:szCs w:val="11"/>
                <w:color w:val="auto"/>
              </w:rPr>
            </w:pPr>
          </w:p>
        </w:tc>
        <w:tc>
          <w:tcPr>
            <w:tcW w:w="240" w:type="dxa"/>
            <w:vAlign w:val="bottom"/>
            <w:shd w:val="clear" w:color="auto" w:fill="D9DCE1"/>
          </w:tcPr>
          <w:p>
            <w:pPr>
              <w:spacing w:after="0"/>
              <w:rPr>
                <w:sz w:val="11"/>
                <w:szCs w:val="11"/>
                <w:color w:val="auto"/>
              </w:rPr>
            </w:pPr>
          </w:p>
        </w:tc>
        <w:tc>
          <w:tcPr>
            <w:tcW w:w="520" w:type="dxa"/>
            <w:vAlign w:val="bottom"/>
            <w:vMerge w:val="continue"/>
            <w:shd w:val="clear" w:color="auto" w:fill="D9DCE1"/>
          </w:tcPr>
          <w:p>
            <w:pPr>
              <w:spacing w:after="0"/>
              <w:rPr>
                <w:sz w:val="11"/>
                <w:szCs w:val="11"/>
                <w:color w:val="auto"/>
              </w:rPr>
            </w:pPr>
          </w:p>
        </w:tc>
        <w:tc>
          <w:tcPr>
            <w:tcW w:w="540" w:type="dxa"/>
            <w:vAlign w:val="bottom"/>
            <w:gridSpan w:val="3"/>
            <w:vMerge w:val="continue"/>
            <w:shd w:val="clear" w:color="auto" w:fill="D9DCE1"/>
          </w:tcPr>
          <w:p>
            <w:pPr>
              <w:spacing w:after="0"/>
              <w:rPr>
                <w:sz w:val="11"/>
                <w:szCs w:val="11"/>
                <w:color w:val="auto"/>
              </w:rPr>
            </w:pPr>
          </w:p>
        </w:tc>
        <w:tc>
          <w:tcPr>
            <w:tcW w:w="340" w:type="dxa"/>
            <w:vAlign w:val="bottom"/>
            <w:vMerge w:val="continue"/>
            <w:shd w:val="clear" w:color="auto" w:fill="D9DCE1"/>
          </w:tcPr>
          <w:p>
            <w:pPr>
              <w:spacing w:after="0"/>
              <w:rPr>
                <w:sz w:val="11"/>
                <w:szCs w:val="11"/>
                <w:color w:val="auto"/>
              </w:rPr>
            </w:pPr>
          </w:p>
        </w:tc>
        <w:tc>
          <w:tcPr>
            <w:tcW w:w="500" w:type="dxa"/>
            <w:vAlign w:val="bottom"/>
            <w:gridSpan w:val="3"/>
            <w:vMerge w:val="continue"/>
            <w:shd w:val="clear" w:color="auto" w:fill="D9DCE1"/>
          </w:tcPr>
          <w:p>
            <w:pPr>
              <w:spacing w:after="0"/>
              <w:rPr>
                <w:sz w:val="11"/>
                <w:szCs w:val="11"/>
                <w:color w:val="auto"/>
              </w:rPr>
            </w:pPr>
          </w:p>
        </w:tc>
        <w:tc>
          <w:tcPr>
            <w:tcW w:w="120" w:type="dxa"/>
            <w:vAlign w:val="bottom"/>
            <w:tcBorders>
              <w:right w:val="single" w:sz="8" w:color="auto"/>
            </w:tcBorders>
            <w:vMerge w:val="continue"/>
            <w:shd w:val="clear" w:color="auto" w:fill="D9DCE1"/>
          </w:tcPr>
          <w:p>
            <w:pPr>
              <w:spacing w:after="0"/>
              <w:rPr>
                <w:sz w:val="11"/>
                <w:szCs w:val="11"/>
                <w:color w:val="auto"/>
              </w:rPr>
            </w:pPr>
          </w:p>
        </w:tc>
        <w:tc>
          <w:tcPr>
            <w:tcW w:w="126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rPr>
              <w:t>Calculation</w:t>
            </w:r>
          </w:p>
        </w:tc>
        <w:tc>
          <w:tcPr>
            <w:tcW w:w="0" w:type="dxa"/>
            <w:vAlign w:val="bottom"/>
          </w:tcPr>
          <w:p>
            <w:pPr>
              <w:spacing w:after="0"/>
              <w:rPr>
                <w:sz w:val="1"/>
                <w:szCs w:val="1"/>
                <w:color w:val="auto"/>
              </w:rPr>
            </w:pPr>
          </w:p>
        </w:tc>
      </w:tr>
      <w:tr>
        <w:trPr>
          <w:trHeight w:val="54"/>
        </w:trPr>
        <w:tc>
          <w:tcPr>
            <w:tcW w:w="20" w:type="dxa"/>
            <w:vAlign w:val="bottom"/>
            <w:tcBorders>
              <w:bottom w:val="single" w:sz="8" w:color="424E6A"/>
            </w:tcBorders>
            <w:shd w:val="clear" w:color="auto" w:fill="424E6A"/>
          </w:tcPr>
          <w:p>
            <w:pPr>
              <w:spacing w:after="0"/>
              <w:rPr>
                <w:sz w:val="4"/>
                <w:szCs w:val="4"/>
                <w:color w:val="auto"/>
              </w:rPr>
            </w:pPr>
          </w:p>
        </w:tc>
        <w:tc>
          <w:tcPr>
            <w:tcW w:w="140" w:type="dxa"/>
            <w:vAlign w:val="bottom"/>
            <w:tcBorders>
              <w:bottom w:val="single" w:sz="8" w:color="424E6A"/>
            </w:tcBorders>
            <w:shd w:val="clear" w:color="auto" w:fill="D9DCE1"/>
          </w:tcPr>
          <w:p>
            <w:pPr>
              <w:spacing w:after="0"/>
              <w:rPr>
                <w:sz w:val="4"/>
                <w:szCs w:val="4"/>
                <w:color w:val="auto"/>
              </w:rPr>
            </w:pPr>
          </w:p>
        </w:tc>
        <w:tc>
          <w:tcPr>
            <w:tcW w:w="2120" w:type="dxa"/>
            <w:vAlign w:val="bottom"/>
            <w:tcBorders>
              <w:bottom w:val="single" w:sz="8" w:color="424E6A"/>
            </w:tcBorders>
            <w:shd w:val="clear" w:color="auto" w:fill="D9DCE1"/>
          </w:tcPr>
          <w:p>
            <w:pPr>
              <w:spacing w:after="0"/>
              <w:rPr>
                <w:sz w:val="4"/>
                <w:szCs w:val="4"/>
                <w:color w:val="auto"/>
              </w:rPr>
            </w:pPr>
          </w:p>
        </w:tc>
        <w:tc>
          <w:tcPr>
            <w:tcW w:w="560" w:type="dxa"/>
            <w:vAlign w:val="bottom"/>
            <w:tcBorders>
              <w:bottom w:val="single" w:sz="8" w:color="424E6A"/>
            </w:tcBorders>
            <w:shd w:val="clear" w:color="auto" w:fill="D9DCE1"/>
          </w:tcPr>
          <w:p>
            <w:pPr>
              <w:spacing w:after="0"/>
              <w:rPr>
                <w:sz w:val="4"/>
                <w:szCs w:val="4"/>
                <w:color w:val="auto"/>
              </w:rPr>
            </w:pPr>
          </w:p>
        </w:tc>
        <w:tc>
          <w:tcPr>
            <w:tcW w:w="300" w:type="dxa"/>
            <w:vAlign w:val="bottom"/>
            <w:tcBorders>
              <w:bottom w:val="single" w:sz="8" w:color="424E6A"/>
            </w:tcBorders>
            <w:shd w:val="clear" w:color="auto" w:fill="D9DCE1"/>
          </w:tcPr>
          <w:p>
            <w:pPr>
              <w:spacing w:after="0"/>
              <w:rPr>
                <w:sz w:val="4"/>
                <w:szCs w:val="4"/>
                <w:color w:val="auto"/>
              </w:rPr>
            </w:pPr>
          </w:p>
        </w:tc>
        <w:tc>
          <w:tcPr>
            <w:tcW w:w="240" w:type="dxa"/>
            <w:vAlign w:val="bottom"/>
            <w:tcBorders>
              <w:bottom w:val="single" w:sz="8" w:color="424E6A"/>
            </w:tcBorders>
            <w:shd w:val="clear" w:color="auto" w:fill="D9DCE1"/>
          </w:tcPr>
          <w:p>
            <w:pPr>
              <w:spacing w:after="0"/>
              <w:rPr>
                <w:sz w:val="4"/>
                <w:szCs w:val="4"/>
                <w:color w:val="auto"/>
              </w:rPr>
            </w:pPr>
          </w:p>
        </w:tc>
        <w:tc>
          <w:tcPr>
            <w:tcW w:w="500" w:type="dxa"/>
            <w:vAlign w:val="bottom"/>
            <w:tcBorders>
              <w:bottom w:val="single" w:sz="8" w:color="424E6A"/>
            </w:tcBorders>
            <w:shd w:val="clear" w:color="auto" w:fill="D9DCE1"/>
          </w:tcPr>
          <w:p>
            <w:pPr>
              <w:spacing w:after="0"/>
              <w:rPr>
                <w:sz w:val="4"/>
                <w:szCs w:val="4"/>
                <w:color w:val="auto"/>
              </w:rPr>
            </w:pPr>
          </w:p>
        </w:tc>
        <w:tc>
          <w:tcPr>
            <w:tcW w:w="420" w:type="dxa"/>
            <w:vAlign w:val="bottom"/>
            <w:tcBorders>
              <w:bottom w:val="single" w:sz="8" w:color="424E6A"/>
            </w:tcBorders>
            <w:shd w:val="clear" w:color="auto" w:fill="D9DCE1"/>
          </w:tcPr>
          <w:p>
            <w:pPr>
              <w:spacing w:after="0"/>
              <w:rPr>
                <w:sz w:val="4"/>
                <w:szCs w:val="4"/>
                <w:color w:val="auto"/>
              </w:rPr>
            </w:pPr>
          </w:p>
        </w:tc>
        <w:tc>
          <w:tcPr>
            <w:tcW w:w="400" w:type="dxa"/>
            <w:vAlign w:val="bottom"/>
            <w:tcBorders>
              <w:bottom w:val="single" w:sz="8" w:color="424E6A"/>
            </w:tcBorders>
            <w:vMerge w:val="continue"/>
            <w:shd w:val="clear" w:color="auto" w:fill="D9DCE1"/>
          </w:tcPr>
          <w:p>
            <w:pPr>
              <w:spacing w:after="0"/>
              <w:rPr>
                <w:sz w:val="4"/>
                <w:szCs w:val="4"/>
                <w:color w:val="auto"/>
              </w:rPr>
            </w:pPr>
          </w:p>
        </w:tc>
        <w:tc>
          <w:tcPr>
            <w:tcW w:w="240" w:type="dxa"/>
            <w:vAlign w:val="bottom"/>
            <w:tcBorders>
              <w:bottom w:val="single" w:sz="8" w:color="424E6A"/>
            </w:tcBorders>
            <w:shd w:val="clear" w:color="auto" w:fill="D9DCE1"/>
          </w:tcPr>
          <w:p>
            <w:pPr>
              <w:spacing w:after="0"/>
              <w:rPr>
                <w:sz w:val="4"/>
                <w:szCs w:val="4"/>
                <w:color w:val="auto"/>
              </w:rPr>
            </w:pPr>
          </w:p>
        </w:tc>
        <w:tc>
          <w:tcPr>
            <w:tcW w:w="520" w:type="dxa"/>
            <w:vAlign w:val="bottom"/>
            <w:tcBorders>
              <w:bottom w:val="single" w:sz="8" w:color="424E6A"/>
            </w:tcBorders>
            <w:shd w:val="clear" w:color="auto" w:fill="D9DCE1"/>
          </w:tcPr>
          <w:p>
            <w:pPr>
              <w:jc w:val="right"/>
              <w:ind w:right="60"/>
              <w:spacing w:after="0" w:line="54" w:lineRule="exact"/>
              <w:rPr>
                <w:sz w:val="20"/>
                <w:szCs w:val="20"/>
                <w:color w:val="auto"/>
              </w:rPr>
            </w:pPr>
            <w:r>
              <w:rPr>
                <w:rFonts w:ascii="Arial" w:cs="Arial" w:eastAsia="Arial" w:hAnsi="Arial"/>
                <w:sz w:val="6"/>
                <w:szCs w:val="6"/>
                <w:color w:val="auto"/>
              </w:rPr>
              <w:t>​​ ​</w:t>
            </w:r>
          </w:p>
        </w:tc>
        <w:tc>
          <w:tcPr>
            <w:tcW w:w="120" w:type="dxa"/>
            <w:vAlign w:val="bottom"/>
            <w:tcBorders>
              <w:bottom w:val="single" w:sz="8" w:color="424E6A"/>
            </w:tcBorders>
            <w:shd w:val="clear" w:color="auto" w:fill="D9DCE1"/>
          </w:tcPr>
          <w:p>
            <w:pPr>
              <w:ind w:left="60"/>
              <w:spacing w:after="0" w:line="54" w:lineRule="exact"/>
              <w:rPr>
                <w:sz w:val="20"/>
                <w:szCs w:val="20"/>
                <w:color w:val="auto"/>
              </w:rPr>
            </w:pPr>
            <w:r>
              <w:rPr>
                <w:rFonts w:ascii="Arial" w:cs="Arial" w:eastAsia="Arial" w:hAnsi="Arial"/>
                <w:sz w:val="6"/>
                <w:szCs w:val="6"/>
                <w:color w:val="auto"/>
              </w:rPr>
              <w:t>​</w:t>
            </w:r>
          </w:p>
        </w:tc>
        <w:tc>
          <w:tcPr>
            <w:tcW w:w="340" w:type="dxa"/>
            <w:vAlign w:val="bottom"/>
            <w:tcBorders>
              <w:bottom w:val="single" w:sz="8" w:color="424E6A"/>
            </w:tcBorders>
            <w:shd w:val="clear" w:color="auto" w:fill="D9DCE1"/>
          </w:tcPr>
          <w:p>
            <w:pPr>
              <w:spacing w:after="0"/>
              <w:rPr>
                <w:sz w:val="4"/>
                <w:szCs w:val="4"/>
                <w:color w:val="auto"/>
              </w:rPr>
            </w:pPr>
          </w:p>
        </w:tc>
        <w:tc>
          <w:tcPr>
            <w:tcW w:w="80" w:type="dxa"/>
            <w:vAlign w:val="bottom"/>
            <w:tcBorders>
              <w:bottom w:val="single" w:sz="8" w:color="424E6A"/>
            </w:tcBorders>
            <w:shd w:val="clear" w:color="auto" w:fill="D9DCE1"/>
          </w:tcPr>
          <w:p>
            <w:pPr>
              <w:spacing w:after="0"/>
              <w:rPr>
                <w:sz w:val="4"/>
                <w:szCs w:val="4"/>
                <w:color w:val="auto"/>
              </w:rPr>
            </w:pPr>
          </w:p>
        </w:tc>
        <w:tc>
          <w:tcPr>
            <w:tcW w:w="340" w:type="dxa"/>
            <w:vAlign w:val="bottom"/>
            <w:tcBorders>
              <w:bottom w:val="single" w:sz="8" w:color="424E6A"/>
            </w:tcBorders>
            <w:vMerge w:val="continue"/>
            <w:shd w:val="clear" w:color="auto" w:fill="D9DCE1"/>
          </w:tcPr>
          <w:p>
            <w:pPr>
              <w:spacing w:after="0"/>
              <w:rPr>
                <w:sz w:val="4"/>
                <w:szCs w:val="4"/>
                <w:color w:val="auto"/>
              </w:rPr>
            </w:pPr>
          </w:p>
        </w:tc>
        <w:tc>
          <w:tcPr>
            <w:tcW w:w="80" w:type="dxa"/>
            <w:vAlign w:val="bottom"/>
            <w:tcBorders>
              <w:bottom w:val="single" w:sz="8" w:color="424E6A"/>
            </w:tcBorders>
            <w:shd w:val="clear" w:color="auto" w:fill="D9DCE1"/>
          </w:tcPr>
          <w:p>
            <w:pPr>
              <w:ind w:left="40"/>
              <w:spacing w:after="0" w:line="54" w:lineRule="exact"/>
              <w:rPr>
                <w:sz w:val="20"/>
                <w:szCs w:val="20"/>
                <w:color w:val="auto"/>
              </w:rPr>
            </w:pPr>
            <w:r>
              <w:rPr>
                <w:rFonts w:ascii="Arial" w:cs="Arial" w:eastAsia="Arial" w:hAnsi="Arial"/>
                <w:sz w:val="6"/>
                <w:szCs w:val="6"/>
                <w:color w:val="auto"/>
              </w:rPr>
              <w:t>​</w:t>
            </w:r>
          </w:p>
        </w:tc>
        <w:tc>
          <w:tcPr>
            <w:tcW w:w="120" w:type="dxa"/>
            <w:vAlign w:val="bottom"/>
            <w:tcBorders>
              <w:bottom w:val="single" w:sz="8" w:color="424E6A"/>
            </w:tcBorders>
            <w:shd w:val="clear" w:color="auto" w:fill="D9DCE1"/>
          </w:tcPr>
          <w:p>
            <w:pPr>
              <w:spacing w:after="0"/>
              <w:rPr>
                <w:sz w:val="4"/>
                <w:szCs w:val="4"/>
                <w:color w:val="auto"/>
              </w:rPr>
            </w:pPr>
          </w:p>
        </w:tc>
        <w:tc>
          <w:tcPr>
            <w:tcW w:w="300" w:type="dxa"/>
            <w:vAlign w:val="bottom"/>
            <w:tcBorders>
              <w:bottom w:val="single" w:sz="8" w:color="424E6A"/>
            </w:tcBorders>
            <w:shd w:val="clear" w:color="auto" w:fill="D9DCE1"/>
          </w:tcPr>
          <w:p>
            <w:pPr>
              <w:spacing w:after="0"/>
              <w:rPr>
                <w:sz w:val="4"/>
                <w:szCs w:val="4"/>
                <w:color w:val="auto"/>
              </w:rPr>
            </w:pPr>
          </w:p>
        </w:tc>
        <w:tc>
          <w:tcPr>
            <w:tcW w:w="120" w:type="dxa"/>
            <w:vAlign w:val="bottom"/>
            <w:tcBorders>
              <w:bottom w:val="single" w:sz="8" w:color="424E6A"/>
              <w:right w:val="single" w:sz="8" w:color="auto"/>
            </w:tcBorders>
            <w:vMerge w:val="continue"/>
            <w:shd w:val="clear" w:color="auto" w:fill="D9DCE1"/>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424E6A"/>
            </w:tcBorders>
          </w:tcPr>
          <w:p>
            <w:pPr>
              <w:spacing w:after="0"/>
              <w:rPr>
                <w:sz w:val="12"/>
                <w:szCs w:val="12"/>
                <w:color w:val="auto"/>
              </w:rPr>
            </w:pPr>
          </w:p>
        </w:tc>
        <w:tc>
          <w:tcPr>
            <w:tcW w:w="2260" w:type="dxa"/>
            <w:vAlign w:val="bottom"/>
            <w:tcBorders>
              <w:bottom w:val="single" w:sz="8" w:color="424E6A"/>
            </w:tcBorders>
            <w:gridSpan w:val="2"/>
          </w:tcPr>
          <w:p>
            <w:pPr>
              <w:spacing w:after="0"/>
              <w:rPr>
                <w:sz w:val="12"/>
                <w:szCs w:val="12"/>
                <w:color w:val="auto"/>
              </w:rPr>
            </w:pPr>
          </w:p>
        </w:tc>
        <w:tc>
          <w:tcPr>
            <w:tcW w:w="2420" w:type="dxa"/>
            <w:vAlign w:val="bottom"/>
            <w:tcBorders>
              <w:bottom w:val="single" w:sz="8" w:color="424E6A"/>
            </w:tcBorders>
            <w:gridSpan w:val="6"/>
          </w:tcPr>
          <w:p>
            <w:pPr>
              <w:spacing w:after="0"/>
              <w:rPr>
                <w:sz w:val="12"/>
                <w:szCs w:val="12"/>
                <w:color w:val="auto"/>
              </w:rPr>
            </w:pPr>
          </w:p>
        </w:tc>
        <w:tc>
          <w:tcPr>
            <w:tcW w:w="760" w:type="dxa"/>
            <w:vAlign w:val="bottom"/>
            <w:tcBorders>
              <w:bottom w:val="single" w:sz="8" w:color="424E6A"/>
            </w:tcBorders>
            <w:gridSpan w:val="2"/>
          </w:tcPr>
          <w:p>
            <w:pPr>
              <w:spacing w:after="0"/>
              <w:rPr>
                <w:sz w:val="12"/>
                <w:szCs w:val="12"/>
                <w:color w:val="auto"/>
              </w:rPr>
            </w:pPr>
          </w:p>
        </w:tc>
        <w:tc>
          <w:tcPr>
            <w:tcW w:w="880" w:type="dxa"/>
            <w:vAlign w:val="bottom"/>
            <w:tcBorders>
              <w:bottom w:val="single" w:sz="8" w:color="424E6A"/>
            </w:tcBorders>
            <w:gridSpan w:val="4"/>
          </w:tcPr>
          <w:p>
            <w:pPr>
              <w:spacing w:after="0"/>
              <w:rPr>
                <w:sz w:val="12"/>
                <w:szCs w:val="12"/>
                <w:color w:val="auto"/>
              </w:rPr>
            </w:pPr>
          </w:p>
        </w:tc>
        <w:tc>
          <w:tcPr>
            <w:tcW w:w="80" w:type="dxa"/>
            <w:vAlign w:val="bottom"/>
            <w:tcBorders>
              <w:bottom w:val="single" w:sz="8" w:color="424E6A"/>
            </w:tcBorders>
          </w:tcPr>
          <w:p>
            <w:pPr>
              <w:spacing w:after="0"/>
              <w:rPr>
                <w:sz w:val="12"/>
                <w:szCs w:val="12"/>
                <w:color w:val="auto"/>
              </w:rPr>
            </w:pPr>
          </w:p>
        </w:tc>
        <w:tc>
          <w:tcPr>
            <w:tcW w:w="120" w:type="dxa"/>
            <w:vAlign w:val="bottom"/>
            <w:tcBorders>
              <w:bottom w:val="single" w:sz="8" w:color="424E6A"/>
            </w:tcBorders>
          </w:tcPr>
          <w:p>
            <w:pPr>
              <w:spacing w:after="0"/>
              <w:rPr>
                <w:sz w:val="12"/>
                <w:szCs w:val="12"/>
                <w:color w:val="auto"/>
              </w:rPr>
            </w:pPr>
          </w:p>
        </w:tc>
        <w:tc>
          <w:tcPr>
            <w:tcW w:w="740" w:type="dxa"/>
            <w:vAlign w:val="bottom"/>
            <w:tcBorders>
              <w:bottom w:val="single" w:sz="8" w:color="424E6A"/>
            </w:tcBorders>
            <w:gridSpan w:val="3"/>
          </w:tcPr>
          <w:p>
            <w:pPr>
              <w:spacing w:after="0"/>
              <w:rPr>
                <w:sz w:val="12"/>
                <w:szCs w:val="12"/>
                <w:color w:val="auto"/>
              </w:rPr>
            </w:pPr>
          </w:p>
        </w:tc>
        <w:tc>
          <w:tcPr>
            <w:tcW w:w="140" w:type="dxa"/>
            <w:vAlign w:val="bottom"/>
            <w:tcBorders>
              <w:bottom w:val="single" w:sz="8" w:color="424E6A"/>
            </w:tcBorders>
          </w:tcPr>
          <w:p>
            <w:pPr>
              <w:spacing w:after="0"/>
              <w:rPr>
                <w:sz w:val="12"/>
                <w:szCs w:val="12"/>
                <w:color w:val="auto"/>
              </w:rPr>
            </w:pPr>
          </w:p>
        </w:tc>
        <w:tc>
          <w:tcPr>
            <w:tcW w:w="800" w:type="dxa"/>
            <w:vAlign w:val="bottom"/>
            <w:tcBorders>
              <w:bottom w:val="single" w:sz="8" w:color="424E6A"/>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424E6A"/>
            </w:tcBorders>
          </w:tcPr>
          <w:p>
            <w:pPr>
              <w:spacing w:after="0"/>
              <w:rPr>
                <w:sz w:val="24"/>
                <w:szCs w:val="24"/>
                <w:color w:val="auto"/>
              </w:rPr>
            </w:pPr>
          </w:p>
        </w:tc>
        <w:tc>
          <w:tcPr>
            <w:tcW w:w="2260" w:type="dxa"/>
            <w:vAlign w:val="bottom"/>
            <w:tcBorders>
              <w:bottom w:val="single" w:sz="8" w:color="424E6A"/>
            </w:tcBorders>
            <w:gridSpan w:val="2"/>
            <w:shd w:val="clear" w:color="auto" w:fill="424E6A"/>
          </w:tcPr>
          <w:p>
            <w:pPr>
              <w:ind w:left="2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shd w:val="clear" w:color="auto" w:fill="424E6A"/>
              </w:rPr>
              <w:t>Company Performance Metrics</w:t>
            </w:r>
          </w:p>
        </w:tc>
        <w:tc>
          <w:tcPr>
            <w:tcW w:w="2420" w:type="dxa"/>
            <w:vAlign w:val="bottom"/>
            <w:tcBorders>
              <w:bottom w:val="single" w:sz="8" w:color="424E6A"/>
            </w:tcBorders>
            <w:gridSpan w:val="6"/>
            <w:shd w:val="clear" w:color="auto" w:fill="424E6A"/>
          </w:tcPr>
          <w:p>
            <w:pPr>
              <w:ind w:left="80"/>
              <w:spacing w:after="0" w:line="277" w:lineRule="exact"/>
              <w:rPr>
                <w:sz w:val="20"/>
                <w:szCs w:val="20"/>
                <w:color w:val="auto"/>
              </w:rPr>
            </w:pPr>
            <w:r>
              <w:rPr>
                <w:rFonts w:ascii="Arial" w:cs="Arial" w:eastAsia="Arial" w:hAnsi="Arial"/>
                <w:sz w:val="28"/>
                <w:szCs w:val="28"/>
                <w:b w:val="1"/>
                <w:bCs w:val="1"/>
                <w:color w:val="FFFFFF"/>
                <w:vertAlign w:val="subscript"/>
                <w:shd w:val="clear" w:color="auto" w:fill="424E6A"/>
              </w:rPr>
              <w:t>​ ​</w:t>
            </w:r>
            <w:r>
              <w:rPr>
                <w:rFonts w:ascii="Arial" w:cs="Arial" w:eastAsia="Arial" w:hAnsi="Arial"/>
                <w:sz w:val="14"/>
                <w:szCs w:val="14"/>
                <w:b w:val="1"/>
                <w:bCs w:val="1"/>
                <w:color w:val="FFFFFF"/>
                <w:shd w:val="clear" w:color="auto" w:fill="424E6A"/>
              </w:rPr>
              <w:t xml:space="preserve"> Weight </w:t>
            </w:r>
            <w:r>
              <w:rPr>
                <w:rFonts w:ascii="Arial" w:cs="Arial" w:eastAsia="Arial" w:hAnsi="Arial"/>
                <w:sz w:val="28"/>
                <w:szCs w:val="28"/>
                <w:b w:val="1"/>
                <w:bCs w:val="1"/>
                <w:color w:val="FFFFFF"/>
                <w:vertAlign w:val="subscript"/>
                <w:shd w:val="clear" w:color="auto" w:fill="424E6A"/>
              </w:rPr>
              <w:t>​ ​</w:t>
            </w:r>
            <w:r>
              <w:rPr>
                <w:rFonts w:ascii="Arial" w:cs="Arial" w:eastAsia="Arial" w:hAnsi="Arial"/>
                <w:sz w:val="14"/>
                <w:szCs w:val="14"/>
                <w:b w:val="1"/>
                <w:bCs w:val="1"/>
                <w:color w:val="FFFFFF"/>
                <w:shd w:val="clear" w:color="auto" w:fill="424E6A"/>
              </w:rPr>
              <w:t xml:space="preserve"> Threshold </w:t>
            </w:r>
            <w:r>
              <w:rPr>
                <w:rFonts w:ascii="Arial" w:cs="Arial" w:eastAsia="Arial" w:hAnsi="Arial"/>
                <w:sz w:val="28"/>
                <w:szCs w:val="28"/>
                <w:b w:val="1"/>
                <w:bCs w:val="1"/>
                <w:color w:val="FFFFFF"/>
                <w:vertAlign w:val="subscript"/>
                <w:shd w:val="clear" w:color="auto" w:fill="424E6A"/>
              </w:rPr>
              <w:t>​ ​</w:t>
            </w:r>
            <w:r>
              <w:rPr>
                <w:rFonts w:ascii="Arial" w:cs="Arial" w:eastAsia="Arial" w:hAnsi="Arial"/>
                <w:sz w:val="14"/>
                <w:szCs w:val="14"/>
                <w:b w:val="1"/>
                <w:bCs w:val="1"/>
                <w:color w:val="FFFFFF"/>
                <w:shd w:val="clear" w:color="auto" w:fill="424E6A"/>
              </w:rPr>
              <w:t xml:space="preserve"> Target</w:t>
            </w:r>
          </w:p>
        </w:tc>
        <w:tc>
          <w:tcPr>
            <w:tcW w:w="760" w:type="dxa"/>
            <w:vAlign w:val="bottom"/>
            <w:tcBorders>
              <w:bottom w:val="single" w:sz="8" w:color="424E6A"/>
            </w:tcBorders>
            <w:gridSpan w:val="2"/>
            <w:shd w:val="clear" w:color="auto" w:fill="424E6A"/>
          </w:tcPr>
          <w:p>
            <w:pPr>
              <w:ind w:left="40"/>
              <w:spacing w:after="0" w:line="277" w:lineRule="exact"/>
              <w:rPr>
                <w:sz w:val="20"/>
                <w:szCs w:val="20"/>
                <w:color w:val="auto"/>
              </w:rPr>
            </w:pPr>
            <w:r>
              <w:rPr>
                <w:rFonts w:ascii="Arial" w:cs="Arial" w:eastAsia="Arial" w:hAnsi="Arial"/>
                <w:sz w:val="28"/>
                <w:szCs w:val="28"/>
                <w:b w:val="1"/>
                <w:bCs w:val="1"/>
                <w:color w:val="FFFFFF"/>
                <w:vertAlign w:val="subscript"/>
                <w:shd w:val="clear" w:color="auto" w:fill="424E6A"/>
              </w:rPr>
              <w:t>​ ​</w:t>
            </w:r>
            <w:r>
              <w:rPr>
                <w:rFonts w:ascii="Arial" w:cs="Arial" w:eastAsia="Arial" w:hAnsi="Arial"/>
                <w:sz w:val="14"/>
                <w:szCs w:val="14"/>
                <w:b w:val="1"/>
                <w:bCs w:val="1"/>
                <w:color w:val="FFFFFF"/>
                <w:shd w:val="clear" w:color="auto" w:fill="424E6A"/>
              </w:rPr>
              <w:t xml:space="preserve">  Max</w:t>
            </w:r>
          </w:p>
        </w:tc>
        <w:tc>
          <w:tcPr>
            <w:tcW w:w="880" w:type="dxa"/>
            <w:vAlign w:val="bottom"/>
            <w:tcBorders>
              <w:bottom w:val="single" w:sz="8" w:color="424E6A"/>
            </w:tcBorders>
            <w:gridSpan w:val="4"/>
            <w:shd w:val="clear" w:color="auto" w:fill="424E6A"/>
          </w:tcPr>
          <w:p>
            <w:pPr>
              <w:ind w:left="40"/>
              <w:spacing w:after="0" w:line="277" w:lineRule="exact"/>
              <w:rPr>
                <w:sz w:val="20"/>
                <w:szCs w:val="20"/>
                <w:color w:val="auto"/>
              </w:rPr>
            </w:pPr>
            <w:r>
              <w:rPr>
                <w:rFonts w:ascii="Arial" w:cs="Arial" w:eastAsia="Arial" w:hAnsi="Arial"/>
                <w:sz w:val="28"/>
                <w:szCs w:val="28"/>
                <w:b w:val="1"/>
                <w:bCs w:val="1"/>
                <w:color w:val="FFFFFF"/>
                <w:vertAlign w:val="subscript"/>
                <w:shd w:val="clear" w:color="auto" w:fill="424E6A"/>
              </w:rPr>
              <w:t>​ ​</w:t>
            </w:r>
            <w:r>
              <w:rPr>
                <w:rFonts w:ascii="Arial" w:cs="Arial" w:eastAsia="Arial" w:hAnsi="Arial"/>
                <w:sz w:val="14"/>
                <w:szCs w:val="14"/>
                <w:b w:val="1"/>
                <w:bCs w:val="1"/>
                <w:color w:val="FFFFFF"/>
                <w:shd w:val="clear" w:color="auto" w:fill="424E6A"/>
              </w:rPr>
              <w:t xml:space="preserve">  Result</w:t>
            </w:r>
          </w:p>
        </w:tc>
        <w:tc>
          <w:tcPr>
            <w:tcW w:w="80" w:type="dxa"/>
            <w:vAlign w:val="bottom"/>
            <w:tcBorders>
              <w:bottom w:val="single" w:sz="8" w:color="424E6A"/>
            </w:tcBorders>
            <w:shd w:val="clear" w:color="auto" w:fill="424E6A"/>
          </w:tcPr>
          <w:p>
            <w:pPr>
              <w:spacing w:after="0"/>
              <w:rPr>
                <w:sz w:val="24"/>
                <w:szCs w:val="24"/>
                <w:color w:val="auto"/>
              </w:rPr>
            </w:pPr>
          </w:p>
        </w:tc>
        <w:tc>
          <w:tcPr>
            <w:tcW w:w="120" w:type="dxa"/>
            <w:vAlign w:val="bottom"/>
            <w:tcBorders>
              <w:bottom w:val="single" w:sz="8" w:color="424E6A"/>
            </w:tcBorders>
            <w:shd w:val="clear" w:color="auto" w:fill="424E6A"/>
          </w:tcPr>
          <w:p>
            <w:pPr>
              <w:spacing w:after="0"/>
              <w:rPr>
                <w:sz w:val="20"/>
                <w:szCs w:val="20"/>
                <w:color w:val="auto"/>
              </w:rPr>
            </w:pPr>
            <w:r>
              <w:rPr>
                <w:rFonts w:ascii="Arial" w:cs="Arial" w:eastAsia="Arial" w:hAnsi="Arial"/>
                <w:sz w:val="14"/>
                <w:szCs w:val="14"/>
                <w:b w:val="1"/>
                <w:bCs w:val="1"/>
                <w:color w:val="FFFFFF"/>
                <w:shd w:val="clear" w:color="auto" w:fill="424E6A"/>
              </w:rPr>
              <w:t>​</w:t>
            </w:r>
          </w:p>
        </w:tc>
        <w:tc>
          <w:tcPr>
            <w:tcW w:w="740" w:type="dxa"/>
            <w:vAlign w:val="bottom"/>
            <w:tcBorders>
              <w:bottom w:val="single" w:sz="8" w:color="424E6A"/>
            </w:tcBorders>
            <w:gridSpan w:val="3"/>
            <w:shd w:val="clear" w:color="auto" w:fill="424E6A"/>
          </w:tcPr>
          <w:p>
            <w:pPr>
              <w:jc w:val="right"/>
              <w:spacing w:after="0"/>
              <w:rPr>
                <w:sz w:val="20"/>
                <w:szCs w:val="20"/>
                <w:color w:val="auto"/>
              </w:rPr>
            </w:pPr>
            <w:r>
              <w:rPr>
                <w:rFonts w:ascii="Arial" w:cs="Arial" w:eastAsia="Arial" w:hAnsi="Arial"/>
                <w:sz w:val="14"/>
                <w:szCs w:val="14"/>
                <w:b w:val="1"/>
                <w:bCs w:val="1"/>
                <w:color w:val="FFFFFF"/>
                <w:shd w:val="clear" w:color="auto" w:fill="424E6A"/>
              </w:rPr>
              <w:t>Payout %</w:t>
            </w:r>
          </w:p>
        </w:tc>
        <w:tc>
          <w:tcPr>
            <w:tcW w:w="140" w:type="dxa"/>
            <w:vAlign w:val="bottom"/>
            <w:tcBorders>
              <w:bottom w:val="single" w:sz="8" w:color="424E6A"/>
            </w:tcBorders>
            <w:shd w:val="clear" w:color="auto" w:fill="424E6A"/>
          </w:tcPr>
          <w:p>
            <w:pPr>
              <w:spacing w:after="0"/>
              <w:rPr>
                <w:sz w:val="24"/>
                <w:szCs w:val="24"/>
                <w:color w:val="auto"/>
              </w:rPr>
            </w:pPr>
          </w:p>
        </w:tc>
        <w:tc>
          <w:tcPr>
            <w:tcW w:w="800" w:type="dxa"/>
            <w:vAlign w:val="bottom"/>
            <w:tcBorders>
              <w:bottom w:val="single" w:sz="8" w:color="424E6A"/>
              <w:right w:val="single" w:sz="8" w:color="424E6A"/>
            </w:tcBorders>
            <w:gridSpan w:val="2"/>
            <w:shd w:val="clear" w:color="auto" w:fill="424E6A"/>
          </w:tcPr>
          <w:p>
            <w:pPr>
              <w:jc w:val="right"/>
              <w:spacing w:after="0" w:line="277" w:lineRule="exact"/>
              <w:rPr>
                <w:sz w:val="20"/>
                <w:szCs w:val="20"/>
                <w:color w:val="auto"/>
              </w:rPr>
            </w:pPr>
            <w:r>
              <w:rPr>
                <w:rFonts w:ascii="Arial" w:cs="Arial" w:eastAsia="Arial" w:hAnsi="Arial"/>
                <w:sz w:val="14"/>
                <w:szCs w:val="14"/>
                <w:b w:val="1"/>
                <w:bCs w:val="1"/>
                <w:color w:val="FFFFFF"/>
                <w:shd w:val="clear" w:color="auto" w:fill="424E6A"/>
              </w:rPr>
              <w:t xml:space="preserve">Wgtd % </w:t>
            </w:r>
            <w:r>
              <w:rPr>
                <w:rFonts w:ascii="Arial" w:cs="Arial" w:eastAsia="Arial" w:hAnsi="Arial"/>
                <w:sz w:val="28"/>
                <w:szCs w:val="28"/>
                <w:b w:val="1"/>
                <w:bCs w:val="1"/>
                <w:color w:val="FFFFFF"/>
                <w:vertAlign w:val="subscript"/>
                <w:shd w:val="clear" w:color="auto" w:fill="424E6A"/>
              </w:rPr>
              <w:t>​</w:t>
            </w:r>
          </w:p>
        </w:tc>
        <w:tc>
          <w:tcPr>
            <w:tcW w:w="0" w:type="dxa"/>
            <w:vAlign w:val="bottom"/>
          </w:tcPr>
          <w:p>
            <w:pPr>
              <w:spacing w:after="0"/>
              <w:rPr>
                <w:sz w:val="1"/>
                <w:szCs w:val="1"/>
                <w:color w:val="auto"/>
              </w:rPr>
            </w:pPr>
          </w:p>
        </w:tc>
      </w:tr>
      <w:tr>
        <w:trPr>
          <w:trHeight w:val="204"/>
        </w:trPr>
        <w:tc>
          <w:tcPr>
            <w:tcW w:w="20" w:type="dxa"/>
            <w:vAlign w:val="bottom"/>
            <w:shd w:val="clear" w:color="auto" w:fill="424E6A"/>
          </w:tcPr>
          <w:p>
            <w:pPr>
              <w:spacing w:after="0"/>
              <w:rPr>
                <w:sz w:val="17"/>
                <w:szCs w:val="17"/>
                <w:color w:val="auto"/>
              </w:rPr>
            </w:pPr>
          </w:p>
        </w:tc>
        <w:tc>
          <w:tcPr>
            <w:tcW w:w="2260" w:type="dxa"/>
            <w:vAlign w:val="bottom"/>
            <w:gridSpan w:val="2"/>
            <w:shd w:val="clear" w:color="auto" w:fill="D9DCE1"/>
          </w:tcPr>
          <w:p>
            <w:pPr>
              <w:ind w:left="40"/>
              <w:spacing w:after="0" w:line="204" w:lineRule="exact"/>
              <w:rPr>
                <w:sz w:val="20"/>
                <w:szCs w:val="20"/>
                <w:color w:val="auto"/>
              </w:rPr>
            </w:pPr>
            <w:r>
              <w:rPr>
                <w:rFonts w:ascii="Arial" w:cs="Arial" w:eastAsia="Arial" w:hAnsi="Arial"/>
                <w:sz w:val="18"/>
                <w:szCs w:val="18"/>
                <w:color w:val="auto"/>
              </w:rPr>
              <w:t>Adjusted EBITDA</w:t>
            </w:r>
          </w:p>
        </w:tc>
        <w:tc>
          <w:tcPr>
            <w:tcW w:w="560" w:type="dxa"/>
            <w:vAlign w:val="bottom"/>
            <w:shd w:val="clear" w:color="auto" w:fill="D9DCE1"/>
          </w:tcPr>
          <w:p>
            <w:pPr>
              <w:spacing w:after="0"/>
              <w:rPr>
                <w:sz w:val="17"/>
                <w:szCs w:val="17"/>
                <w:color w:val="auto"/>
              </w:rPr>
            </w:pPr>
          </w:p>
        </w:tc>
        <w:tc>
          <w:tcPr>
            <w:tcW w:w="300" w:type="dxa"/>
            <w:vAlign w:val="bottom"/>
            <w:shd w:val="clear" w:color="auto" w:fill="D9DCE1"/>
          </w:tcPr>
          <w:p>
            <w:pPr>
              <w:spacing w:after="0"/>
              <w:rPr>
                <w:sz w:val="17"/>
                <w:szCs w:val="17"/>
                <w:color w:val="auto"/>
              </w:rPr>
            </w:pPr>
          </w:p>
        </w:tc>
        <w:tc>
          <w:tcPr>
            <w:tcW w:w="240" w:type="dxa"/>
            <w:vAlign w:val="bottom"/>
            <w:shd w:val="clear" w:color="auto" w:fill="D9DCE1"/>
          </w:tcPr>
          <w:p>
            <w:pPr>
              <w:spacing w:after="0"/>
              <w:rPr>
                <w:sz w:val="17"/>
                <w:szCs w:val="17"/>
                <w:color w:val="auto"/>
              </w:rPr>
            </w:pPr>
          </w:p>
        </w:tc>
        <w:tc>
          <w:tcPr>
            <w:tcW w:w="500" w:type="dxa"/>
            <w:vAlign w:val="bottom"/>
            <w:shd w:val="clear" w:color="auto" w:fill="D9DCE1"/>
          </w:tcPr>
          <w:p>
            <w:pPr>
              <w:spacing w:after="0"/>
              <w:rPr>
                <w:sz w:val="17"/>
                <w:szCs w:val="17"/>
                <w:color w:val="auto"/>
              </w:rPr>
            </w:pPr>
          </w:p>
        </w:tc>
        <w:tc>
          <w:tcPr>
            <w:tcW w:w="420" w:type="dxa"/>
            <w:vAlign w:val="bottom"/>
            <w:shd w:val="clear" w:color="auto" w:fill="D9DCE1"/>
          </w:tcPr>
          <w:p>
            <w:pPr>
              <w:spacing w:after="0"/>
              <w:rPr>
                <w:sz w:val="17"/>
                <w:szCs w:val="17"/>
                <w:color w:val="auto"/>
              </w:rPr>
            </w:pPr>
          </w:p>
        </w:tc>
        <w:tc>
          <w:tcPr>
            <w:tcW w:w="400" w:type="dxa"/>
            <w:vAlign w:val="bottom"/>
            <w:shd w:val="clear" w:color="auto" w:fill="D9DCE1"/>
          </w:tcPr>
          <w:p>
            <w:pPr>
              <w:spacing w:after="0"/>
              <w:rPr>
                <w:sz w:val="17"/>
                <w:szCs w:val="17"/>
                <w:color w:val="auto"/>
              </w:rPr>
            </w:pPr>
          </w:p>
        </w:tc>
        <w:tc>
          <w:tcPr>
            <w:tcW w:w="240" w:type="dxa"/>
            <w:vAlign w:val="bottom"/>
            <w:shd w:val="clear" w:color="auto" w:fill="D9DCE1"/>
          </w:tcPr>
          <w:p>
            <w:pPr>
              <w:spacing w:after="0"/>
              <w:rPr>
                <w:sz w:val="17"/>
                <w:szCs w:val="17"/>
                <w:color w:val="auto"/>
              </w:rPr>
            </w:pPr>
          </w:p>
        </w:tc>
        <w:tc>
          <w:tcPr>
            <w:tcW w:w="520" w:type="dxa"/>
            <w:vAlign w:val="bottom"/>
            <w:shd w:val="clear" w:color="auto" w:fill="D9DCE1"/>
          </w:tcPr>
          <w:p>
            <w:pPr>
              <w:spacing w:after="0"/>
              <w:rPr>
                <w:sz w:val="17"/>
                <w:szCs w:val="17"/>
                <w:color w:val="auto"/>
              </w:rPr>
            </w:pPr>
          </w:p>
        </w:tc>
        <w:tc>
          <w:tcPr>
            <w:tcW w:w="120" w:type="dxa"/>
            <w:vAlign w:val="bottom"/>
            <w:shd w:val="clear" w:color="auto" w:fill="D9DCE1"/>
          </w:tcPr>
          <w:p>
            <w:pPr>
              <w:spacing w:after="0"/>
              <w:rPr>
                <w:sz w:val="17"/>
                <w:szCs w:val="17"/>
                <w:color w:val="auto"/>
              </w:rPr>
            </w:pPr>
          </w:p>
        </w:tc>
        <w:tc>
          <w:tcPr>
            <w:tcW w:w="340" w:type="dxa"/>
            <w:vAlign w:val="bottom"/>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340" w:type="dxa"/>
            <w:vAlign w:val="bottom"/>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120" w:type="dxa"/>
            <w:vAlign w:val="bottom"/>
            <w:shd w:val="clear" w:color="auto" w:fill="D9DCE1"/>
          </w:tcPr>
          <w:p>
            <w:pPr>
              <w:spacing w:after="0"/>
              <w:rPr>
                <w:sz w:val="17"/>
                <w:szCs w:val="17"/>
                <w:color w:val="auto"/>
              </w:rPr>
            </w:pPr>
          </w:p>
        </w:tc>
        <w:tc>
          <w:tcPr>
            <w:tcW w:w="300" w:type="dxa"/>
            <w:vAlign w:val="bottom"/>
            <w:shd w:val="clear" w:color="auto" w:fill="D9DCE1"/>
          </w:tcPr>
          <w:p>
            <w:pPr>
              <w:spacing w:after="0"/>
              <w:rPr>
                <w:sz w:val="17"/>
                <w:szCs w:val="17"/>
                <w:color w:val="auto"/>
              </w:rPr>
            </w:pPr>
          </w:p>
        </w:tc>
        <w:tc>
          <w:tcPr>
            <w:tcW w:w="120" w:type="dxa"/>
            <w:vAlign w:val="bottom"/>
            <w:tcBorders>
              <w:right w:val="single" w:sz="8" w:color="D9DCE1"/>
            </w:tcBorders>
            <w:shd w:val="clear" w:color="auto" w:fill="D9DCE1"/>
          </w:tcPr>
          <w:p>
            <w:pPr>
              <w:spacing w:after="0"/>
              <w:rPr>
                <w:sz w:val="17"/>
                <w:szCs w:val="17"/>
                <w:color w:val="auto"/>
              </w:rPr>
            </w:pPr>
          </w:p>
        </w:tc>
        <w:tc>
          <w:tcPr>
            <w:tcW w:w="320" w:type="dxa"/>
            <w:vAlign w:val="bottom"/>
            <w:shd w:val="clear" w:color="auto" w:fill="D9DCE1"/>
          </w:tcPr>
          <w:p>
            <w:pPr>
              <w:spacing w:after="0"/>
              <w:rPr>
                <w:sz w:val="17"/>
                <w:szCs w:val="17"/>
                <w:color w:val="auto"/>
              </w:rPr>
            </w:pPr>
          </w:p>
        </w:tc>
        <w:tc>
          <w:tcPr>
            <w:tcW w:w="140" w:type="dxa"/>
            <w:vAlign w:val="bottom"/>
            <w:shd w:val="clear" w:color="auto" w:fill="D9DCE1"/>
          </w:tcPr>
          <w:p>
            <w:pPr>
              <w:spacing w:after="0"/>
              <w:rPr>
                <w:sz w:val="17"/>
                <w:szCs w:val="17"/>
                <w:color w:val="auto"/>
              </w:rPr>
            </w:pPr>
          </w:p>
        </w:tc>
        <w:tc>
          <w:tcPr>
            <w:tcW w:w="260" w:type="dxa"/>
            <w:vAlign w:val="bottom"/>
            <w:shd w:val="clear" w:color="auto" w:fill="D9DCE1"/>
          </w:tcPr>
          <w:p>
            <w:pPr>
              <w:spacing w:after="0"/>
              <w:rPr>
                <w:sz w:val="17"/>
                <w:szCs w:val="17"/>
                <w:color w:val="auto"/>
              </w:rPr>
            </w:pPr>
          </w:p>
        </w:tc>
        <w:tc>
          <w:tcPr>
            <w:tcW w:w="540" w:type="dxa"/>
            <w:vAlign w:val="bottom"/>
            <w:tcBorders>
              <w:right w:val="single" w:sz="8" w:color="424E6A"/>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424E6A"/>
          </w:tcPr>
          <w:p>
            <w:pPr>
              <w:spacing w:after="0"/>
              <w:rPr>
                <w:sz w:val="15"/>
                <w:szCs w:val="15"/>
                <w:color w:val="auto"/>
              </w:rPr>
            </w:pPr>
          </w:p>
        </w:tc>
        <w:tc>
          <w:tcPr>
            <w:tcW w:w="140" w:type="dxa"/>
            <w:vAlign w:val="bottom"/>
            <w:vMerge w:val="restart"/>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120" w:type="dxa"/>
            <w:vAlign w:val="bottom"/>
            <w:shd w:val="clear" w:color="auto" w:fill="D9DCE1"/>
          </w:tcPr>
          <w:p>
            <w:pPr>
              <w:ind w:left="80"/>
              <w:spacing w:after="0" w:line="181" w:lineRule="exact"/>
              <w:rPr>
                <w:sz w:val="20"/>
                <w:szCs w:val="20"/>
                <w:color w:val="auto"/>
              </w:rPr>
            </w:pPr>
            <w:r>
              <w:rPr>
                <w:rFonts w:ascii="Arial" w:cs="Arial" w:eastAsia="Arial" w:hAnsi="Arial"/>
                <w:sz w:val="18"/>
                <w:szCs w:val="18"/>
                <w:color w:val="auto"/>
              </w:rPr>
              <w:t>attributable to PAA</w:t>
            </w:r>
          </w:p>
        </w:tc>
        <w:tc>
          <w:tcPr>
            <w:tcW w:w="860" w:type="dxa"/>
            <w:vAlign w:val="bottom"/>
            <w:gridSpan w:val="2"/>
            <w:shd w:val="clear" w:color="auto" w:fill="D9DCE1"/>
          </w:tcPr>
          <w:p>
            <w:pPr>
              <w:ind w:left="360"/>
              <w:spacing w:after="0" w:line="181" w:lineRule="exact"/>
              <w:rPr>
                <w:sz w:val="20"/>
                <w:szCs w:val="20"/>
                <w:color w:val="auto"/>
              </w:rPr>
            </w:pPr>
            <w:r>
              <w:rPr>
                <w:rFonts w:ascii="Arial" w:cs="Arial" w:eastAsia="Arial" w:hAnsi="Arial"/>
                <w:sz w:val="18"/>
                <w:szCs w:val="18"/>
                <w:color w:val="auto"/>
              </w:rPr>
              <w:t>40%</w:t>
            </w:r>
          </w:p>
        </w:tc>
        <w:tc>
          <w:tcPr>
            <w:tcW w:w="240" w:type="dxa"/>
            <w:vAlign w:val="bottom"/>
            <w:shd w:val="clear" w:color="auto" w:fill="D9DCE1"/>
          </w:tcPr>
          <w:p>
            <w:pPr>
              <w:jc w:val="right"/>
              <w:spacing w:after="0" w:line="181" w:lineRule="exact"/>
              <w:rPr>
                <w:sz w:val="20"/>
                <w:szCs w:val="20"/>
                <w:color w:val="auto"/>
              </w:rPr>
            </w:pPr>
            <w:r>
              <w:rPr>
                <w:rFonts w:ascii="Arial" w:cs="Arial" w:eastAsia="Arial" w:hAnsi="Arial"/>
                <w:sz w:val="18"/>
                <w:szCs w:val="18"/>
                <w:color w:val="auto"/>
              </w:rPr>
              <w:t>$</w:t>
            </w:r>
          </w:p>
        </w:tc>
        <w:tc>
          <w:tcPr>
            <w:tcW w:w="500" w:type="dxa"/>
            <w:vAlign w:val="bottom"/>
            <w:shd w:val="clear" w:color="auto" w:fill="D9DCE1"/>
          </w:tcPr>
          <w:p>
            <w:pPr>
              <w:jc w:val="right"/>
              <w:spacing w:after="0" w:line="181" w:lineRule="exact"/>
              <w:rPr>
                <w:sz w:val="20"/>
                <w:szCs w:val="20"/>
                <w:color w:val="auto"/>
              </w:rPr>
            </w:pPr>
            <w:r>
              <w:rPr>
                <w:rFonts w:ascii="Arial" w:cs="Arial" w:eastAsia="Arial" w:hAnsi="Arial"/>
                <w:sz w:val="18"/>
                <w:szCs w:val="18"/>
                <w:color w:val="auto"/>
                <w:w w:val="97"/>
              </w:rPr>
              <w:t>2,035</w:t>
            </w:r>
          </w:p>
        </w:tc>
        <w:tc>
          <w:tcPr>
            <w:tcW w:w="820" w:type="dxa"/>
            <w:vAlign w:val="bottom"/>
            <w:gridSpan w:val="2"/>
            <w:shd w:val="clear" w:color="auto" w:fill="D9DCE1"/>
          </w:tcPr>
          <w:p>
            <w:pPr>
              <w:jc w:val="right"/>
              <w:spacing w:after="0" w:line="181" w:lineRule="exact"/>
              <w:rPr>
                <w:sz w:val="20"/>
                <w:szCs w:val="20"/>
                <w:color w:val="auto"/>
              </w:rPr>
            </w:pPr>
            <w:r>
              <w:rPr>
                <w:rFonts w:ascii="Arial" w:cs="Arial" w:eastAsia="Arial" w:hAnsi="Arial"/>
                <w:sz w:val="18"/>
                <w:szCs w:val="18"/>
                <w:color w:val="auto"/>
              </w:rPr>
              <w:t>$2,200</w:t>
            </w:r>
          </w:p>
        </w:tc>
        <w:tc>
          <w:tcPr>
            <w:tcW w:w="760" w:type="dxa"/>
            <w:vAlign w:val="bottom"/>
            <w:gridSpan w:val="2"/>
            <w:shd w:val="clear" w:color="auto" w:fill="D9DCE1"/>
          </w:tcPr>
          <w:p>
            <w:pPr>
              <w:jc w:val="right"/>
              <w:spacing w:after="0" w:line="181" w:lineRule="exact"/>
              <w:rPr>
                <w:sz w:val="20"/>
                <w:szCs w:val="20"/>
                <w:color w:val="auto"/>
              </w:rPr>
            </w:pPr>
            <w:r>
              <w:rPr>
                <w:rFonts w:ascii="Arial" w:cs="Arial" w:eastAsia="Arial" w:hAnsi="Arial"/>
                <w:sz w:val="18"/>
                <w:szCs w:val="18"/>
                <w:color w:val="auto"/>
              </w:rPr>
              <w:t>$2,420</w:t>
            </w:r>
          </w:p>
        </w:tc>
        <w:tc>
          <w:tcPr>
            <w:tcW w:w="120" w:type="dxa"/>
            <w:vAlign w:val="bottom"/>
            <w:shd w:val="clear" w:color="auto" w:fill="D9DCE1"/>
          </w:tcPr>
          <w:p>
            <w:pPr>
              <w:spacing w:after="0"/>
              <w:rPr>
                <w:sz w:val="15"/>
                <w:szCs w:val="15"/>
                <w:color w:val="auto"/>
              </w:rPr>
            </w:pPr>
          </w:p>
        </w:tc>
        <w:tc>
          <w:tcPr>
            <w:tcW w:w="760" w:type="dxa"/>
            <w:vAlign w:val="bottom"/>
            <w:gridSpan w:val="3"/>
            <w:shd w:val="clear" w:color="auto" w:fill="D9DCE1"/>
          </w:tcPr>
          <w:p>
            <w:pPr>
              <w:jc w:val="right"/>
              <w:spacing w:after="0" w:line="181" w:lineRule="exact"/>
              <w:rPr>
                <w:sz w:val="20"/>
                <w:szCs w:val="20"/>
                <w:color w:val="auto"/>
              </w:rPr>
            </w:pPr>
            <w:r>
              <w:rPr>
                <w:rFonts w:ascii="Arial" w:cs="Arial" w:eastAsia="Arial" w:hAnsi="Arial"/>
                <w:sz w:val="18"/>
                <w:szCs w:val="18"/>
                <w:color w:val="auto"/>
              </w:rPr>
              <w:t>$2,510</w:t>
            </w:r>
          </w:p>
        </w:tc>
        <w:tc>
          <w:tcPr>
            <w:tcW w:w="200" w:type="dxa"/>
            <w:vAlign w:val="bottom"/>
            <w:gridSpan w:val="2"/>
            <w:vMerge w:val="restart"/>
            <w:shd w:val="clear" w:color="auto" w:fill="D9DCE1"/>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D9DCE1"/>
          </w:tcPr>
          <w:p>
            <w:pPr>
              <w:jc w:val="right"/>
              <w:spacing w:after="0" w:line="181" w:lineRule="exact"/>
              <w:rPr>
                <w:sz w:val="20"/>
                <w:szCs w:val="20"/>
                <w:color w:val="auto"/>
              </w:rPr>
            </w:pPr>
            <w:r>
              <w:rPr>
                <w:rFonts w:ascii="Arial" w:cs="Arial" w:eastAsia="Arial" w:hAnsi="Arial"/>
                <w:sz w:val="18"/>
                <w:szCs w:val="18"/>
                <w:color w:val="auto"/>
              </w:rPr>
              <w:t>200%</w:t>
            </w:r>
          </w:p>
        </w:tc>
        <w:tc>
          <w:tcPr>
            <w:tcW w:w="140" w:type="dxa"/>
            <w:vAlign w:val="bottom"/>
            <w:vMerge w:val="restart"/>
            <w:shd w:val="clear" w:color="auto" w:fill="D9DCE1"/>
          </w:tcPr>
          <w:p>
            <w:pPr>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D9DCE1"/>
          </w:tcPr>
          <w:p>
            <w:pPr>
              <w:jc w:val="center"/>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424E6A"/>
            </w:tcBorders>
            <w:shd w:val="clear" w:color="auto" w:fill="D9DCE1"/>
          </w:tcPr>
          <w:p>
            <w:pPr>
              <w:jc w:val="right"/>
              <w:spacing w:after="0" w:line="181"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81"/>
        </w:trPr>
        <w:tc>
          <w:tcPr>
            <w:tcW w:w="20" w:type="dxa"/>
            <w:vAlign w:val="bottom"/>
            <w:tcBorders>
              <w:bottom w:val="single" w:sz="8" w:color="424E6A"/>
            </w:tcBorders>
            <w:shd w:val="clear" w:color="auto" w:fill="424E6A"/>
          </w:tcPr>
          <w:p>
            <w:pPr>
              <w:spacing w:after="0"/>
              <w:rPr>
                <w:sz w:val="7"/>
                <w:szCs w:val="7"/>
                <w:color w:val="auto"/>
              </w:rPr>
            </w:pPr>
          </w:p>
        </w:tc>
        <w:tc>
          <w:tcPr>
            <w:tcW w:w="140" w:type="dxa"/>
            <w:vAlign w:val="bottom"/>
            <w:tcBorders>
              <w:bottom w:val="single" w:sz="8" w:color="424E6A"/>
            </w:tcBorders>
            <w:vMerge w:val="continue"/>
            <w:shd w:val="clear" w:color="auto" w:fill="D9DCE1"/>
          </w:tcPr>
          <w:p>
            <w:pPr>
              <w:spacing w:after="0"/>
              <w:rPr>
                <w:sz w:val="7"/>
                <w:szCs w:val="7"/>
                <w:color w:val="auto"/>
              </w:rPr>
            </w:pPr>
          </w:p>
        </w:tc>
        <w:tc>
          <w:tcPr>
            <w:tcW w:w="2120" w:type="dxa"/>
            <w:vAlign w:val="bottom"/>
            <w:tcBorders>
              <w:bottom w:val="single" w:sz="8" w:color="424E6A"/>
            </w:tcBorders>
            <w:shd w:val="clear" w:color="auto" w:fill="D9DCE1"/>
          </w:tcPr>
          <w:p>
            <w:pPr>
              <w:spacing w:after="0"/>
              <w:rPr>
                <w:sz w:val="7"/>
                <w:szCs w:val="7"/>
                <w:color w:val="auto"/>
              </w:rPr>
            </w:pPr>
          </w:p>
        </w:tc>
        <w:tc>
          <w:tcPr>
            <w:tcW w:w="560" w:type="dxa"/>
            <w:vAlign w:val="bottom"/>
            <w:tcBorders>
              <w:bottom w:val="single" w:sz="8" w:color="424E6A"/>
            </w:tcBorders>
            <w:shd w:val="clear" w:color="auto" w:fill="D9DCE1"/>
          </w:tcPr>
          <w:p>
            <w:pPr>
              <w:ind w:left="80"/>
              <w:spacing w:after="0" w:line="81" w:lineRule="exact"/>
              <w:rPr>
                <w:sz w:val="20"/>
                <w:szCs w:val="20"/>
                <w:color w:val="auto"/>
              </w:rPr>
            </w:pPr>
            <w:r>
              <w:rPr>
                <w:rFonts w:ascii="Arial" w:cs="Arial" w:eastAsia="Arial" w:hAnsi="Arial"/>
                <w:sz w:val="9"/>
                <w:szCs w:val="9"/>
                <w:color w:val="auto"/>
              </w:rPr>
              <w:t>​ ​  ​</w:t>
            </w:r>
          </w:p>
        </w:tc>
        <w:tc>
          <w:tcPr>
            <w:tcW w:w="540" w:type="dxa"/>
            <w:vAlign w:val="bottom"/>
            <w:tcBorders>
              <w:bottom w:val="single" w:sz="8" w:color="424E6A"/>
            </w:tcBorders>
            <w:gridSpan w:val="2"/>
            <w:shd w:val="clear" w:color="auto" w:fill="D9DCE1"/>
          </w:tcPr>
          <w:p>
            <w:pPr>
              <w:ind w:left="160"/>
              <w:spacing w:after="0" w:line="81" w:lineRule="exact"/>
              <w:rPr>
                <w:sz w:val="20"/>
                <w:szCs w:val="20"/>
                <w:color w:val="auto"/>
              </w:rPr>
            </w:pPr>
            <w:r>
              <w:rPr>
                <w:rFonts w:ascii="Arial" w:cs="Arial" w:eastAsia="Arial" w:hAnsi="Arial"/>
                <w:sz w:val="9"/>
                <w:szCs w:val="9"/>
                <w:color w:val="auto"/>
              </w:rPr>
              <w:t>​​ ​ ​</w:t>
            </w:r>
          </w:p>
        </w:tc>
        <w:tc>
          <w:tcPr>
            <w:tcW w:w="500" w:type="dxa"/>
            <w:vAlign w:val="bottom"/>
            <w:tcBorders>
              <w:bottom w:val="single" w:sz="8" w:color="424E6A"/>
            </w:tcBorders>
            <w:shd w:val="clear" w:color="auto" w:fill="D9DCE1"/>
          </w:tcPr>
          <w:p>
            <w:pPr>
              <w:spacing w:after="0"/>
              <w:rPr>
                <w:sz w:val="7"/>
                <w:szCs w:val="7"/>
                <w:color w:val="auto"/>
              </w:rPr>
            </w:pPr>
          </w:p>
        </w:tc>
        <w:tc>
          <w:tcPr>
            <w:tcW w:w="420" w:type="dxa"/>
            <w:vAlign w:val="bottom"/>
            <w:tcBorders>
              <w:bottom w:val="single" w:sz="8" w:color="424E6A"/>
            </w:tcBorders>
            <w:shd w:val="clear" w:color="auto" w:fill="D9DCE1"/>
          </w:tcPr>
          <w:p>
            <w:pPr>
              <w:ind w:left="40"/>
              <w:spacing w:after="0" w:line="81" w:lineRule="exact"/>
              <w:rPr>
                <w:sz w:val="20"/>
                <w:szCs w:val="20"/>
                <w:color w:val="auto"/>
              </w:rPr>
            </w:pPr>
            <w:r>
              <w:rPr>
                <w:rFonts w:ascii="Arial" w:cs="Arial" w:eastAsia="Arial" w:hAnsi="Arial"/>
                <w:sz w:val="9"/>
                <w:szCs w:val="9"/>
                <w:color w:val="auto"/>
              </w:rPr>
              <w:t>​​ ​​</w:t>
            </w:r>
          </w:p>
        </w:tc>
        <w:tc>
          <w:tcPr>
            <w:tcW w:w="400" w:type="dxa"/>
            <w:vAlign w:val="bottom"/>
            <w:tcBorders>
              <w:bottom w:val="single" w:sz="8" w:color="424E6A"/>
            </w:tcBorders>
            <w:shd w:val="clear" w:color="auto" w:fill="D9DCE1"/>
          </w:tcPr>
          <w:p>
            <w:pPr>
              <w:spacing w:after="0"/>
              <w:rPr>
                <w:sz w:val="7"/>
                <w:szCs w:val="7"/>
                <w:color w:val="auto"/>
              </w:rPr>
            </w:pPr>
          </w:p>
        </w:tc>
        <w:tc>
          <w:tcPr>
            <w:tcW w:w="240" w:type="dxa"/>
            <w:vAlign w:val="bottom"/>
            <w:tcBorders>
              <w:bottom w:val="single" w:sz="8" w:color="424E6A"/>
            </w:tcBorders>
            <w:shd w:val="clear" w:color="auto" w:fill="D9DCE1"/>
          </w:tcPr>
          <w:p>
            <w:pPr>
              <w:ind w:left="40"/>
              <w:spacing w:after="0" w:line="81" w:lineRule="exact"/>
              <w:rPr>
                <w:sz w:val="20"/>
                <w:szCs w:val="20"/>
                <w:color w:val="auto"/>
              </w:rPr>
            </w:pPr>
            <w:r>
              <w:rPr>
                <w:rFonts w:ascii="Arial" w:cs="Arial" w:eastAsia="Arial" w:hAnsi="Arial"/>
                <w:sz w:val="9"/>
                <w:szCs w:val="9"/>
                <w:color w:val="auto"/>
              </w:rPr>
              <w:t>​ ​​</w:t>
            </w:r>
          </w:p>
        </w:tc>
        <w:tc>
          <w:tcPr>
            <w:tcW w:w="520" w:type="dxa"/>
            <w:vAlign w:val="bottom"/>
            <w:tcBorders>
              <w:bottom w:val="single" w:sz="8" w:color="424E6A"/>
            </w:tcBorders>
            <w:shd w:val="clear" w:color="auto" w:fill="D9DCE1"/>
          </w:tcPr>
          <w:p>
            <w:pPr>
              <w:spacing w:after="0"/>
              <w:rPr>
                <w:sz w:val="7"/>
                <w:szCs w:val="7"/>
                <w:color w:val="auto"/>
              </w:rPr>
            </w:pPr>
          </w:p>
        </w:tc>
        <w:tc>
          <w:tcPr>
            <w:tcW w:w="460" w:type="dxa"/>
            <w:vAlign w:val="bottom"/>
            <w:tcBorders>
              <w:bottom w:val="single" w:sz="8" w:color="424E6A"/>
            </w:tcBorders>
            <w:gridSpan w:val="2"/>
            <w:shd w:val="clear" w:color="auto" w:fill="D9DCE1"/>
          </w:tcPr>
          <w:p>
            <w:pPr>
              <w:ind w:left="40"/>
              <w:spacing w:after="0" w:line="81" w:lineRule="exact"/>
              <w:rPr>
                <w:sz w:val="20"/>
                <w:szCs w:val="20"/>
                <w:color w:val="auto"/>
              </w:rPr>
            </w:pPr>
            <w:r>
              <w:rPr>
                <w:rFonts w:ascii="Arial" w:cs="Arial" w:eastAsia="Arial" w:hAnsi="Arial"/>
                <w:sz w:val="9"/>
                <w:szCs w:val="9"/>
                <w:color w:val="auto"/>
              </w:rPr>
              <w:t>​ ​ ​</w:t>
            </w:r>
          </w:p>
        </w:tc>
        <w:tc>
          <w:tcPr>
            <w:tcW w:w="80" w:type="dxa"/>
            <w:vAlign w:val="bottom"/>
            <w:tcBorders>
              <w:bottom w:val="single" w:sz="8" w:color="424E6A"/>
            </w:tcBorders>
            <w:shd w:val="clear" w:color="auto" w:fill="D9DCE1"/>
          </w:tcPr>
          <w:p>
            <w:pPr>
              <w:spacing w:after="0"/>
              <w:rPr>
                <w:sz w:val="7"/>
                <w:szCs w:val="7"/>
                <w:color w:val="auto"/>
              </w:rPr>
            </w:pPr>
          </w:p>
        </w:tc>
        <w:tc>
          <w:tcPr>
            <w:tcW w:w="340" w:type="dxa"/>
            <w:vAlign w:val="bottom"/>
            <w:tcBorders>
              <w:bottom w:val="single" w:sz="8" w:color="424E6A"/>
            </w:tcBorders>
            <w:shd w:val="clear" w:color="auto" w:fill="D9DCE1"/>
          </w:tcPr>
          <w:p>
            <w:pPr>
              <w:spacing w:after="0"/>
              <w:rPr>
                <w:sz w:val="7"/>
                <w:szCs w:val="7"/>
                <w:color w:val="auto"/>
              </w:rPr>
            </w:pPr>
          </w:p>
        </w:tc>
        <w:tc>
          <w:tcPr>
            <w:tcW w:w="200" w:type="dxa"/>
            <w:vAlign w:val="bottom"/>
            <w:tcBorders>
              <w:bottom w:val="single" w:sz="8" w:color="424E6A"/>
            </w:tcBorders>
            <w:gridSpan w:val="2"/>
            <w:vMerge w:val="continue"/>
            <w:shd w:val="clear" w:color="auto" w:fill="D9DCE1"/>
          </w:tcPr>
          <w:p>
            <w:pPr>
              <w:spacing w:after="0"/>
              <w:rPr>
                <w:sz w:val="7"/>
                <w:szCs w:val="7"/>
                <w:color w:val="auto"/>
              </w:rPr>
            </w:pPr>
          </w:p>
        </w:tc>
        <w:tc>
          <w:tcPr>
            <w:tcW w:w="300" w:type="dxa"/>
            <w:vAlign w:val="bottom"/>
            <w:tcBorders>
              <w:bottom w:val="single" w:sz="8" w:color="424E6A"/>
            </w:tcBorders>
            <w:shd w:val="clear" w:color="auto" w:fill="D9DCE1"/>
          </w:tcPr>
          <w:p>
            <w:pPr>
              <w:jc w:val="right"/>
              <w:spacing w:after="0" w:line="81"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424E6A"/>
              <w:right w:val="single" w:sz="8" w:color="D9DCE1"/>
            </w:tcBorders>
            <w:shd w:val="clear" w:color="auto" w:fill="D9DCE1"/>
          </w:tcPr>
          <w:p>
            <w:pPr>
              <w:spacing w:after="0"/>
              <w:rPr>
                <w:sz w:val="7"/>
                <w:szCs w:val="7"/>
                <w:color w:val="auto"/>
              </w:rPr>
            </w:pPr>
          </w:p>
        </w:tc>
        <w:tc>
          <w:tcPr>
            <w:tcW w:w="320" w:type="dxa"/>
            <w:vAlign w:val="bottom"/>
            <w:tcBorders>
              <w:bottom w:val="single" w:sz="8" w:color="424E6A"/>
            </w:tcBorders>
            <w:shd w:val="clear" w:color="auto" w:fill="D9DCE1"/>
          </w:tcPr>
          <w:p>
            <w:pPr>
              <w:spacing w:after="0"/>
              <w:rPr>
                <w:sz w:val="7"/>
                <w:szCs w:val="7"/>
                <w:color w:val="auto"/>
              </w:rPr>
            </w:pPr>
          </w:p>
        </w:tc>
        <w:tc>
          <w:tcPr>
            <w:tcW w:w="140" w:type="dxa"/>
            <w:vAlign w:val="bottom"/>
            <w:tcBorders>
              <w:bottom w:val="single" w:sz="8" w:color="424E6A"/>
            </w:tcBorders>
            <w:vMerge w:val="continue"/>
            <w:shd w:val="clear" w:color="auto" w:fill="D9DCE1"/>
          </w:tcPr>
          <w:p>
            <w:pPr>
              <w:spacing w:after="0"/>
              <w:rPr>
                <w:sz w:val="7"/>
                <w:szCs w:val="7"/>
                <w:color w:val="auto"/>
              </w:rPr>
            </w:pPr>
          </w:p>
        </w:tc>
        <w:tc>
          <w:tcPr>
            <w:tcW w:w="260" w:type="dxa"/>
            <w:vAlign w:val="bottom"/>
            <w:tcBorders>
              <w:bottom w:val="single" w:sz="8" w:color="424E6A"/>
            </w:tcBorders>
            <w:vMerge w:val="continue"/>
            <w:shd w:val="clear" w:color="auto" w:fill="D9DCE1"/>
          </w:tcPr>
          <w:p>
            <w:pPr>
              <w:spacing w:after="0"/>
              <w:rPr>
                <w:sz w:val="7"/>
                <w:szCs w:val="7"/>
                <w:color w:val="auto"/>
              </w:rPr>
            </w:pPr>
          </w:p>
        </w:tc>
        <w:tc>
          <w:tcPr>
            <w:tcW w:w="540" w:type="dxa"/>
            <w:vAlign w:val="bottom"/>
            <w:tcBorders>
              <w:bottom w:val="single" w:sz="8" w:color="424E6A"/>
              <w:right w:val="single" w:sz="8" w:color="424E6A"/>
            </w:tcBorders>
            <w:shd w:val="clear" w:color="auto" w:fill="D9DCE1"/>
          </w:tcPr>
          <w:p>
            <w:pPr>
              <w:jc w:val="right"/>
              <w:spacing w:after="0" w:line="81" w:lineRule="exact"/>
              <w:rPr>
                <w:sz w:val="20"/>
                <w:szCs w:val="20"/>
                <w:color w:val="auto"/>
              </w:rPr>
            </w:pPr>
            <w:r>
              <w:rPr>
                <w:rFonts w:ascii="Arial" w:cs="Arial" w:eastAsia="Arial" w:hAnsi="Arial"/>
                <w:sz w:val="9"/>
                <w:szCs w:val="9"/>
                <w:color w:val="auto"/>
              </w:rPr>
              <w:t>​ ​</w:t>
            </w:r>
          </w:p>
        </w:tc>
        <w:tc>
          <w:tcPr>
            <w:tcW w:w="0" w:type="dxa"/>
            <w:vAlign w:val="bottom"/>
          </w:tcPr>
          <w:p>
            <w:pPr>
              <w:spacing w:after="0"/>
              <w:rPr>
                <w:sz w:val="1"/>
                <w:szCs w:val="1"/>
                <w:color w:val="auto"/>
              </w:rPr>
            </w:pPr>
          </w:p>
        </w:tc>
      </w:tr>
      <w:tr>
        <w:trPr>
          <w:trHeight w:val="204"/>
        </w:trPr>
        <w:tc>
          <w:tcPr>
            <w:tcW w:w="20" w:type="dxa"/>
            <w:vAlign w:val="bottom"/>
            <w:shd w:val="clear" w:color="auto" w:fill="424E6A"/>
          </w:tcPr>
          <w:p>
            <w:pPr>
              <w:spacing w:after="0"/>
              <w:rPr>
                <w:sz w:val="17"/>
                <w:szCs w:val="17"/>
                <w:color w:val="auto"/>
              </w:rPr>
            </w:pPr>
          </w:p>
        </w:tc>
        <w:tc>
          <w:tcPr>
            <w:tcW w:w="2260" w:type="dxa"/>
            <w:vAlign w:val="bottom"/>
            <w:gridSpan w:val="2"/>
          </w:tcPr>
          <w:p>
            <w:pPr>
              <w:ind w:left="40"/>
              <w:spacing w:after="0" w:line="204" w:lineRule="exact"/>
              <w:rPr>
                <w:sz w:val="20"/>
                <w:szCs w:val="20"/>
                <w:color w:val="auto"/>
              </w:rPr>
            </w:pPr>
            <w:r>
              <w:rPr>
                <w:rFonts w:ascii="Arial" w:cs="Arial" w:eastAsia="Arial" w:hAnsi="Arial"/>
                <w:sz w:val="18"/>
                <w:szCs w:val="18"/>
                <w:color w:val="auto"/>
              </w:rPr>
              <w:t>Implied DCF/Common Unit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right w:val="single" w:sz="8" w:color="424E6A"/>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424E6A"/>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120" w:type="dxa"/>
            <w:vAlign w:val="bottom"/>
          </w:tcPr>
          <w:p>
            <w:pPr>
              <w:ind w:left="80"/>
              <w:spacing w:after="0" w:line="181" w:lineRule="exact"/>
              <w:rPr>
                <w:sz w:val="20"/>
                <w:szCs w:val="20"/>
                <w:color w:val="auto"/>
              </w:rPr>
            </w:pPr>
            <w:r>
              <w:rPr>
                <w:rFonts w:ascii="Arial" w:cs="Arial" w:eastAsia="Arial" w:hAnsi="Arial"/>
                <w:sz w:val="18"/>
                <w:szCs w:val="18"/>
                <w:color w:val="auto"/>
              </w:rPr>
              <w:t>and CUE</w:t>
            </w:r>
          </w:p>
        </w:tc>
        <w:tc>
          <w:tcPr>
            <w:tcW w:w="860" w:type="dxa"/>
            <w:vAlign w:val="bottom"/>
            <w:gridSpan w:val="2"/>
          </w:tcPr>
          <w:p>
            <w:pPr>
              <w:ind w:left="360"/>
              <w:spacing w:after="0" w:line="181" w:lineRule="exact"/>
              <w:rPr>
                <w:sz w:val="20"/>
                <w:szCs w:val="20"/>
                <w:color w:val="auto"/>
              </w:rPr>
            </w:pPr>
            <w:r>
              <w:rPr>
                <w:rFonts w:ascii="Arial" w:cs="Arial" w:eastAsia="Arial" w:hAnsi="Arial"/>
                <w:sz w:val="18"/>
                <w:szCs w:val="18"/>
                <w:color w:val="auto"/>
              </w:rPr>
              <w:t>40%</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81" w:lineRule="exact"/>
              <w:rPr>
                <w:sz w:val="20"/>
                <w:szCs w:val="20"/>
                <w:color w:val="auto"/>
              </w:rPr>
            </w:pPr>
            <w:r>
              <w:rPr>
                <w:rFonts w:ascii="Arial" w:cs="Arial" w:eastAsia="Arial" w:hAnsi="Arial"/>
                <w:sz w:val="18"/>
                <w:szCs w:val="18"/>
                <w:color w:val="auto"/>
              </w:rPr>
              <w:t>1.85</w:t>
            </w:r>
          </w:p>
        </w:tc>
        <w:tc>
          <w:tcPr>
            <w:tcW w:w="82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$ 2.00</w:t>
            </w:r>
          </w:p>
        </w:tc>
        <w:tc>
          <w:tcPr>
            <w:tcW w:w="76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$ 2.20</w:t>
            </w:r>
          </w:p>
        </w:tc>
        <w:tc>
          <w:tcPr>
            <w:tcW w:w="120" w:type="dxa"/>
            <w:vAlign w:val="bottom"/>
          </w:tcPr>
          <w:p>
            <w:pPr>
              <w:spacing w:after="0"/>
              <w:rPr>
                <w:sz w:val="15"/>
                <w:szCs w:val="15"/>
                <w:color w:val="auto"/>
              </w:rPr>
            </w:pPr>
          </w:p>
        </w:tc>
        <w:tc>
          <w:tcPr>
            <w:tcW w:w="760" w:type="dxa"/>
            <w:vAlign w:val="bottom"/>
            <w:gridSpan w:val="3"/>
          </w:tcPr>
          <w:p>
            <w:pPr>
              <w:jc w:val="right"/>
              <w:spacing w:after="0" w:line="181" w:lineRule="exact"/>
              <w:rPr>
                <w:sz w:val="20"/>
                <w:szCs w:val="20"/>
                <w:color w:val="auto"/>
              </w:rPr>
            </w:pPr>
            <w:r>
              <w:rPr>
                <w:rFonts w:ascii="Arial" w:cs="Arial" w:eastAsia="Arial" w:hAnsi="Arial"/>
                <w:sz w:val="18"/>
                <w:szCs w:val="18"/>
                <w:color w:val="auto"/>
              </w:rPr>
              <w:t>$ 2.26</w:t>
            </w:r>
          </w:p>
        </w:tc>
        <w:tc>
          <w:tcPr>
            <w:tcW w:w="20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line="181" w:lineRule="exact"/>
              <w:rPr>
                <w:sz w:val="20"/>
                <w:szCs w:val="20"/>
                <w:color w:val="auto"/>
              </w:rPr>
            </w:pPr>
            <w:r>
              <w:rPr>
                <w:rFonts w:ascii="Arial" w:cs="Arial" w:eastAsia="Arial" w:hAnsi="Arial"/>
                <w:sz w:val="18"/>
                <w:szCs w:val="18"/>
                <w:color w:val="auto"/>
              </w:rPr>
              <w:t>200%</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424E6A"/>
            </w:tcBorders>
          </w:tcPr>
          <w:p>
            <w:pPr>
              <w:jc w:val="right"/>
              <w:spacing w:after="0" w:line="181"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81"/>
        </w:trPr>
        <w:tc>
          <w:tcPr>
            <w:tcW w:w="20" w:type="dxa"/>
            <w:vAlign w:val="bottom"/>
            <w:tcBorders>
              <w:bottom w:val="single" w:sz="8" w:color="424E6A"/>
            </w:tcBorders>
            <w:shd w:val="clear" w:color="auto" w:fill="424E6A"/>
          </w:tcPr>
          <w:p>
            <w:pPr>
              <w:spacing w:after="0"/>
              <w:rPr>
                <w:sz w:val="7"/>
                <w:szCs w:val="7"/>
                <w:color w:val="auto"/>
              </w:rPr>
            </w:pPr>
          </w:p>
        </w:tc>
        <w:tc>
          <w:tcPr>
            <w:tcW w:w="140" w:type="dxa"/>
            <w:vAlign w:val="bottom"/>
            <w:tcBorders>
              <w:bottom w:val="single" w:sz="8" w:color="424E6A"/>
            </w:tcBorders>
            <w:vMerge w:val="continue"/>
          </w:tcPr>
          <w:p>
            <w:pPr>
              <w:spacing w:after="0"/>
              <w:rPr>
                <w:sz w:val="7"/>
                <w:szCs w:val="7"/>
                <w:color w:val="auto"/>
              </w:rPr>
            </w:pPr>
          </w:p>
        </w:tc>
        <w:tc>
          <w:tcPr>
            <w:tcW w:w="2120" w:type="dxa"/>
            <w:vAlign w:val="bottom"/>
            <w:tcBorders>
              <w:bottom w:val="single" w:sz="8" w:color="424E6A"/>
            </w:tcBorders>
          </w:tcPr>
          <w:p>
            <w:pPr>
              <w:spacing w:after="0"/>
              <w:rPr>
                <w:sz w:val="7"/>
                <w:szCs w:val="7"/>
                <w:color w:val="auto"/>
              </w:rPr>
            </w:pPr>
          </w:p>
        </w:tc>
        <w:tc>
          <w:tcPr>
            <w:tcW w:w="560" w:type="dxa"/>
            <w:vAlign w:val="bottom"/>
            <w:tcBorders>
              <w:bottom w:val="single" w:sz="8" w:color="424E6A"/>
            </w:tcBorders>
          </w:tcPr>
          <w:p>
            <w:pPr>
              <w:ind w:left="80"/>
              <w:spacing w:after="0" w:line="81" w:lineRule="exact"/>
              <w:rPr>
                <w:sz w:val="20"/>
                <w:szCs w:val="20"/>
                <w:color w:val="auto"/>
              </w:rPr>
            </w:pPr>
            <w:r>
              <w:rPr>
                <w:rFonts w:ascii="Arial" w:cs="Arial" w:eastAsia="Arial" w:hAnsi="Arial"/>
                <w:sz w:val="9"/>
                <w:szCs w:val="9"/>
                <w:color w:val="auto"/>
              </w:rPr>
              <w:t>​ ​  ​</w:t>
            </w:r>
          </w:p>
        </w:tc>
        <w:tc>
          <w:tcPr>
            <w:tcW w:w="540" w:type="dxa"/>
            <w:vAlign w:val="bottom"/>
            <w:tcBorders>
              <w:bottom w:val="single" w:sz="8" w:color="424E6A"/>
            </w:tcBorders>
            <w:gridSpan w:val="2"/>
          </w:tcPr>
          <w:p>
            <w:pPr>
              <w:ind w:left="160"/>
              <w:spacing w:after="0" w:line="81" w:lineRule="exact"/>
              <w:rPr>
                <w:sz w:val="20"/>
                <w:szCs w:val="20"/>
                <w:color w:val="auto"/>
              </w:rPr>
            </w:pPr>
            <w:r>
              <w:rPr>
                <w:rFonts w:ascii="Arial" w:cs="Arial" w:eastAsia="Arial" w:hAnsi="Arial"/>
                <w:sz w:val="9"/>
                <w:szCs w:val="9"/>
                <w:color w:val="auto"/>
              </w:rPr>
              <w:t>​​ ​ ​</w:t>
            </w:r>
          </w:p>
        </w:tc>
        <w:tc>
          <w:tcPr>
            <w:tcW w:w="500" w:type="dxa"/>
            <w:vAlign w:val="bottom"/>
            <w:tcBorders>
              <w:bottom w:val="single" w:sz="8" w:color="424E6A"/>
            </w:tcBorders>
          </w:tcPr>
          <w:p>
            <w:pPr>
              <w:spacing w:after="0"/>
              <w:rPr>
                <w:sz w:val="7"/>
                <w:szCs w:val="7"/>
                <w:color w:val="auto"/>
              </w:rPr>
            </w:pPr>
          </w:p>
        </w:tc>
        <w:tc>
          <w:tcPr>
            <w:tcW w:w="420" w:type="dxa"/>
            <w:vAlign w:val="bottom"/>
            <w:tcBorders>
              <w:bottom w:val="single" w:sz="8" w:color="424E6A"/>
            </w:tcBorders>
          </w:tcPr>
          <w:p>
            <w:pPr>
              <w:ind w:left="40"/>
              <w:spacing w:after="0" w:line="81" w:lineRule="exact"/>
              <w:rPr>
                <w:sz w:val="20"/>
                <w:szCs w:val="20"/>
                <w:color w:val="auto"/>
              </w:rPr>
            </w:pPr>
            <w:r>
              <w:rPr>
                <w:rFonts w:ascii="Arial" w:cs="Arial" w:eastAsia="Arial" w:hAnsi="Arial"/>
                <w:sz w:val="9"/>
                <w:szCs w:val="9"/>
                <w:color w:val="auto"/>
              </w:rPr>
              <w:t>​​ ​​</w:t>
            </w:r>
          </w:p>
        </w:tc>
        <w:tc>
          <w:tcPr>
            <w:tcW w:w="400" w:type="dxa"/>
            <w:vAlign w:val="bottom"/>
            <w:tcBorders>
              <w:bottom w:val="single" w:sz="8" w:color="424E6A"/>
            </w:tcBorders>
          </w:tcPr>
          <w:p>
            <w:pPr>
              <w:spacing w:after="0"/>
              <w:rPr>
                <w:sz w:val="7"/>
                <w:szCs w:val="7"/>
                <w:color w:val="auto"/>
              </w:rPr>
            </w:pPr>
          </w:p>
        </w:tc>
        <w:tc>
          <w:tcPr>
            <w:tcW w:w="240" w:type="dxa"/>
            <w:vAlign w:val="bottom"/>
            <w:tcBorders>
              <w:bottom w:val="single" w:sz="8" w:color="424E6A"/>
            </w:tcBorders>
          </w:tcPr>
          <w:p>
            <w:pPr>
              <w:ind w:left="40"/>
              <w:spacing w:after="0" w:line="81" w:lineRule="exact"/>
              <w:rPr>
                <w:sz w:val="20"/>
                <w:szCs w:val="20"/>
                <w:color w:val="auto"/>
              </w:rPr>
            </w:pPr>
            <w:r>
              <w:rPr>
                <w:rFonts w:ascii="Arial" w:cs="Arial" w:eastAsia="Arial" w:hAnsi="Arial"/>
                <w:sz w:val="9"/>
                <w:szCs w:val="9"/>
                <w:color w:val="auto"/>
              </w:rPr>
              <w:t>​ ​​</w:t>
            </w:r>
          </w:p>
        </w:tc>
        <w:tc>
          <w:tcPr>
            <w:tcW w:w="520" w:type="dxa"/>
            <w:vAlign w:val="bottom"/>
            <w:tcBorders>
              <w:bottom w:val="single" w:sz="8" w:color="424E6A"/>
            </w:tcBorders>
          </w:tcPr>
          <w:p>
            <w:pPr>
              <w:spacing w:after="0"/>
              <w:rPr>
                <w:sz w:val="7"/>
                <w:szCs w:val="7"/>
                <w:color w:val="auto"/>
              </w:rPr>
            </w:pPr>
          </w:p>
        </w:tc>
        <w:tc>
          <w:tcPr>
            <w:tcW w:w="460" w:type="dxa"/>
            <w:vAlign w:val="bottom"/>
            <w:tcBorders>
              <w:bottom w:val="single" w:sz="8" w:color="424E6A"/>
            </w:tcBorders>
            <w:gridSpan w:val="2"/>
          </w:tcPr>
          <w:p>
            <w:pPr>
              <w:ind w:left="40"/>
              <w:spacing w:after="0" w:line="81" w:lineRule="exact"/>
              <w:rPr>
                <w:sz w:val="20"/>
                <w:szCs w:val="20"/>
                <w:color w:val="auto"/>
              </w:rPr>
            </w:pPr>
            <w:r>
              <w:rPr>
                <w:rFonts w:ascii="Arial" w:cs="Arial" w:eastAsia="Arial" w:hAnsi="Arial"/>
                <w:sz w:val="9"/>
                <w:szCs w:val="9"/>
                <w:color w:val="auto"/>
              </w:rPr>
              <w:t>​ ​ ​</w:t>
            </w:r>
          </w:p>
        </w:tc>
        <w:tc>
          <w:tcPr>
            <w:tcW w:w="80" w:type="dxa"/>
            <w:vAlign w:val="bottom"/>
            <w:tcBorders>
              <w:bottom w:val="single" w:sz="8" w:color="424E6A"/>
            </w:tcBorders>
          </w:tcPr>
          <w:p>
            <w:pPr>
              <w:spacing w:after="0"/>
              <w:rPr>
                <w:sz w:val="7"/>
                <w:szCs w:val="7"/>
                <w:color w:val="auto"/>
              </w:rPr>
            </w:pPr>
          </w:p>
        </w:tc>
        <w:tc>
          <w:tcPr>
            <w:tcW w:w="340" w:type="dxa"/>
            <w:vAlign w:val="bottom"/>
            <w:tcBorders>
              <w:bottom w:val="single" w:sz="8" w:color="424E6A"/>
            </w:tcBorders>
          </w:tcPr>
          <w:p>
            <w:pPr>
              <w:spacing w:after="0"/>
              <w:rPr>
                <w:sz w:val="7"/>
                <w:szCs w:val="7"/>
                <w:color w:val="auto"/>
              </w:rPr>
            </w:pPr>
          </w:p>
        </w:tc>
        <w:tc>
          <w:tcPr>
            <w:tcW w:w="200" w:type="dxa"/>
            <w:vAlign w:val="bottom"/>
            <w:tcBorders>
              <w:bottom w:val="single" w:sz="8" w:color="424E6A"/>
            </w:tcBorders>
            <w:gridSpan w:val="2"/>
            <w:vMerge w:val="continue"/>
          </w:tcPr>
          <w:p>
            <w:pPr>
              <w:spacing w:after="0"/>
              <w:rPr>
                <w:sz w:val="7"/>
                <w:szCs w:val="7"/>
                <w:color w:val="auto"/>
              </w:rPr>
            </w:pPr>
          </w:p>
        </w:tc>
        <w:tc>
          <w:tcPr>
            <w:tcW w:w="300" w:type="dxa"/>
            <w:vAlign w:val="bottom"/>
            <w:tcBorders>
              <w:bottom w:val="single" w:sz="8" w:color="424E6A"/>
            </w:tcBorders>
          </w:tcPr>
          <w:p>
            <w:pPr>
              <w:jc w:val="right"/>
              <w:spacing w:after="0" w:line="81"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424E6A"/>
            </w:tcBorders>
          </w:tcPr>
          <w:p>
            <w:pPr>
              <w:spacing w:after="0"/>
              <w:rPr>
                <w:sz w:val="7"/>
                <w:szCs w:val="7"/>
                <w:color w:val="auto"/>
              </w:rPr>
            </w:pPr>
          </w:p>
        </w:tc>
        <w:tc>
          <w:tcPr>
            <w:tcW w:w="320" w:type="dxa"/>
            <w:vAlign w:val="bottom"/>
            <w:tcBorders>
              <w:bottom w:val="single" w:sz="8" w:color="424E6A"/>
            </w:tcBorders>
          </w:tcPr>
          <w:p>
            <w:pPr>
              <w:spacing w:after="0"/>
              <w:rPr>
                <w:sz w:val="7"/>
                <w:szCs w:val="7"/>
                <w:color w:val="auto"/>
              </w:rPr>
            </w:pPr>
          </w:p>
        </w:tc>
        <w:tc>
          <w:tcPr>
            <w:tcW w:w="140" w:type="dxa"/>
            <w:vAlign w:val="bottom"/>
            <w:tcBorders>
              <w:bottom w:val="single" w:sz="8" w:color="424E6A"/>
            </w:tcBorders>
            <w:vMerge w:val="continue"/>
          </w:tcPr>
          <w:p>
            <w:pPr>
              <w:spacing w:after="0"/>
              <w:rPr>
                <w:sz w:val="7"/>
                <w:szCs w:val="7"/>
                <w:color w:val="auto"/>
              </w:rPr>
            </w:pPr>
          </w:p>
        </w:tc>
        <w:tc>
          <w:tcPr>
            <w:tcW w:w="260" w:type="dxa"/>
            <w:vAlign w:val="bottom"/>
            <w:tcBorders>
              <w:bottom w:val="single" w:sz="8" w:color="424E6A"/>
            </w:tcBorders>
            <w:vMerge w:val="continue"/>
          </w:tcPr>
          <w:p>
            <w:pPr>
              <w:spacing w:after="0"/>
              <w:rPr>
                <w:sz w:val="7"/>
                <w:szCs w:val="7"/>
                <w:color w:val="auto"/>
              </w:rPr>
            </w:pPr>
          </w:p>
        </w:tc>
        <w:tc>
          <w:tcPr>
            <w:tcW w:w="540" w:type="dxa"/>
            <w:vAlign w:val="bottom"/>
            <w:tcBorders>
              <w:bottom w:val="single" w:sz="8" w:color="424E6A"/>
              <w:right w:val="single" w:sz="8" w:color="424E6A"/>
            </w:tcBorders>
          </w:tcPr>
          <w:p>
            <w:pPr>
              <w:jc w:val="right"/>
              <w:spacing w:after="0" w:line="81" w:lineRule="exact"/>
              <w:rPr>
                <w:sz w:val="20"/>
                <w:szCs w:val="20"/>
                <w:color w:val="auto"/>
              </w:rPr>
            </w:pPr>
            <w:r>
              <w:rPr>
                <w:rFonts w:ascii="Arial" w:cs="Arial" w:eastAsia="Arial" w:hAnsi="Arial"/>
                <w:sz w:val="9"/>
                <w:szCs w:val="9"/>
                <w:color w:val="auto"/>
              </w:rPr>
              <w:t>​ ​</w:t>
            </w:r>
          </w:p>
        </w:tc>
        <w:tc>
          <w:tcPr>
            <w:tcW w:w="0" w:type="dxa"/>
            <w:vAlign w:val="bottom"/>
          </w:tcPr>
          <w:p>
            <w:pPr>
              <w:spacing w:after="0"/>
              <w:rPr>
                <w:sz w:val="1"/>
                <w:szCs w:val="1"/>
                <w:color w:val="auto"/>
              </w:rPr>
            </w:pPr>
          </w:p>
        </w:tc>
      </w:tr>
      <w:tr>
        <w:trPr>
          <w:trHeight w:val="183"/>
        </w:trPr>
        <w:tc>
          <w:tcPr>
            <w:tcW w:w="20" w:type="dxa"/>
            <w:vAlign w:val="bottom"/>
            <w:shd w:val="clear" w:color="auto" w:fill="424E6A"/>
          </w:tcPr>
          <w:p>
            <w:pPr>
              <w:spacing w:after="0"/>
              <w:rPr>
                <w:sz w:val="15"/>
                <w:szCs w:val="15"/>
                <w:color w:val="auto"/>
              </w:rPr>
            </w:pPr>
          </w:p>
        </w:tc>
        <w:tc>
          <w:tcPr>
            <w:tcW w:w="2260" w:type="dxa"/>
            <w:vAlign w:val="bottom"/>
            <w:gridSpan w:val="2"/>
            <w:shd w:val="clear" w:color="auto" w:fill="D9DCE1"/>
          </w:tcPr>
          <w:p>
            <w:pPr>
              <w:ind w:left="40"/>
              <w:spacing w:after="0" w:line="182" w:lineRule="exact"/>
              <w:rPr>
                <w:sz w:val="20"/>
                <w:szCs w:val="20"/>
                <w:color w:val="auto"/>
              </w:rPr>
            </w:pPr>
            <w:r>
              <w:rPr>
                <w:rFonts w:ascii="Arial" w:cs="Arial" w:eastAsia="Arial" w:hAnsi="Arial"/>
                <w:sz w:val="18"/>
                <w:szCs w:val="18"/>
                <w:color w:val="auto"/>
              </w:rPr>
              <w:t>Safety (TRIR)</w:t>
            </w:r>
          </w:p>
        </w:tc>
        <w:tc>
          <w:tcPr>
            <w:tcW w:w="860" w:type="dxa"/>
            <w:vAlign w:val="bottom"/>
            <w:gridSpan w:val="2"/>
            <w:shd w:val="clear" w:color="auto" w:fill="D9DCE1"/>
          </w:tcPr>
          <w:p>
            <w:pPr>
              <w:ind w:left="360"/>
              <w:spacing w:after="0" w:line="182" w:lineRule="exact"/>
              <w:rPr>
                <w:sz w:val="20"/>
                <w:szCs w:val="20"/>
                <w:color w:val="auto"/>
              </w:rPr>
            </w:pPr>
            <w:r>
              <w:rPr>
                <w:rFonts w:ascii="Arial" w:cs="Arial" w:eastAsia="Arial" w:hAnsi="Arial"/>
                <w:sz w:val="18"/>
                <w:szCs w:val="18"/>
                <w:color w:val="auto"/>
              </w:rPr>
              <w:t>10%</w:t>
            </w:r>
          </w:p>
        </w:tc>
        <w:tc>
          <w:tcPr>
            <w:tcW w:w="240" w:type="dxa"/>
            <w:vAlign w:val="bottom"/>
            <w:shd w:val="clear" w:color="auto" w:fill="D9DCE1"/>
          </w:tcPr>
          <w:p>
            <w:pPr>
              <w:spacing w:after="0"/>
              <w:rPr>
                <w:sz w:val="15"/>
                <w:szCs w:val="15"/>
                <w:color w:val="auto"/>
              </w:rPr>
            </w:pPr>
          </w:p>
        </w:tc>
        <w:tc>
          <w:tcPr>
            <w:tcW w:w="500" w:type="dxa"/>
            <w:vAlign w:val="bottom"/>
            <w:shd w:val="clear" w:color="auto" w:fill="D9DCE1"/>
          </w:tcPr>
          <w:p>
            <w:pPr>
              <w:jc w:val="right"/>
              <w:spacing w:after="0" w:line="182" w:lineRule="exact"/>
              <w:rPr>
                <w:sz w:val="20"/>
                <w:szCs w:val="20"/>
                <w:color w:val="auto"/>
              </w:rPr>
            </w:pPr>
            <w:r>
              <w:rPr>
                <w:rFonts w:ascii="Arial" w:cs="Arial" w:eastAsia="Arial" w:hAnsi="Arial"/>
                <w:sz w:val="18"/>
                <w:szCs w:val="18"/>
                <w:color w:val="auto"/>
              </w:rPr>
              <w:t>0.34</w:t>
            </w:r>
          </w:p>
        </w:tc>
        <w:tc>
          <w:tcPr>
            <w:tcW w:w="420" w:type="dxa"/>
            <w:vAlign w:val="bottom"/>
            <w:vMerge w:val="restart"/>
            <w:shd w:val="clear" w:color="auto" w:fill="D9DCE1"/>
          </w:tcPr>
          <w:p>
            <w:pPr>
              <w:ind w:left="40"/>
              <w:spacing w:after="0"/>
              <w:rPr>
                <w:sz w:val="20"/>
                <w:szCs w:val="20"/>
                <w:color w:val="auto"/>
              </w:rPr>
            </w:pPr>
            <w:r>
              <w:rPr>
                <w:rFonts w:ascii="Arial" w:cs="Arial" w:eastAsia="Arial" w:hAnsi="Arial"/>
                <w:sz w:val="18"/>
                <w:szCs w:val="18"/>
                <w:color w:val="auto"/>
              </w:rPr>
              <w:t>​​ ​​</w:t>
            </w:r>
          </w:p>
        </w:tc>
        <w:tc>
          <w:tcPr>
            <w:tcW w:w="400" w:type="dxa"/>
            <w:vAlign w:val="bottom"/>
            <w:shd w:val="clear" w:color="auto" w:fill="D9DCE1"/>
          </w:tcPr>
          <w:p>
            <w:pPr>
              <w:jc w:val="right"/>
              <w:spacing w:after="0" w:line="182" w:lineRule="exact"/>
              <w:rPr>
                <w:sz w:val="20"/>
                <w:szCs w:val="20"/>
                <w:color w:val="auto"/>
              </w:rPr>
            </w:pPr>
            <w:r>
              <w:rPr>
                <w:rFonts w:ascii="Arial" w:cs="Arial" w:eastAsia="Arial" w:hAnsi="Arial"/>
                <w:sz w:val="18"/>
                <w:szCs w:val="18"/>
                <w:color w:val="auto"/>
              </w:rPr>
              <w:t>0.30</w:t>
            </w:r>
          </w:p>
        </w:tc>
        <w:tc>
          <w:tcPr>
            <w:tcW w:w="240" w:type="dxa"/>
            <w:vAlign w:val="bottom"/>
            <w:vMerge w:val="restart"/>
            <w:shd w:val="clear" w:color="auto" w:fill="D9DCE1"/>
          </w:tcPr>
          <w:p>
            <w:pPr>
              <w:ind w:left="40"/>
              <w:spacing w:after="0"/>
              <w:rPr>
                <w:sz w:val="20"/>
                <w:szCs w:val="20"/>
                <w:color w:val="auto"/>
              </w:rPr>
            </w:pPr>
            <w:r>
              <w:rPr>
                <w:rFonts w:ascii="Arial" w:cs="Arial" w:eastAsia="Arial" w:hAnsi="Arial"/>
                <w:sz w:val="18"/>
                <w:szCs w:val="18"/>
                <w:color w:val="auto"/>
              </w:rPr>
              <w:t>​ ​​</w:t>
            </w:r>
          </w:p>
        </w:tc>
        <w:tc>
          <w:tcPr>
            <w:tcW w:w="520" w:type="dxa"/>
            <w:vAlign w:val="bottom"/>
            <w:shd w:val="clear" w:color="auto" w:fill="D9DCE1"/>
          </w:tcPr>
          <w:p>
            <w:pPr>
              <w:jc w:val="right"/>
              <w:spacing w:after="0" w:line="182" w:lineRule="exact"/>
              <w:rPr>
                <w:sz w:val="20"/>
                <w:szCs w:val="20"/>
                <w:color w:val="auto"/>
              </w:rPr>
            </w:pPr>
            <w:r>
              <w:rPr>
                <w:rFonts w:ascii="Arial" w:cs="Arial" w:eastAsia="Arial" w:hAnsi="Arial"/>
                <w:sz w:val="18"/>
                <w:szCs w:val="18"/>
                <w:color w:val="auto"/>
              </w:rPr>
              <w:t>0.27</w:t>
            </w:r>
          </w:p>
        </w:tc>
        <w:tc>
          <w:tcPr>
            <w:tcW w:w="460" w:type="dxa"/>
            <w:vAlign w:val="bottom"/>
            <w:gridSpan w:val="2"/>
            <w:vMerge w:val="restart"/>
            <w:shd w:val="clear" w:color="auto" w:fill="D9DCE1"/>
          </w:tcPr>
          <w:p>
            <w:pPr>
              <w:ind w:left="40"/>
              <w:spacing w:after="0"/>
              <w:rPr>
                <w:sz w:val="20"/>
                <w:szCs w:val="20"/>
                <w:color w:val="auto"/>
              </w:rPr>
            </w:pPr>
            <w:r>
              <w:rPr>
                <w:rFonts w:ascii="Arial" w:cs="Arial" w:eastAsia="Arial" w:hAnsi="Arial"/>
                <w:sz w:val="18"/>
                <w:szCs w:val="18"/>
                <w:color w:val="auto"/>
              </w:rPr>
              <w:t>​ ​ ​</w:t>
            </w:r>
          </w:p>
        </w:tc>
        <w:tc>
          <w:tcPr>
            <w:tcW w:w="420" w:type="dxa"/>
            <w:vAlign w:val="bottom"/>
            <w:gridSpan w:val="2"/>
            <w:shd w:val="clear" w:color="auto" w:fill="D9DCE1"/>
          </w:tcPr>
          <w:p>
            <w:pPr>
              <w:jc w:val="right"/>
              <w:spacing w:after="0" w:line="182" w:lineRule="exact"/>
              <w:rPr>
                <w:sz w:val="20"/>
                <w:szCs w:val="20"/>
                <w:color w:val="auto"/>
              </w:rPr>
            </w:pPr>
            <w:r>
              <w:rPr>
                <w:rFonts w:ascii="Arial" w:cs="Arial" w:eastAsia="Arial" w:hAnsi="Arial"/>
                <w:sz w:val="18"/>
                <w:szCs w:val="18"/>
                <w:color w:val="auto"/>
              </w:rPr>
              <w:t>0.31</w:t>
            </w:r>
          </w:p>
        </w:tc>
        <w:tc>
          <w:tcPr>
            <w:tcW w:w="200" w:type="dxa"/>
            <w:vAlign w:val="bottom"/>
            <w:gridSpan w:val="2"/>
            <w:vMerge w:val="restart"/>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D9DCE1"/>
          </w:tcPr>
          <w:p>
            <w:pPr>
              <w:jc w:val="right"/>
              <w:spacing w:after="0" w:line="182" w:lineRule="exact"/>
              <w:rPr>
                <w:sz w:val="20"/>
                <w:szCs w:val="20"/>
                <w:color w:val="auto"/>
              </w:rPr>
            </w:pPr>
            <w:r>
              <w:rPr>
                <w:rFonts w:ascii="Arial" w:cs="Arial" w:eastAsia="Arial" w:hAnsi="Arial"/>
                <w:sz w:val="18"/>
                <w:szCs w:val="18"/>
                <w:color w:val="auto"/>
              </w:rPr>
              <w:t>84%</w:t>
            </w:r>
          </w:p>
        </w:tc>
        <w:tc>
          <w:tcPr>
            <w:tcW w:w="140" w:type="dxa"/>
            <w:vAlign w:val="bottom"/>
            <w:vMerge w:val="restart"/>
            <w:shd w:val="clear" w:color="auto" w:fill="D9DCE1"/>
          </w:tcPr>
          <w:p>
            <w:pPr>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D9DCE1"/>
          </w:tcPr>
          <w:p>
            <w:pPr>
              <w:jc w:val="center"/>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424E6A"/>
            </w:tcBorders>
            <w:shd w:val="clear" w:color="auto" w:fill="D9DCE1"/>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68"/>
        </w:trPr>
        <w:tc>
          <w:tcPr>
            <w:tcW w:w="20" w:type="dxa"/>
            <w:vAlign w:val="bottom"/>
            <w:tcBorders>
              <w:bottom w:val="single" w:sz="8" w:color="424E6A"/>
            </w:tcBorders>
            <w:shd w:val="clear" w:color="auto" w:fill="424E6A"/>
          </w:tcPr>
          <w:p>
            <w:pPr>
              <w:spacing w:after="0"/>
              <w:rPr>
                <w:sz w:val="5"/>
                <w:szCs w:val="5"/>
                <w:color w:val="auto"/>
              </w:rPr>
            </w:pPr>
          </w:p>
        </w:tc>
        <w:tc>
          <w:tcPr>
            <w:tcW w:w="140" w:type="dxa"/>
            <w:vAlign w:val="bottom"/>
            <w:tcBorders>
              <w:bottom w:val="single" w:sz="8" w:color="424E6A"/>
            </w:tcBorders>
            <w:shd w:val="clear" w:color="auto" w:fill="D9DCE1"/>
          </w:tcPr>
          <w:p>
            <w:pPr>
              <w:ind w:left="20"/>
              <w:spacing w:after="0" w:line="68" w:lineRule="exact"/>
              <w:rPr>
                <w:sz w:val="20"/>
                <w:szCs w:val="20"/>
                <w:color w:val="auto"/>
              </w:rPr>
            </w:pPr>
            <w:r>
              <w:rPr>
                <w:rFonts w:ascii="Arial" w:cs="Arial" w:eastAsia="Arial" w:hAnsi="Arial"/>
                <w:sz w:val="7"/>
                <w:szCs w:val="7"/>
                <w:color w:val="auto"/>
              </w:rPr>
              <w:t>​</w:t>
            </w:r>
          </w:p>
        </w:tc>
        <w:tc>
          <w:tcPr>
            <w:tcW w:w="2120" w:type="dxa"/>
            <w:vAlign w:val="bottom"/>
            <w:tcBorders>
              <w:bottom w:val="single" w:sz="8" w:color="424E6A"/>
            </w:tcBorders>
            <w:shd w:val="clear" w:color="auto" w:fill="D9DCE1"/>
          </w:tcPr>
          <w:p>
            <w:pPr>
              <w:spacing w:after="0"/>
              <w:rPr>
                <w:sz w:val="5"/>
                <w:szCs w:val="5"/>
                <w:color w:val="auto"/>
              </w:rPr>
            </w:pPr>
          </w:p>
        </w:tc>
        <w:tc>
          <w:tcPr>
            <w:tcW w:w="560" w:type="dxa"/>
            <w:vAlign w:val="bottom"/>
            <w:tcBorders>
              <w:bottom w:val="single" w:sz="8" w:color="424E6A"/>
            </w:tcBorders>
            <w:shd w:val="clear" w:color="auto" w:fill="D9DCE1"/>
          </w:tcPr>
          <w:p>
            <w:pPr>
              <w:ind w:left="80"/>
              <w:spacing w:after="0" w:line="68" w:lineRule="exact"/>
              <w:rPr>
                <w:sz w:val="20"/>
                <w:szCs w:val="20"/>
                <w:color w:val="auto"/>
              </w:rPr>
            </w:pPr>
            <w:r>
              <w:rPr>
                <w:rFonts w:ascii="Arial" w:cs="Arial" w:eastAsia="Arial" w:hAnsi="Arial"/>
                <w:sz w:val="7"/>
                <w:szCs w:val="7"/>
                <w:color w:val="auto"/>
              </w:rPr>
              <w:t>​ ​  ​</w:t>
            </w:r>
          </w:p>
        </w:tc>
        <w:tc>
          <w:tcPr>
            <w:tcW w:w="540" w:type="dxa"/>
            <w:vAlign w:val="bottom"/>
            <w:tcBorders>
              <w:bottom w:val="single" w:sz="8" w:color="424E6A"/>
            </w:tcBorders>
            <w:gridSpan w:val="2"/>
            <w:shd w:val="clear" w:color="auto" w:fill="D9DCE1"/>
          </w:tcPr>
          <w:p>
            <w:pPr>
              <w:ind w:left="160"/>
              <w:spacing w:after="0" w:line="68" w:lineRule="exact"/>
              <w:rPr>
                <w:sz w:val="20"/>
                <w:szCs w:val="20"/>
                <w:color w:val="auto"/>
              </w:rPr>
            </w:pPr>
            <w:r>
              <w:rPr>
                <w:rFonts w:ascii="Arial" w:cs="Arial" w:eastAsia="Arial" w:hAnsi="Arial"/>
                <w:sz w:val="7"/>
                <w:szCs w:val="7"/>
                <w:color w:val="auto"/>
              </w:rPr>
              <w:t>​​ ​ ​</w:t>
            </w:r>
          </w:p>
        </w:tc>
        <w:tc>
          <w:tcPr>
            <w:tcW w:w="500" w:type="dxa"/>
            <w:vAlign w:val="bottom"/>
            <w:tcBorders>
              <w:bottom w:val="single" w:sz="8" w:color="424E6A"/>
            </w:tcBorders>
            <w:shd w:val="clear" w:color="auto" w:fill="D9DCE1"/>
          </w:tcPr>
          <w:p>
            <w:pPr>
              <w:spacing w:after="0"/>
              <w:rPr>
                <w:sz w:val="5"/>
                <w:szCs w:val="5"/>
                <w:color w:val="auto"/>
              </w:rPr>
            </w:pPr>
          </w:p>
        </w:tc>
        <w:tc>
          <w:tcPr>
            <w:tcW w:w="420" w:type="dxa"/>
            <w:vAlign w:val="bottom"/>
            <w:tcBorders>
              <w:bottom w:val="single" w:sz="8" w:color="424E6A"/>
            </w:tcBorders>
            <w:vMerge w:val="continue"/>
            <w:shd w:val="clear" w:color="auto" w:fill="D9DCE1"/>
          </w:tcPr>
          <w:p>
            <w:pPr>
              <w:spacing w:after="0"/>
              <w:rPr>
                <w:sz w:val="5"/>
                <w:szCs w:val="5"/>
                <w:color w:val="auto"/>
              </w:rPr>
            </w:pPr>
          </w:p>
        </w:tc>
        <w:tc>
          <w:tcPr>
            <w:tcW w:w="400" w:type="dxa"/>
            <w:vAlign w:val="bottom"/>
            <w:tcBorders>
              <w:bottom w:val="single" w:sz="8" w:color="424E6A"/>
            </w:tcBorders>
            <w:shd w:val="clear" w:color="auto" w:fill="D9DCE1"/>
          </w:tcPr>
          <w:p>
            <w:pPr>
              <w:spacing w:after="0"/>
              <w:rPr>
                <w:sz w:val="5"/>
                <w:szCs w:val="5"/>
                <w:color w:val="auto"/>
              </w:rPr>
            </w:pPr>
          </w:p>
        </w:tc>
        <w:tc>
          <w:tcPr>
            <w:tcW w:w="240" w:type="dxa"/>
            <w:vAlign w:val="bottom"/>
            <w:tcBorders>
              <w:bottom w:val="single" w:sz="8" w:color="424E6A"/>
            </w:tcBorders>
            <w:vMerge w:val="continue"/>
            <w:shd w:val="clear" w:color="auto" w:fill="D9DCE1"/>
          </w:tcPr>
          <w:p>
            <w:pPr>
              <w:spacing w:after="0"/>
              <w:rPr>
                <w:sz w:val="5"/>
                <w:szCs w:val="5"/>
                <w:color w:val="auto"/>
              </w:rPr>
            </w:pPr>
          </w:p>
        </w:tc>
        <w:tc>
          <w:tcPr>
            <w:tcW w:w="520" w:type="dxa"/>
            <w:vAlign w:val="bottom"/>
            <w:tcBorders>
              <w:bottom w:val="single" w:sz="8" w:color="424E6A"/>
            </w:tcBorders>
            <w:shd w:val="clear" w:color="auto" w:fill="D9DCE1"/>
          </w:tcPr>
          <w:p>
            <w:pPr>
              <w:spacing w:after="0"/>
              <w:rPr>
                <w:sz w:val="5"/>
                <w:szCs w:val="5"/>
                <w:color w:val="auto"/>
              </w:rPr>
            </w:pPr>
          </w:p>
        </w:tc>
        <w:tc>
          <w:tcPr>
            <w:tcW w:w="460" w:type="dxa"/>
            <w:vAlign w:val="bottom"/>
            <w:tcBorders>
              <w:bottom w:val="single" w:sz="8" w:color="424E6A"/>
            </w:tcBorders>
            <w:gridSpan w:val="2"/>
            <w:vMerge w:val="continue"/>
            <w:shd w:val="clear" w:color="auto" w:fill="D9DCE1"/>
          </w:tcPr>
          <w:p>
            <w:pPr>
              <w:spacing w:after="0"/>
              <w:rPr>
                <w:sz w:val="5"/>
                <w:szCs w:val="5"/>
                <w:color w:val="auto"/>
              </w:rPr>
            </w:pPr>
          </w:p>
        </w:tc>
        <w:tc>
          <w:tcPr>
            <w:tcW w:w="80" w:type="dxa"/>
            <w:vAlign w:val="bottom"/>
            <w:tcBorders>
              <w:bottom w:val="single" w:sz="8" w:color="424E6A"/>
            </w:tcBorders>
            <w:shd w:val="clear" w:color="auto" w:fill="D9DCE1"/>
          </w:tcPr>
          <w:p>
            <w:pPr>
              <w:spacing w:after="0"/>
              <w:rPr>
                <w:sz w:val="5"/>
                <w:szCs w:val="5"/>
                <w:color w:val="auto"/>
              </w:rPr>
            </w:pPr>
          </w:p>
        </w:tc>
        <w:tc>
          <w:tcPr>
            <w:tcW w:w="340" w:type="dxa"/>
            <w:vAlign w:val="bottom"/>
            <w:tcBorders>
              <w:bottom w:val="single" w:sz="8" w:color="424E6A"/>
            </w:tcBorders>
            <w:shd w:val="clear" w:color="auto" w:fill="D9DCE1"/>
          </w:tcPr>
          <w:p>
            <w:pPr>
              <w:spacing w:after="0"/>
              <w:rPr>
                <w:sz w:val="5"/>
                <w:szCs w:val="5"/>
                <w:color w:val="auto"/>
              </w:rPr>
            </w:pPr>
          </w:p>
        </w:tc>
        <w:tc>
          <w:tcPr>
            <w:tcW w:w="200" w:type="dxa"/>
            <w:vAlign w:val="bottom"/>
            <w:tcBorders>
              <w:bottom w:val="single" w:sz="8" w:color="424E6A"/>
            </w:tcBorders>
            <w:gridSpan w:val="2"/>
            <w:vMerge w:val="continue"/>
            <w:shd w:val="clear" w:color="auto" w:fill="D9DCE1"/>
          </w:tcPr>
          <w:p>
            <w:pPr>
              <w:spacing w:after="0"/>
              <w:rPr>
                <w:sz w:val="5"/>
                <w:szCs w:val="5"/>
                <w:color w:val="auto"/>
              </w:rPr>
            </w:pPr>
          </w:p>
        </w:tc>
        <w:tc>
          <w:tcPr>
            <w:tcW w:w="300" w:type="dxa"/>
            <w:vAlign w:val="bottom"/>
            <w:tcBorders>
              <w:bottom w:val="single" w:sz="8" w:color="424E6A"/>
            </w:tcBorders>
            <w:vMerge w:val="continue"/>
            <w:shd w:val="clear" w:color="auto" w:fill="D9DCE1"/>
          </w:tcPr>
          <w:p>
            <w:pPr>
              <w:spacing w:after="0"/>
              <w:rPr>
                <w:sz w:val="5"/>
                <w:szCs w:val="5"/>
                <w:color w:val="auto"/>
              </w:rPr>
            </w:pPr>
          </w:p>
        </w:tc>
        <w:tc>
          <w:tcPr>
            <w:tcW w:w="120" w:type="dxa"/>
            <w:vAlign w:val="bottom"/>
            <w:tcBorders>
              <w:bottom w:val="single" w:sz="8" w:color="424E6A"/>
              <w:right w:val="single" w:sz="8" w:color="D9DCE1"/>
            </w:tcBorders>
            <w:shd w:val="clear" w:color="auto" w:fill="D9DCE1"/>
          </w:tcPr>
          <w:p>
            <w:pPr>
              <w:spacing w:after="0"/>
              <w:rPr>
                <w:sz w:val="5"/>
                <w:szCs w:val="5"/>
                <w:color w:val="auto"/>
              </w:rPr>
            </w:pPr>
          </w:p>
        </w:tc>
        <w:tc>
          <w:tcPr>
            <w:tcW w:w="320" w:type="dxa"/>
            <w:vAlign w:val="bottom"/>
            <w:tcBorders>
              <w:bottom w:val="single" w:sz="8" w:color="424E6A"/>
            </w:tcBorders>
            <w:shd w:val="clear" w:color="auto" w:fill="D9DCE1"/>
          </w:tcPr>
          <w:p>
            <w:pPr>
              <w:spacing w:after="0"/>
              <w:rPr>
                <w:sz w:val="5"/>
                <w:szCs w:val="5"/>
                <w:color w:val="auto"/>
              </w:rPr>
            </w:pPr>
          </w:p>
        </w:tc>
        <w:tc>
          <w:tcPr>
            <w:tcW w:w="140" w:type="dxa"/>
            <w:vAlign w:val="bottom"/>
            <w:tcBorders>
              <w:bottom w:val="single" w:sz="8" w:color="424E6A"/>
            </w:tcBorders>
            <w:vMerge w:val="continue"/>
            <w:shd w:val="clear" w:color="auto" w:fill="D9DCE1"/>
          </w:tcPr>
          <w:p>
            <w:pPr>
              <w:spacing w:after="0"/>
              <w:rPr>
                <w:sz w:val="5"/>
                <w:szCs w:val="5"/>
                <w:color w:val="auto"/>
              </w:rPr>
            </w:pPr>
          </w:p>
        </w:tc>
        <w:tc>
          <w:tcPr>
            <w:tcW w:w="260" w:type="dxa"/>
            <w:vAlign w:val="bottom"/>
            <w:tcBorders>
              <w:bottom w:val="single" w:sz="8" w:color="424E6A"/>
            </w:tcBorders>
            <w:vMerge w:val="continue"/>
            <w:shd w:val="clear" w:color="auto" w:fill="D9DCE1"/>
          </w:tcPr>
          <w:p>
            <w:pPr>
              <w:spacing w:after="0"/>
              <w:rPr>
                <w:sz w:val="5"/>
                <w:szCs w:val="5"/>
                <w:color w:val="auto"/>
              </w:rPr>
            </w:pPr>
          </w:p>
        </w:tc>
        <w:tc>
          <w:tcPr>
            <w:tcW w:w="540" w:type="dxa"/>
            <w:vAlign w:val="bottom"/>
            <w:tcBorders>
              <w:bottom w:val="single" w:sz="8" w:color="424E6A"/>
              <w:right w:val="single" w:sz="8" w:color="424E6A"/>
            </w:tcBorders>
            <w:shd w:val="clear" w:color="auto" w:fill="D9DCE1"/>
          </w:tcPr>
          <w:p>
            <w:pPr>
              <w:jc w:val="right"/>
              <w:spacing w:after="0" w:line="68" w:lineRule="exact"/>
              <w:rPr>
                <w:sz w:val="20"/>
                <w:szCs w:val="20"/>
                <w:color w:val="auto"/>
              </w:rPr>
            </w:pPr>
            <w:r>
              <w:rPr>
                <w:rFonts w:ascii="Arial" w:cs="Arial" w:eastAsia="Arial" w:hAnsi="Arial"/>
                <w:sz w:val="7"/>
                <w:szCs w:val="7"/>
                <w:color w:val="auto"/>
              </w:rPr>
              <w:t>​ ​</w:t>
            </w:r>
          </w:p>
        </w:tc>
        <w:tc>
          <w:tcPr>
            <w:tcW w:w="0" w:type="dxa"/>
            <w:vAlign w:val="bottom"/>
          </w:tcPr>
          <w:p>
            <w:pPr>
              <w:spacing w:after="0"/>
              <w:rPr>
                <w:sz w:val="1"/>
                <w:szCs w:val="1"/>
                <w:color w:val="auto"/>
              </w:rPr>
            </w:pPr>
          </w:p>
        </w:tc>
      </w:tr>
      <w:tr>
        <w:trPr>
          <w:trHeight w:val="218"/>
        </w:trPr>
        <w:tc>
          <w:tcPr>
            <w:tcW w:w="20" w:type="dxa"/>
            <w:vAlign w:val="bottom"/>
            <w:shd w:val="clear" w:color="auto" w:fill="424E6A"/>
          </w:tcPr>
          <w:p>
            <w:pPr>
              <w:spacing w:after="0"/>
              <w:rPr>
                <w:sz w:val="18"/>
                <w:szCs w:val="18"/>
                <w:color w:val="auto"/>
              </w:rPr>
            </w:pP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Environmental (DOT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right w:val="single" w:sz="8" w:color="424E6A"/>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424E6A"/>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120" w:type="dxa"/>
            <w:vAlign w:val="bottom"/>
          </w:tcPr>
          <w:p>
            <w:pPr>
              <w:ind w:left="80"/>
              <w:spacing w:after="0" w:line="181" w:lineRule="exact"/>
              <w:rPr>
                <w:sz w:val="20"/>
                <w:szCs w:val="20"/>
                <w:color w:val="auto"/>
              </w:rPr>
            </w:pPr>
            <w:r>
              <w:rPr>
                <w:rFonts w:ascii="Arial" w:cs="Arial" w:eastAsia="Arial" w:hAnsi="Arial"/>
                <w:sz w:val="18"/>
                <w:szCs w:val="18"/>
                <w:color w:val="auto"/>
              </w:rPr>
              <w:t>releases)</w:t>
            </w:r>
          </w:p>
        </w:tc>
        <w:tc>
          <w:tcPr>
            <w:tcW w:w="860" w:type="dxa"/>
            <w:vAlign w:val="bottom"/>
            <w:gridSpan w:val="2"/>
          </w:tcPr>
          <w:p>
            <w:pPr>
              <w:ind w:left="360"/>
              <w:spacing w:after="0" w:line="181" w:lineRule="exact"/>
              <w:rPr>
                <w:sz w:val="20"/>
                <w:szCs w:val="20"/>
                <w:color w:val="auto"/>
              </w:rPr>
            </w:pPr>
            <w:r>
              <w:rPr>
                <w:rFonts w:ascii="Arial" w:cs="Arial" w:eastAsia="Arial" w:hAnsi="Arial"/>
                <w:sz w:val="18"/>
                <w:szCs w:val="18"/>
                <w:color w:val="auto"/>
              </w:rPr>
              <w:t>10%</w:t>
            </w:r>
          </w:p>
        </w:tc>
        <w:tc>
          <w:tcPr>
            <w:tcW w:w="240" w:type="dxa"/>
            <w:vAlign w:val="bottom"/>
          </w:tcPr>
          <w:p>
            <w:pPr>
              <w:spacing w:after="0"/>
              <w:rPr>
                <w:sz w:val="15"/>
                <w:szCs w:val="15"/>
                <w:color w:val="auto"/>
              </w:rPr>
            </w:pPr>
          </w:p>
        </w:tc>
        <w:tc>
          <w:tcPr>
            <w:tcW w:w="500" w:type="dxa"/>
            <w:vAlign w:val="bottom"/>
          </w:tcPr>
          <w:p>
            <w:pPr>
              <w:jc w:val="right"/>
              <w:spacing w:after="0" w:line="181" w:lineRule="exact"/>
              <w:rPr>
                <w:sz w:val="20"/>
                <w:szCs w:val="20"/>
                <w:color w:val="auto"/>
              </w:rPr>
            </w:pPr>
            <w:r>
              <w:rPr>
                <w:rFonts w:ascii="Arial" w:cs="Arial" w:eastAsia="Arial" w:hAnsi="Arial"/>
                <w:sz w:val="18"/>
                <w:szCs w:val="18"/>
                <w:color w:val="auto"/>
              </w:rPr>
              <w:t>15</w:t>
            </w:r>
          </w:p>
        </w:tc>
        <w:tc>
          <w:tcPr>
            <w:tcW w:w="42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line="181" w:lineRule="exact"/>
              <w:rPr>
                <w:sz w:val="20"/>
                <w:szCs w:val="20"/>
                <w:color w:val="auto"/>
              </w:rPr>
            </w:pPr>
            <w:r>
              <w:rPr>
                <w:rFonts w:ascii="Arial" w:cs="Arial" w:eastAsia="Arial" w:hAnsi="Arial"/>
                <w:sz w:val="18"/>
                <w:szCs w:val="18"/>
                <w:color w:val="auto"/>
              </w:rPr>
              <w:t>14</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auto"/>
              </w:rPr>
              <w:t>12</w:t>
            </w:r>
          </w:p>
        </w:tc>
        <w:tc>
          <w:tcPr>
            <w:tcW w:w="460" w:type="dxa"/>
            <w:vAlign w:val="bottom"/>
            <w:gridSpan w:val="2"/>
            <w:vMerge w:val="restart"/>
          </w:tcPr>
          <w:p>
            <w:pPr>
              <w:ind w:left="40"/>
              <w:spacing w:after="0"/>
              <w:rPr>
                <w:sz w:val="20"/>
                <w:szCs w:val="20"/>
                <w:color w:val="auto"/>
              </w:rPr>
            </w:pPr>
            <w:r>
              <w:rPr>
                <w:rFonts w:ascii="Arial" w:cs="Arial" w:eastAsia="Arial" w:hAnsi="Arial"/>
                <w:sz w:val="18"/>
                <w:szCs w:val="18"/>
                <w:color w:val="auto"/>
              </w:rPr>
              <w:t>​ ​ ​</w:t>
            </w:r>
          </w:p>
        </w:tc>
        <w:tc>
          <w:tcPr>
            <w:tcW w:w="80" w:type="dxa"/>
            <w:vAlign w:val="bottom"/>
          </w:tcPr>
          <w:p>
            <w:pPr>
              <w:spacing w:after="0"/>
              <w:rPr>
                <w:sz w:val="15"/>
                <w:szCs w:val="15"/>
                <w:color w:val="auto"/>
              </w:rPr>
            </w:pPr>
          </w:p>
        </w:tc>
        <w:tc>
          <w:tcPr>
            <w:tcW w:w="340" w:type="dxa"/>
            <w:vAlign w:val="bottom"/>
          </w:tcPr>
          <w:p>
            <w:pPr>
              <w:jc w:val="right"/>
              <w:spacing w:after="0" w:line="181" w:lineRule="exact"/>
              <w:rPr>
                <w:sz w:val="20"/>
                <w:szCs w:val="20"/>
                <w:color w:val="auto"/>
              </w:rPr>
            </w:pPr>
            <w:r>
              <w:rPr>
                <w:rFonts w:ascii="Arial" w:cs="Arial" w:eastAsia="Arial" w:hAnsi="Arial"/>
                <w:sz w:val="18"/>
                <w:szCs w:val="18"/>
                <w:color w:val="auto"/>
              </w:rPr>
              <w:t>11</w:t>
            </w:r>
          </w:p>
        </w:tc>
        <w:tc>
          <w:tcPr>
            <w:tcW w:w="20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line="181" w:lineRule="exact"/>
              <w:rPr>
                <w:sz w:val="20"/>
                <w:szCs w:val="20"/>
                <w:color w:val="auto"/>
              </w:rPr>
            </w:pPr>
            <w:r>
              <w:rPr>
                <w:rFonts w:ascii="Arial" w:cs="Arial" w:eastAsia="Arial" w:hAnsi="Arial"/>
                <w:sz w:val="18"/>
                <w:szCs w:val="18"/>
                <w:color w:val="auto"/>
              </w:rPr>
              <w:t>200%</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424E6A"/>
            </w:tcBorders>
          </w:tcPr>
          <w:p>
            <w:pPr>
              <w:jc w:val="right"/>
              <w:spacing w:after="0" w:line="181"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81"/>
        </w:trPr>
        <w:tc>
          <w:tcPr>
            <w:tcW w:w="20" w:type="dxa"/>
            <w:vAlign w:val="bottom"/>
            <w:tcBorders>
              <w:bottom w:val="single" w:sz="8" w:color="424E6A"/>
            </w:tcBorders>
            <w:shd w:val="clear" w:color="auto" w:fill="424E6A"/>
          </w:tcPr>
          <w:p>
            <w:pPr>
              <w:spacing w:after="0"/>
              <w:rPr>
                <w:sz w:val="7"/>
                <w:szCs w:val="7"/>
                <w:color w:val="auto"/>
              </w:rPr>
            </w:pPr>
          </w:p>
        </w:tc>
        <w:tc>
          <w:tcPr>
            <w:tcW w:w="140" w:type="dxa"/>
            <w:vAlign w:val="bottom"/>
            <w:tcBorders>
              <w:bottom w:val="single" w:sz="8" w:color="424E6A"/>
            </w:tcBorders>
            <w:vMerge w:val="continue"/>
          </w:tcPr>
          <w:p>
            <w:pPr>
              <w:spacing w:after="0"/>
              <w:rPr>
                <w:sz w:val="7"/>
                <w:szCs w:val="7"/>
                <w:color w:val="auto"/>
              </w:rPr>
            </w:pPr>
          </w:p>
        </w:tc>
        <w:tc>
          <w:tcPr>
            <w:tcW w:w="2120" w:type="dxa"/>
            <w:vAlign w:val="bottom"/>
            <w:tcBorders>
              <w:bottom w:val="single" w:sz="8" w:color="424E6A"/>
            </w:tcBorders>
          </w:tcPr>
          <w:p>
            <w:pPr>
              <w:spacing w:after="0"/>
              <w:rPr>
                <w:sz w:val="7"/>
                <w:szCs w:val="7"/>
                <w:color w:val="auto"/>
              </w:rPr>
            </w:pPr>
          </w:p>
        </w:tc>
        <w:tc>
          <w:tcPr>
            <w:tcW w:w="560" w:type="dxa"/>
            <w:vAlign w:val="bottom"/>
            <w:tcBorders>
              <w:bottom w:val="single" w:sz="8" w:color="424E6A"/>
            </w:tcBorders>
          </w:tcPr>
          <w:p>
            <w:pPr>
              <w:ind w:left="80"/>
              <w:spacing w:after="0" w:line="81" w:lineRule="exact"/>
              <w:rPr>
                <w:sz w:val="20"/>
                <w:szCs w:val="20"/>
                <w:color w:val="auto"/>
              </w:rPr>
            </w:pPr>
            <w:r>
              <w:rPr>
                <w:rFonts w:ascii="Arial" w:cs="Arial" w:eastAsia="Arial" w:hAnsi="Arial"/>
                <w:sz w:val="9"/>
                <w:szCs w:val="9"/>
                <w:color w:val="auto"/>
              </w:rPr>
              <w:t>​ ​  ​</w:t>
            </w:r>
          </w:p>
        </w:tc>
        <w:tc>
          <w:tcPr>
            <w:tcW w:w="540" w:type="dxa"/>
            <w:vAlign w:val="bottom"/>
            <w:tcBorders>
              <w:bottom w:val="single" w:sz="8" w:color="424E6A"/>
            </w:tcBorders>
            <w:gridSpan w:val="2"/>
          </w:tcPr>
          <w:p>
            <w:pPr>
              <w:ind w:left="160"/>
              <w:spacing w:after="0" w:line="81" w:lineRule="exact"/>
              <w:rPr>
                <w:sz w:val="20"/>
                <w:szCs w:val="20"/>
                <w:color w:val="auto"/>
              </w:rPr>
            </w:pPr>
            <w:r>
              <w:rPr>
                <w:rFonts w:ascii="Arial" w:cs="Arial" w:eastAsia="Arial" w:hAnsi="Arial"/>
                <w:sz w:val="9"/>
                <w:szCs w:val="9"/>
                <w:color w:val="auto"/>
              </w:rPr>
              <w:t>​​ ​ ​</w:t>
            </w:r>
          </w:p>
        </w:tc>
        <w:tc>
          <w:tcPr>
            <w:tcW w:w="500" w:type="dxa"/>
            <w:vAlign w:val="bottom"/>
            <w:tcBorders>
              <w:bottom w:val="single" w:sz="8" w:color="424E6A"/>
            </w:tcBorders>
          </w:tcPr>
          <w:p>
            <w:pPr>
              <w:spacing w:after="0"/>
              <w:rPr>
                <w:sz w:val="7"/>
                <w:szCs w:val="7"/>
                <w:color w:val="auto"/>
              </w:rPr>
            </w:pPr>
          </w:p>
        </w:tc>
        <w:tc>
          <w:tcPr>
            <w:tcW w:w="420" w:type="dxa"/>
            <w:vAlign w:val="bottom"/>
            <w:tcBorders>
              <w:bottom w:val="single" w:sz="8" w:color="424E6A"/>
            </w:tcBorders>
            <w:vMerge w:val="continue"/>
          </w:tcPr>
          <w:p>
            <w:pPr>
              <w:spacing w:after="0"/>
              <w:rPr>
                <w:sz w:val="7"/>
                <w:szCs w:val="7"/>
                <w:color w:val="auto"/>
              </w:rPr>
            </w:pPr>
          </w:p>
        </w:tc>
        <w:tc>
          <w:tcPr>
            <w:tcW w:w="400" w:type="dxa"/>
            <w:vAlign w:val="bottom"/>
            <w:tcBorders>
              <w:bottom w:val="single" w:sz="8" w:color="424E6A"/>
            </w:tcBorders>
          </w:tcPr>
          <w:p>
            <w:pPr>
              <w:spacing w:after="0"/>
              <w:rPr>
                <w:sz w:val="7"/>
                <w:szCs w:val="7"/>
                <w:color w:val="auto"/>
              </w:rPr>
            </w:pPr>
          </w:p>
        </w:tc>
        <w:tc>
          <w:tcPr>
            <w:tcW w:w="240" w:type="dxa"/>
            <w:vAlign w:val="bottom"/>
            <w:tcBorders>
              <w:bottom w:val="single" w:sz="8" w:color="424E6A"/>
            </w:tcBorders>
            <w:vMerge w:val="continue"/>
          </w:tcPr>
          <w:p>
            <w:pPr>
              <w:spacing w:after="0"/>
              <w:rPr>
                <w:sz w:val="7"/>
                <w:szCs w:val="7"/>
                <w:color w:val="auto"/>
              </w:rPr>
            </w:pPr>
          </w:p>
        </w:tc>
        <w:tc>
          <w:tcPr>
            <w:tcW w:w="520" w:type="dxa"/>
            <w:vAlign w:val="bottom"/>
            <w:tcBorders>
              <w:bottom w:val="single" w:sz="8" w:color="424E6A"/>
            </w:tcBorders>
          </w:tcPr>
          <w:p>
            <w:pPr>
              <w:spacing w:after="0"/>
              <w:rPr>
                <w:sz w:val="7"/>
                <w:szCs w:val="7"/>
                <w:color w:val="auto"/>
              </w:rPr>
            </w:pPr>
          </w:p>
        </w:tc>
        <w:tc>
          <w:tcPr>
            <w:tcW w:w="460" w:type="dxa"/>
            <w:vAlign w:val="bottom"/>
            <w:tcBorders>
              <w:bottom w:val="single" w:sz="8" w:color="424E6A"/>
            </w:tcBorders>
            <w:gridSpan w:val="2"/>
            <w:vMerge w:val="continue"/>
          </w:tcPr>
          <w:p>
            <w:pPr>
              <w:spacing w:after="0"/>
              <w:rPr>
                <w:sz w:val="7"/>
                <w:szCs w:val="7"/>
                <w:color w:val="auto"/>
              </w:rPr>
            </w:pPr>
          </w:p>
        </w:tc>
        <w:tc>
          <w:tcPr>
            <w:tcW w:w="80" w:type="dxa"/>
            <w:vAlign w:val="bottom"/>
            <w:tcBorders>
              <w:bottom w:val="single" w:sz="8" w:color="424E6A"/>
            </w:tcBorders>
          </w:tcPr>
          <w:p>
            <w:pPr>
              <w:spacing w:after="0"/>
              <w:rPr>
                <w:sz w:val="7"/>
                <w:szCs w:val="7"/>
                <w:color w:val="auto"/>
              </w:rPr>
            </w:pPr>
          </w:p>
        </w:tc>
        <w:tc>
          <w:tcPr>
            <w:tcW w:w="340" w:type="dxa"/>
            <w:vAlign w:val="bottom"/>
            <w:tcBorders>
              <w:bottom w:val="single" w:sz="8" w:color="424E6A"/>
            </w:tcBorders>
          </w:tcPr>
          <w:p>
            <w:pPr>
              <w:spacing w:after="0"/>
              <w:rPr>
                <w:sz w:val="7"/>
                <w:szCs w:val="7"/>
                <w:color w:val="auto"/>
              </w:rPr>
            </w:pPr>
          </w:p>
        </w:tc>
        <w:tc>
          <w:tcPr>
            <w:tcW w:w="200" w:type="dxa"/>
            <w:vAlign w:val="bottom"/>
            <w:tcBorders>
              <w:bottom w:val="single" w:sz="8" w:color="424E6A"/>
            </w:tcBorders>
            <w:gridSpan w:val="2"/>
            <w:vMerge w:val="continue"/>
          </w:tcPr>
          <w:p>
            <w:pPr>
              <w:spacing w:after="0"/>
              <w:rPr>
                <w:sz w:val="7"/>
                <w:szCs w:val="7"/>
                <w:color w:val="auto"/>
              </w:rPr>
            </w:pPr>
          </w:p>
        </w:tc>
        <w:tc>
          <w:tcPr>
            <w:tcW w:w="300" w:type="dxa"/>
            <w:vAlign w:val="bottom"/>
            <w:tcBorders>
              <w:bottom w:val="single" w:sz="8" w:color="424E6A"/>
            </w:tcBorders>
          </w:tcPr>
          <w:p>
            <w:pPr>
              <w:jc w:val="right"/>
              <w:spacing w:after="0" w:line="81"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424E6A"/>
            </w:tcBorders>
          </w:tcPr>
          <w:p>
            <w:pPr>
              <w:spacing w:after="0"/>
              <w:rPr>
                <w:sz w:val="7"/>
                <w:szCs w:val="7"/>
                <w:color w:val="auto"/>
              </w:rPr>
            </w:pPr>
          </w:p>
        </w:tc>
        <w:tc>
          <w:tcPr>
            <w:tcW w:w="320" w:type="dxa"/>
            <w:vAlign w:val="bottom"/>
            <w:tcBorders>
              <w:bottom w:val="single" w:sz="8" w:color="424E6A"/>
            </w:tcBorders>
          </w:tcPr>
          <w:p>
            <w:pPr>
              <w:spacing w:after="0"/>
              <w:rPr>
                <w:sz w:val="7"/>
                <w:szCs w:val="7"/>
                <w:color w:val="auto"/>
              </w:rPr>
            </w:pPr>
          </w:p>
        </w:tc>
        <w:tc>
          <w:tcPr>
            <w:tcW w:w="140" w:type="dxa"/>
            <w:vAlign w:val="bottom"/>
            <w:tcBorders>
              <w:bottom w:val="single" w:sz="8" w:color="424E6A"/>
            </w:tcBorders>
            <w:vMerge w:val="continue"/>
          </w:tcPr>
          <w:p>
            <w:pPr>
              <w:spacing w:after="0"/>
              <w:rPr>
                <w:sz w:val="7"/>
                <w:szCs w:val="7"/>
                <w:color w:val="auto"/>
              </w:rPr>
            </w:pPr>
          </w:p>
        </w:tc>
        <w:tc>
          <w:tcPr>
            <w:tcW w:w="260" w:type="dxa"/>
            <w:vAlign w:val="bottom"/>
            <w:tcBorders>
              <w:bottom w:val="single" w:sz="8" w:color="424E6A"/>
            </w:tcBorders>
            <w:vMerge w:val="continue"/>
          </w:tcPr>
          <w:p>
            <w:pPr>
              <w:spacing w:after="0"/>
              <w:rPr>
                <w:sz w:val="7"/>
                <w:szCs w:val="7"/>
                <w:color w:val="auto"/>
              </w:rPr>
            </w:pPr>
          </w:p>
        </w:tc>
        <w:tc>
          <w:tcPr>
            <w:tcW w:w="540" w:type="dxa"/>
            <w:vAlign w:val="bottom"/>
            <w:tcBorders>
              <w:bottom w:val="single" w:sz="8" w:color="424E6A"/>
              <w:right w:val="single" w:sz="8" w:color="424E6A"/>
            </w:tcBorders>
          </w:tcPr>
          <w:p>
            <w:pPr>
              <w:jc w:val="right"/>
              <w:spacing w:after="0" w:line="81" w:lineRule="exact"/>
              <w:rPr>
                <w:sz w:val="20"/>
                <w:szCs w:val="20"/>
                <w:color w:val="auto"/>
              </w:rPr>
            </w:pPr>
            <w:r>
              <w:rPr>
                <w:rFonts w:ascii="Arial" w:cs="Arial" w:eastAsia="Arial" w:hAnsi="Arial"/>
                <w:sz w:val="9"/>
                <w:szCs w:val="9"/>
                <w:color w:val="auto"/>
              </w:rPr>
              <w:t>​ ​</w:t>
            </w:r>
          </w:p>
        </w:tc>
        <w:tc>
          <w:tcPr>
            <w:tcW w:w="0" w:type="dxa"/>
            <w:vAlign w:val="bottom"/>
          </w:tcPr>
          <w:p>
            <w:pPr>
              <w:spacing w:after="0"/>
              <w:rPr>
                <w:sz w:val="1"/>
                <w:szCs w:val="1"/>
                <w:color w:val="auto"/>
              </w:rPr>
            </w:pPr>
          </w:p>
        </w:tc>
      </w:tr>
      <w:tr>
        <w:trPr>
          <w:trHeight w:val="218"/>
        </w:trPr>
        <w:tc>
          <w:tcPr>
            <w:tcW w:w="20" w:type="dxa"/>
            <w:vAlign w:val="bottom"/>
            <w:shd w:val="clear" w:color="auto" w:fill="424E6A"/>
          </w:tcPr>
          <w:p>
            <w:pPr>
              <w:spacing w:after="0"/>
              <w:rPr>
                <w:sz w:val="18"/>
                <w:szCs w:val="18"/>
                <w:color w:val="auto"/>
              </w:rPr>
            </w:pPr>
          </w:p>
        </w:tc>
        <w:tc>
          <w:tcPr>
            <w:tcW w:w="140" w:type="dxa"/>
            <w:vAlign w:val="bottom"/>
            <w:shd w:val="clear" w:color="auto" w:fill="D9DCE1"/>
          </w:tcPr>
          <w:p>
            <w:pPr>
              <w:spacing w:after="0"/>
              <w:rPr>
                <w:sz w:val="18"/>
                <w:szCs w:val="18"/>
                <w:color w:val="auto"/>
              </w:rPr>
            </w:pPr>
          </w:p>
        </w:tc>
        <w:tc>
          <w:tcPr>
            <w:tcW w:w="2120" w:type="dxa"/>
            <w:vAlign w:val="bottom"/>
            <w:shd w:val="clear" w:color="auto" w:fill="D9DCE1"/>
          </w:tcPr>
          <w:p>
            <w:pPr>
              <w:ind w:left="80"/>
              <w:spacing w:after="0"/>
              <w:rPr>
                <w:sz w:val="20"/>
                <w:szCs w:val="20"/>
                <w:color w:val="auto"/>
              </w:rPr>
            </w:pPr>
            <w:r>
              <w:rPr>
                <w:rFonts w:ascii="Arial" w:cs="Arial" w:eastAsia="Arial" w:hAnsi="Arial"/>
                <w:sz w:val="18"/>
                <w:szCs w:val="18"/>
                <w:color w:val="auto"/>
              </w:rPr>
              <w:t>Company Performance</w:t>
            </w:r>
          </w:p>
        </w:tc>
        <w:tc>
          <w:tcPr>
            <w:tcW w:w="560" w:type="dxa"/>
            <w:vAlign w:val="bottom"/>
            <w:shd w:val="clear" w:color="auto" w:fill="D9DCE1"/>
          </w:tcPr>
          <w:p>
            <w:pPr>
              <w:spacing w:after="0"/>
              <w:rPr>
                <w:sz w:val="18"/>
                <w:szCs w:val="18"/>
                <w:color w:val="auto"/>
              </w:rPr>
            </w:pPr>
          </w:p>
        </w:tc>
        <w:tc>
          <w:tcPr>
            <w:tcW w:w="300" w:type="dxa"/>
            <w:vAlign w:val="bottom"/>
            <w:shd w:val="clear" w:color="auto" w:fill="D9DCE1"/>
          </w:tcPr>
          <w:p>
            <w:pPr>
              <w:spacing w:after="0"/>
              <w:rPr>
                <w:sz w:val="18"/>
                <w:szCs w:val="18"/>
                <w:color w:val="auto"/>
              </w:rPr>
            </w:pPr>
          </w:p>
        </w:tc>
        <w:tc>
          <w:tcPr>
            <w:tcW w:w="240" w:type="dxa"/>
            <w:vAlign w:val="bottom"/>
            <w:shd w:val="clear" w:color="auto" w:fill="D9DCE1"/>
          </w:tcPr>
          <w:p>
            <w:pPr>
              <w:spacing w:after="0"/>
              <w:rPr>
                <w:sz w:val="18"/>
                <w:szCs w:val="18"/>
                <w:color w:val="auto"/>
              </w:rPr>
            </w:pPr>
          </w:p>
        </w:tc>
        <w:tc>
          <w:tcPr>
            <w:tcW w:w="500" w:type="dxa"/>
            <w:vAlign w:val="bottom"/>
            <w:shd w:val="clear" w:color="auto" w:fill="D9DCE1"/>
          </w:tcPr>
          <w:p>
            <w:pPr>
              <w:spacing w:after="0"/>
              <w:rPr>
                <w:sz w:val="18"/>
                <w:szCs w:val="18"/>
                <w:color w:val="auto"/>
              </w:rPr>
            </w:pPr>
          </w:p>
        </w:tc>
        <w:tc>
          <w:tcPr>
            <w:tcW w:w="420" w:type="dxa"/>
            <w:vAlign w:val="bottom"/>
            <w:shd w:val="clear" w:color="auto" w:fill="D9DCE1"/>
          </w:tcPr>
          <w:p>
            <w:pPr>
              <w:spacing w:after="0"/>
              <w:rPr>
                <w:sz w:val="18"/>
                <w:szCs w:val="18"/>
                <w:color w:val="auto"/>
              </w:rPr>
            </w:pPr>
          </w:p>
        </w:tc>
        <w:tc>
          <w:tcPr>
            <w:tcW w:w="400" w:type="dxa"/>
            <w:vAlign w:val="bottom"/>
            <w:shd w:val="clear" w:color="auto" w:fill="D9DCE1"/>
          </w:tcPr>
          <w:p>
            <w:pPr>
              <w:spacing w:after="0"/>
              <w:rPr>
                <w:sz w:val="18"/>
                <w:szCs w:val="18"/>
                <w:color w:val="auto"/>
              </w:rPr>
            </w:pPr>
          </w:p>
        </w:tc>
        <w:tc>
          <w:tcPr>
            <w:tcW w:w="240" w:type="dxa"/>
            <w:vAlign w:val="bottom"/>
            <w:shd w:val="clear" w:color="auto" w:fill="D9DCE1"/>
          </w:tcPr>
          <w:p>
            <w:pPr>
              <w:spacing w:after="0"/>
              <w:rPr>
                <w:sz w:val="18"/>
                <w:szCs w:val="18"/>
                <w:color w:val="auto"/>
              </w:rPr>
            </w:pPr>
          </w:p>
        </w:tc>
        <w:tc>
          <w:tcPr>
            <w:tcW w:w="520" w:type="dxa"/>
            <w:vAlign w:val="bottom"/>
            <w:shd w:val="clear" w:color="auto" w:fill="D9DCE1"/>
          </w:tcPr>
          <w:p>
            <w:pPr>
              <w:spacing w:after="0"/>
              <w:rPr>
                <w:sz w:val="18"/>
                <w:szCs w:val="18"/>
                <w:color w:val="auto"/>
              </w:rPr>
            </w:pPr>
          </w:p>
        </w:tc>
        <w:tc>
          <w:tcPr>
            <w:tcW w:w="120" w:type="dxa"/>
            <w:vAlign w:val="bottom"/>
            <w:shd w:val="clear" w:color="auto" w:fill="D9DCE1"/>
          </w:tcPr>
          <w:p>
            <w:pPr>
              <w:spacing w:after="0"/>
              <w:rPr>
                <w:sz w:val="18"/>
                <w:szCs w:val="18"/>
                <w:color w:val="auto"/>
              </w:rPr>
            </w:pPr>
          </w:p>
        </w:tc>
        <w:tc>
          <w:tcPr>
            <w:tcW w:w="340" w:type="dxa"/>
            <w:vAlign w:val="bottom"/>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340" w:type="dxa"/>
            <w:vAlign w:val="bottom"/>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120" w:type="dxa"/>
            <w:vAlign w:val="bottom"/>
            <w:shd w:val="clear" w:color="auto" w:fill="D9DCE1"/>
          </w:tcPr>
          <w:p>
            <w:pPr>
              <w:spacing w:after="0"/>
              <w:rPr>
                <w:sz w:val="18"/>
                <w:szCs w:val="18"/>
                <w:color w:val="auto"/>
              </w:rPr>
            </w:pPr>
          </w:p>
        </w:tc>
        <w:tc>
          <w:tcPr>
            <w:tcW w:w="300" w:type="dxa"/>
            <w:vAlign w:val="bottom"/>
            <w:shd w:val="clear" w:color="auto" w:fill="D9DCE1"/>
          </w:tcPr>
          <w:p>
            <w:pPr>
              <w:spacing w:after="0"/>
              <w:rPr>
                <w:sz w:val="18"/>
                <w:szCs w:val="18"/>
                <w:color w:val="auto"/>
              </w:rPr>
            </w:pPr>
          </w:p>
        </w:tc>
        <w:tc>
          <w:tcPr>
            <w:tcW w:w="120" w:type="dxa"/>
            <w:vAlign w:val="bottom"/>
            <w:tcBorders>
              <w:right w:val="single" w:sz="8" w:color="D9DCE1"/>
            </w:tcBorders>
            <w:shd w:val="clear" w:color="auto" w:fill="D9DCE1"/>
          </w:tcPr>
          <w:p>
            <w:pPr>
              <w:spacing w:after="0"/>
              <w:rPr>
                <w:sz w:val="18"/>
                <w:szCs w:val="18"/>
                <w:color w:val="auto"/>
              </w:rPr>
            </w:pPr>
          </w:p>
        </w:tc>
        <w:tc>
          <w:tcPr>
            <w:tcW w:w="320" w:type="dxa"/>
            <w:vAlign w:val="bottom"/>
            <w:shd w:val="clear" w:color="auto" w:fill="D9DCE1"/>
          </w:tcPr>
          <w:p>
            <w:pPr>
              <w:spacing w:after="0"/>
              <w:rPr>
                <w:sz w:val="18"/>
                <w:szCs w:val="18"/>
                <w:color w:val="auto"/>
              </w:rPr>
            </w:pPr>
          </w:p>
        </w:tc>
        <w:tc>
          <w:tcPr>
            <w:tcW w:w="140" w:type="dxa"/>
            <w:vAlign w:val="bottom"/>
            <w:shd w:val="clear" w:color="auto" w:fill="D9DCE1"/>
          </w:tcPr>
          <w:p>
            <w:pPr>
              <w:spacing w:after="0"/>
              <w:rPr>
                <w:sz w:val="18"/>
                <w:szCs w:val="18"/>
                <w:color w:val="auto"/>
              </w:rPr>
            </w:pPr>
          </w:p>
        </w:tc>
        <w:tc>
          <w:tcPr>
            <w:tcW w:w="260" w:type="dxa"/>
            <w:vAlign w:val="bottom"/>
            <w:shd w:val="clear" w:color="auto" w:fill="D9DCE1"/>
          </w:tcPr>
          <w:p>
            <w:pPr>
              <w:spacing w:after="0"/>
              <w:rPr>
                <w:sz w:val="18"/>
                <w:szCs w:val="18"/>
                <w:color w:val="auto"/>
              </w:rPr>
            </w:pPr>
          </w:p>
        </w:tc>
        <w:tc>
          <w:tcPr>
            <w:tcW w:w="540" w:type="dxa"/>
            <w:vAlign w:val="bottom"/>
            <w:tcBorders>
              <w:right w:val="single" w:sz="8" w:color="424E6A"/>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424E6A"/>
          </w:tcPr>
          <w:p>
            <w:pPr>
              <w:spacing w:after="0"/>
              <w:rPr>
                <w:sz w:val="15"/>
                <w:szCs w:val="15"/>
                <w:color w:val="auto"/>
              </w:rPr>
            </w:pPr>
          </w:p>
        </w:tc>
        <w:tc>
          <w:tcPr>
            <w:tcW w:w="140" w:type="dxa"/>
            <w:vAlign w:val="bottom"/>
            <w:vMerge w:val="restart"/>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120" w:type="dxa"/>
            <w:vAlign w:val="bottom"/>
            <w:shd w:val="clear" w:color="auto" w:fill="D9DCE1"/>
          </w:tcPr>
          <w:p>
            <w:pPr>
              <w:ind w:left="260"/>
              <w:spacing w:after="0" w:line="181" w:lineRule="exact"/>
              <w:rPr>
                <w:sz w:val="20"/>
                <w:szCs w:val="20"/>
                <w:color w:val="auto"/>
              </w:rPr>
            </w:pPr>
            <w:r>
              <w:rPr>
                <w:rFonts w:ascii="Arial" w:cs="Arial" w:eastAsia="Arial" w:hAnsi="Arial"/>
                <w:sz w:val="18"/>
                <w:szCs w:val="18"/>
                <w:color w:val="auto"/>
              </w:rPr>
              <w:t>Subtotal</w:t>
            </w:r>
          </w:p>
        </w:tc>
        <w:tc>
          <w:tcPr>
            <w:tcW w:w="560" w:type="dxa"/>
            <w:vAlign w:val="bottom"/>
            <w:vMerge w:val="restart"/>
            <w:shd w:val="clear" w:color="auto" w:fill="D9DCE1"/>
          </w:tcPr>
          <w:p>
            <w:pPr>
              <w:ind w:left="80"/>
              <w:spacing w:after="0"/>
              <w:rPr>
                <w:sz w:val="20"/>
                <w:szCs w:val="20"/>
                <w:color w:val="auto"/>
              </w:rPr>
            </w:pPr>
            <w:r>
              <w:rPr>
                <w:rFonts w:ascii="Arial" w:cs="Arial" w:eastAsia="Arial" w:hAnsi="Arial"/>
                <w:sz w:val="18"/>
                <w:szCs w:val="18"/>
                <w:color w:val="auto"/>
              </w:rPr>
              <w:t>​ ​  ​</w:t>
            </w:r>
          </w:p>
        </w:tc>
        <w:tc>
          <w:tcPr>
            <w:tcW w:w="540" w:type="dxa"/>
            <w:vAlign w:val="bottom"/>
            <w:gridSpan w:val="2"/>
            <w:vMerge w:val="restart"/>
            <w:shd w:val="clear" w:color="auto" w:fill="D9DCE1"/>
          </w:tcPr>
          <w:p>
            <w:pPr>
              <w:ind w:left="160"/>
              <w:spacing w:after="0"/>
              <w:rPr>
                <w:sz w:val="20"/>
                <w:szCs w:val="20"/>
                <w:color w:val="auto"/>
              </w:rPr>
            </w:pPr>
            <w:r>
              <w:rPr>
                <w:rFonts w:ascii="Arial" w:cs="Arial" w:eastAsia="Arial" w:hAnsi="Arial"/>
                <w:sz w:val="18"/>
                <w:szCs w:val="18"/>
                <w:color w:val="auto"/>
              </w:rPr>
              <w:t>​​ ​ ​</w:t>
            </w:r>
          </w:p>
        </w:tc>
        <w:tc>
          <w:tcPr>
            <w:tcW w:w="500" w:type="dxa"/>
            <w:vAlign w:val="bottom"/>
            <w:shd w:val="clear" w:color="auto" w:fill="D9DCE1"/>
          </w:tcPr>
          <w:p>
            <w:pPr>
              <w:spacing w:after="0"/>
              <w:rPr>
                <w:sz w:val="15"/>
                <w:szCs w:val="15"/>
                <w:color w:val="auto"/>
              </w:rPr>
            </w:pPr>
          </w:p>
        </w:tc>
        <w:tc>
          <w:tcPr>
            <w:tcW w:w="420" w:type="dxa"/>
            <w:vAlign w:val="bottom"/>
            <w:vMerge w:val="restart"/>
            <w:shd w:val="clear" w:color="auto" w:fill="D9DCE1"/>
          </w:tcPr>
          <w:p>
            <w:pPr>
              <w:ind w:left="40"/>
              <w:spacing w:after="0"/>
              <w:rPr>
                <w:sz w:val="20"/>
                <w:szCs w:val="20"/>
                <w:color w:val="auto"/>
              </w:rPr>
            </w:pPr>
            <w:r>
              <w:rPr>
                <w:rFonts w:ascii="Arial" w:cs="Arial" w:eastAsia="Arial" w:hAnsi="Arial"/>
                <w:sz w:val="18"/>
                <w:szCs w:val="18"/>
                <w:color w:val="auto"/>
              </w:rPr>
              <w:t>​​ ​​</w:t>
            </w:r>
          </w:p>
        </w:tc>
        <w:tc>
          <w:tcPr>
            <w:tcW w:w="400" w:type="dxa"/>
            <w:vAlign w:val="bottom"/>
            <w:shd w:val="clear" w:color="auto" w:fill="D9DCE1"/>
          </w:tcPr>
          <w:p>
            <w:pPr>
              <w:spacing w:after="0"/>
              <w:rPr>
                <w:sz w:val="15"/>
                <w:szCs w:val="15"/>
                <w:color w:val="auto"/>
              </w:rPr>
            </w:pPr>
          </w:p>
        </w:tc>
        <w:tc>
          <w:tcPr>
            <w:tcW w:w="240" w:type="dxa"/>
            <w:vAlign w:val="bottom"/>
            <w:vMerge w:val="restart"/>
            <w:shd w:val="clear" w:color="auto" w:fill="D9DCE1"/>
          </w:tcPr>
          <w:p>
            <w:pPr>
              <w:ind w:left="40"/>
              <w:spacing w:after="0"/>
              <w:rPr>
                <w:sz w:val="20"/>
                <w:szCs w:val="20"/>
                <w:color w:val="auto"/>
              </w:rPr>
            </w:pPr>
            <w:r>
              <w:rPr>
                <w:rFonts w:ascii="Arial" w:cs="Arial" w:eastAsia="Arial" w:hAnsi="Arial"/>
                <w:sz w:val="18"/>
                <w:szCs w:val="18"/>
                <w:color w:val="auto"/>
              </w:rPr>
              <w:t>​ ​​</w:t>
            </w:r>
          </w:p>
        </w:tc>
        <w:tc>
          <w:tcPr>
            <w:tcW w:w="520" w:type="dxa"/>
            <w:vAlign w:val="bottom"/>
            <w:shd w:val="clear" w:color="auto" w:fill="D9DCE1"/>
          </w:tcPr>
          <w:p>
            <w:pPr>
              <w:spacing w:after="0"/>
              <w:rPr>
                <w:sz w:val="15"/>
                <w:szCs w:val="15"/>
                <w:color w:val="auto"/>
              </w:rPr>
            </w:pPr>
          </w:p>
        </w:tc>
        <w:tc>
          <w:tcPr>
            <w:tcW w:w="460" w:type="dxa"/>
            <w:vAlign w:val="bottom"/>
            <w:gridSpan w:val="2"/>
            <w:vMerge w:val="restart"/>
            <w:shd w:val="clear" w:color="auto" w:fill="D9DCE1"/>
          </w:tcPr>
          <w:p>
            <w:pPr>
              <w:ind w:left="40"/>
              <w:spacing w:after="0"/>
              <w:rPr>
                <w:sz w:val="20"/>
                <w:szCs w:val="20"/>
                <w:color w:val="auto"/>
              </w:rPr>
            </w:pPr>
            <w:r>
              <w:rPr>
                <w:rFonts w:ascii="Arial" w:cs="Arial" w:eastAsia="Arial" w:hAnsi="Arial"/>
                <w:sz w:val="18"/>
                <w:szCs w:val="18"/>
                <w:color w:val="auto"/>
              </w:rPr>
              <w:t>​ ​ ​</w:t>
            </w:r>
          </w:p>
        </w:tc>
        <w:tc>
          <w:tcPr>
            <w:tcW w:w="80" w:type="dxa"/>
            <w:vAlign w:val="bottom"/>
            <w:shd w:val="clear" w:color="auto" w:fill="D9DCE1"/>
          </w:tcPr>
          <w:p>
            <w:pPr>
              <w:spacing w:after="0"/>
              <w:rPr>
                <w:sz w:val="15"/>
                <w:szCs w:val="15"/>
                <w:color w:val="auto"/>
              </w:rPr>
            </w:pPr>
          </w:p>
        </w:tc>
        <w:tc>
          <w:tcPr>
            <w:tcW w:w="340" w:type="dxa"/>
            <w:vAlign w:val="bottom"/>
            <w:shd w:val="clear" w:color="auto" w:fill="D9DCE1"/>
          </w:tcPr>
          <w:p>
            <w:pPr>
              <w:spacing w:after="0"/>
              <w:rPr>
                <w:sz w:val="15"/>
                <w:szCs w:val="15"/>
                <w:color w:val="auto"/>
              </w:rPr>
            </w:pPr>
          </w:p>
        </w:tc>
        <w:tc>
          <w:tcPr>
            <w:tcW w:w="200" w:type="dxa"/>
            <w:vAlign w:val="bottom"/>
            <w:gridSpan w:val="2"/>
            <w:vMerge w:val="restart"/>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D9DCE1"/>
            </w:tcBorders>
            <w:shd w:val="clear" w:color="auto" w:fill="D9DCE1"/>
          </w:tcPr>
          <w:p>
            <w:pPr>
              <w:spacing w:after="0"/>
              <w:rPr>
                <w:sz w:val="15"/>
                <w:szCs w:val="15"/>
                <w:color w:val="auto"/>
              </w:rPr>
            </w:pPr>
          </w:p>
        </w:tc>
        <w:tc>
          <w:tcPr>
            <w:tcW w:w="320" w:type="dxa"/>
            <w:vAlign w:val="bottom"/>
            <w:shd w:val="clear" w:color="auto" w:fill="D9DCE1"/>
          </w:tcPr>
          <w:p>
            <w:pPr>
              <w:spacing w:after="0"/>
              <w:rPr>
                <w:sz w:val="15"/>
                <w:szCs w:val="15"/>
                <w:color w:val="auto"/>
              </w:rPr>
            </w:pPr>
          </w:p>
        </w:tc>
        <w:tc>
          <w:tcPr>
            <w:tcW w:w="140" w:type="dxa"/>
            <w:vAlign w:val="bottom"/>
            <w:vMerge w:val="restart"/>
            <w:shd w:val="clear" w:color="auto" w:fill="D9DCE1"/>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424E6A"/>
            </w:tcBorders>
            <w:gridSpan w:val="2"/>
            <w:shd w:val="clear" w:color="auto" w:fill="D9DCE1"/>
          </w:tcPr>
          <w:p>
            <w:pPr>
              <w:jc w:val="right"/>
              <w:spacing w:after="0" w:line="181" w:lineRule="exact"/>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81"/>
        </w:trPr>
        <w:tc>
          <w:tcPr>
            <w:tcW w:w="20" w:type="dxa"/>
            <w:vAlign w:val="bottom"/>
            <w:tcBorders>
              <w:bottom w:val="single" w:sz="8" w:color="424E6A"/>
            </w:tcBorders>
            <w:shd w:val="clear" w:color="auto" w:fill="424E6A"/>
          </w:tcPr>
          <w:p>
            <w:pPr>
              <w:spacing w:after="0"/>
              <w:rPr>
                <w:sz w:val="7"/>
                <w:szCs w:val="7"/>
                <w:color w:val="auto"/>
              </w:rPr>
            </w:pPr>
          </w:p>
        </w:tc>
        <w:tc>
          <w:tcPr>
            <w:tcW w:w="140" w:type="dxa"/>
            <w:vAlign w:val="bottom"/>
            <w:tcBorders>
              <w:bottom w:val="single" w:sz="8" w:color="424E6A"/>
            </w:tcBorders>
            <w:vMerge w:val="continue"/>
            <w:shd w:val="clear" w:color="auto" w:fill="D9DCE1"/>
          </w:tcPr>
          <w:p>
            <w:pPr>
              <w:spacing w:after="0"/>
              <w:rPr>
                <w:sz w:val="7"/>
                <w:szCs w:val="7"/>
                <w:color w:val="auto"/>
              </w:rPr>
            </w:pPr>
          </w:p>
        </w:tc>
        <w:tc>
          <w:tcPr>
            <w:tcW w:w="2120" w:type="dxa"/>
            <w:vAlign w:val="bottom"/>
            <w:tcBorders>
              <w:bottom w:val="single" w:sz="8" w:color="424E6A"/>
            </w:tcBorders>
            <w:shd w:val="clear" w:color="auto" w:fill="D9DCE1"/>
          </w:tcPr>
          <w:p>
            <w:pPr>
              <w:spacing w:after="0"/>
              <w:rPr>
                <w:sz w:val="7"/>
                <w:szCs w:val="7"/>
                <w:color w:val="auto"/>
              </w:rPr>
            </w:pPr>
          </w:p>
        </w:tc>
        <w:tc>
          <w:tcPr>
            <w:tcW w:w="560" w:type="dxa"/>
            <w:vAlign w:val="bottom"/>
            <w:tcBorders>
              <w:bottom w:val="single" w:sz="8" w:color="424E6A"/>
            </w:tcBorders>
            <w:vMerge w:val="continue"/>
            <w:shd w:val="clear" w:color="auto" w:fill="D9DCE1"/>
          </w:tcPr>
          <w:p>
            <w:pPr>
              <w:spacing w:after="0"/>
              <w:rPr>
                <w:sz w:val="7"/>
                <w:szCs w:val="7"/>
                <w:color w:val="auto"/>
              </w:rPr>
            </w:pPr>
          </w:p>
        </w:tc>
        <w:tc>
          <w:tcPr>
            <w:tcW w:w="540" w:type="dxa"/>
            <w:vAlign w:val="bottom"/>
            <w:tcBorders>
              <w:bottom w:val="single" w:sz="8" w:color="424E6A"/>
            </w:tcBorders>
            <w:gridSpan w:val="2"/>
            <w:vMerge w:val="continue"/>
            <w:shd w:val="clear" w:color="auto" w:fill="D9DCE1"/>
          </w:tcPr>
          <w:p>
            <w:pPr>
              <w:spacing w:after="0"/>
              <w:rPr>
                <w:sz w:val="7"/>
                <w:szCs w:val="7"/>
                <w:color w:val="auto"/>
              </w:rPr>
            </w:pPr>
          </w:p>
        </w:tc>
        <w:tc>
          <w:tcPr>
            <w:tcW w:w="500" w:type="dxa"/>
            <w:vAlign w:val="bottom"/>
            <w:tcBorders>
              <w:bottom w:val="single" w:sz="8" w:color="424E6A"/>
            </w:tcBorders>
            <w:shd w:val="clear" w:color="auto" w:fill="D9DCE1"/>
          </w:tcPr>
          <w:p>
            <w:pPr>
              <w:spacing w:after="0"/>
              <w:rPr>
                <w:sz w:val="7"/>
                <w:szCs w:val="7"/>
                <w:color w:val="auto"/>
              </w:rPr>
            </w:pPr>
          </w:p>
        </w:tc>
        <w:tc>
          <w:tcPr>
            <w:tcW w:w="420" w:type="dxa"/>
            <w:vAlign w:val="bottom"/>
            <w:tcBorders>
              <w:bottom w:val="single" w:sz="8" w:color="424E6A"/>
            </w:tcBorders>
            <w:vMerge w:val="continue"/>
            <w:shd w:val="clear" w:color="auto" w:fill="D9DCE1"/>
          </w:tcPr>
          <w:p>
            <w:pPr>
              <w:spacing w:after="0"/>
              <w:rPr>
                <w:sz w:val="7"/>
                <w:szCs w:val="7"/>
                <w:color w:val="auto"/>
              </w:rPr>
            </w:pPr>
          </w:p>
        </w:tc>
        <w:tc>
          <w:tcPr>
            <w:tcW w:w="400" w:type="dxa"/>
            <w:vAlign w:val="bottom"/>
            <w:tcBorders>
              <w:bottom w:val="single" w:sz="8" w:color="424E6A"/>
            </w:tcBorders>
            <w:shd w:val="clear" w:color="auto" w:fill="D9DCE1"/>
          </w:tcPr>
          <w:p>
            <w:pPr>
              <w:spacing w:after="0"/>
              <w:rPr>
                <w:sz w:val="7"/>
                <w:szCs w:val="7"/>
                <w:color w:val="auto"/>
              </w:rPr>
            </w:pPr>
          </w:p>
        </w:tc>
        <w:tc>
          <w:tcPr>
            <w:tcW w:w="240" w:type="dxa"/>
            <w:vAlign w:val="bottom"/>
            <w:tcBorders>
              <w:bottom w:val="single" w:sz="8" w:color="424E6A"/>
            </w:tcBorders>
            <w:vMerge w:val="continue"/>
            <w:shd w:val="clear" w:color="auto" w:fill="D9DCE1"/>
          </w:tcPr>
          <w:p>
            <w:pPr>
              <w:spacing w:after="0"/>
              <w:rPr>
                <w:sz w:val="7"/>
                <w:szCs w:val="7"/>
                <w:color w:val="auto"/>
              </w:rPr>
            </w:pPr>
          </w:p>
        </w:tc>
        <w:tc>
          <w:tcPr>
            <w:tcW w:w="520" w:type="dxa"/>
            <w:vAlign w:val="bottom"/>
            <w:tcBorders>
              <w:bottom w:val="single" w:sz="8" w:color="424E6A"/>
            </w:tcBorders>
            <w:shd w:val="clear" w:color="auto" w:fill="D9DCE1"/>
          </w:tcPr>
          <w:p>
            <w:pPr>
              <w:spacing w:after="0"/>
              <w:rPr>
                <w:sz w:val="7"/>
                <w:szCs w:val="7"/>
                <w:color w:val="auto"/>
              </w:rPr>
            </w:pPr>
          </w:p>
        </w:tc>
        <w:tc>
          <w:tcPr>
            <w:tcW w:w="460" w:type="dxa"/>
            <w:vAlign w:val="bottom"/>
            <w:tcBorders>
              <w:bottom w:val="single" w:sz="8" w:color="424E6A"/>
            </w:tcBorders>
            <w:gridSpan w:val="2"/>
            <w:vMerge w:val="continue"/>
            <w:shd w:val="clear" w:color="auto" w:fill="D9DCE1"/>
          </w:tcPr>
          <w:p>
            <w:pPr>
              <w:spacing w:after="0"/>
              <w:rPr>
                <w:sz w:val="7"/>
                <w:szCs w:val="7"/>
                <w:color w:val="auto"/>
              </w:rPr>
            </w:pPr>
          </w:p>
        </w:tc>
        <w:tc>
          <w:tcPr>
            <w:tcW w:w="80" w:type="dxa"/>
            <w:vAlign w:val="bottom"/>
            <w:tcBorders>
              <w:bottom w:val="single" w:sz="8" w:color="424E6A"/>
            </w:tcBorders>
            <w:shd w:val="clear" w:color="auto" w:fill="D9DCE1"/>
          </w:tcPr>
          <w:p>
            <w:pPr>
              <w:spacing w:after="0"/>
              <w:rPr>
                <w:sz w:val="7"/>
                <w:szCs w:val="7"/>
                <w:color w:val="auto"/>
              </w:rPr>
            </w:pPr>
          </w:p>
        </w:tc>
        <w:tc>
          <w:tcPr>
            <w:tcW w:w="340" w:type="dxa"/>
            <w:vAlign w:val="bottom"/>
            <w:tcBorders>
              <w:bottom w:val="single" w:sz="8" w:color="424E6A"/>
            </w:tcBorders>
            <w:shd w:val="clear" w:color="auto" w:fill="D9DCE1"/>
          </w:tcPr>
          <w:p>
            <w:pPr>
              <w:spacing w:after="0"/>
              <w:rPr>
                <w:sz w:val="7"/>
                <w:szCs w:val="7"/>
                <w:color w:val="auto"/>
              </w:rPr>
            </w:pPr>
          </w:p>
        </w:tc>
        <w:tc>
          <w:tcPr>
            <w:tcW w:w="200" w:type="dxa"/>
            <w:vAlign w:val="bottom"/>
            <w:tcBorders>
              <w:bottom w:val="single" w:sz="8" w:color="424E6A"/>
            </w:tcBorders>
            <w:gridSpan w:val="2"/>
            <w:vMerge w:val="continue"/>
            <w:shd w:val="clear" w:color="auto" w:fill="D9DCE1"/>
          </w:tcPr>
          <w:p>
            <w:pPr>
              <w:spacing w:after="0"/>
              <w:rPr>
                <w:sz w:val="7"/>
                <w:szCs w:val="7"/>
                <w:color w:val="auto"/>
              </w:rPr>
            </w:pPr>
          </w:p>
        </w:tc>
        <w:tc>
          <w:tcPr>
            <w:tcW w:w="300" w:type="dxa"/>
            <w:vAlign w:val="bottom"/>
            <w:tcBorders>
              <w:bottom w:val="single" w:sz="8" w:color="424E6A"/>
            </w:tcBorders>
            <w:vMerge w:val="continue"/>
            <w:shd w:val="clear" w:color="auto" w:fill="D9DCE1"/>
          </w:tcPr>
          <w:p>
            <w:pPr>
              <w:spacing w:after="0"/>
              <w:rPr>
                <w:sz w:val="7"/>
                <w:szCs w:val="7"/>
                <w:color w:val="auto"/>
              </w:rPr>
            </w:pPr>
          </w:p>
        </w:tc>
        <w:tc>
          <w:tcPr>
            <w:tcW w:w="120" w:type="dxa"/>
            <w:vAlign w:val="bottom"/>
            <w:tcBorders>
              <w:bottom w:val="single" w:sz="8" w:color="424E6A"/>
              <w:right w:val="single" w:sz="8" w:color="D9DCE1"/>
            </w:tcBorders>
            <w:shd w:val="clear" w:color="auto" w:fill="D9DCE1"/>
          </w:tcPr>
          <w:p>
            <w:pPr>
              <w:spacing w:after="0"/>
              <w:rPr>
                <w:sz w:val="7"/>
                <w:szCs w:val="7"/>
                <w:color w:val="auto"/>
              </w:rPr>
            </w:pPr>
          </w:p>
        </w:tc>
        <w:tc>
          <w:tcPr>
            <w:tcW w:w="320" w:type="dxa"/>
            <w:vAlign w:val="bottom"/>
            <w:tcBorders>
              <w:bottom w:val="single" w:sz="8" w:color="424E6A"/>
            </w:tcBorders>
            <w:shd w:val="clear" w:color="auto" w:fill="D9DCE1"/>
          </w:tcPr>
          <w:p>
            <w:pPr>
              <w:spacing w:after="0"/>
              <w:rPr>
                <w:sz w:val="7"/>
                <w:szCs w:val="7"/>
                <w:color w:val="auto"/>
              </w:rPr>
            </w:pPr>
          </w:p>
        </w:tc>
        <w:tc>
          <w:tcPr>
            <w:tcW w:w="140" w:type="dxa"/>
            <w:vAlign w:val="bottom"/>
            <w:tcBorders>
              <w:bottom w:val="single" w:sz="8" w:color="424E6A"/>
            </w:tcBorders>
            <w:vMerge w:val="continue"/>
            <w:shd w:val="clear" w:color="auto" w:fill="D9DCE1"/>
          </w:tcPr>
          <w:p>
            <w:pPr>
              <w:spacing w:after="0"/>
              <w:rPr>
                <w:sz w:val="7"/>
                <w:szCs w:val="7"/>
                <w:color w:val="auto"/>
              </w:rPr>
            </w:pPr>
          </w:p>
        </w:tc>
        <w:tc>
          <w:tcPr>
            <w:tcW w:w="260" w:type="dxa"/>
            <w:vAlign w:val="bottom"/>
            <w:tcBorders>
              <w:bottom w:val="single" w:sz="8" w:color="424E6A"/>
            </w:tcBorders>
            <w:shd w:val="clear" w:color="auto" w:fill="D9DCE1"/>
          </w:tcPr>
          <w:p>
            <w:pPr>
              <w:jc w:val="center"/>
              <w:spacing w:after="0" w:line="81" w:lineRule="exact"/>
              <w:rPr>
                <w:sz w:val="20"/>
                <w:szCs w:val="20"/>
                <w:color w:val="auto"/>
              </w:rPr>
            </w:pPr>
            <w:r>
              <w:rPr>
                <w:rFonts w:ascii="Arial" w:cs="Arial" w:eastAsia="Arial" w:hAnsi="Arial"/>
                <w:sz w:val="9"/>
                <w:szCs w:val="9"/>
                <w:color w:val="auto"/>
              </w:rPr>
              <w:t>​</w:t>
            </w:r>
          </w:p>
        </w:tc>
        <w:tc>
          <w:tcPr>
            <w:tcW w:w="540" w:type="dxa"/>
            <w:vAlign w:val="bottom"/>
            <w:tcBorders>
              <w:bottom w:val="single" w:sz="8" w:color="424E6A"/>
              <w:right w:val="single" w:sz="8" w:color="424E6A"/>
            </w:tcBorders>
            <w:shd w:val="clear" w:color="auto" w:fill="D9DCE1"/>
          </w:tcPr>
          <w:p>
            <w:pPr>
              <w:jc w:val="right"/>
              <w:spacing w:after="0" w:line="81" w:lineRule="exact"/>
              <w:rPr>
                <w:sz w:val="20"/>
                <w:szCs w:val="20"/>
                <w:color w:val="auto"/>
              </w:rPr>
            </w:pPr>
            <w:r>
              <w:rPr>
                <w:rFonts w:ascii="Arial" w:cs="Arial" w:eastAsia="Arial" w:hAnsi="Arial"/>
                <w:sz w:val="9"/>
                <w:szCs w:val="9"/>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-1619250</wp:posOffset>
            </wp:positionV>
            <wp:extent cx="34290" cy="196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196850"/>
                    </a:xfrm>
                    <a:prstGeom prst="rect">
                      <a:avLst/>
                    </a:prstGeom>
                    <a:noFill/>
                  </pic:spPr>
                </pic:pic>
              </a:graphicData>
            </a:graphic>
          </wp:anchor>
        </w:drawing>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Individual Performance</w:t>
      </w:r>
    </w:p>
    <w:p>
      <w:pPr>
        <w:spacing w:after="0" w:line="156"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As noted above, individual performance accounts for 33% of the annual bonus opportunity for our Named Executive Officers. Each officer’s individual contributions toward satisfaction of company goals and objectives is evaluated and payouts may range from 0-200% of target. During 2022, the executive leadership team executed well in an uncertain and volatile environment allowing Plains to successfully capture multiple upsides in the business and deliver results that exceeded plan. The individual payout scores for our NEOs for 2022 are set forth in the table below and take these factors into account, together with the specific items described for each NEO in the table.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80" w:type="dxa"/>
            <w:vAlign w:val="bottom"/>
            <w:tcBorders>
              <w:right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right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40" w:type="dxa"/>
            <w:vAlign w:val="bottom"/>
            <w:tcBorders>
              <w:top w:val="single" w:sz="8" w:color="auto"/>
            </w:tcBorders>
          </w:tcPr>
          <w:p>
            <w:pPr>
              <w:spacing w:after="0"/>
              <w:rPr>
                <w:sz w:val="16"/>
                <w:szCs w:val="16"/>
                <w:color w:val="auto"/>
              </w:rPr>
            </w:pPr>
          </w:p>
        </w:tc>
        <w:tc>
          <w:tcPr>
            <w:tcW w:w="100" w:type="dxa"/>
            <w:vAlign w:val="bottom"/>
            <w:tcBorders>
              <w:top w:val="single" w:sz="8" w:color="auto"/>
              <w:right w:val="single" w:sz="8" w:color="auto"/>
            </w:tcBorders>
          </w:tcPr>
          <w:p>
            <w:pPr>
              <w:spacing w:after="0"/>
              <w:rPr>
                <w:sz w:val="16"/>
                <w:szCs w:val="16"/>
                <w:color w:val="auto"/>
              </w:rPr>
            </w:pPr>
          </w:p>
        </w:tc>
        <w:tc>
          <w:tcPr>
            <w:tcW w:w="860" w:type="dxa"/>
            <w:vAlign w:val="bottom"/>
            <w:tcBorders>
              <w:top w:val="single" w:sz="8" w:color="auto"/>
              <w:right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Payout</w:t>
            </w:r>
          </w:p>
        </w:tc>
        <w:tc>
          <w:tcPr>
            <w:tcW w:w="1240" w:type="dxa"/>
            <w:vAlign w:val="bottom"/>
          </w:tcPr>
          <w:p>
            <w:pPr>
              <w:spacing w:after="0"/>
              <w:rPr>
                <w:sz w:val="16"/>
                <w:szCs w:val="16"/>
                <w:color w:val="auto"/>
              </w:rPr>
            </w:pPr>
          </w:p>
        </w:tc>
      </w:tr>
      <w:tr>
        <w:trPr>
          <w:trHeight w:val="198"/>
        </w:trPr>
        <w:tc>
          <w:tcPr>
            <w:tcW w:w="1280" w:type="dxa"/>
            <w:vAlign w:val="bottom"/>
            <w:tcBorders>
              <w:right w:val="single" w:sz="8" w:color="auto"/>
            </w:tcBorders>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7"/>
                <w:szCs w:val="17"/>
                <w:color w:val="auto"/>
              </w:rPr>
            </w:pPr>
          </w:p>
        </w:tc>
        <w:tc>
          <w:tcPr>
            <w:tcW w:w="544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Individual Performance Highlights</w:t>
            </w:r>
          </w:p>
        </w:tc>
        <w:tc>
          <w:tcPr>
            <w:tcW w:w="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right w:val="single" w:sz="8" w:color="auto"/>
            </w:tcBorders>
          </w:tcPr>
          <w:p>
            <w:pPr>
              <w:jc w:val="right"/>
              <w:ind w:right="216"/>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Score</w:t>
            </w:r>
          </w:p>
        </w:tc>
        <w:tc>
          <w:tcPr>
            <w:tcW w:w="1240" w:type="dxa"/>
            <w:vAlign w:val="bottom"/>
          </w:tcPr>
          <w:p>
            <w:pPr>
              <w:spacing w:after="0"/>
              <w:rPr>
                <w:sz w:val="17"/>
                <w:szCs w:val="17"/>
                <w:color w:val="auto"/>
              </w:rPr>
            </w:pPr>
          </w:p>
        </w:tc>
      </w:tr>
      <w:tr>
        <w:trPr>
          <w:trHeight w:val="231"/>
        </w:trPr>
        <w:tc>
          <w:tcPr>
            <w:tcW w:w="1280" w:type="dxa"/>
            <w:vAlign w:val="bottom"/>
            <w:tcBorders>
              <w:right w:val="single" w:sz="8" w:color="auto"/>
            </w:tcBorders>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Willie Chiang</w:t>
            </w:r>
          </w:p>
        </w:tc>
        <w:tc>
          <w:tcPr>
            <w:tcW w:w="100" w:type="dxa"/>
            <w:vAlign w:val="bottom"/>
            <w:tcBorders>
              <w:right w:val="single" w:sz="8" w:color="auto"/>
            </w:tcBorders>
          </w:tcPr>
          <w:p>
            <w:pPr>
              <w:spacing w:after="0"/>
              <w:rPr>
                <w:sz w:val="20"/>
                <w:szCs w:val="20"/>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Overall leadership, culture and tone setting</w:t>
            </w:r>
          </w:p>
        </w:tc>
        <w:tc>
          <w:tcPr>
            <w:tcW w:w="10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jc w:val="right"/>
              <w:ind w:right="216"/>
              <w:spacing w:after="0"/>
              <w:rPr>
                <w:sz w:val="20"/>
                <w:szCs w:val="20"/>
                <w:color w:val="auto"/>
              </w:rPr>
            </w:pPr>
            <w:r>
              <w:rPr>
                <w:rFonts w:ascii="Arial" w:cs="Arial" w:eastAsia="Arial" w:hAnsi="Arial"/>
                <w:sz w:val="18"/>
                <w:szCs w:val="18"/>
                <w:color w:val="auto"/>
              </w:rPr>
              <w:t>163%</w:t>
            </w:r>
          </w:p>
        </w:tc>
        <w:tc>
          <w:tcPr>
            <w:tcW w:w="1240" w:type="dxa"/>
            <w:vAlign w:val="bottom"/>
          </w:tcPr>
          <w:p>
            <w:pPr>
              <w:spacing w:after="0"/>
              <w:rPr>
                <w:sz w:val="20"/>
                <w:szCs w:val="20"/>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5840" w:type="dxa"/>
            <w:vAlign w:val="bottom"/>
            <w:gridSpan w:val="3"/>
          </w:tcPr>
          <w:p>
            <w:pPr>
              <w:ind w:left="100"/>
              <w:spacing w:after="0"/>
              <w:rPr>
                <w:sz w:val="20"/>
                <w:szCs w:val="20"/>
                <w:color w:val="auto"/>
              </w:rPr>
            </w:pPr>
            <w:r>
              <w:rPr>
                <w:rFonts w:ascii="Arial" w:cs="Arial" w:eastAsia="Arial" w:hAnsi="Arial"/>
                <w:sz w:val="18"/>
                <w:szCs w:val="18"/>
                <w:color w:val="auto"/>
              </w:rPr>
              <w:t>• Investor engagement, capital allocation, ESG/sustainability</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5840" w:type="dxa"/>
            <w:vAlign w:val="bottom"/>
            <w:gridSpan w:val="3"/>
          </w:tcPr>
          <w:p>
            <w:pPr>
              <w:ind w:left="100"/>
              <w:spacing w:after="0"/>
              <w:rPr>
                <w:sz w:val="20"/>
                <w:szCs w:val="20"/>
                <w:color w:val="auto"/>
              </w:rPr>
            </w:pPr>
            <w:r>
              <w:rPr>
                <w:rFonts w:ascii="Arial" w:cs="Arial" w:eastAsia="Arial" w:hAnsi="Arial"/>
                <w:sz w:val="18"/>
                <w:szCs w:val="18"/>
                <w:color w:val="auto"/>
              </w:rPr>
              <w:t>• Led strategic positioning for 2022+</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35"/>
        </w:trPr>
        <w:tc>
          <w:tcPr>
            <w:tcW w:w="128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8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 Ongoing Board initiatives, leadership development/succession</w:t>
            </w:r>
          </w:p>
        </w:tc>
        <w:tc>
          <w:tcPr>
            <w:tcW w:w="1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231"/>
        </w:trPr>
        <w:tc>
          <w:tcPr>
            <w:tcW w:w="1280" w:type="dxa"/>
            <w:vAlign w:val="bottom"/>
            <w:tcBorders>
              <w:right w:val="single" w:sz="8" w:color="auto"/>
            </w:tcBorders>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Harry Pefanis</w:t>
            </w:r>
          </w:p>
        </w:tc>
        <w:tc>
          <w:tcPr>
            <w:tcW w:w="100" w:type="dxa"/>
            <w:vAlign w:val="bottom"/>
            <w:tcBorders>
              <w:right w:val="single" w:sz="8" w:color="auto"/>
            </w:tcBorders>
          </w:tcPr>
          <w:p>
            <w:pPr>
              <w:spacing w:after="0"/>
              <w:rPr>
                <w:sz w:val="20"/>
                <w:szCs w:val="20"/>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Significant role in structuring &amp; negotiating JVs &amp; divestitures</w:t>
            </w:r>
          </w:p>
        </w:tc>
        <w:tc>
          <w:tcPr>
            <w:tcW w:w="10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jc w:val="right"/>
              <w:ind w:right="216"/>
              <w:spacing w:after="0"/>
              <w:rPr>
                <w:sz w:val="20"/>
                <w:szCs w:val="20"/>
                <w:color w:val="auto"/>
              </w:rPr>
            </w:pPr>
            <w:r>
              <w:rPr>
                <w:rFonts w:ascii="Arial" w:cs="Arial" w:eastAsia="Arial" w:hAnsi="Arial"/>
                <w:sz w:val="18"/>
                <w:szCs w:val="18"/>
                <w:color w:val="auto"/>
              </w:rPr>
              <w:t>150%</w:t>
            </w:r>
          </w:p>
        </w:tc>
        <w:tc>
          <w:tcPr>
            <w:tcW w:w="1240" w:type="dxa"/>
            <w:vAlign w:val="bottom"/>
          </w:tcPr>
          <w:p>
            <w:pPr>
              <w:spacing w:after="0"/>
              <w:rPr>
                <w:sz w:val="20"/>
                <w:szCs w:val="20"/>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Mentored/developed key individuals</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5840" w:type="dxa"/>
            <w:vAlign w:val="bottom"/>
            <w:gridSpan w:val="3"/>
          </w:tcPr>
          <w:p>
            <w:pPr>
              <w:ind w:left="100"/>
              <w:spacing w:after="0"/>
              <w:rPr>
                <w:sz w:val="20"/>
                <w:szCs w:val="20"/>
                <w:color w:val="auto"/>
              </w:rPr>
            </w:pPr>
            <w:r>
              <w:rPr>
                <w:rFonts w:ascii="Arial" w:cs="Arial" w:eastAsia="Arial" w:hAnsi="Arial"/>
                <w:sz w:val="18"/>
                <w:szCs w:val="18"/>
                <w:color w:val="auto"/>
              </w:rPr>
              <w:t>• Led analysis of capital allocation alternatives</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03"/>
        </w:trPr>
        <w:tc>
          <w:tcPr>
            <w:tcW w:w="12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58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 Strategic positioning for 2022+</w:t>
            </w:r>
          </w:p>
        </w:tc>
        <w:tc>
          <w:tcPr>
            <w:tcW w:w="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5840" w:type="dxa"/>
            <w:vAlign w:val="bottom"/>
            <w:gridSpan w:val="3"/>
          </w:tcPr>
          <w:p>
            <w:pPr>
              <w:ind w:left="100"/>
              <w:spacing w:after="0"/>
              <w:rPr>
                <w:sz w:val="20"/>
                <w:szCs w:val="20"/>
                <w:color w:val="auto"/>
              </w:rPr>
            </w:pPr>
            <w:r>
              <w:rPr>
                <w:rFonts w:ascii="Arial" w:cs="Arial" w:eastAsia="Arial" w:hAnsi="Arial"/>
                <w:sz w:val="18"/>
                <w:szCs w:val="18"/>
                <w:color w:val="auto"/>
              </w:rPr>
              <w:t>• Strategic and tactical advice regarding commercial execution/​</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12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performance</w:t>
            </w:r>
          </w:p>
        </w:tc>
        <w:tc>
          <w:tcPr>
            <w:tcW w:w="1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r>
      <w:tr>
        <w:trPr>
          <w:trHeight w:val="235"/>
        </w:trPr>
        <w:tc>
          <w:tcPr>
            <w:tcW w:w="128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8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 Develop/maintain/enhance major commercial relationships</w:t>
            </w:r>
          </w:p>
        </w:tc>
        <w:tc>
          <w:tcPr>
            <w:tcW w:w="1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231"/>
        </w:trPr>
        <w:tc>
          <w:tcPr>
            <w:tcW w:w="1280" w:type="dxa"/>
            <w:vAlign w:val="bottom"/>
            <w:tcBorders>
              <w:right w:val="single" w:sz="8" w:color="auto"/>
            </w:tcBorders>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Al Swanson</w:t>
            </w:r>
          </w:p>
        </w:tc>
        <w:tc>
          <w:tcPr>
            <w:tcW w:w="100" w:type="dxa"/>
            <w:vAlign w:val="bottom"/>
            <w:tcBorders>
              <w:right w:val="single" w:sz="8" w:color="auto"/>
            </w:tcBorders>
          </w:tcPr>
          <w:p>
            <w:pPr>
              <w:spacing w:after="0"/>
              <w:rPr>
                <w:sz w:val="20"/>
                <w:szCs w:val="20"/>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Finance group leadership during active year/challenging environment</w:t>
            </w:r>
          </w:p>
        </w:tc>
        <w:tc>
          <w:tcPr>
            <w:tcW w:w="10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jc w:val="right"/>
              <w:ind w:right="216"/>
              <w:spacing w:after="0"/>
              <w:rPr>
                <w:sz w:val="20"/>
                <w:szCs w:val="20"/>
                <w:color w:val="auto"/>
              </w:rPr>
            </w:pPr>
            <w:r>
              <w:rPr>
                <w:rFonts w:ascii="Arial" w:cs="Arial" w:eastAsia="Arial" w:hAnsi="Arial"/>
                <w:sz w:val="18"/>
                <w:szCs w:val="18"/>
                <w:color w:val="auto"/>
              </w:rPr>
              <w:t>150%</w:t>
            </w:r>
          </w:p>
        </w:tc>
        <w:tc>
          <w:tcPr>
            <w:tcW w:w="1240" w:type="dxa"/>
            <w:vAlign w:val="bottom"/>
          </w:tcPr>
          <w:p>
            <w:pPr>
              <w:spacing w:after="0"/>
              <w:rPr>
                <w:sz w:val="20"/>
                <w:szCs w:val="20"/>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5840" w:type="dxa"/>
            <w:vAlign w:val="bottom"/>
            <w:gridSpan w:val="3"/>
          </w:tcPr>
          <w:p>
            <w:pPr>
              <w:ind w:left="100"/>
              <w:spacing w:after="0"/>
              <w:rPr>
                <w:sz w:val="20"/>
                <w:szCs w:val="20"/>
                <w:color w:val="auto"/>
              </w:rPr>
            </w:pPr>
            <w:r>
              <w:rPr>
                <w:rFonts w:ascii="Arial" w:cs="Arial" w:eastAsia="Arial" w:hAnsi="Arial"/>
                <w:sz w:val="18"/>
                <w:szCs w:val="18"/>
                <w:color w:val="auto"/>
              </w:rPr>
              <w:t>• Drove focus on maximizing free cash flow/capital discipline</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03"/>
        </w:trPr>
        <w:tc>
          <w:tcPr>
            <w:tcW w:w="12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58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 Financial Strategy for 2022+</w:t>
            </w:r>
          </w:p>
        </w:tc>
        <w:tc>
          <w:tcPr>
            <w:tcW w:w="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5840" w:type="dxa"/>
            <w:vAlign w:val="bottom"/>
            <w:gridSpan w:val="3"/>
          </w:tcPr>
          <w:p>
            <w:pPr>
              <w:ind w:left="100"/>
              <w:spacing w:after="0"/>
              <w:rPr>
                <w:sz w:val="20"/>
                <w:szCs w:val="20"/>
                <w:color w:val="auto"/>
              </w:rPr>
            </w:pPr>
            <w:r>
              <w:rPr>
                <w:rFonts w:ascii="Arial" w:cs="Arial" w:eastAsia="Arial" w:hAnsi="Arial"/>
                <w:sz w:val="18"/>
                <w:szCs w:val="18"/>
                <w:color w:val="auto"/>
              </w:rPr>
              <w:t>• Key role in development/roll-out of updated capital allocation</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12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framework</w:t>
            </w:r>
          </w:p>
        </w:tc>
        <w:tc>
          <w:tcPr>
            <w:tcW w:w="1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Financial flexibility/committed liquidity</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35"/>
        </w:trPr>
        <w:tc>
          <w:tcPr>
            <w:tcW w:w="128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Maintain/improve credit ratings</w:t>
            </w:r>
          </w:p>
        </w:tc>
        <w:tc>
          <w:tcPr>
            <w:tcW w:w="1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245"/>
        </w:trPr>
        <w:tc>
          <w:tcPr>
            <w:tcW w:w="1280" w:type="dxa"/>
            <w:vAlign w:val="bottom"/>
            <w:tcBorders>
              <w:right w:val="single" w:sz="8" w:color="auto"/>
            </w:tcBorders>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w w:val="99"/>
              </w:rPr>
              <w:t>Richard McGee</w:t>
            </w:r>
          </w:p>
        </w:tc>
        <w:tc>
          <w:tcPr>
            <w:tcW w:w="100" w:type="dxa"/>
            <w:vAlign w:val="bottom"/>
            <w:tcBorders>
              <w:right w:val="single" w:sz="8" w:color="auto"/>
            </w:tcBorders>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Legal/Land and HR group oversight/leadership during active/​</w:t>
            </w:r>
          </w:p>
        </w:tc>
        <w:tc>
          <w:tcPr>
            <w:tcW w:w="100" w:type="dxa"/>
            <w:vAlign w:val="bottom"/>
            <w:tcBorders>
              <w:right w:val="single" w:sz="8" w:color="auto"/>
            </w:tcBorders>
          </w:tcPr>
          <w:p>
            <w:pPr>
              <w:spacing w:after="0"/>
              <w:rPr>
                <w:sz w:val="21"/>
                <w:szCs w:val="21"/>
                <w:color w:val="auto"/>
              </w:rPr>
            </w:pPr>
          </w:p>
        </w:tc>
        <w:tc>
          <w:tcPr>
            <w:tcW w:w="860" w:type="dxa"/>
            <w:vAlign w:val="bottom"/>
            <w:tcBorders>
              <w:right w:val="single" w:sz="8" w:color="auto"/>
            </w:tcBorders>
          </w:tcPr>
          <w:p>
            <w:pPr>
              <w:jc w:val="right"/>
              <w:ind w:right="216"/>
              <w:spacing w:after="0"/>
              <w:rPr>
                <w:sz w:val="20"/>
                <w:szCs w:val="20"/>
                <w:color w:val="auto"/>
              </w:rPr>
            </w:pPr>
            <w:r>
              <w:rPr>
                <w:rFonts w:ascii="Arial" w:cs="Arial" w:eastAsia="Arial" w:hAnsi="Arial"/>
                <w:sz w:val="18"/>
                <w:szCs w:val="18"/>
                <w:color w:val="auto"/>
              </w:rPr>
              <w:t>175%</w:t>
            </w:r>
          </w:p>
        </w:tc>
        <w:tc>
          <w:tcPr>
            <w:tcW w:w="1240" w:type="dxa"/>
            <w:vAlign w:val="bottom"/>
          </w:tcPr>
          <w:p>
            <w:pPr>
              <w:spacing w:after="0"/>
              <w:rPr>
                <w:sz w:val="21"/>
                <w:szCs w:val="2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challenging year</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5840" w:type="dxa"/>
            <w:vAlign w:val="bottom"/>
            <w:gridSpan w:val="3"/>
          </w:tcPr>
          <w:p>
            <w:pPr>
              <w:ind w:left="100"/>
              <w:spacing w:after="0"/>
              <w:rPr>
                <w:sz w:val="20"/>
                <w:szCs w:val="20"/>
                <w:color w:val="auto"/>
              </w:rPr>
            </w:pPr>
            <w:r>
              <w:rPr>
                <w:rFonts w:ascii="Arial" w:cs="Arial" w:eastAsia="Arial" w:hAnsi="Arial"/>
                <w:sz w:val="18"/>
                <w:szCs w:val="18"/>
                <w:color w:val="auto"/>
              </w:rPr>
              <w:t>• Facilitated acquisition, divestiture, JV and other transactions and key</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commercial arrangements</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5840" w:type="dxa"/>
            <w:vAlign w:val="bottom"/>
            <w:gridSpan w:val="3"/>
          </w:tcPr>
          <w:p>
            <w:pPr>
              <w:ind w:left="100"/>
              <w:spacing w:after="0"/>
              <w:rPr>
                <w:sz w:val="20"/>
                <w:szCs w:val="20"/>
                <w:color w:val="auto"/>
              </w:rPr>
            </w:pPr>
            <w:r>
              <w:rPr>
                <w:rFonts w:ascii="Arial" w:cs="Arial" w:eastAsia="Arial" w:hAnsi="Arial"/>
                <w:sz w:val="18"/>
                <w:szCs w:val="18"/>
                <w:color w:val="auto"/>
              </w:rPr>
              <w:t>• Managed/mitigated Line 901 litigation exposure and advanced</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positioning for resolution</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5840" w:type="dxa"/>
            <w:vAlign w:val="bottom"/>
            <w:gridSpan w:val="3"/>
          </w:tcPr>
          <w:p>
            <w:pPr>
              <w:ind w:left="100"/>
              <w:spacing w:after="0"/>
              <w:rPr>
                <w:sz w:val="20"/>
                <w:szCs w:val="20"/>
                <w:color w:val="auto"/>
              </w:rPr>
            </w:pPr>
            <w:r>
              <w:rPr>
                <w:rFonts w:ascii="Arial" w:cs="Arial" w:eastAsia="Arial" w:hAnsi="Arial"/>
                <w:sz w:val="18"/>
                <w:szCs w:val="18"/>
                <w:color w:val="auto"/>
              </w:rPr>
              <w:t>• Facilitated investor engagement effort, SEC climate response and</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39"/>
        </w:trPr>
        <w:tc>
          <w:tcPr>
            <w:tcW w:w="12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various Board/governance/HR/compensation initiatives</w:t>
            </w:r>
          </w:p>
        </w:tc>
        <w:tc>
          <w:tcPr>
            <w:tcW w:w="10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23"/>
        </w:trPr>
        <w:tc>
          <w:tcPr>
            <w:tcW w:w="1280" w:type="dxa"/>
            <w:vAlign w:val="bottom"/>
            <w:tcBorders>
              <w:right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18"/>
        </w:trPr>
        <w:tc>
          <w:tcPr>
            <w:tcW w:w="1280" w:type="dxa"/>
            <w:vAlign w:val="bottom"/>
            <w:tcBorders>
              <w:right w:val="single" w:sz="8" w:color="auto"/>
            </w:tcBorders>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Chris Chandler</w:t>
            </w:r>
          </w:p>
        </w:tc>
        <w:tc>
          <w:tcPr>
            <w:tcW w:w="100" w:type="dxa"/>
            <w:vAlign w:val="bottom"/>
            <w:tcBorders>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Record HSE performance</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right"/>
              <w:ind w:right="216"/>
              <w:spacing w:after="0"/>
              <w:rPr>
                <w:sz w:val="20"/>
                <w:szCs w:val="20"/>
                <w:color w:val="auto"/>
              </w:rPr>
            </w:pPr>
            <w:r>
              <w:rPr>
                <w:rFonts w:ascii="Arial" w:cs="Arial" w:eastAsia="Arial" w:hAnsi="Arial"/>
                <w:sz w:val="18"/>
                <w:szCs w:val="18"/>
                <w:color w:val="auto"/>
              </w:rPr>
              <w:t>200%</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5840" w:type="dxa"/>
            <w:vAlign w:val="bottom"/>
            <w:gridSpan w:val="3"/>
          </w:tcPr>
          <w:p>
            <w:pPr>
              <w:ind w:left="100"/>
              <w:spacing w:after="0"/>
              <w:rPr>
                <w:sz w:val="20"/>
                <w:szCs w:val="20"/>
                <w:color w:val="auto"/>
              </w:rPr>
            </w:pPr>
            <w:r>
              <w:rPr>
                <w:rFonts w:ascii="Arial" w:cs="Arial" w:eastAsia="Arial" w:hAnsi="Arial"/>
                <w:sz w:val="18"/>
                <w:szCs w:val="18"/>
                <w:color w:val="auto"/>
              </w:rPr>
              <w:t>• Drove Oryx integration, including personnel, operating discipline,</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integrity, measurement and transition to Midland Control Center</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5840" w:type="dxa"/>
            <w:vAlign w:val="bottom"/>
            <w:gridSpan w:val="3"/>
          </w:tcPr>
          <w:p>
            <w:pPr>
              <w:ind w:left="100"/>
              <w:spacing w:after="0"/>
              <w:rPr>
                <w:sz w:val="20"/>
                <w:szCs w:val="20"/>
                <w:color w:val="auto"/>
              </w:rPr>
            </w:pPr>
            <w:r>
              <w:rPr>
                <w:rFonts w:ascii="Arial" w:cs="Arial" w:eastAsia="Arial" w:hAnsi="Arial"/>
                <w:sz w:val="18"/>
                <w:szCs w:val="18"/>
                <w:color w:val="auto"/>
              </w:rPr>
              <w:t>• Successful Canada operations focus to improve personnel safety,</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12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process safety and reliability</w:t>
            </w:r>
          </w:p>
        </w:tc>
        <w:tc>
          <w:tcPr>
            <w:tcW w:w="1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r>
      <w:tr>
        <w:trPr>
          <w:trHeight w:val="203"/>
        </w:trPr>
        <w:tc>
          <w:tcPr>
            <w:tcW w:w="12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58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 Optimized operations to support commercial opportunity capture</w:t>
            </w:r>
          </w:p>
        </w:tc>
        <w:tc>
          <w:tcPr>
            <w:tcW w:w="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Operations/engineering meaningfully progressed Empress</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optimization and Fort Sask debottleneck projects</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5840" w:type="dxa"/>
            <w:vAlign w:val="bottom"/>
            <w:gridSpan w:val="3"/>
          </w:tcPr>
          <w:p>
            <w:pPr>
              <w:ind w:left="100"/>
              <w:spacing w:after="0"/>
              <w:rPr>
                <w:sz w:val="20"/>
                <w:szCs w:val="20"/>
                <w:color w:val="auto"/>
              </w:rPr>
            </w:pPr>
            <w:r>
              <w:rPr>
                <w:rFonts w:ascii="Arial" w:cs="Arial" w:eastAsia="Arial" w:hAnsi="Arial"/>
                <w:sz w:val="18"/>
                <w:szCs w:val="18"/>
                <w:color w:val="auto"/>
              </w:rPr>
              <w:t>• Led National Petroleum Council special study report on energy supply</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44"/>
        </w:trPr>
        <w:tc>
          <w:tcPr>
            <w:tcW w:w="1280" w:type="dxa"/>
            <w:vAlign w:val="bottom"/>
            <w:tcBorders>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resiliency and emergency preparedness</w:t>
            </w:r>
          </w:p>
        </w:tc>
        <w:tc>
          <w:tcPr>
            <w:tcW w:w="1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1240" w:type="dxa"/>
            <w:vAlign w:val="bottom"/>
          </w:tcPr>
          <w:p>
            <w:pPr>
              <w:spacing w:after="0"/>
              <w:rPr>
                <w:sz w:val="21"/>
                <w:szCs w:val="21"/>
                <w:color w:val="auto"/>
              </w:rPr>
            </w:pPr>
          </w:p>
        </w:tc>
      </w:tr>
      <w:tr>
        <w:trPr>
          <w:trHeight w:val="236"/>
        </w:trPr>
        <w:tc>
          <w:tcPr>
            <w:tcW w:w="1280" w:type="dxa"/>
            <w:vAlign w:val="bottom"/>
            <w:tcBorders>
              <w:right w:val="single" w:sz="8" w:color="auto"/>
            </w:tcBorders>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Jeremy Goebel</w:t>
            </w:r>
          </w:p>
        </w:tc>
        <w:tc>
          <w:tcPr>
            <w:tcW w:w="100" w:type="dxa"/>
            <w:vAlign w:val="bottom"/>
            <w:tcBorders>
              <w:right w:val="single" w:sz="8" w:color="auto"/>
            </w:tcBorders>
          </w:tcPr>
          <w:p>
            <w:pPr>
              <w:spacing w:after="0"/>
              <w:rPr>
                <w:sz w:val="20"/>
                <w:szCs w:val="20"/>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Commercial organization leadership in competitive environment</w:t>
            </w:r>
          </w:p>
        </w:tc>
        <w:tc>
          <w:tcPr>
            <w:tcW w:w="10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jc w:val="right"/>
              <w:ind w:right="216"/>
              <w:spacing w:after="0"/>
              <w:rPr>
                <w:sz w:val="20"/>
                <w:szCs w:val="20"/>
                <w:color w:val="auto"/>
              </w:rPr>
            </w:pPr>
            <w:r>
              <w:rPr>
                <w:rFonts w:ascii="Arial" w:cs="Arial" w:eastAsia="Arial" w:hAnsi="Arial"/>
                <w:sz w:val="18"/>
                <w:szCs w:val="18"/>
                <w:color w:val="auto"/>
              </w:rPr>
              <w:t>200%</w:t>
            </w:r>
          </w:p>
        </w:tc>
        <w:tc>
          <w:tcPr>
            <w:tcW w:w="1240" w:type="dxa"/>
            <w:vAlign w:val="bottom"/>
          </w:tcPr>
          <w:p>
            <w:pPr>
              <w:spacing w:after="0"/>
              <w:rPr>
                <w:sz w:val="20"/>
                <w:szCs w:val="20"/>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5840" w:type="dxa"/>
            <w:vAlign w:val="bottom"/>
            <w:gridSpan w:val="3"/>
          </w:tcPr>
          <w:p>
            <w:pPr>
              <w:ind w:left="100"/>
              <w:spacing w:after="0"/>
              <w:rPr>
                <w:sz w:val="20"/>
                <w:szCs w:val="20"/>
                <w:color w:val="auto"/>
              </w:rPr>
            </w:pPr>
            <w:r>
              <w:rPr>
                <w:rFonts w:ascii="Arial" w:cs="Arial" w:eastAsia="Arial" w:hAnsi="Arial"/>
                <w:sz w:val="18"/>
                <w:szCs w:val="18"/>
                <w:color w:val="auto"/>
              </w:rPr>
              <w:t>• Solid execution enabled capture of unforecasted market opportunities</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5840" w:type="dxa"/>
            <w:vAlign w:val="bottom"/>
            <w:gridSpan w:val="3"/>
          </w:tcPr>
          <w:p>
            <w:pPr>
              <w:ind w:left="100"/>
              <w:spacing w:after="0"/>
              <w:rPr>
                <w:sz w:val="20"/>
                <w:szCs w:val="20"/>
                <w:color w:val="auto"/>
              </w:rPr>
            </w:pPr>
            <w:r>
              <w:rPr>
                <w:rFonts w:ascii="Arial" w:cs="Arial" w:eastAsia="Arial" w:hAnsi="Arial"/>
                <w:sz w:val="18"/>
                <w:szCs w:val="18"/>
                <w:color w:val="auto"/>
              </w:rPr>
              <w:t>• Drove Oryx JV synergy capture/commercial integration</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5840" w:type="dxa"/>
            <w:vAlign w:val="bottom"/>
            <w:gridSpan w:val="3"/>
          </w:tcPr>
          <w:p>
            <w:pPr>
              <w:ind w:left="100"/>
              <w:spacing w:after="0"/>
              <w:rPr>
                <w:sz w:val="20"/>
                <w:szCs w:val="20"/>
                <w:color w:val="auto"/>
              </w:rPr>
            </w:pPr>
            <w:r>
              <w:rPr>
                <w:rFonts w:ascii="Arial" w:cs="Arial" w:eastAsia="Arial" w:hAnsi="Arial"/>
                <w:sz w:val="18"/>
                <w:szCs w:val="18"/>
                <w:color w:val="auto"/>
              </w:rPr>
              <w:t>• Led key North American business development initiatives</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03"/>
        </w:trPr>
        <w:tc>
          <w:tcPr>
            <w:tcW w:w="12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5440" w:type="dxa"/>
            <w:vAlign w:val="bottom"/>
          </w:tcPr>
          <w:p>
            <w:pPr>
              <w:ind w:left="60"/>
              <w:spacing w:after="0" w:line="202" w:lineRule="exact"/>
              <w:rPr>
                <w:sz w:val="20"/>
                <w:szCs w:val="20"/>
                <w:color w:val="auto"/>
              </w:rPr>
            </w:pPr>
            <w:r>
              <w:rPr>
                <w:rFonts w:ascii="Arial" w:cs="Arial" w:eastAsia="Arial" w:hAnsi="Arial"/>
                <w:sz w:val="18"/>
                <w:szCs w:val="18"/>
                <w:color w:val="auto"/>
              </w:rPr>
              <w:t>Advantage, OMOG and Cactus II transactions</w:t>
            </w:r>
          </w:p>
        </w:tc>
        <w:tc>
          <w:tcPr>
            <w:tcW w:w="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 $330 million in divestitures (including KFS sale which closed in</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12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1Q23)</w:t>
            </w:r>
          </w:p>
        </w:tc>
        <w:tc>
          <w:tcPr>
            <w:tcW w:w="1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5440" w:type="dxa"/>
            <w:vAlign w:val="bottom"/>
          </w:tcPr>
          <w:p>
            <w:pPr>
              <w:ind w:left="60"/>
              <w:spacing w:after="0"/>
              <w:rPr>
                <w:sz w:val="20"/>
                <w:szCs w:val="20"/>
                <w:color w:val="auto"/>
              </w:rPr>
            </w:pPr>
            <w:r>
              <w:rPr>
                <w:rFonts w:ascii="Arial" w:cs="Arial" w:eastAsia="Arial" w:hAnsi="Arial"/>
                <w:sz w:val="18"/>
                <w:szCs w:val="18"/>
                <w:color w:val="auto"/>
              </w:rPr>
              <w:t>Empress optimization and Ft. Sask expansion</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5440" w:type="dxa"/>
            <w:vAlign w:val="bottom"/>
          </w:tcPr>
          <w:p>
            <w:pPr>
              <w:ind w:left="60"/>
              <w:spacing w:after="0"/>
              <w:rPr>
                <w:sz w:val="20"/>
                <w:szCs w:val="20"/>
                <w:color w:val="auto"/>
              </w:rPr>
            </w:pPr>
            <w:r>
              <w:rPr>
                <w:rFonts w:ascii="Arial" w:cs="Arial" w:eastAsia="Arial" w:hAnsi="Arial"/>
                <w:sz w:val="18"/>
                <w:szCs w:val="18"/>
                <w:color w:val="auto"/>
              </w:rPr>
              <w:t>Increased Permian dedicated acreage by &gt;200,000</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 Significant additional volume capture (Permian and elsewhere)</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620" w:type="dxa"/>
            <w:vAlign w:val="bottom"/>
            <w:gridSpan w:val="2"/>
          </w:tcPr>
          <w:p>
            <w:pPr>
              <w:ind w:left="60"/>
              <w:spacing w:after="0"/>
              <w:rPr>
                <w:sz w:val="20"/>
                <w:szCs w:val="20"/>
                <w:color w:val="auto"/>
              </w:rPr>
            </w:pPr>
            <w:r>
              <w:rPr>
                <w:rFonts w:ascii="Arial" w:cs="Arial" w:eastAsia="Arial" w:hAnsi="Arial"/>
                <w:sz w:val="18"/>
                <w:szCs w:val="18"/>
                <w:color w:val="auto"/>
              </w:rPr>
              <w:t>Drove NGL strategy/execution</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5840" w:type="dxa"/>
            <w:vAlign w:val="bottom"/>
            <w:gridSpan w:val="3"/>
          </w:tcPr>
          <w:p>
            <w:pPr>
              <w:ind w:left="100"/>
              <w:spacing w:after="0"/>
              <w:rPr>
                <w:sz w:val="20"/>
                <w:szCs w:val="20"/>
                <w:color w:val="auto"/>
              </w:rPr>
            </w:pPr>
            <w:r>
              <w:rPr>
                <w:rFonts w:ascii="Arial" w:cs="Arial" w:eastAsia="Arial" w:hAnsi="Arial"/>
                <w:sz w:val="18"/>
                <w:szCs w:val="18"/>
                <w:color w:val="auto"/>
              </w:rPr>
              <w:t>• Oversight of emerging energy effort</w:t>
            </w:r>
          </w:p>
        </w:tc>
        <w:tc>
          <w:tcPr>
            <w:tcW w:w="1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35"/>
        </w:trPr>
        <w:tc>
          <w:tcPr>
            <w:tcW w:w="128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8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 Significant role in attractive positioning of business for 2023+</w:t>
            </w:r>
          </w:p>
        </w:tc>
        <w:tc>
          <w:tcPr>
            <w:tcW w:w="1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618"/>
        </w:trPr>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40" w:type="dxa"/>
            <w:vAlign w:val="bottom"/>
          </w:tcPr>
          <w:p>
            <w:pPr>
              <w:ind w:left="21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5"/>
        </w:trPr>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After applying the individual performance scores set forth in the table above ranging from 150% to 200%, the total formulaic bonus payout calculation for our NEOs ranged from 176% to 192%,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97790</wp:posOffset>
            </wp:positionV>
            <wp:extent cx="5212080" cy="1543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2080" cy="1543050"/>
                    </a:xfrm>
                    <a:prstGeom prst="rect">
                      <a:avLst/>
                    </a:prstGeom>
                    <a:noFill/>
                  </pic:spPr>
                </pic:pic>
              </a:graphicData>
            </a:graphic>
          </wp:anchor>
        </w:drawing>
      </w:r>
    </w:p>
    <w:p>
      <w:pPr>
        <w:spacing w:after="0" w:line="114" w:lineRule="exact"/>
        <w:rPr>
          <w:sz w:val="20"/>
          <w:szCs w:val="20"/>
          <w:color w:val="auto"/>
        </w:rPr>
      </w:pPr>
    </w:p>
    <w:tbl>
      <w:tblPr>
        <w:tblLayout w:type="fixed"/>
        <w:tblInd w:w="1270" w:type="dxa"/>
        <w:tblCellMar>
          <w:top w:w="0" w:type="dxa"/>
          <w:left w:w="0" w:type="dxa"/>
          <w:bottom w:w="0" w:type="dxa"/>
          <w:right w:w="0" w:type="dxa"/>
        </w:tblCellMar>
      </w:tblPr>
      <w:tr>
        <w:trPr>
          <w:trHeight w:val="261"/>
        </w:trPr>
        <w:tc>
          <w:tcPr>
            <w:tcW w:w="2740" w:type="dxa"/>
            <w:vAlign w:val="bottom"/>
            <w:tcBorders>
              <w:top w:val="single" w:sz="8" w:color="424E6A"/>
              <w:left w:val="single" w:sz="8" w:color="424E6A"/>
            </w:tcBorders>
          </w:tcPr>
          <w:p>
            <w:pPr>
              <w:spacing w:after="0"/>
              <w:rPr>
                <w:sz w:val="22"/>
                <w:szCs w:val="22"/>
                <w:color w:val="auto"/>
              </w:rPr>
            </w:pPr>
          </w:p>
        </w:tc>
        <w:tc>
          <w:tcPr>
            <w:tcW w:w="80" w:type="dxa"/>
            <w:vAlign w:val="bottom"/>
            <w:tcBorders>
              <w:top w:val="single" w:sz="8" w:color="424E6A"/>
            </w:tcBorders>
          </w:tcPr>
          <w:p>
            <w:pPr>
              <w:spacing w:after="0"/>
              <w:rPr>
                <w:sz w:val="22"/>
                <w:szCs w:val="22"/>
                <w:color w:val="auto"/>
              </w:rPr>
            </w:pPr>
          </w:p>
        </w:tc>
        <w:tc>
          <w:tcPr>
            <w:tcW w:w="120" w:type="dxa"/>
            <w:vAlign w:val="bottom"/>
            <w:tcBorders>
              <w:top w:val="single" w:sz="8" w:color="424E6A"/>
            </w:tcBorders>
            <w:gridSpan w:val="2"/>
            <w:vMerge w:val="restart"/>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1540" w:type="dxa"/>
            <w:vAlign w:val="bottom"/>
            <w:tcBorders>
              <w:top w:val="single" w:sz="8" w:color="424E6A"/>
            </w:tcBorders>
            <w:gridSpan w:val="2"/>
            <w:shd w:val="clear" w:color="auto" w:fill="424E6A"/>
          </w:tcPr>
          <w:p>
            <w:pPr>
              <w:ind w:left="140"/>
              <w:spacing w:after="0"/>
              <w:rPr>
                <w:sz w:val="20"/>
                <w:szCs w:val="20"/>
                <w:color w:val="auto"/>
              </w:rPr>
            </w:pPr>
            <w:r>
              <w:rPr>
                <w:rFonts w:ascii="Arial" w:cs="Arial" w:eastAsia="Arial" w:hAnsi="Arial"/>
                <w:sz w:val="14"/>
                <w:szCs w:val="14"/>
                <w:b w:val="1"/>
                <w:bCs w:val="1"/>
                <w:color w:val="FFFFFF"/>
              </w:rPr>
              <w:t>Company Results</w:t>
            </w:r>
          </w:p>
        </w:tc>
        <w:tc>
          <w:tcPr>
            <w:tcW w:w="200" w:type="dxa"/>
            <w:vAlign w:val="bottom"/>
            <w:tcBorders>
              <w:top w:val="single" w:sz="8" w:color="424E6A"/>
            </w:tcBorders>
            <w:vMerge w:val="restart"/>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620" w:type="dxa"/>
            <w:vAlign w:val="bottom"/>
            <w:tcBorders>
              <w:top w:val="single" w:sz="8" w:color="424E6A"/>
            </w:tcBorders>
            <w:shd w:val="clear" w:color="auto" w:fill="424E6A"/>
          </w:tcPr>
          <w:p>
            <w:pPr>
              <w:ind w:left="120"/>
              <w:spacing w:after="0"/>
              <w:rPr>
                <w:sz w:val="20"/>
                <w:szCs w:val="20"/>
                <w:color w:val="auto"/>
              </w:rPr>
            </w:pPr>
            <w:r>
              <w:rPr>
                <w:rFonts w:ascii="Arial" w:cs="Arial" w:eastAsia="Arial" w:hAnsi="Arial"/>
                <w:sz w:val="14"/>
                <w:szCs w:val="14"/>
                <w:b w:val="1"/>
                <w:bCs w:val="1"/>
                <w:color w:val="FFFFFF"/>
              </w:rPr>
              <w:t>Individual Results</w:t>
            </w:r>
          </w:p>
        </w:tc>
        <w:tc>
          <w:tcPr>
            <w:tcW w:w="60" w:type="dxa"/>
            <w:vAlign w:val="bottom"/>
            <w:tcBorders>
              <w:top w:val="single" w:sz="8" w:color="424E6A"/>
            </w:tcBorders>
            <w:shd w:val="clear" w:color="auto" w:fill="424E6A"/>
          </w:tcPr>
          <w:p>
            <w:pPr>
              <w:spacing w:after="0"/>
              <w:rPr>
                <w:sz w:val="22"/>
                <w:szCs w:val="22"/>
                <w:color w:val="auto"/>
              </w:rPr>
            </w:pPr>
          </w:p>
        </w:tc>
        <w:tc>
          <w:tcPr>
            <w:tcW w:w="800" w:type="dxa"/>
            <w:vAlign w:val="bottom"/>
            <w:tcBorders>
              <w:top w:val="single" w:sz="8" w:color="424E6A"/>
            </w:tcBorders>
            <w:shd w:val="clear" w:color="auto" w:fill="424E6A"/>
          </w:tcPr>
          <w:p>
            <w:pPr>
              <w:jc w:val="center"/>
              <w:ind w:right="28"/>
              <w:spacing w:after="0"/>
              <w:rPr>
                <w:sz w:val="20"/>
                <w:szCs w:val="20"/>
                <w:color w:val="auto"/>
              </w:rPr>
            </w:pPr>
            <w:r>
              <w:rPr>
                <w:rFonts w:ascii="Arial" w:cs="Arial" w:eastAsia="Arial" w:hAnsi="Arial"/>
                <w:sz w:val="14"/>
                <w:szCs w:val="14"/>
                <w:b w:val="1"/>
                <w:bCs w:val="1"/>
                <w:color w:val="FFFFFF"/>
              </w:rPr>
              <w:t>Percent of</w:t>
            </w:r>
          </w:p>
        </w:tc>
        <w:tc>
          <w:tcPr>
            <w:tcW w:w="1040" w:type="dxa"/>
            <w:vAlign w:val="bottom"/>
            <w:tcBorders>
              <w:top w:val="single" w:sz="8" w:color="424E6A"/>
            </w:tcBorders>
            <w:shd w:val="clear" w:color="auto" w:fill="424E6A"/>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740" w:type="dxa"/>
            <w:vAlign w:val="bottom"/>
            <w:tcBorders>
              <w:left w:val="single" w:sz="8" w:color="424E6A"/>
            </w:tcBorders>
            <w:vMerge w:val="restart"/>
          </w:tcPr>
          <w:p>
            <w:pPr>
              <w:jc w:val="center"/>
              <w:ind w:left="1770"/>
              <w:spacing w:after="0"/>
              <w:rPr>
                <w:sz w:val="20"/>
                <w:szCs w:val="20"/>
                <w:color w:val="auto"/>
              </w:rPr>
            </w:pPr>
            <w:r>
              <w:rPr>
                <w:rFonts w:ascii="Arial" w:cs="Arial" w:eastAsia="Arial" w:hAnsi="Arial"/>
                <w:sz w:val="14"/>
                <w:szCs w:val="14"/>
                <w:b w:val="1"/>
                <w:bCs w:val="1"/>
                <w:color w:val="FFFFFF"/>
              </w:rPr>
              <w:t>2022 Target</w:t>
            </w:r>
          </w:p>
        </w:tc>
        <w:tc>
          <w:tcPr>
            <w:tcW w:w="80" w:type="dxa"/>
            <w:vAlign w:val="bottom"/>
          </w:tcPr>
          <w:p>
            <w:pPr>
              <w:spacing w:after="0"/>
              <w:rPr>
                <w:sz w:val="5"/>
                <w:szCs w:val="5"/>
                <w:color w:val="auto"/>
              </w:rPr>
            </w:pPr>
          </w:p>
        </w:tc>
        <w:tc>
          <w:tcPr>
            <w:tcW w:w="120" w:type="dxa"/>
            <w:vAlign w:val="bottom"/>
            <w:tcBorders>
              <w:bottom w:val="single" w:sz="8" w:color="auto"/>
            </w:tcBorders>
            <w:gridSpan w:val="2"/>
            <w:vMerge w:val="continue"/>
            <w:shd w:val="clear" w:color="auto" w:fill="424E6A"/>
          </w:tcPr>
          <w:p>
            <w:pPr>
              <w:spacing w:after="0"/>
              <w:rPr>
                <w:sz w:val="5"/>
                <w:szCs w:val="5"/>
                <w:color w:val="auto"/>
              </w:rPr>
            </w:pPr>
          </w:p>
        </w:tc>
        <w:tc>
          <w:tcPr>
            <w:tcW w:w="620" w:type="dxa"/>
            <w:vAlign w:val="bottom"/>
            <w:tcBorders>
              <w:bottom w:val="single" w:sz="8" w:color="auto"/>
            </w:tcBorders>
            <w:shd w:val="clear" w:color="auto" w:fill="424E6A"/>
          </w:tcPr>
          <w:p>
            <w:pPr>
              <w:spacing w:after="0"/>
              <w:rPr>
                <w:sz w:val="5"/>
                <w:szCs w:val="5"/>
                <w:color w:val="auto"/>
              </w:rPr>
            </w:pPr>
          </w:p>
        </w:tc>
        <w:tc>
          <w:tcPr>
            <w:tcW w:w="920" w:type="dxa"/>
            <w:vAlign w:val="bottom"/>
            <w:tcBorders>
              <w:bottom w:val="single" w:sz="8" w:color="auto"/>
            </w:tcBorders>
            <w:shd w:val="clear" w:color="auto" w:fill="424E6A"/>
          </w:tcPr>
          <w:p>
            <w:pPr>
              <w:spacing w:after="0"/>
              <w:rPr>
                <w:sz w:val="5"/>
                <w:szCs w:val="5"/>
                <w:color w:val="auto"/>
              </w:rPr>
            </w:pPr>
          </w:p>
        </w:tc>
        <w:tc>
          <w:tcPr>
            <w:tcW w:w="200" w:type="dxa"/>
            <w:vAlign w:val="bottom"/>
            <w:tcBorders>
              <w:bottom w:val="single" w:sz="8" w:color="auto"/>
            </w:tcBorders>
            <w:vMerge w:val="continue"/>
            <w:shd w:val="clear" w:color="auto" w:fill="424E6A"/>
          </w:tcPr>
          <w:p>
            <w:pPr>
              <w:spacing w:after="0"/>
              <w:rPr>
                <w:sz w:val="5"/>
                <w:szCs w:val="5"/>
                <w:color w:val="auto"/>
              </w:rPr>
            </w:pPr>
          </w:p>
        </w:tc>
        <w:tc>
          <w:tcPr>
            <w:tcW w:w="1620" w:type="dxa"/>
            <w:vAlign w:val="bottom"/>
            <w:tcBorders>
              <w:bottom w:val="single" w:sz="8" w:color="auto"/>
            </w:tcBorders>
            <w:shd w:val="clear" w:color="auto" w:fill="424E6A"/>
          </w:tcPr>
          <w:p>
            <w:pPr>
              <w:spacing w:after="0"/>
              <w:rPr>
                <w:sz w:val="5"/>
                <w:szCs w:val="5"/>
                <w:color w:val="auto"/>
              </w:rPr>
            </w:pPr>
          </w:p>
        </w:tc>
        <w:tc>
          <w:tcPr>
            <w:tcW w:w="60" w:type="dxa"/>
            <w:vAlign w:val="bottom"/>
            <w:tcBorders>
              <w:bottom w:val="single" w:sz="8" w:color="424E6A"/>
            </w:tcBorders>
            <w:shd w:val="clear" w:color="auto" w:fill="424E6A"/>
          </w:tcPr>
          <w:p>
            <w:pPr>
              <w:spacing w:after="0"/>
              <w:rPr>
                <w:sz w:val="5"/>
                <w:szCs w:val="5"/>
                <w:color w:val="auto"/>
              </w:rPr>
            </w:pPr>
          </w:p>
        </w:tc>
        <w:tc>
          <w:tcPr>
            <w:tcW w:w="800" w:type="dxa"/>
            <w:vAlign w:val="bottom"/>
            <w:tcBorders>
              <w:bottom w:val="single" w:sz="8" w:color="424E6A"/>
            </w:tcBorders>
            <w:vMerge w:val="restart"/>
            <w:shd w:val="clear" w:color="auto" w:fill="424E6A"/>
          </w:tcPr>
          <w:p>
            <w:pPr>
              <w:jc w:val="center"/>
              <w:ind w:right="28"/>
              <w:spacing w:after="0"/>
              <w:rPr>
                <w:sz w:val="20"/>
                <w:szCs w:val="20"/>
                <w:color w:val="auto"/>
              </w:rPr>
            </w:pPr>
            <w:r>
              <w:rPr>
                <w:rFonts w:ascii="Arial" w:cs="Arial" w:eastAsia="Arial" w:hAnsi="Arial"/>
                <w:sz w:val="14"/>
                <w:szCs w:val="14"/>
                <w:b w:val="1"/>
                <w:bCs w:val="1"/>
                <w:color w:val="FFFFFF"/>
                <w:w w:val="98"/>
              </w:rPr>
              <w:t>Target</w:t>
            </w:r>
          </w:p>
        </w:tc>
        <w:tc>
          <w:tcPr>
            <w:tcW w:w="1040" w:type="dxa"/>
            <w:vAlign w:val="bottom"/>
            <w:tcBorders>
              <w:bottom w:val="single" w:sz="8" w:color="424E6A"/>
            </w:tcBorders>
            <w:vMerge w:val="restart"/>
            <w:shd w:val="clear" w:color="auto" w:fill="424E6A"/>
          </w:tcPr>
          <w:p>
            <w:pPr>
              <w:jc w:val="center"/>
              <w:spacing w:after="0"/>
              <w:rPr>
                <w:sz w:val="20"/>
                <w:szCs w:val="20"/>
                <w:color w:val="auto"/>
              </w:rPr>
            </w:pPr>
            <w:r>
              <w:rPr>
                <w:rFonts w:ascii="Arial" w:cs="Arial" w:eastAsia="Arial" w:hAnsi="Arial"/>
                <w:sz w:val="14"/>
                <w:szCs w:val="14"/>
                <w:b w:val="1"/>
                <w:bCs w:val="1"/>
                <w:color w:val="FFFFFF"/>
              </w:rPr>
              <w:t>2022 Actual</w:t>
            </w:r>
          </w:p>
        </w:tc>
        <w:tc>
          <w:tcPr>
            <w:tcW w:w="0" w:type="dxa"/>
            <w:vAlign w:val="bottom"/>
          </w:tcPr>
          <w:p>
            <w:pPr>
              <w:spacing w:after="0"/>
              <w:rPr>
                <w:sz w:val="1"/>
                <w:szCs w:val="1"/>
                <w:color w:val="auto"/>
              </w:rPr>
            </w:pPr>
          </w:p>
        </w:tc>
      </w:tr>
      <w:tr>
        <w:trPr>
          <w:trHeight w:val="79"/>
        </w:trPr>
        <w:tc>
          <w:tcPr>
            <w:tcW w:w="2740" w:type="dxa"/>
            <w:vAlign w:val="bottom"/>
            <w:tcBorders>
              <w:left w:val="single" w:sz="8" w:color="424E6A"/>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shd w:val="clear" w:color="auto" w:fill="424E6A"/>
          </w:tcPr>
          <w:p>
            <w:pPr>
              <w:spacing w:after="0"/>
              <w:rPr>
                <w:sz w:val="6"/>
                <w:szCs w:val="6"/>
                <w:color w:val="auto"/>
              </w:rPr>
            </w:pPr>
          </w:p>
        </w:tc>
        <w:tc>
          <w:tcPr>
            <w:tcW w:w="620" w:type="dxa"/>
            <w:vAlign w:val="bottom"/>
            <w:shd w:val="clear" w:color="auto" w:fill="424E6A"/>
          </w:tcPr>
          <w:p>
            <w:pPr>
              <w:spacing w:after="0"/>
              <w:rPr>
                <w:sz w:val="6"/>
                <w:szCs w:val="6"/>
                <w:color w:val="auto"/>
              </w:rPr>
            </w:pPr>
          </w:p>
        </w:tc>
        <w:tc>
          <w:tcPr>
            <w:tcW w:w="920" w:type="dxa"/>
            <w:vAlign w:val="bottom"/>
            <w:shd w:val="clear" w:color="auto" w:fill="424E6A"/>
          </w:tcPr>
          <w:p>
            <w:pPr>
              <w:spacing w:after="0"/>
              <w:rPr>
                <w:sz w:val="6"/>
                <w:szCs w:val="6"/>
                <w:color w:val="auto"/>
              </w:rPr>
            </w:pPr>
          </w:p>
        </w:tc>
        <w:tc>
          <w:tcPr>
            <w:tcW w:w="200" w:type="dxa"/>
            <w:vAlign w:val="bottom"/>
            <w:shd w:val="clear" w:color="auto" w:fill="424E6A"/>
          </w:tcPr>
          <w:p>
            <w:pPr>
              <w:spacing w:after="0"/>
              <w:rPr>
                <w:sz w:val="6"/>
                <w:szCs w:val="6"/>
                <w:color w:val="auto"/>
              </w:rPr>
            </w:pPr>
          </w:p>
        </w:tc>
        <w:tc>
          <w:tcPr>
            <w:tcW w:w="1620" w:type="dxa"/>
            <w:vAlign w:val="bottom"/>
            <w:shd w:val="clear" w:color="auto" w:fill="424E6A"/>
          </w:tcPr>
          <w:p>
            <w:pPr>
              <w:spacing w:after="0"/>
              <w:rPr>
                <w:sz w:val="6"/>
                <w:szCs w:val="6"/>
                <w:color w:val="auto"/>
              </w:rPr>
            </w:pPr>
          </w:p>
        </w:tc>
        <w:tc>
          <w:tcPr>
            <w:tcW w:w="60" w:type="dxa"/>
            <w:vAlign w:val="bottom"/>
            <w:shd w:val="clear" w:color="auto" w:fill="424E6A"/>
          </w:tcPr>
          <w:p>
            <w:pPr>
              <w:spacing w:after="0"/>
              <w:rPr>
                <w:sz w:val="6"/>
                <w:szCs w:val="6"/>
                <w:color w:val="auto"/>
              </w:rPr>
            </w:pPr>
          </w:p>
        </w:tc>
        <w:tc>
          <w:tcPr>
            <w:tcW w:w="800" w:type="dxa"/>
            <w:vAlign w:val="bottom"/>
            <w:vMerge w:val="continue"/>
            <w:shd w:val="clear" w:color="auto" w:fill="424E6A"/>
          </w:tcPr>
          <w:p>
            <w:pPr>
              <w:spacing w:after="0"/>
              <w:rPr>
                <w:sz w:val="6"/>
                <w:szCs w:val="6"/>
                <w:color w:val="auto"/>
              </w:rPr>
            </w:pPr>
          </w:p>
        </w:tc>
        <w:tc>
          <w:tcPr>
            <w:tcW w:w="1040" w:type="dxa"/>
            <w:vAlign w:val="bottom"/>
            <w:vMerge w:val="continue"/>
            <w:shd w:val="clear" w:color="auto" w:fill="424E6A"/>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740" w:type="dxa"/>
            <w:vAlign w:val="bottom"/>
            <w:tcBorders>
              <w:left w:val="single" w:sz="8" w:color="424E6A"/>
            </w:tcBorders>
          </w:tcPr>
          <w:p>
            <w:pPr>
              <w:jc w:val="center"/>
              <w:ind w:left="1790"/>
              <w:spacing w:after="0" w:line="158" w:lineRule="exact"/>
              <w:rPr>
                <w:sz w:val="20"/>
                <w:szCs w:val="20"/>
                <w:color w:val="auto"/>
              </w:rPr>
            </w:pPr>
            <w:r>
              <w:rPr>
                <w:rFonts w:ascii="Arial" w:cs="Arial" w:eastAsia="Arial" w:hAnsi="Arial"/>
                <w:sz w:val="14"/>
                <w:szCs w:val="14"/>
                <w:b w:val="1"/>
                <w:bCs w:val="1"/>
                <w:color w:val="FFFFFF"/>
              </w:rPr>
              <w:t>Bonus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shd w:val="clear" w:color="auto" w:fill="424E6A"/>
          </w:tcPr>
          <w:p>
            <w:pPr>
              <w:jc w:val="center"/>
              <w:spacing w:after="0" w:line="158" w:lineRule="exact"/>
              <w:rPr>
                <w:sz w:val="20"/>
                <w:szCs w:val="20"/>
                <w:color w:val="auto"/>
              </w:rPr>
            </w:pPr>
            <w:r>
              <w:rPr>
                <w:rFonts w:ascii="Arial" w:cs="Arial" w:eastAsia="Arial" w:hAnsi="Arial"/>
                <w:sz w:val="14"/>
                <w:szCs w:val="14"/>
                <w:b w:val="1"/>
                <w:bCs w:val="1"/>
                <w:color w:val="FFFFFF"/>
              </w:rPr>
              <w:t>Company</w:t>
            </w:r>
          </w:p>
        </w:tc>
        <w:tc>
          <w:tcPr>
            <w:tcW w:w="920" w:type="dxa"/>
            <w:vAlign w:val="bottom"/>
            <w:shd w:val="clear" w:color="auto" w:fill="424E6A"/>
          </w:tcPr>
          <w:p>
            <w:pPr>
              <w:spacing w:after="0"/>
              <w:rPr>
                <w:sz w:val="13"/>
                <w:szCs w:val="13"/>
                <w:color w:val="auto"/>
              </w:rPr>
            </w:pPr>
          </w:p>
        </w:tc>
        <w:tc>
          <w:tcPr>
            <w:tcW w:w="1820" w:type="dxa"/>
            <w:vAlign w:val="bottom"/>
            <w:gridSpan w:val="2"/>
            <w:shd w:val="clear" w:color="auto" w:fill="424E6A"/>
          </w:tcPr>
          <w:p>
            <w:pPr>
              <w:ind w:left="120"/>
              <w:spacing w:after="0" w:line="158" w:lineRule="exact"/>
              <w:rPr>
                <w:sz w:val="20"/>
                <w:szCs w:val="20"/>
                <w:color w:val="auto"/>
              </w:rPr>
            </w:pPr>
            <w:r>
              <w:rPr>
                <w:rFonts w:ascii="Arial" w:cs="Arial" w:eastAsia="Arial" w:hAnsi="Arial"/>
                <w:sz w:val="14"/>
                <w:szCs w:val="14"/>
                <w:b w:val="1"/>
                <w:bCs w:val="1"/>
                <w:color w:val="FFFFFF"/>
              </w:rPr>
              <w:t>Individual</w:t>
            </w:r>
          </w:p>
        </w:tc>
        <w:tc>
          <w:tcPr>
            <w:tcW w:w="60" w:type="dxa"/>
            <w:vAlign w:val="bottom"/>
            <w:shd w:val="clear" w:color="auto" w:fill="424E6A"/>
          </w:tcPr>
          <w:p>
            <w:pPr>
              <w:spacing w:after="0"/>
              <w:rPr>
                <w:sz w:val="13"/>
                <w:szCs w:val="13"/>
                <w:color w:val="auto"/>
              </w:rPr>
            </w:pPr>
          </w:p>
        </w:tc>
        <w:tc>
          <w:tcPr>
            <w:tcW w:w="800" w:type="dxa"/>
            <w:vAlign w:val="bottom"/>
            <w:shd w:val="clear" w:color="auto" w:fill="424E6A"/>
          </w:tcPr>
          <w:p>
            <w:pPr>
              <w:jc w:val="center"/>
              <w:ind w:right="28"/>
              <w:spacing w:after="0" w:line="158" w:lineRule="exact"/>
              <w:rPr>
                <w:sz w:val="20"/>
                <w:szCs w:val="20"/>
                <w:color w:val="auto"/>
              </w:rPr>
            </w:pPr>
            <w:r>
              <w:rPr>
                <w:rFonts w:ascii="Arial" w:cs="Arial" w:eastAsia="Arial" w:hAnsi="Arial"/>
                <w:sz w:val="14"/>
                <w:szCs w:val="14"/>
                <w:b w:val="1"/>
                <w:bCs w:val="1"/>
                <w:color w:val="FFFFFF"/>
              </w:rPr>
              <w:t>Bonus</w:t>
            </w:r>
          </w:p>
        </w:tc>
        <w:tc>
          <w:tcPr>
            <w:tcW w:w="1040" w:type="dxa"/>
            <w:vAlign w:val="bottom"/>
            <w:shd w:val="clear" w:color="auto" w:fill="424E6A"/>
          </w:tcPr>
          <w:p>
            <w:pPr>
              <w:jc w:val="center"/>
              <w:spacing w:after="0" w:line="158" w:lineRule="exact"/>
              <w:rPr>
                <w:sz w:val="20"/>
                <w:szCs w:val="20"/>
                <w:color w:val="auto"/>
              </w:rPr>
            </w:pPr>
            <w:r>
              <w:rPr>
                <w:rFonts w:ascii="Arial" w:cs="Arial" w:eastAsia="Arial" w:hAnsi="Arial"/>
                <w:sz w:val="14"/>
                <w:szCs w:val="14"/>
                <w:b w:val="1"/>
                <w:bCs w:val="1"/>
                <w:color w:val="FFFFFF"/>
              </w:rPr>
              <w:t>Bonus</w:t>
            </w:r>
          </w:p>
        </w:tc>
        <w:tc>
          <w:tcPr>
            <w:tcW w:w="0" w:type="dxa"/>
            <w:vAlign w:val="bottom"/>
          </w:tcPr>
          <w:p>
            <w:pPr>
              <w:spacing w:after="0"/>
              <w:rPr>
                <w:sz w:val="1"/>
                <w:szCs w:val="1"/>
                <w:color w:val="auto"/>
              </w:rPr>
            </w:pPr>
          </w:p>
        </w:tc>
      </w:tr>
      <w:tr>
        <w:trPr>
          <w:trHeight w:val="216"/>
        </w:trPr>
        <w:tc>
          <w:tcPr>
            <w:tcW w:w="2740" w:type="dxa"/>
            <w:vAlign w:val="bottom"/>
            <w:tcBorders>
              <w:left w:val="single" w:sz="8" w:color="424E6A"/>
              <w:bottom w:val="single" w:sz="8" w:color="424E6A"/>
            </w:tcBorders>
          </w:tcPr>
          <w:p>
            <w:pPr>
              <w:ind w:left="40"/>
              <w:spacing w:after="0" w:line="216" w:lineRule="exact"/>
              <w:rPr>
                <w:sz w:val="20"/>
                <w:szCs w:val="20"/>
                <w:color w:val="auto"/>
              </w:rPr>
            </w:pPr>
            <w:r>
              <w:rPr>
                <w:rFonts w:ascii="Arial" w:cs="Arial" w:eastAsia="Arial" w:hAnsi="Arial"/>
                <w:sz w:val="13"/>
                <w:szCs w:val="13"/>
                <w:b w:val="1"/>
                <w:bCs w:val="1"/>
                <w:color w:val="FFFFFF"/>
              </w:rPr>
              <w:t xml:space="preserve">Named Executive Officer </w:t>
            </w: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Amount</w:t>
            </w:r>
          </w:p>
        </w:tc>
        <w:tc>
          <w:tcPr>
            <w:tcW w:w="120" w:type="dxa"/>
            <w:vAlign w:val="bottom"/>
            <w:tcBorders>
              <w:bottom w:val="single" w:sz="8" w:color="424E6A"/>
            </w:tcBorders>
            <w:gridSpan w:val="2"/>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424E6A"/>
          </w:tcPr>
          <w:p>
            <w:pPr>
              <w:spacing w:after="0"/>
              <w:rPr>
                <w:sz w:val="18"/>
                <w:szCs w:val="18"/>
                <w:color w:val="auto"/>
              </w:rPr>
            </w:pPr>
          </w:p>
        </w:tc>
        <w:tc>
          <w:tcPr>
            <w:tcW w:w="620" w:type="dxa"/>
            <w:vAlign w:val="bottom"/>
            <w:tcBorders>
              <w:bottom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Score</w:t>
            </w:r>
          </w:p>
        </w:tc>
        <w:tc>
          <w:tcPr>
            <w:tcW w:w="920" w:type="dxa"/>
            <w:vAlign w:val="bottom"/>
            <w:tcBorders>
              <w:bottom w:val="single" w:sz="8" w:color="424E6A"/>
            </w:tcBorders>
            <w:shd w:val="clear" w:color="auto" w:fill="424E6A"/>
          </w:tcPr>
          <w:p>
            <w:pPr>
              <w:ind w:left="20"/>
              <w:spacing w:after="0" w:line="216"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 </w:t>
            </w: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Weight </w:t>
            </w:r>
            <w:r>
              <w:rPr>
                <w:rFonts w:ascii="Arial" w:cs="Arial" w:eastAsia="Arial" w:hAnsi="Arial"/>
                <w:sz w:val="25"/>
                <w:szCs w:val="25"/>
                <w:b w:val="1"/>
                <w:bCs w:val="1"/>
                <w:color w:val="FFFFFF"/>
                <w:vertAlign w:val="subscript"/>
              </w:rPr>
              <w:t>​​</w:t>
            </w:r>
          </w:p>
        </w:tc>
        <w:tc>
          <w:tcPr>
            <w:tcW w:w="200" w:type="dxa"/>
            <w:vAlign w:val="bottom"/>
            <w:tcBorders>
              <w:bottom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620" w:type="dxa"/>
            <w:vAlign w:val="bottom"/>
            <w:tcBorders>
              <w:bottom w:val="single" w:sz="8" w:color="424E6A"/>
            </w:tcBorders>
            <w:shd w:val="clear" w:color="auto" w:fill="424E6A"/>
          </w:tcPr>
          <w:p>
            <w:pPr>
              <w:ind w:left="60"/>
              <w:spacing w:after="0" w:line="216" w:lineRule="exact"/>
              <w:rPr>
                <w:sz w:val="20"/>
                <w:szCs w:val="20"/>
                <w:color w:val="auto"/>
              </w:rPr>
            </w:pPr>
            <w:r>
              <w:rPr>
                <w:rFonts w:ascii="Arial" w:cs="Arial" w:eastAsia="Arial" w:hAnsi="Arial"/>
                <w:sz w:val="13"/>
                <w:szCs w:val="13"/>
                <w:b w:val="1"/>
                <w:bCs w:val="1"/>
                <w:color w:val="FFFFFF"/>
              </w:rPr>
              <w:t xml:space="preserve">Score  </w:t>
            </w: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 </w:t>
            </w: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Weight </w:t>
            </w:r>
            <w:r>
              <w:rPr>
                <w:rFonts w:ascii="Arial" w:cs="Arial" w:eastAsia="Arial" w:hAnsi="Arial"/>
                <w:sz w:val="25"/>
                <w:szCs w:val="25"/>
                <w:b w:val="1"/>
                <w:bCs w:val="1"/>
                <w:color w:val="FFFFFF"/>
                <w:vertAlign w:val="subscript"/>
              </w:rPr>
              <w:t>​​</w:t>
            </w:r>
          </w:p>
        </w:tc>
        <w:tc>
          <w:tcPr>
            <w:tcW w:w="60" w:type="dxa"/>
            <w:vAlign w:val="bottom"/>
            <w:tcBorders>
              <w:bottom w:val="single" w:sz="8" w:color="424E6A"/>
            </w:tcBorders>
            <w:shd w:val="clear" w:color="auto" w:fill="424E6A"/>
          </w:tcPr>
          <w:p>
            <w:pPr>
              <w:spacing w:after="0"/>
              <w:rPr>
                <w:sz w:val="18"/>
                <w:szCs w:val="18"/>
                <w:color w:val="auto"/>
              </w:rPr>
            </w:pPr>
          </w:p>
        </w:tc>
        <w:tc>
          <w:tcPr>
            <w:tcW w:w="800" w:type="dxa"/>
            <w:vAlign w:val="bottom"/>
            <w:tcBorders>
              <w:bottom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Earned</w:t>
            </w:r>
          </w:p>
        </w:tc>
        <w:tc>
          <w:tcPr>
            <w:tcW w:w="1040" w:type="dxa"/>
            <w:vAlign w:val="bottom"/>
            <w:tcBorders>
              <w:bottom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5"/>
              </w:rPr>
              <w:t>Amount</w:t>
            </w:r>
            <w:r>
              <w:rPr>
                <w:rFonts w:ascii="Arial" w:cs="Arial" w:eastAsia="Arial" w:hAnsi="Arial"/>
                <w:sz w:val="17"/>
                <w:szCs w:val="17"/>
                <w:b w:val="1"/>
                <w:bCs w:val="1"/>
                <w:color w:val="FFFFFF"/>
                <w:w w:val="95"/>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256"/>
        </w:trPr>
        <w:tc>
          <w:tcPr>
            <w:tcW w:w="20" w:type="dxa"/>
            <w:vAlign w:val="bottom"/>
            <w:tcBorders>
              <w:bottom w:val="single" w:sz="8" w:color="424E6A"/>
            </w:tcBorders>
          </w:tcPr>
          <w:p>
            <w:pPr>
              <w:spacing w:after="0"/>
              <w:rPr>
                <w:sz w:val="22"/>
                <w:szCs w:val="22"/>
                <w:color w:val="auto"/>
              </w:rPr>
            </w:pPr>
          </w:p>
        </w:tc>
        <w:tc>
          <w:tcPr>
            <w:tcW w:w="152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Willie Chiang</w:t>
            </w:r>
          </w:p>
        </w:tc>
        <w:tc>
          <w:tcPr>
            <w:tcW w:w="1420" w:type="dxa"/>
            <w:vAlign w:val="bottom"/>
            <w:tcBorders>
              <w:bottom w:val="single" w:sz="8" w:color="424E6A"/>
            </w:tcBorders>
            <w:gridSpan w:val="2"/>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$2,000,000 </w:t>
            </w:r>
            <w:r>
              <w:rPr>
                <w:rFonts w:ascii="Arial" w:cs="Arial" w:eastAsia="Arial" w:hAnsi="Arial"/>
                <w:sz w:val="29"/>
                <w:szCs w:val="29"/>
                <w:color w:val="auto"/>
                <w:vertAlign w:val="subscript"/>
              </w:rPr>
              <w:t>​​</w:t>
            </w:r>
          </w:p>
        </w:tc>
        <w:tc>
          <w:tcPr>
            <w:tcW w:w="940" w:type="dxa"/>
            <w:vAlign w:val="bottom"/>
            <w:tcBorders>
              <w:bottom w:val="single" w:sz="8" w:color="424E6A"/>
            </w:tcBorders>
          </w:tcPr>
          <w:p>
            <w:pPr>
              <w:ind w:left="8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188%</w:t>
            </w:r>
            <w:r>
              <w:rPr>
                <w:rFonts w:ascii="Arial" w:cs="Arial" w:eastAsia="Arial" w:hAnsi="Arial"/>
                <w:sz w:val="16"/>
                <w:szCs w:val="16"/>
                <w:color w:val="auto"/>
              </w:rPr>
              <w:t xml:space="preserve"> ​​​</w:t>
            </w:r>
            <w:r>
              <w:rPr>
                <w:rFonts w:ascii="Arial" w:cs="Arial" w:eastAsia="Arial" w:hAnsi="Arial"/>
                <w:sz w:val="29"/>
                <w:szCs w:val="29"/>
                <w:color w:val="auto"/>
                <w:vertAlign w:val="superscript"/>
              </w:rPr>
              <w:t>x</w:t>
            </w:r>
            <w:r>
              <w:rPr>
                <w:rFonts w:ascii="Arial" w:cs="Arial" w:eastAsia="Arial" w:hAnsi="Arial"/>
                <w:sz w:val="16"/>
                <w:szCs w:val="16"/>
                <w:color w:val="auto"/>
              </w:rPr>
              <w:t xml:space="preserve"> ​​</w:t>
            </w:r>
          </w:p>
        </w:tc>
        <w:tc>
          <w:tcPr>
            <w:tcW w:w="800" w:type="dxa"/>
            <w:vAlign w:val="bottom"/>
            <w:tcBorders>
              <w:bottom w:val="single" w:sz="8" w:color="424E6A"/>
            </w:tcBorders>
          </w:tcPr>
          <w:p>
            <w:pPr>
              <w:ind w:left="6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67%</w:t>
            </w: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940" w:type="dxa"/>
            <w:vAlign w:val="bottom"/>
            <w:tcBorders>
              <w:bottom w:val="single" w:sz="8" w:color="424E6A"/>
            </w:tcBorders>
          </w:tcPr>
          <w:p>
            <w:pPr>
              <w:ind w:left="8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163%</w:t>
            </w:r>
            <w:r>
              <w:rPr>
                <w:rFonts w:ascii="Arial" w:cs="Arial" w:eastAsia="Arial" w:hAnsi="Arial"/>
                <w:sz w:val="16"/>
                <w:szCs w:val="16"/>
                <w:color w:val="auto"/>
              </w:rPr>
              <w:t xml:space="preserve"> ​​​</w:t>
            </w:r>
            <w:r>
              <w:rPr>
                <w:rFonts w:ascii="Arial" w:cs="Arial" w:eastAsia="Arial" w:hAnsi="Arial"/>
                <w:sz w:val="29"/>
                <w:szCs w:val="29"/>
                <w:color w:val="auto"/>
                <w:vertAlign w:val="superscript"/>
              </w:rPr>
              <w:t>x</w:t>
            </w:r>
            <w:r>
              <w:rPr>
                <w:rFonts w:ascii="Arial" w:cs="Arial" w:eastAsia="Arial" w:hAnsi="Arial"/>
                <w:sz w:val="16"/>
                <w:szCs w:val="16"/>
                <w:color w:val="auto"/>
              </w:rPr>
              <w:t xml:space="preserve"> ​​</w:t>
            </w:r>
          </w:p>
        </w:tc>
        <w:tc>
          <w:tcPr>
            <w:tcW w:w="760" w:type="dxa"/>
            <w:vAlign w:val="bottom"/>
            <w:tcBorders>
              <w:bottom w:val="single" w:sz="8" w:color="424E6A"/>
            </w:tcBorders>
          </w:tcPr>
          <w:p>
            <w:pPr>
              <w:ind w:left="6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33%</w:t>
            </w: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1800" w:type="dxa"/>
            <w:vAlign w:val="bottom"/>
            <w:tcBorders>
              <w:bottom w:val="single" w:sz="8" w:color="424E6A"/>
            </w:tcBorders>
          </w:tcPr>
          <w:p>
            <w:pPr>
              <w:ind w:left="16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180% </w:t>
            </w:r>
            <w:r>
              <w:rPr>
                <w:rFonts w:ascii="Arial" w:cs="Arial" w:eastAsia="Arial" w:hAnsi="Arial"/>
                <w:sz w:val="29"/>
                <w:szCs w:val="29"/>
                <w:color w:val="auto"/>
                <w:vertAlign w:val="subscript"/>
              </w:rPr>
              <w:t>​ ​</w:t>
            </w:r>
            <w:r>
              <w:rPr>
                <w:rFonts w:ascii="Arial" w:cs="Arial" w:eastAsia="Arial" w:hAnsi="Arial"/>
                <w:sz w:val="16"/>
                <w:szCs w:val="16"/>
                <w:color w:val="auto"/>
              </w:rPr>
              <w:t>$3,600,000</w:t>
            </w:r>
          </w:p>
        </w:tc>
      </w:tr>
      <w:tr>
        <w:trPr>
          <w:trHeight w:val="250"/>
        </w:trPr>
        <w:tc>
          <w:tcPr>
            <w:tcW w:w="20" w:type="dxa"/>
            <w:vAlign w:val="bottom"/>
            <w:tcBorders>
              <w:bottom w:val="single" w:sz="8" w:color="424E6A"/>
            </w:tcBorders>
          </w:tcPr>
          <w:p>
            <w:pPr>
              <w:spacing w:after="0"/>
              <w:rPr>
                <w:sz w:val="21"/>
                <w:szCs w:val="21"/>
                <w:color w:val="auto"/>
              </w:rPr>
            </w:pPr>
          </w:p>
        </w:tc>
        <w:tc>
          <w:tcPr>
            <w:tcW w:w="152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Harry Pefanis</w:t>
            </w:r>
          </w:p>
        </w:tc>
        <w:tc>
          <w:tcPr>
            <w:tcW w:w="1420" w:type="dxa"/>
            <w:vAlign w:val="bottom"/>
            <w:tcBorders>
              <w:bottom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$1,200,000 </w:t>
            </w:r>
            <w:r>
              <w:rPr>
                <w:rFonts w:ascii="Arial" w:cs="Arial" w:eastAsia="Arial" w:hAnsi="Arial"/>
                <w:sz w:val="28"/>
                <w:szCs w:val="28"/>
                <w:color w:val="auto"/>
                <w:vertAlign w:val="subscript"/>
              </w:rPr>
              <w:t>​​</w:t>
            </w:r>
          </w:p>
        </w:tc>
        <w:tc>
          <w:tcPr>
            <w:tcW w:w="940" w:type="dxa"/>
            <w:vAlign w:val="bottom"/>
            <w:tcBorders>
              <w:bottom w:val="single" w:sz="8" w:color="424E6A"/>
            </w:tcBorders>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188%</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800" w:type="dxa"/>
            <w:vAlign w:val="bottom"/>
            <w:tcBorders>
              <w:bottom w:val="single" w:sz="8" w:color="424E6A"/>
            </w:tcBorders>
          </w:tcPr>
          <w:p>
            <w:pPr>
              <w:ind w:left="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67%</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940" w:type="dxa"/>
            <w:vAlign w:val="bottom"/>
            <w:tcBorders>
              <w:bottom w:val="single" w:sz="8" w:color="424E6A"/>
            </w:tcBorders>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150%</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60" w:type="dxa"/>
            <w:vAlign w:val="bottom"/>
            <w:tcBorders>
              <w:bottom w:val="single" w:sz="8" w:color="424E6A"/>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33%</w:t>
            </w: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800" w:type="dxa"/>
            <w:vAlign w:val="bottom"/>
            <w:tcBorders>
              <w:bottom w:val="single" w:sz="8" w:color="424E6A"/>
            </w:tcBorders>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176% </w:t>
            </w:r>
            <w:r>
              <w:rPr>
                <w:rFonts w:ascii="Arial" w:cs="Arial" w:eastAsia="Arial" w:hAnsi="Arial"/>
                <w:sz w:val="28"/>
                <w:szCs w:val="28"/>
                <w:color w:val="auto"/>
                <w:vertAlign w:val="subscript"/>
              </w:rPr>
              <w:t>​ ​</w:t>
            </w:r>
            <w:r>
              <w:rPr>
                <w:rFonts w:ascii="Arial" w:cs="Arial" w:eastAsia="Arial" w:hAnsi="Arial"/>
                <w:sz w:val="15"/>
                <w:szCs w:val="15"/>
                <w:color w:val="auto"/>
              </w:rPr>
              <w:t>$2,105,000</w:t>
            </w:r>
          </w:p>
        </w:tc>
      </w:tr>
      <w:tr>
        <w:trPr>
          <w:trHeight w:val="250"/>
        </w:trPr>
        <w:tc>
          <w:tcPr>
            <w:tcW w:w="20" w:type="dxa"/>
            <w:vAlign w:val="bottom"/>
            <w:tcBorders>
              <w:bottom w:val="single" w:sz="8" w:color="424E6A"/>
            </w:tcBorders>
          </w:tcPr>
          <w:p>
            <w:pPr>
              <w:spacing w:after="0"/>
              <w:rPr>
                <w:sz w:val="21"/>
                <w:szCs w:val="21"/>
                <w:color w:val="auto"/>
              </w:rPr>
            </w:pPr>
          </w:p>
        </w:tc>
        <w:tc>
          <w:tcPr>
            <w:tcW w:w="152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Al Swanson</w:t>
            </w:r>
          </w:p>
        </w:tc>
        <w:tc>
          <w:tcPr>
            <w:tcW w:w="520" w:type="dxa"/>
            <w:vAlign w:val="bottom"/>
            <w:tcBorders>
              <w:bottom w:val="single" w:sz="8" w:color="424E6A"/>
            </w:tcBorders>
            <w:shd w:val="clear" w:color="auto" w:fill="D9DCE1"/>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00" w:type="dxa"/>
            <w:vAlign w:val="bottom"/>
            <w:tcBorders>
              <w:bottom w:val="single" w:sz="8" w:color="424E6A"/>
            </w:tcBorders>
            <w:shd w:val="clear" w:color="auto" w:fill="D9DCE1"/>
          </w:tcPr>
          <w:p>
            <w:pPr>
              <w:jc w:val="right"/>
              <w:spacing w:after="0" w:line="250" w:lineRule="exact"/>
              <w:rPr>
                <w:sz w:val="20"/>
                <w:szCs w:val="20"/>
                <w:color w:val="auto"/>
              </w:rPr>
            </w:pPr>
            <w:r>
              <w:rPr>
                <w:rFonts w:ascii="Arial" w:cs="Arial" w:eastAsia="Arial" w:hAnsi="Arial"/>
                <w:sz w:val="15"/>
                <w:szCs w:val="15"/>
                <w:color w:val="auto"/>
              </w:rPr>
              <w:t xml:space="preserve">825,000 </w:t>
            </w:r>
            <w:r>
              <w:rPr>
                <w:rFonts w:ascii="Arial" w:cs="Arial" w:eastAsia="Arial" w:hAnsi="Arial"/>
                <w:sz w:val="28"/>
                <w:szCs w:val="28"/>
                <w:color w:val="auto"/>
                <w:vertAlign w:val="subscript"/>
              </w:rPr>
              <w:t>​​</w:t>
            </w:r>
          </w:p>
        </w:tc>
        <w:tc>
          <w:tcPr>
            <w:tcW w:w="940" w:type="dxa"/>
            <w:vAlign w:val="bottom"/>
            <w:tcBorders>
              <w:bottom w:val="single" w:sz="8" w:color="424E6A"/>
            </w:tcBorders>
            <w:shd w:val="clear" w:color="auto" w:fill="D9DCE1"/>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188%</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800" w:type="dxa"/>
            <w:vAlign w:val="bottom"/>
            <w:tcBorders>
              <w:bottom w:val="single" w:sz="8" w:color="424E6A"/>
            </w:tcBorders>
            <w:shd w:val="clear" w:color="auto" w:fill="D9DCE1"/>
          </w:tcPr>
          <w:p>
            <w:pPr>
              <w:ind w:left="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67%</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940" w:type="dxa"/>
            <w:vAlign w:val="bottom"/>
            <w:tcBorders>
              <w:bottom w:val="single" w:sz="8" w:color="424E6A"/>
            </w:tcBorders>
            <w:shd w:val="clear" w:color="auto" w:fill="D9DCE1"/>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150%</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60" w:type="dxa"/>
            <w:vAlign w:val="bottom"/>
            <w:tcBorders>
              <w:bottom w:val="single" w:sz="8" w:color="424E6A"/>
            </w:tcBorders>
            <w:shd w:val="clear" w:color="auto" w:fill="D9DCE1"/>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33%</w:t>
            </w: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800" w:type="dxa"/>
            <w:vAlign w:val="bottom"/>
            <w:tcBorders>
              <w:bottom w:val="single" w:sz="8" w:color="424E6A"/>
            </w:tcBorders>
            <w:shd w:val="clear" w:color="auto" w:fill="D9DCE1"/>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176% </w:t>
            </w:r>
            <w:r>
              <w:rPr>
                <w:rFonts w:ascii="Arial" w:cs="Arial" w:eastAsia="Arial" w:hAnsi="Arial"/>
                <w:sz w:val="28"/>
                <w:szCs w:val="28"/>
                <w:color w:val="auto"/>
                <w:vertAlign w:val="subscript"/>
              </w:rPr>
              <w:t>​ ​</w:t>
            </w:r>
            <w:r>
              <w:rPr>
                <w:rFonts w:ascii="Arial" w:cs="Arial" w:eastAsia="Arial" w:hAnsi="Arial"/>
                <w:sz w:val="15"/>
                <w:szCs w:val="15"/>
                <w:color w:val="auto"/>
              </w:rPr>
              <w:t>$1,450,000</w:t>
            </w:r>
          </w:p>
        </w:tc>
      </w:tr>
      <w:tr>
        <w:trPr>
          <w:trHeight w:val="250"/>
        </w:trPr>
        <w:tc>
          <w:tcPr>
            <w:tcW w:w="20" w:type="dxa"/>
            <w:vAlign w:val="bottom"/>
            <w:tcBorders>
              <w:bottom w:val="single" w:sz="8" w:color="424E6A"/>
            </w:tcBorders>
          </w:tcPr>
          <w:p>
            <w:pPr>
              <w:spacing w:after="0"/>
              <w:rPr>
                <w:sz w:val="21"/>
                <w:szCs w:val="21"/>
                <w:color w:val="auto"/>
              </w:rPr>
            </w:pPr>
          </w:p>
        </w:tc>
        <w:tc>
          <w:tcPr>
            <w:tcW w:w="152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Richard McGee</w:t>
            </w:r>
          </w:p>
        </w:tc>
        <w:tc>
          <w:tcPr>
            <w:tcW w:w="520" w:type="dxa"/>
            <w:vAlign w:val="bottom"/>
            <w:tcBorders>
              <w:bottom w:val="single" w:sz="8" w:color="424E6A"/>
            </w:tcBorders>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00" w:type="dxa"/>
            <w:vAlign w:val="bottom"/>
            <w:tcBorders>
              <w:bottom w:val="single" w:sz="8" w:color="424E6A"/>
            </w:tcBorders>
          </w:tcPr>
          <w:p>
            <w:pPr>
              <w:jc w:val="right"/>
              <w:spacing w:after="0" w:line="250" w:lineRule="exact"/>
              <w:rPr>
                <w:sz w:val="20"/>
                <w:szCs w:val="20"/>
                <w:color w:val="auto"/>
              </w:rPr>
            </w:pPr>
            <w:r>
              <w:rPr>
                <w:rFonts w:ascii="Arial" w:cs="Arial" w:eastAsia="Arial" w:hAnsi="Arial"/>
                <w:sz w:val="15"/>
                <w:szCs w:val="15"/>
                <w:color w:val="auto"/>
              </w:rPr>
              <w:t xml:space="preserve">825,000 </w:t>
            </w:r>
            <w:r>
              <w:rPr>
                <w:rFonts w:ascii="Arial" w:cs="Arial" w:eastAsia="Arial" w:hAnsi="Arial"/>
                <w:sz w:val="28"/>
                <w:szCs w:val="28"/>
                <w:color w:val="auto"/>
                <w:vertAlign w:val="subscript"/>
              </w:rPr>
              <w:t>​​</w:t>
            </w:r>
          </w:p>
        </w:tc>
        <w:tc>
          <w:tcPr>
            <w:tcW w:w="940" w:type="dxa"/>
            <w:vAlign w:val="bottom"/>
            <w:tcBorders>
              <w:bottom w:val="single" w:sz="8" w:color="424E6A"/>
            </w:tcBorders>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188%</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800" w:type="dxa"/>
            <w:vAlign w:val="bottom"/>
            <w:tcBorders>
              <w:bottom w:val="single" w:sz="8" w:color="424E6A"/>
            </w:tcBorders>
          </w:tcPr>
          <w:p>
            <w:pPr>
              <w:ind w:left="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67%</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940" w:type="dxa"/>
            <w:vAlign w:val="bottom"/>
            <w:tcBorders>
              <w:bottom w:val="single" w:sz="8" w:color="424E6A"/>
            </w:tcBorders>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175%</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60" w:type="dxa"/>
            <w:vAlign w:val="bottom"/>
            <w:tcBorders>
              <w:bottom w:val="single" w:sz="8" w:color="424E6A"/>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33%</w:t>
            </w: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800" w:type="dxa"/>
            <w:vAlign w:val="bottom"/>
            <w:tcBorders>
              <w:bottom w:val="single" w:sz="8" w:color="424E6A"/>
            </w:tcBorders>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184% </w:t>
            </w:r>
            <w:r>
              <w:rPr>
                <w:rFonts w:ascii="Arial" w:cs="Arial" w:eastAsia="Arial" w:hAnsi="Arial"/>
                <w:sz w:val="28"/>
                <w:szCs w:val="28"/>
                <w:color w:val="auto"/>
                <w:vertAlign w:val="subscript"/>
              </w:rPr>
              <w:t>​ ​</w:t>
            </w:r>
            <w:r>
              <w:rPr>
                <w:rFonts w:ascii="Arial" w:cs="Arial" w:eastAsia="Arial" w:hAnsi="Arial"/>
                <w:sz w:val="15"/>
                <w:szCs w:val="15"/>
                <w:color w:val="auto"/>
              </w:rPr>
              <w:t>$1,515,000</w:t>
            </w:r>
          </w:p>
        </w:tc>
      </w:tr>
      <w:tr>
        <w:trPr>
          <w:trHeight w:val="250"/>
        </w:trPr>
        <w:tc>
          <w:tcPr>
            <w:tcW w:w="20" w:type="dxa"/>
            <w:vAlign w:val="bottom"/>
            <w:tcBorders>
              <w:bottom w:val="single" w:sz="8" w:color="424E6A"/>
            </w:tcBorders>
          </w:tcPr>
          <w:p>
            <w:pPr>
              <w:spacing w:after="0"/>
              <w:rPr>
                <w:sz w:val="21"/>
                <w:szCs w:val="21"/>
                <w:color w:val="auto"/>
              </w:rPr>
            </w:pPr>
          </w:p>
        </w:tc>
        <w:tc>
          <w:tcPr>
            <w:tcW w:w="152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Chris Chandler</w:t>
            </w:r>
          </w:p>
        </w:tc>
        <w:tc>
          <w:tcPr>
            <w:tcW w:w="520" w:type="dxa"/>
            <w:vAlign w:val="bottom"/>
            <w:tcBorders>
              <w:bottom w:val="single" w:sz="8" w:color="424E6A"/>
            </w:tcBorders>
            <w:shd w:val="clear" w:color="auto" w:fill="D9DCE1"/>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00" w:type="dxa"/>
            <w:vAlign w:val="bottom"/>
            <w:tcBorders>
              <w:bottom w:val="single" w:sz="8" w:color="424E6A"/>
            </w:tcBorders>
            <w:shd w:val="clear" w:color="auto" w:fill="D9DCE1"/>
          </w:tcPr>
          <w:p>
            <w:pPr>
              <w:jc w:val="right"/>
              <w:spacing w:after="0" w:line="250" w:lineRule="exact"/>
              <w:rPr>
                <w:sz w:val="20"/>
                <w:szCs w:val="20"/>
                <w:color w:val="auto"/>
              </w:rPr>
            </w:pPr>
            <w:r>
              <w:rPr>
                <w:rFonts w:ascii="Arial" w:cs="Arial" w:eastAsia="Arial" w:hAnsi="Arial"/>
                <w:sz w:val="15"/>
                <w:szCs w:val="15"/>
                <w:color w:val="auto"/>
              </w:rPr>
              <w:t xml:space="preserve">900,000 </w:t>
            </w:r>
            <w:r>
              <w:rPr>
                <w:rFonts w:ascii="Arial" w:cs="Arial" w:eastAsia="Arial" w:hAnsi="Arial"/>
                <w:sz w:val="28"/>
                <w:szCs w:val="28"/>
                <w:color w:val="auto"/>
                <w:vertAlign w:val="subscript"/>
              </w:rPr>
              <w:t>​​</w:t>
            </w:r>
          </w:p>
        </w:tc>
        <w:tc>
          <w:tcPr>
            <w:tcW w:w="940" w:type="dxa"/>
            <w:vAlign w:val="bottom"/>
            <w:tcBorders>
              <w:bottom w:val="single" w:sz="8" w:color="424E6A"/>
            </w:tcBorders>
            <w:shd w:val="clear" w:color="auto" w:fill="D9DCE1"/>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188%</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800" w:type="dxa"/>
            <w:vAlign w:val="bottom"/>
            <w:tcBorders>
              <w:bottom w:val="single" w:sz="8" w:color="424E6A"/>
            </w:tcBorders>
            <w:shd w:val="clear" w:color="auto" w:fill="D9DCE1"/>
          </w:tcPr>
          <w:p>
            <w:pPr>
              <w:ind w:left="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67%</w:t>
            </w: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940" w:type="dxa"/>
            <w:vAlign w:val="bottom"/>
            <w:tcBorders>
              <w:bottom w:val="single" w:sz="8" w:color="424E6A"/>
            </w:tcBorders>
            <w:shd w:val="clear" w:color="auto" w:fill="D9DCE1"/>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200%</w:t>
            </w:r>
            <w:r>
              <w:rPr>
                <w:rFonts w:ascii="Arial" w:cs="Arial" w:eastAsia="Arial" w:hAnsi="Arial"/>
                <w:sz w:val="15"/>
                <w:szCs w:val="15"/>
                <w:color w:val="auto"/>
              </w:rPr>
              <w:t xml:space="preserve">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w:t>
            </w:r>
          </w:p>
        </w:tc>
        <w:tc>
          <w:tcPr>
            <w:tcW w:w="760" w:type="dxa"/>
            <w:vAlign w:val="bottom"/>
            <w:tcBorders>
              <w:bottom w:val="single" w:sz="8" w:color="424E6A"/>
            </w:tcBorders>
            <w:shd w:val="clear" w:color="auto" w:fill="D9DCE1"/>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33%</w:t>
            </w: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800" w:type="dxa"/>
            <w:vAlign w:val="bottom"/>
            <w:tcBorders>
              <w:bottom w:val="single" w:sz="8" w:color="424E6A"/>
            </w:tcBorders>
            <w:shd w:val="clear" w:color="auto" w:fill="D9DCE1"/>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192% </w:t>
            </w:r>
            <w:r>
              <w:rPr>
                <w:rFonts w:ascii="Arial" w:cs="Arial" w:eastAsia="Arial" w:hAnsi="Arial"/>
                <w:sz w:val="28"/>
                <w:szCs w:val="28"/>
                <w:color w:val="auto"/>
                <w:vertAlign w:val="subscript"/>
              </w:rPr>
              <w:t>​ ​</w:t>
            </w:r>
            <w:r>
              <w:rPr>
                <w:rFonts w:ascii="Arial" w:cs="Arial" w:eastAsia="Arial" w:hAnsi="Arial"/>
                <w:sz w:val="15"/>
                <w:szCs w:val="15"/>
                <w:color w:val="auto"/>
              </w:rPr>
              <w:t>$1,730,000</w:t>
            </w:r>
          </w:p>
        </w:tc>
      </w:tr>
      <w:tr>
        <w:trPr>
          <w:trHeight w:val="425"/>
        </w:trPr>
        <w:tc>
          <w:tcPr>
            <w:tcW w:w="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Arial" w:cs="Arial" w:eastAsia="Arial" w:hAnsi="Arial"/>
                <w:sz w:val="18"/>
                <w:szCs w:val="18"/>
                <w:color w:val="auto"/>
              </w:rPr>
              <w:t>Jeremy Goebel</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35"/>
                <w:szCs w:val="35"/>
                <w:color w:val="auto"/>
                <w:vertAlign w:val="superscript"/>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 xml:space="preserve">900,000 </w:t>
            </w:r>
            <w:r>
              <w:rPr>
                <w:rFonts w:ascii="Arial" w:cs="Arial" w:eastAsia="Arial" w:hAnsi="Arial"/>
                <w:sz w:val="35"/>
                <w:szCs w:val="35"/>
                <w:color w:val="auto"/>
                <w:vertAlign w:val="subscript"/>
              </w:rPr>
              <w:t>​​</w:t>
            </w:r>
          </w:p>
        </w:tc>
        <w:tc>
          <w:tcPr>
            <w:tcW w:w="94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35"/>
                <w:szCs w:val="35"/>
                <w:color w:val="auto"/>
                <w:vertAlign w:val="superscript"/>
              </w:rPr>
              <w:t>188%</w:t>
            </w:r>
            <w:r>
              <w:rPr>
                <w:rFonts w:ascii="Arial" w:cs="Arial" w:eastAsia="Arial" w:hAnsi="Arial"/>
                <w:sz w:val="18"/>
                <w:szCs w:val="18"/>
                <w:color w:val="auto"/>
              </w:rPr>
              <w:t xml:space="preserve"> ​​​</w:t>
            </w:r>
            <w:r>
              <w:rPr>
                <w:rFonts w:ascii="Arial" w:cs="Arial" w:eastAsia="Arial" w:hAnsi="Arial"/>
                <w:sz w:val="35"/>
                <w:szCs w:val="35"/>
                <w:color w:val="auto"/>
                <w:vertAlign w:val="superscript"/>
              </w:rPr>
              <w:t>x</w:t>
            </w:r>
            <w:r>
              <w:rPr>
                <w:rFonts w:ascii="Arial" w:cs="Arial" w:eastAsia="Arial" w:hAnsi="Arial"/>
                <w:sz w:val="18"/>
                <w:szCs w:val="18"/>
                <w:color w:val="auto"/>
              </w:rPr>
              <w:t xml:space="preserve"> ​​</w:t>
            </w:r>
          </w:p>
        </w:tc>
        <w:tc>
          <w:tcPr>
            <w:tcW w:w="80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35"/>
                <w:szCs w:val="35"/>
                <w:color w:val="auto"/>
                <w:vertAlign w:val="superscript"/>
              </w:rPr>
              <w:t>67%</w:t>
            </w:r>
            <w:r>
              <w:rPr>
                <w:rFonts w:ascii="Arial" w:cs="Arial" w:eastAsia="Arial" w:hAnsi="Arial"/>
                <w:sz w:val="18"/>
                <w:szCs w:val="18"/>
                <w:color w:val="auto"/>
              </w:rPr>
              <w:t>​​​</w:t>
            </w:r>
            <w:r>
              <w:rPr>
                <w:rFonts w:ascii="Arial" w:cs="Arial" w:eastAsia="Arial" w:hAnsi="Arial"/>
                <w:sz w:val="35"/>
                <w:szCs w:val="35"/>
                <w:color w:val="auto"/>
                <w:vertAlign w:val="superscript"/>
              </w:rPr>
              <w:t>+</w:t>
            </w:r>
            <w:r>
              <w:rPr>
                <w:rFonts w:ascii="Arial" w:cs="Arial" w:eastAsia="Arial" w:hAnsi="Arial"/>
                <w:sz w:val="18"/>
                <w:szCs w:val="18"/>
                <w:color w:val="auto"/>
              </w:rPr>
              <w:t xml:space="preserve"> ​​</w:t>
            </w:r>
          </w:p>
        </w:tc>
        <w:tc>
          <w:tcPr>
            <w:tcW w:w="94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35"/>
                <w:szCs w:val="35"/>
                <w:color w:val="auto"/>
                <w:vertAlign w:val="superscript"/>
              </w:rPr>
              <w:t>200%</w:t>
            </w:r>
            <w:r>
              <w:rPr>
                <w:rFonts w:ascii="Arial" w:cs="Arial" w:eastAsia="Arial" w:hAnsi="Arial"/>
                <w:sz w:val="18"/>
                <w:szCs w:val="18"/>
                <w:color w:val="auto"/>
              </w:rPr>
              <w:t xml:space="preserve"> ​​​</w:t>
            </w:r>
            <w:r>
              <w:rPr>
                <w:rFonts w:ascii="Arial" w:cs="Arial" w:eastAsia="Arial" w:hAnsi="Arial"/>
                <w:sz w:val="35"/>
                <w:szCs w:val="35"/>
                <w:color w:val="auto"/>
                <w:vertAlign w:val="superscript"/>
              </w:rPr>
              <w:t>x</w:t>
            </w:r>
            <w:r>
              <w:rPr>
                <w:rFonts w:ascii="Arial" w:cs="Arial" w:eastAsia="Arial" w:hAnsi="Arial"/>
                <w:sz w:val="18"/>
                <w:szCs w:val="18"/>
                <w:color w:val="auto"/>
              </w:rPr>
              <w:t xml:space="preserve"> ​​</w:t>
            </w:r>
          </w:p>
        </w:tc>
        <w:tc>
          <w:tcPr>
            <w:tcW w:w="760" w:type="dxa"/>
            <w:vAlign w:val="bottom"/>
          </w:tcPr>
          <w:p>
            <w:pPr>
              <w:ind w:left="6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33%</w:t>
            </w:r>
            <w:r>
              <w:rPr>
                <w:rFonts w:ascii="Arial" w:cs="Arial" w:eastAsia="Arial" w:hAnsi="Arial"/>
                <w:sz w:val="35"/>
                <w:szCs w:val="35"/>
                <w:color w:val="auto"/>
                <w:vertAlign w:val="subscript"/>
              </w:rPr>
              <w:t>​​​</w:t>
            </w:r>
            <w:r>
              <w:rPr>
                <w:rFonts w:ascii="Arial" w:cs="Arial" w:eastAsia="Arial" w:hAnsi="Arial"/>
                <w:sz w:val="18"/>
                <w:szCs w:val="18"/>
                <w:color w:val="auto"/>
              </w:rPr>
              <w:t>=</w:t>
            </w:r>
          </w:p>
        </w:tc>
        <w:tc>
          <w:tcPr>
            <w:tcW w:w="1800" w:type="dxa"/>
            <w:vAlign w:val="bottom"/>
          </w:tcPr>
          <w:p>
            <w:pPr>
              <w:ind w:left="16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192% </w:t>
            </w:r>
            <w:r>
              <w:rPr>
                <w:rFonts w:ascii="Arial" w:cs="Arial" w:eastAsia="Arial" w:hAnsi="Arial"/>
                <w:sz w:val="35"/>
                <w:szCs w:val="35"/>
                <w:color w:val="auto"/>
                <w:vertAlign w:val="subscript"/>
              </w:rPr>
              <w:t>​ ​</w:t>
            </w:r>
            <w:r>
              <w:rPr>
                <w:rFonts w:ascii="Arial" w:cs="Arial" w:eastAsia="Arial" w:hAnsi="Arial"/>
                <w:sz w:val="18"/>
                <w:szCs w:val="18"/>
                <w:color w:val="auto"/>
              </w:rPr>
              <w:t>$1,730,000</w:t>
            </w:r>
          </w:p>
        </w:tc>
      </w:tr>
    </w:tbl>
    <w:p>
      <w:pPr>
        <w:ind w:left="1620" w:hanging="360"/>
        <w:spacing w:after="0" w:line="201" w:lineRule="auto"/>
        <w:tabs>
          <w:tab w:leader="none" w:pos="1620" w:val="left"/>
        </w:tabs>
        <w:numPr>
          <w:ilvl w:val="0"/>
          <w:numId w:val="47"/>
        </w:numPr>
        <w:rPr>
          <w:rFonts w:ascii="Arial" w:cs="Arial" w:eastAsia="Arial" w:hAnsi="Arial"/>
          <w:sz w:val="27"/>
          <w:szCs w:val="27"/>
          <w:color w:val="auto"/>
          <w:vertAlign w:val="superscript"/>
        </w:rPr>
      </w:pPr>
      <w:r>
        <w:rPr>
          <w:rFonts w:ascii="Arial" w:cs="Arial" w:eastAsia="Arial" w:hAnsi="Arial"/>
          <w:sz w:val="18"/>
          <w:szCs w:val="18"/>
          <w:color w:val="auto"/>
        </w:rPr>
        <w:t>Final amounts were rounded to the nearest multiple of $5,000.</w:t>
      </w:r>
    </w:p>
    <w:p>
      <w:pPr>
        <w:spacing w:after="0" w:line="127"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The annual LTIP targets for the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as a percentage of base salary, and the value of the 2022 annual LTIP awards to the Named Executive Officers are set forth in the table below:</w:t>
      </w:r>
    </w:p>
    <w:p>
      <w:pPr>
        <w:spacing w:after="0" w:line="162"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560" w:type="dxa"/>
            <w:vAlign w:val="bottom"/>
            <w:tcBorders>
              <w:left w:val="single" w:sz="8" w:color="424E6A"/>
              <w:right w:val="single" w:sz="8" w:color="424E6A"/>
            </w:tcBorders>
            <w:shd w:val="clear" w:color="auto" w:fill="424E6A"/>
          </w:tcPr>
          <w:p>
            <w:pPr>
              <w:spacing w:after="0"/>
              <w:rPr>
                <w:sz w:val="21"/>
                <w:szCs w:val="21"/>
                <w:color w:val="auto"/>
              </w:rPr>
            </w:pPr>
          </w:p>
        </w:tc>
        <w:tc>
          <w:tcPr>
            <w:tcW w:w="1180" w:type="dxa"/>
            <w:vAlign w:val="bottom"/>
            <w:shd w:val="clear" w:color="auto" w:fill="424E6A"/>
          </w:tcPr>
          <w:p>
            <w:pPr>
              <w:jc w:val="center"/>
              <w:ind w:left="4"/>
              <w:spacing w:after="0"/>
              <w:rPr>
                <w:sz w:val="20"/>
                <w:szCs w:val="20"/>
                <w:color w:val="auto"/>
              </w:rPr>
            </w:pPr>
            <w:r>
              <w:rPr>
                <w:rFonts w:ascii="Arial" w:cs="Arial" w:eastAsia="Arial" w:hAnsi="Arial"/>
                <w:sz w:val="14"/>
                <w:szCs w:val="14"/>
                <w:b w:val="1"/>
                <w:bCs w:val="1"/>
                <w:color w:val="FFFFFF"/>
              </w:rPr>
              <w:t>Annual LTIP</w:t>
            </w:r>
          </w:p>
        </w:tc>
        <w:tc>
          <w:tcPr>
            <w:tcW w:w="140" w:type="dxa"/>
            <w:vAlign w:val="bottom"/>
            <w:tcBorders>
              <w:right w:val="single" w:sz="8" w:color="424E6A"/>
            </w:tcBorders>
            <w:shd w:val="clear" w:color="auto" w:fill="424E6A"/>
          </w:tcPr>
          <w:p>
            <w:pPr>
              <w:spacing w:after="0"/>
              <w:rPr>
                <w:sz w:val="21"/>
                <w:szCs w:val="21"/>
                <w:color w:val="auto"/>
              </w:rPr>
            </w:pPr>
          </w:p>
        </w:tc>
        <w:tc>
          <w:tcPr>
            <w:tcW w:w="140" w:type="dxa"/>
            <w:vAlign w:val="bottom"/>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940" w:type="dxa"/>
            <w:vAlign w:val="bottom"/>
            <w:shd w:val="clear" w:color="auto" w:fill="424E6A"/>
          </w:tcPr>
          <w:p>
            <w:pPr>
              <w:spacing w:after="0"/>
              <w:rPr>
                <w:sz w:val="21"/>
                <w:szCs w:val="21"/>
                <w:color w:val="auto"/>
              </w:rPr>
            </w:pPr>
          </w:p>
        </w:tc>
        <w:tc>
          <w:tcPr>
            <w:tcW w:w="160" w:type="dxa"/>
            <w:vAlign w:val="bottom"/>
            <w:tcBorders>
              <w:right w:val="single" w:sz="8" w:color="424E6A"/>
            </w:tcBorders>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440" w:type="dxa"/>
            <w:vAlign w:val="bottom"/>
            <w:shd w:val="clear" w:color="auto" w:fill="424E6A"/>
          </w:tcPr>
          <w:p>
            <w:pPr>
              <w:spacing w:after="0"/>
              <w:rPr>
                <w:sz w:val="21"/>
                <w:szCs w:val="21"/>
                <w:color w:val="auto"/>
              </w:rPr>
            </w:pPr>
          </w:p>
        </w:tc>
        <w:tc>
          <w:tcPr>
            <w:tcW w:w="620" w:type="dxa"/>
            <w:vAlign w:val="bottom"/>
            <w:shd w:val="clear" w:color="auto" w:fill="424E6A"/>
          </w:tcPr>
          <w:p>
            <w:pPr>
              <w:spacing w:after="0"/>
              <w:rPr>
                <w:sz w:val="21"/>
                <w:szCs w:val="21"/>
                <w:color w:val="auto"/>
              </w:rPr>
            </w:pPr>
          </w:p>
        </w:tc>
        <w:tc>
          <w:tcPr>
            <w:tcW w:w="160" w:type="dxa"/>
            <w:vAlign w:val="bottom"/>
            <w:tcBorders>
              <w:right w:val="single" w:sz="8" w:color="424E6A"/>
            </w:tcBorders>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320" w:type="dxa"/>
            <w:vAlign w:val="bottom"/>
            <w:shd w:val="clear" w:color="auto" w:fill="424E6A"/>
          </w:tcPr>
          <w:p>
            <w:pPr>
              <w:spacing w:after="0"/>
              <w:rPr>
                <w:sz w:val="21"/>
                <w:szCs w:val="21"/>
                <w:color w:val="auto"/>
              </w:rPr>
            </w:pPr>
          </w:p>
        </w:tc>
        <w:tc>
          <w:tcPr>
            <w:tcW w:w="760" w:type="dxa"/>
            <w:vAlign w:val="bottom"/>
            <w:shd w:val="clear" w:color="auto" w:fill="424E6A"/>
          </w:tcPr>
          <w:p>
            <w:pPr>
              <w:spacing w:after="0"/>
              <w:rPr>
                <w:sz w:val="21"/>
                <w:szCs w:val="21"/>
                <w:color w:val="auto"/>
              </w:rPr>
            </w:pPr>
          </w:p>
        </w:tc>
        <w:tc>
          <w:tcPr>
            <w:tcW w:w="160" w:type="dxa"/>
            <w:vAlign w:val="bottom"/>
            <w:tcBorders>
              <w:righ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1200" w:type="dxa"/>
            <w:vAlign w:val="bottom"/>
            <w:tcBorders>
              <w:right w:val="single" w:sz="8" w:color="424E6A"/>
            </w:tcBorders>
            <w:shd w:val="clear" w:color="auto" w:fill="424E6A"/>
          </w:tcPr>
          <w:p>
            <w:pPr>
              <w:spacing w:after="0"/>
              <w:rPr>
                <w:sz w:val="21"/>
                <w:szCs w:val="21"/>
                <w:color w:val="auto"/>
              </w:rPr>
            </w:pPr>
          </w:p>
        </w:tc>
      </w:tr>
      <w:tr>
        <w:trPr>
          <w:trHeight w:val="162"/>
        </w:trPr>
        <w:tc>
          <w:tcPr>
            <w:tcW w:w="1560" w:type="dxa"/>
            <w:vAlign w:val="bottom"/>
            <w:tcBorders>
              <w:left w:val="single" w:sz="8" w:color="424E6A"/>
              <w:right w:val="single" w:sz="8" w:color="424E6A"/>
            </w:tcBorders>
            <w:shd w:val="clear" w:color="auto" w:fill="424E6A"/>
          </w:tcPr>
          <w:p>
            <w:pPr>
              <w:spacing w:after="0"/>
              <w:rPr>
                <w:sz w:val="14"/>
                <w:szCs w:val="14"/>
                <w:color w:val="auto"/>
              </w:rPr>
            </w:pPr>
          </w:p>
        </w:tc>
        <w:tc>
          <w:tcPr>
            <w:tcW w:w="1180" w:type="dxa"/>
            <w:vAlign w:val="bottom"/>
            <w:shd w:val="clear" w:color="auto" w:fill="424E6A"/>
          </w:tcPr>
          <w:p>
            <w:pPr>
              <w:jc w:val="center"/>
              <w:ind w:left="4"/>
              <w:spacing w:after="0"/>
              <w:rPr>
                <w:sz w:val="20"/>
                <w:szCs w:val="20"/>
                <w:color w:val="auto"/>
              </w:rPr>
            </w:pPr>
            <w:r>
              <w:rPr>
                <w:rFonts w:ascii="Arial" w:cs="Arial" w:eastAsia="Arial" w:hAnsi="Arial"/>
                <w:sz w:val="14"/>
                <w:szCs w:val="14"/>
                <w:b w:val="1"/>
                <w:bCs w:val="1"/>
                <w:color w:val="FFFFFF"/>
              </w:rPr>
              <w:t>Award Target</w:t>
            </w:r>
          </w:p>
        </w:tc>
        <w:tc>
          <w:tcPr>
            <w:tcW w:w="14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4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440" w:type="dxa"/>
            <w:vAlign w:val="bottom"/>
            <w:shd w:val="clear" w:color="auto" w:fill="424E6A"/>
          </w:tcPr>
          <w:p>
            <w:pPr>
              <w:spacing w:after="0"/>
              <w:rPr>
                <w:sz w:val="14"/>
                <w:szCs w:val="14"/>
                <w:color w:val="auto"/>
              </w:rPr>
            </w:pPr>
          </w:p>
        </w:tc>
        <w:tc>
          <w:tcPr>
            <w:tcW w:w="62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jc w:val="center"/>
              <w:ind w:right="41"/>
              <w:spacing w:after="0"/>
              <w:rPr>
                <w:sz w:val="20"/>
                <w:szCs w:val="20"/>
                <w:color w:val="auto"/>
              </w:rPr>
            </w:pPr>
            <w:r>
              <w:rPr>
                <w:rFonts w:ascii="Arial" w:cs="Arial" w:eastAsia="Arial" w:hAnsi="Arial"/>
                <w:sz w:val="14"/>
                <w:szCs w:val="14"/>
                <w:b w:val="1"/>
                <w:bCs w:val="1"/>
                <w:color w:val="FFFFFF"/>
              </w:rPr>
              <w:t>Performance-</w:t>
            </w:r>
          </w:p>
        </w:tc>
      </w:tr>
      <w:tr>
        <w:trPr>
          <w:trHeight w:val="162"/>
        </w:trPr>
        <w:tc>
          <w:tcPr>
            <w:tcW w:w="1560" w:type="dxa"/>
            <w:vAlign w:val="bottom"/>
            <w:tcBorders>
              <w:left w:val="single" w:sz="8" w:color="424E6A"/>
              <w:right w:val="single" w:sz="8" w:color="424E6A"/>
            </w:tcBorders>
            <w:shd w:val="clear" w:color="auto" w:fill="424E6A"/>
          </w:tcPr>
          <w:p>
            <w:pPr>
              <w:spacing w:after="0"/>
              <w:rPr>
                <w:sz w:val="14"/>
                <w:szCs w:val="14"/>
                <w:color w:val="auto"/>
              </w:rPr>
            </w:pPr>
          </w:p>
        </w:tc>
        <w:tc>
          <w:tcPr>
            <w:tcW w:w="1180" w:type="dxa"/>
            <w:vAlign w:val="bottom"/>
            <w:shd w:val="clear" w:color="auto" w:fill="424E6A"/>
          </w:tcPr>
          <w:p>
            <w:pPr>
              <w:jc w:val="center"/>
              <w:ind w:left="4"/>
              <w:spacing w:after="0"/>
              <w:rPr>
                <w:sz w:val="20"/>
                <w:szCs w:val="20"/>
                <w:color w:val="auto"/>
              </w:rPr>
            </w:pPr>
            <w:r>
              <w:rPr>
                <w:rFonts w:ascii="Arial" w:cs="Arial" w:eastAsia="Arial" w:hAnsi="Arial"/>
                <w:sz w:val="14"/>
                <w:szCs w:val="14"/>
                <w:b w:val="1"/>
                <w:bCs w:val="1"/>
                <w:color w:val="FFFFFF"/>
              </w:rPr>
              <w:t>Value (as</w:t>
            </w:r>
          </w:p>
        </w:tc>
        <w:tc>
          <w:tcPr>
            <w:tcW w:w="14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0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2022 Annual</w:t>
            </w:r>
          </w:p>
        </w:tc>
        <w:tc>
          <w:tcPr>
            <w:tcW w:w="16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2022 Annual</w:t>
            </w:r>
          </w:p>
        </w:tc>
        <w:tc>
          <w:tcPr>
            <w:tcW w:w="16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0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Time-Vested</w:t>
            </w:r>
          </w:p>
        </w:tc>
        <w:tc>
          <w:tcPr>
            <w:tcW w:w="16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jc w:val="center"/>
              <w:ind w:right="61"/>
              <w:spacing w:after="0"/>
              <w:rPr>
                <w:sz w:val="20"/>
                <w:szCs w:val="20"/>
                <w:color w:val="auto"/>
              </w:rPr>
            </w:pPr>
            <w:r>
              <w:rPr>
                <w:rFonts w:ascii="Arial" w:cs="Arial" w:eastAsia="Arial" w:hAnsi="Arial"/>
                <w:sz w:val="14"/>
                <w:szCs w:val="14"/>
                <w:b w:val="1"/>
                <w:bCs w:val="1"/>
                <w:color w:val="FFFFFF"/>
              </w:rPr>
              <w:t>Vested</w:t>
            </w:r>
          </w:p>
        </w:tc>
      </w:tr>
      <w:tr>
        <w:trPr>
          <w:trHeight w:val="149"/>
        </w:trPr>
        <w:tc>
          <w:tcPr>
            <w:tcW w:w="1560" w:type="dxa"/>
            <w:vAlign w:val="bottom"/>
            <w:tcBorders>
              <w:left w:val="single" w:sz="8" w:color="424E6A"/>
              <w:right w:val="single" w:sz="8" w:color="424E6A"/>
            </w:tcBorders>
            <w:shd w:val="clear" w:color="auto" w:fill="424E6A"/>
          </w:tcPr>
          <w:p>
            <w:pPr>
              <w:ind w:left="60"/>
              <w:spacing w:after="0" w:line="149" w:lineRule="exact"/>
              <w:rPr>
                <w:sz w:val="20"/>
                <w:szCs w:val="20"/>
                <w:color w:val="auto"/>
              </w:rPr>
            </w:pPr>
            <w:r>
              <w:rPr>
                <w:rFonts w:ascii="Arial" w:cs="Arial" w:eastAsia="Arial" w:hAnsi="Arial"/>
                <w:sz w:val="14"/>
                <w:szCs w:val="14"/>
                <w:b w:val="1"/>
                <w:bCs w:val="1"/>
                <w:color w:val="FFFFFF"/>
              </w:rPr>
              <w:t>Named Executive</w:t>
            </w:r>
          </w:p>
        </w:tc>
        <w:tc>
          <w:tcPr>
            <w:tcW w:w="1180" w:type="dxa"/>
            <w:vAlign w:val="bottom"/>
            <w:shd w:val="clear" w:color="auto" w:fill="424E6A"/>
          </w:tcPr>
          <w:p>
            <w:pPr>
              <w:jc w:val="center"/>
              <w:ind w:left="4"/>
              <w:spacing w:after="0" w:line="149" w:lineRule="exact"/>
              <w:rPr>
                <w:sz w:val="20"/>
                <w:szCs w:val="20"/>
                <w:color w:val="auto"/>
              </w:rPr>
            </w:pPr>
            <w:r>
              <w:rPr>
                <w:rFonts w:ascii="Arial" w:cs="Arial" w:eastAsia="Arial" w:hAnsi="Arial"/>
                <w:sz w:val="14"/>
                <w:szCs w:val="14"/>
                <w:b w:val="1"/>
                <w:bCs w:val="1"/>
                <w:color w:val="FFFFFF"/>
              </w:rPr>
              <w:t>a percentage of</w:t>
            </w:r>
          </w:p>
        </w:tc>
        <w:tc>
          <w:tcPr>
            <w:tcW w:w="140" w:type="dxa"/>
            <w:vAlign w:val="bottom"/>
            <w:tcBorders>
              <w:right w:val="single" w:sz="8" w:color="424E6A"/>
            </w:tcBorders>
            <w:shd w:val="clear" w:color="auto" w:fill="424E6A"/>
          </w:tcPr>
          <w:p>
            <w:pPr>
              <w:spacing w:after="0"/>
              <w:rPr>
                <w:sz w:val="12"/>
                <w:szCs w:val="12"/>
                <w:color w:val="auto"/>
              </w:rPr>
            </w:pPr>
          </w:p>
        </w:tc>
        <w:tc>
          <w:tcPr>
            <w:tcW w:w="140" w:type="dxa"/>
            <w:vAlign w:val="bottom"/>
            <w:shd w:val="clear" w:color="auto" w:fill="424E6A"/>
          </w:tcPr>
          <w:p>
            <w:pPr>
              <w:spacing w:after="0"/>
              <w:rPr>
                <w:sz w:val="12"/>
                <w:szCs w:val="12"/>
                <w:color w:val="auto"/>
              </w:rPr>
            </w:pPr>
          </w:p>
        </w:tc>
        <w:tc>
          <w:tcPr>
            <w:tcW w:w="100" w:type="dxa"/>
            <w:vAlign w:val="bottom"/>
            <w:shd w:val="clear" w:color="auto" w:fill="424E6A"/>
          </w:tcPr>
          <w:p>
            <w:pPr>
              <w:spacing w:after="0"/>
              <w:rPr>
                <w:sz w:val="12"/>
                <w:szCs w:val="12"/>
                <w:color w:val="auto"/>
              </w:rPr>
            </w:pPr>
          </w:p>
        </w:tc>
        <w:tc>
          <w:tcPr>
            <w:tcW w:w="940" w:type="dxa"/>
            <w:vAlign w:val="bottom"/>
            <w:shd w:val="clear" w:color="auto" w:fill="424E6A"/>
          </w:tcPr>
          <w:p>
            <w:pPr>
              <w:jc w:val="center"/>
              <w:ind w:right="84"/>
              <w:spacing w:after="0" w:line="149" w:lineRule="exact"/>
              <w:rPr>
                <w:sz w:val="20"/>
                <w:szCs w:val="20"/>
                <w:color w:val="auto"/>
              </w:rPr>
            </w:pPr>
            <w:r>
              <w:rPr>
                <w:rFonts w:ascii="Arial" w:cs="Arial" w:eastAsia="Arial" w:hAnsi="Arial"/>
                <w:sz w:val="14"/>
                <w:szCs w:val="14"/>
                <w:b w:val="1"/>
                <w:bCs w:val="1"/>
                <w:color w:val="FFFFFF"/>
              </w:rPr>
              <w:t>LTIP Award</w:t>
            </w:r>
          </w:p>
        </w:tc>
        <w:tc>
          <w:tcPr>
            <w:tcW w:w="160" w:type="dxa"/>
            <w:vAlign w:val="bottom"/>
            <w:tcBorders>
              <w:right w:val="single" w:sz="8" w:color="424E6A"/>
            </w:tcBorders>
            <w:shd w:val="clear" w:color="auto" w:fill="424E6A"/>
          </w:tcPr>
          <w:p>
            <w:pPr>
              <w:spacing w:after="0"/>
              <w:rPr>
                <w:sz w:val="12"/>
                <w:szCs w:val="12"/>
                <w:color w:val="auto"/>
              </w:rPr>
            </w:pPr>
          </w:p>
        </w:tc>
        <w:tc>
          <w:tcPr>
            <w:tcW w:w="120" w:type="dxa"/>
            <w:vAlign w:val="bottom"/>
            <w:shd w:val="clear" w:color="auto" w:fill="424E6A"/>
          </w:tcPr>
          <w:p>
            <w:pPr>
              <w:spacing w:after="0"/>
              <w:rPr>
                <w:sz w:val="12"/>
                <w:szCs w:val="12"/>
                <w:color w:val="auto"/>
              </w:rPr>
            </w:pPr>
          </w:p>
        </w:tc>
        <w:tc>
          <w:tcPr>
            <w:tcW w:w="1060" w:type="dxa"/>
            <w:vAlign w:val="bottom"/>
            <w:gridSpan w:val="2"/>
            <w:shd w:val="clear" w:color="auto" w:fill="424E6A"/>
          </w:tcPr>
          <w:p>
            <w:pPr>
              <w:jc w:val="center"/>
              <w:spacing w:after="0" w:line="149" w:lineRule="exact"/>
              <w:rPr>
                <w:sz w:val="20"/>
                <w:szCs w:val="20"/>
                <w:color w:val="auto"/>
              </w:rPr>
            </w:pPr>
            <w:r>
              <w:rPr>
                <w:rFonts w:ascii="Arial" w:cs="Arial" w:eastAsia="Arial" w:hAnsi="Arial"/>
                <w:sz w:val="14"/>
                <w:szCs w:val="14"/>
                <w:b w:val="1"/>
                <w:bCs w:val="1"/>
                <w:color w:val="FFFFFF"/>
              </w:rPr>
              <w:t>Phantom Units</w:t>
            </w:r>
          </w:p>
        </w:tc>
        <w:tc>
          <w:tcPr>
            <w:tcW w:w="160" w:type="dxa"/>
            <w:vAlign w:val="bottom"/>
            <w:tcBorders>
              <w:right w:val="single" w:sz="8" w:color="424E6A"/>
            </w:tcBorders>
            <w:shd w:val="clear" w:color="auto" w:fill="424E6A"/>
          </w:tcPr>
          <w:p>
            <w:pPr>
              <w:spacing w:after="0"/>
              <w:rPr>
                <w:sz w:val="12"/>
                <w:szCs w:val="12"/>
                <w:color w:val="auto"/>
              </w:rPr>
            </w:pPr>
          </w:p>
        </w:tc>
        <w:tc>
          <w:tcPr>
            <w:tcW w:w="120" w:type="dxa"/>
            <w:vAlign w:val="bottom"/>
            <w:shd w:val="clear" w:color="auto" w:fill="424E6A"/>
          </w:tcPr>
          <w:p>
            <w:pPr>
              <w:spacing w:after="0"/>
              <w:rPr>
                <w:sz w:val="12"/>
                <w:szCs w:val="12"/>
                <w:color w:val="auto"/>
              </w:rPr>
            </w:pPr>
          </w:p>
        </w:tc>
        <w:tc>
          <w:tcPr>
            <w:tcW w:w="1080" w:type="dxa"/>
            <w:vAlign w:val="bottom"/>
            <w:gridSpan w:val="2"/>
            <w:shd w:val="clear" w:color="auto" w:fill="424E6A"/>
          </w:tcPr>
          <w:p>
            <w:pPr>
              <w:jc w:val="center"/>
              <w:spacing w:after="0" w:line="149" w:lineRule="exact"/>
              <w:rPr>
                <w:sz w:val="20"/>
                <w:szCs w:val="20"/>
                <w:color w:val="auto"/>
              </w:rPr>
            </w:pPr>
            <w:r>
              <w:rPr>
                <w:rFonts w:ascii="Arial" w:cs="Arial" w:eastAsia="Arial" w:hAnsi="Arial"/>
                <w:sz w:val="14"/>
                <w:szCs w:val="14"/>
                <w:b w:val="1"/>
                <w:bCs w:val="1"/>
                <w:color w:val="FFFFFF"/>
              </w:rPr>
              <w:t>Phantom Units</w:t>
            </w:r>
          </w:p>
        </w:tc>
        <w:tc>
          <w:tcPr>
            <w:tcW w:w="160" w:type="dxa"/>
            <w:vAlign w:val="bottom"/>
            <w:tcBorders>
              <w:right w:val="single" w:sz="8" w:color="424E6A"/>
            </w:tcBorders>
            <w:shd w:val="clear" w:color="auto" w:fill="424E6A"/>
          </w:tcPr>
          <w:p>
            <w:pPr>
              <w:spacing w:after="0"/>
              <w:rPr>
                <w:sz w:val="12"/>
                <w:szCs w:val="12"/>
                <w:color w:val="auto"/>
              </w:rPr>
            </w:pPr>
          </w:p>
        </w:tc>
        <w:tc>
          <w:tcPr>
            <w:tcW w:w="100" w:type="dxa"/>
            <w:vAlign w:val="bottom"/>
            <w:shd w:val="clear" w:color="auto" w:fill="424E6A"/>
          </w:tcPr>
          <w:p>
            <w:pPr>
              <w:spacing w:after="0"/>
              <w:rPr>
                <w:sz w:val="12"/>
                <w:szCs w:val="12"/>
                <w:color w:val="auto"/>
              </w:rPr>
            </w:pPr>
          </w:p>
        </w:tc>
        <w:tc>
          <w:tcPr>
            <w:tcW w:w="1200" w:type="dxa"/>
            <w:vAlign w:val="bottom"/>
            <w:tcBorders>
              <w:right w:val="single" w:sz="8" w:color="424E6A"/>
            </w:tcBorders>
            <w:shd w:val="clear" w:color="auto" w:fill="424E6A"/>
          </w:tcPr>
          <w:p>
            <w:pPr>
              <w:jc w:val="center"/>
              <w:ind w:right="61"/>
              <w:spacing w:after="0" w:line="149" w:lineRule="exact"/>
              <w:rPr>
                <w:sz w:val="20"/>
                <w:szCs w:val="20"/>
                <w:color w:val="auto"/>
              </w:rPr>
            </w:pPr>
            <w:r>
              <w:rPr>
                <w:rFonts w:ascii="Arial" w:cs="Arial" w:eastAsia="Arial" w:hAnsi="Arial"/>
                <w:sz w:val="14"/>
                <w:szCs w:val="14"/>
                <w:b w:val="1"/>
                <w:bCs w:val="1"/>
                <w:color w:val="FFFFFF"/>
              </w:rPr>
              <w:t>Phantom Units</w:t>
            </w:r>
          </w:p>
        </w:tc>
      </w:tr>
      <w:tr>
        <w:trPr>
          <w:trHeight w:val="224"/>
        </w:trPr>
        <w:tc>
          <w:tcPr>
            <w:tcW w:w="1560" w:type="dxa"/>
            <w:vAlign w:val="bottom"/>
            <w:tcBorders>
              <w:left w:val="single" w:sz="8" w:color="424E6A"/>
              <w:right w:val="single" w:sz="8" w:color="424E6A"/>
            </w:tcBorders>
            <w:shd w:val="clear" w:color="auto" w:fill="424E6A"/>
          </w:tcPr>
          <w:p>
            <w:pPr>
              <w:ind w:left="40"/>
              <w:spacing w:after="0" w:line="211"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13"/>
                <w:szCs w:val="13"/>
                <w:b w:val="1"/>
                <w:bCs w:val="1"/>
                <w:color w:val="FFFFFF"/>
              </w:rPr>
              <w:t>Officer</w:t>
            </w:r>
          </w:p>
        </w:tc>
        <w:tc>
          <w:tcPr>
            <w:tcW w:w="1180" w:type="dxa"/>
            <w:vAlign w:val="bottom"/>
            <w:shd w:val="clear" w:color="auto" w:fill="424E6A"/>
          </w:tcPr>
          <w:p>
            <w:pPr>
              <w:jc w:val="center"/>
              <w:ind w:left="44"/>
              <w:spacing w:after="0"/>
              <w:rPr>
                <w:sz w:val="20"/>
                <w:szCs w:val="20"/>
                <w:color w:val="auto"/>
              </w:rPr>
            </w:pPr>
            <w:r>
              <w:rPr>
                <w:rFonts w:ascii="Arial" w:cs="Arial" w:eastAsia="Arial" w:hAnsi="Arial"/>
                <w:sz w:val="14"/>
                <w:szCs w:val="14"/>
                <w:b w:val="1"/>
                <w:bCs w:val="1"/>
                <w:color w:val="FFFFFF"/>
              </w:rPr>
              <w:t>base salary)</w:t>
            </w:r>
          </w:p>
        </w:tc>
        <w:tc>
          <w:tcPr>
            <w:tcW w:w="140" w:type="dxa"/>
            <w:vAlign w:val="bottom"/>
            <w:tcBorders>
              <w:right w:val="single" w:sz="8" w:color="424E6A"/>
            </w:tcBorders>
            <w:shd w:val="clear" w:color="auto" w:fill="424E6A"/>
          </w:tcPr>
          <w:p>
            <w:pPr>
              <w:spacing w:after="0"/>
              <w:rPr>
                <w:sz w:val="19"/>
                <w:szCs w:val="19"/>
                <w:color w:val="auto"/>
              </w:rPr>
            </w:pPr>
          </w:p>
        </w:tc>
        <w:tc>
          <w:tcPr>
            <w:tcW w:w="14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424E6A"/>
          </w:tcPr>
          <w:p>
            <w:pPr>
              <w:spacing w:after="0"/>
              <w:rPr>
                <w:sz w:val="19"/>
                <w:szCs w:val="19"/>
                <w:color w:val="auto"/>
              </w:rPr>
            </w:pPr>
          </w:p>
        </w:tc>
        <w:tc>
          <w:tcPr>
            <w:tcW w:w="940" w:type="dxa"/>
            <w:vAlign w:val="bottom"/>
            <w:shd w:val="clear" w:color="auto" w:fill="424E6A"/>
          </w:tcPr>
          <w:p>
            <w:pPr>
              <w:jc w:val="center"/>
              <w:ind w:right="44"/>
              <w:spacing w:after="0"/>
              <w:rPr>
                <w:sz w:val="20"/>
                <w:szCs w:val="20"/>
                <w:color w:val="auto"/>
              </w:rPr>
            </w:pPr>
            <w:r>
              <w:rPr>
                <w:rFonts w:ascii="Arial" w:cs="Arial" w:eastAsia="Arial" w:hAnsi="Arial"/>
                <w:sz w:val="14"/>
                <w:szCs w:val="14"/>
                <w:b w:val="1"/>
                <w:bCs w:val="1"/>
                <w:color w:val="FFFFFF"/>
              </w:rPr>
              <w:t>Value</w:t>
            </w:r>
          </w:p>
        </w:tc>
        <w:tc>
          <w:tcPr>
            <w:tcW w:w="28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4"/>
              </w:rPr>
              <w:t>Granted</w:t>
            </w:r>
            <w:r>
              <w:rPr>
                <w:rFonts w:ascii="Arial" w:cs="Arial" w:eastAsia="Arial" w:hAnsi="Arial"/>
                <w:sz w:val="17"/>
                <w:szCs w:val="17"/>
                <w:b w:val="1"/>
                <w:bCs w:val="1"/>
                <w:color w:val="FFFFFF"/>
                <w:w w:val="94"/>
                <w:vertAlign w:val="superscript"/>
              </w:rPr>
              <w:t>(1)</w:t>
            </w:r>
          </w:p>
        </w:tc>
        <w:tc>
          <w:tcPr>
            <w:tcW w:w="28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320" w:type="dxa"/>
            <w:vAlign w:val="bottom"/>
            <w:shd w:val="clear" w:color="auto" w:fill="424E6A"/>
          </w:tcPr>
          <w:p>
            <w:pPr>
              <w:spacing w:after="0"/>
              <w:rPr>
                <w:sz w:val="19"/>
                <w:szCs w:val="19"/>
                <w:color w:val="auto"/>
              </w:rPr>
            </w:pPr>
          </w:p>
        </w:tc>
        <w:tc>
          <w:tcPr>
            <w:tcW w:w="760" w:type="dxa"/>
            <w:vAlign w:val="bottom"/>
            <w:shd w:val="clear" w:color="auto" w:fill="424E6A"/>
          </w:tcPr>
          <w:p>
            <w:pPr>
              <w:jc w:val="center"/>
              <w:ind w:right="219"/>
              <w:spacing w:after="0"/>
              <w:rPr>
                <w:sz w:val="20"/>
                <w:szCs w:val="20"/>
                <w:color w:val="auto"/>
              </w:rPr>
            </w:pPr>
            <w:r>
              <w:rPr>
                <w:rFonts w:ascii="Arial" w:cs="Arial" w:eastAsia="Arial" w:hAnsi="Arial"/>
                <w:sz w:val="14"/>
                <w:szCs w:val="14"/>
                <w:b w:val="1"/>
                <w:bCs w:val="1"/>
                <w:color w:val="FFFFFF"/>
              </w:rPr>
              <w:t>(50%)</w:t>
            </w:r>
          </w:p>
        </w:tc>
        <w:tc>
          <w:tcPr>
            <w:tcW w:w="26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200" w:type="dxa"/>
            <w:vAlign w:val="bottom"/>
            <w:tcBorders>
              <w:right w:val="single" w:sz="8" w:color="424E6A"/>
            </w:tcBorders>
            <w:shd w:val="clear" w:color="auto" w:fill="424E6A"/>
          </w:tcPr>
          <w:p>
            <w:pPr>
              <w:jc w:val="center"/>
              <w:ind w:right="21"/>
              <w:spacing w:after="0"/>
              <w:rPr>
                <w:sz w:val="20"/>
                <w:szCs w:val="20"/>
                <w:color w:val="auto"/>
              </w:rPr>
            </w:pPr>
            <w:r>
              <w:rPr>
                <w:rFonts w:ascii="Arial" w:cs="Arial" w:eastAsia="Arial" w:hAnsi="Arial"/>
                <w:sz w:val="14"/>
                <w:szCs w:val="14"/>
                <w:b w:val="1"/>
                <w:bCs w:val="1"/>
                <w:color w:val="FFFFFF"/>
              </w:rPr>
              <w:t>(50%)</w:t>
            </w:r>
          </w:p>
        </w:tc>
      </w:tr>
      <w:tr>
        <w:trPr>
          <w:trHeight w:val="256"/>
        </w:trPr>
        <w:tc>
          <w:tcPr>
            <w:tcW w:w="1560" w:type="dxa"/>
            <w:vAlign w:val="bottom"/>
            <w:tcBorders>
              <w:left w:val="single" w:sz="8" w:color="424E6A"/>
              <w:bottom w:val="single" w:sz="8" w:color="424E6A"/>
              <w:right w:val="single" w:sz="8" w:color="424E6A"/>
            </w:tcBorders>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Willie Chiang</w:t>
            </w:r>
          </w:p>
        </w:tc>
        <w:tc>
          <w:tcPr>
            <w:tcW w:w="1180" w:type="dxa"/>
            <w:vAlign w:val="bottom"/>
            <w:tcBorders>
              <w:bottom w:val="single" w:sz="8" w:color="424E6A"/>
            </w:tcBorders>
            <w:shd w:val="clear" w:color="auto" w:fill="D9DCE1"/>
          </w:tcPr>
          <w:p>
            <w:pPr>
              <w:ind w:left="48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600%</w:t>
            </w:r>
          </w:p>
        </w:tc>
        <w:tc>
          <w:tcPr>
            <w:tcW w:w="14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424E6A"/>
            </w:tcBorders>
            <w:gridSpan w:val="2"/>
            <w:shd w:val="clear" w:color="auto" w:fill="D9DCE1"/>
          </w:tcPr>
          <w:p>
            <w:pPr>
              <w:ind w:left="6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$4,800,000</w:t>
            </w:r>
          </w:p>
        </w:tc>
        <w:tc>
          <w:tcPr>
            <w:tcW w:w="1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gridSpan w:val="2"/>
            <w:shd w:val="clear" w:color="auto" w:fill="D9DCE1"/>
          </w:tcPr>
          <w:p>
            <w:pPr>
              <w:ind w:left="2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440,000</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shd w:val="clear" w:color="auto" w:fill="D9DCE1"/>
          </w:tcPr>
          <w:p>
            <w:pPr>
              <w:ind w:left="2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220,000</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24E6A"/>
              <w:right w:val="single" w:sz="8" w:color="424E6A"/>
            </w:tcBorders>
            <w:shd w:val="clear" w:color="auto" w:fill="D9DCE1"/>
          </w:tcPr>
          <w:p>
            <w:pPr>
              <w:jc w:val="right"/>
              <w:ind w:right="1"/>
              <w:spacing w:after="0"/>
              <w:rPr>
                <w:sz w:val="20"/>
                <w:szCs w:val="20"/>
                <w:color w:val="auto"/>
              </w:rPr>
            </w:pPr>
            <w:r>
              <w:rPr>
                <w:rFonts w:ascii="Arial" w:cs="Arial" w:eastAsia="Arial" w:hAnsi="Arial"/>
                <w:sz w:val="18"/>
                <w:szCs w:val="18"/>
                <w:color w:val="auto"/>
              </w:rPr>
              <w:t>220,000</w:t>
            </w:r>
          </w:p>
        </w:tc>
      </w:tr>
      <w:tr>
        <w:trPr>
          <w:trHeight w:val="277"/>
        </w:trPr>
        <w:tc>
          <w:tcPr>
            <w:tcW w:w="1560" w:type="dxa"/>
            <w:vAlign w:val="bottom"/>
            <w:tcBorders>
              <w:left w:val="single" w:sz="8" w:color="424E6A"/>
              <w:bottom w:val="single" w:sz="8" w:color="424E6A"/>
              <w:right w:val="single" w:sz="8" w:color="424E6A"/>
            </w:tcBorders>
          </w:tcPr>
          <w:p>
            <w:pPr>
              <w:ind w:left="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Harry Pefanis</w:t>
            </w:r>
          </w:p>
        </w:tc>
        <w:tc>
          <w:tcPr>
            <w:tcW w:w="1180" w:type="dxa"/>
            <w:vAlign w:val="bottom"/>
            <w:tcBorders>
              <w:bottom w:val="single" w:sz="8" w:color="424E6A"/>
            </w:tcBorders>
          </w:tcPr>
          <w:p>
            <w:pPr>
              <w:ind w:left="48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500%</w:t>
            </w:r>
          </w:p>
        </w:tc>
        <w:tc>
          <w:tcPr>
            <w:tcW w:w="14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24E6A"/>
              <w:right w:val="single" w:sz="8" w:color="424E6A"/>
            </w:tcBorders>
            <w:gridSpan w:val="2"/>
          </w:tcPr>
          <w:p>
            <w:pPr>
              <w:jc w:val="right"/>
              <w:spacing w:after="0" w:line="276" w:lineRule="exact"/>
              <w:rPr>
                <w:sz w:val="20"/>
                <w:szCs w:val="20"/>
                <w:color w:val="auto"/>
              </w:rPr>
            </w:pPr>
            <w:r>
              <w:rPr>
                <w:rFonts w:ascii="Arial" w:cs="Arial" w:eastAsia="Arial" w:hAnsi="Arial"/>
                <w:sz w:val="17"/>
                <w:szCs w:val="17"/>
                <w:color w:val="auto"/>
              </w:rPr>
              <w:t>n/a</w:t>
            </w:r>
            <w:r>
              <w:rPr>
                <w:rFonts w:ascii="Arial" w:cs="Arial" w:eastAsia="Arial" w:hAnsi="Arial"/>
                <w:sz w:val="21"/>
                <w:szCs w:val="21"/>
                <w:color w:val="auto"/>
                <w:vertAlign w:val="superscript"/>
              </w:rPr>
              <w:t>(2)</w:t>
            </w:r>
            <w:r>
              <w:rPr>
                <w:rFonts w:ascii="Arial" w:cs="Arial" w:eastAsia="Arial" w:hAnsi="Arial"/>
                <w:sz w:val="32"/>
                <w:szCs w:val="32"/>
                <w:color w:val="auto"/>
                <w:vertAlign w:val="subscript"/>
              </w:rPr>
              <w:t>​​</w:t>
            </w: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tcBorders>
          </w:tcPr>
          <w:p>
            <w:pPr>
              <w:ind w:lef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424E6A"/>
            </w:tcBorders>
          </w:tcPr>
          <w:p>
            <w:pPr>
              <w:ind w:left="180"/>
              <w:spacing w:after="0"/>
              <w:rPr>
                <w:sz w:val="20"/>
                <w:szCs w:val="20"/>
                <w:color w:val="auto"/>
              </w:rPr>
            </w:pPr>
            <w:r>
              <w:rPr>
                <w:rFonts w:ascii="Arial" w:cs="Arial" w:eastAsia="Arial" w:hAnsi="Arial"/>
                <w:sz w:val="18"/>
                <w:szCs w:val="18"/>
                <w:color w:val="auto"/>
                <w:w w:val="95"/>
              </w:rPr>
              <w:t>n/a</w:t>
            </w:r>
            <w:r>
              <w:rPr>
                <w:rFonts w:ascii="Arial" w:cs="Arial" w:eastAsia="Arial" w:hAnsi="Arial"/>
                <w:sz w:val="23"/>
                <w:szCs w:val="23"/>
                <w:color w:val="auto"/>
                <w:w w:val="95"/>
                <w:vertAlign w:val="superscript"/>
              </w:rPr>
              <w:t>(2)</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ind w:lef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424E6A"/>
            </w:tcBorders>
          </w:tcPr>
          <w:p>
            <w:pPr>
              <w:ind w:left="320"/>
              <w:spacing w:after="0"/>
              <w:rPr>
                <w:sz w:val="20"/>
                <w:szCs w:val="20"/>
                <w:color w:val="auto"/>
              </w:rPr>
            </w:pPr>
            <w:r>
              <w:rPr>
                <w:rFonts w:ascii="Arial" w:cs="Arial" w:eastAsia="Arial" w:hAnsi="Arial"/>
                <w:sz w:val="18"/>
                <w:szCs w:val="18"/>
                <w:color w:val="auto"/>
                <w:w w:val="95"/>
              </w:rPr>
              <w:t>n/a</w:t>
            </w:r>
            <w:r>
              <w:rPr>
                <w:rFonts w:ascii="Arial" w:cs="Arial" w:eastAsia="Arial" w:hAnsi="Arial"/>
                <w:sz w:val="23"/>
                <w:szCs w:val="23"/>
                <w:color w:val="auto"/>
                <w:w w:val="95"/>
                <w:vertAlign w:val="superscript"/>
              </w:rPr>
              <w:t>(2)</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24E6A"/>
              <w:right w:val="single" w:sz="8" w:color="424E6A"/>
            </w:tcBorders>
          </w:tcPr>
          <w:p>
            <w:pPr>
              <w:jc w:val="right"/>
              <w:ind w:right="1"/>
              <w:spacing w:after="0" w:line="276" w:lineRule="exact"/>
              <w:rPr>
                <w:sz w:val="20"/>
                <w:szCs w:val="20"/>
                <w:color w:val="auto"/>
              </w:rPr>
            </w:pPr>
            <w:r>
              <w:rPr>
                <w:rFonts w:ascii="Arial" w:cs="Arial" w:eastAsia="Arial" w:hAnsi="Arial"/>
                <w:sz w:val="32"/>
                <w:szCs w:val="32"/>
                <w:color w:val="auto"/>
                <w:vertAlign w:val="subscript"/>
              </w:rPr>
              <w:t>n/a</w:t>
            </w:r>
            <w:r>
              <w:rPr>
                <w:rFonts w:ascii="Arial" w:cs="Arial" w:eastAsia="Arial" w:hAnsi="Arial"/>
                <w:sz w:val="11"/>
                <w:szCs w:val="11"/>
                <w:color w:val="auto"/>
              </w:rPr>
              <w:t>(2)</w:t>
            </w:r>
          </w:p>
        </w:tc>
      </w:tr>
      <w:tr>
        <w:trPr>
          <w:trHeight w:val="250"/>
        </w:trPr>
        <w:tc>
          <w:tcPr>
            <w:tcW w:w="1560" w:type="dxa"/>
            <w:vAlign w:val="bottom"/>
            <w:tcBorders>
              <w:left w:val="single" w:sz="8" w:color="424E6A"/>
              <w:bottom w:val="single" w:sz="8" w:color="424E6A"/>
              <w:right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 Swanson</w:t>
            </w:r>
          </w:p>
        </w:tc>
        <w:tc>
          <w:tcPr>
            <w:tcW w:w="1180" w:type="dxa"/>
            <w:vAlign w:val="bottom"/>
            <w:tcBorders>
              <w:bottom w:val="single" w:sz="8" w:color="424E6A"/>
            </w:tcBorders>
            <w:shd w:val="clear" w:color="auto" w:fill="D9DCE1"/>
          </w:tcPr>
          <w:p>
            <w:pPr>
              <w:ind w:left="4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275%</w:t>
            </w:r>
          </w:p>
        </w:tc>
        <w:tc>
          <w:tcPr>
            <w:tcW w:w="14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424E6A"/>
            </w:tcBorders>
            <w:gridSpan w:val="2"/>
            <w:shd w:val="clear" w:color="auto" w:fill="D9DCE1"/>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$1,513,000</w:t>
            </w:r>
          </w:p>
        </w:tc>
        <w:tc>
          <w:tcPr>
            <w:tcW w:w="1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gridSpan w:val="2"/>
            <w:shd w:val="clear" w:color="auto" w:fill="D9DCE1"/>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138,600</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shd w:val="clear" w:color="auto" w:fill="D9DCE1"/>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69,300</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24E6A"/>
              <w:right w:val="single" w:sz="8" w:color="424E6A"/>
            </w:tcBorders>
            <w:shd w:val="clear" w:color="auto" w:fill="D9DCE1"/>
          </w:tcPr>
          <w:p>
            <w:pPr>
              <w:jc w:val="right"/>
              <w:ind w:right="1"/>
              <w:spacing w:after="0"/>
              <w:rPr>
                <w:sz w:val="20"/>
                <w:szCs w:val="20"/>
                <w:color w:val="auto"/>
              </w:rPr>
            </w:pPr>
            <w:r>
              <w:rPr>
                <w:rFonts w:ascii="Arial" w:cs="Arial" w:eastAsia="Arial" w:hAnsi="Arial"/>
                <w:sz w:val="18"/>
                <w:szCs w:val="18"/>
                <w:color w:val="auto"/>
              </w:rPr>
              <w:t>69,300</w:t>
            </w:r>
          </w:p>
        </w:tc>
      </w:tr>
      <w:tr>
        <w:trPr>
          <w:trHeight w:val="250"/>
        </w:trPr>
        <w:tc>
          <w:tcPr>
            <w:tcW w:w="1560" w:type="dxa"/>
            <w:vAlign w:val="bottom"/>
            <w:tcBorders>
              <w:left w:val="single" w:sz="8" w:color="424E6A"/>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1180" w:type="dxa"/>
            <w:vAlign w:val="bottom"/>
            <w:tcBorders>
              <w:bottom w:val="single" w:sz="8" w:color="424E6A"/>
            </w:tcBorders>
          </w:tcPr>
          <w:p>
            <w:pPr>
              <w:ind w:left="4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275%</w:t>
            </w:r>
          </w:p>
        </w:tc>
        <w:tc>
          <w:tcPr>
            <w:tcW w:w="14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424E6A"/>
            </w:tcBorders>
            <w:gridSpan w:val="2"/>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$1,513,000</w:t>
            </w:r>
          </w:p>
        </w:tc>
        <w:tc>
          <w:tcPr>
            <w:tcW w:w="1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gridSpan w:val="2"/>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138,600</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69,300</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24E6A"/>
              <w:right w:val="single" w:sz="8" w:color="424E6A"/>
            </w:tcBorders>
          </w:tcPr>
          <w:p>
            <w:pPr>
              <w:jc w:val="right"/>
              <w:ind w:right="1"/>
              <w:spacing w:after="0"/>
              <w:rPr>
                <w:sz w:val="20"/>
                <w:szCs w:val="20"/>
                <w:color w:val="auto"/>
              </w:rPr>
            </w:pPr>
            <w:r>
              <w:rPr>
                <w:rFonts w:ascii="Arial" w:cs="Arial" w:eastAsia="Arial" w:hAnsi="Arial"/>
                <w:sz w:val="18"/>
                <w:szCs w:val="18"/>
                <w:color w:val="auto"/>
              </w:rPr>
              <w:t>69,300</w:t>
            </w:r>
          </w:p>
        </w:tc>
      </w:tr>
      <w:tr>
        <w:trPr>
          <w:trHeight w:val="250"/>
        </w:trPr>
        <w:tc>
          <w:tcPr>
            <w:tcW w:w="1560" w:type="dxa"/>
            <w:vAlign w:val="bottom"/>
            <w:tcBorders>
              <w:left w:val="single" w:sz="8" w:color="424E6A"/>
              <w:bottom w:val="single" w:sz="8" w:color="424E6A"/>
              <w:right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 Chandler</w:t>
            </w:r>
          </w:p>
        </w:tc>
        <w:tc>
          <w:tcPr>
            <w:tcW w:w="1180" w:type="dxa"/>
            <w:vAlign w:val="bottom"/>
            <w:tcBorders>
              <w:bottom w:val="single" w:sz="8" w:color="424E6A"/>
            </w:tcBorders>
            <w:shd w:val="clear" w:color="auto" w:fill="D9DCE1"/>
          </w:tcPr>
          <w:p>
            <w:pPr>
              <w:ind w:left="4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325%</w:t>
            </w:r>
          </w:p>
        </w:tc>
        <w:tc>
          <w:tcPr>
            <w:tcW w:w="14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424E6A"/>
            </w:tcBorders>
            <w:gridSpan w:val="2"/>
            <w:shd w:val="clear" w:color="auto" w:fill="D9DCE1"/>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$1,950,000</w:t>
            </w:r>
          </w:p>
        </w:tc>
        <w:tc>
          <w:tcPr>
            <w:tcW w:w="1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gridSpan w:val="2"/>
            <w:shd w:val="clear" w:color="auto" w:fill="D9DCE1"/>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178,700</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shd w:val="clear" w:color="auto" w:fill="D9DCE1"/>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89,350</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24E6A"/>
              <w:right w:val="single" w:sz="8" w:color="424E6A"/>
            </w:tcBorders>
            <w:shd w:val="clear" w:color="auto" w:fill="D9DCE1"/>
          </w:tcPr>
          <w:p>
            <w:pPr>
              <w:jc w:val="right"/>
              <w:ind w:right="1"/>
              <w:spacing w:after="0"/>
              <w:rPr>
                <w:sz w:val="20"/>
                <w:szCs w:val="20"/>
                <w:color w:val="auto"/>
              </w:rPr>
            </w:pPr>
            <w:r>
              <w:rPr>
                <w:rFonts w:ascii="Arial" w:cs="Arial" w:eastAsia="Arial" w:hAnsi="Arial"/>
                <w:sz w:val="18"/>
                <w:szCs w:val="18"/>
                <w:color w:val="auto"/>
              </w:rPr>
              <w:t>89,350</w:t>
            </w:r>
          </w:p>
        </w:tc>
      </w:tr>
      <w:tr>
        <w:trPr>
          <w:trHeight w:val="250"/>
        </w:trPr>
        <w:tc>
          <w:tcPr>
            <w:tcW w:w="1560" w:type="dxa"/>
            <w:vAlign w:val="bottom"/>
            <w:tcBorders>
              <w:left w:val="single" w:sz="8" w:color="424E6A"/>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1180" w:type="dxa"/>
            <w:vAlign w:val="bottom"/>
            <w:tcBorders>
              <w:bottom w:val="single" w:sz="8" w:color="424E6A"/>
            </w:tcBorders>
          </w:tcPr>
          <w:p>
            <w:pPr>
              <w:ind w:left="4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325%</w:t>
            </w:r>
          </w:p>
        </w:tc>
        <w:tc>
          <w:tcPr>
            <w:tcW w:w="14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424E6A"/>
            </w:tcBorders>
            <w:gridSpan w:val="2"/>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$1,950,000</w:t>
            </w:r>
          </w:p>
        </w:tc>
        <w:tc>
          <w:tcPr>
            <w:tcW w:w="1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gridSpan w:val="2"/>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178,700</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89,350</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24E6A"/>
              <w:right w:val="single" w:sz="8" w:color="424E6A"/>
            </w:tcBorders>
          </w:tcPr>
          <w:p>
            <w:pPr>
              <w:jc w:val="right"/>
              <w:ind w:right="1"/>
              <w:spacing w:after="0"/>
              <w:rPr>
                <w:sz w:val="20"/>
                <w:szCs w:val="20"/>
                <w:color w:val="auto"/>
              </w:rPr>
            </w:pPr>
            <w:r>
              <w:rPr>
                <w:rFonts w:ascii="Arial" w:cs="Arial" w:eastAsia="Arial" w:hAnsi="Arial"/>
                <w:sz w:val="18"/>
                <w:szCs w:val="18"/>
                <w:color w:val="auto"/>
              </w:rPr>
              <w:t>89,350</w:t>
            </w:r>
          </w:p>
        </w:tc>
      </w:tr>
    </w:tbl>
    <w:p>
      <w:pPr>
        <w:spacing w:after="0" w:line="157" w:lineRule="exact"/>
        <w:rPr>
          <w:sz w:val="20"/>
          <w:szCs w:val="20"/>
          <w:color w:val="auto"/>
        </w:rPr>
      </w:pPr>
    </w:p>
    <w:p>
      <w:pPr>
        <w:ind w:left="1620" w:right="739" w:hanging="360"/>
        <w:spacing w:after="0" w:line="222" w:lineRule="auto"/>
        <w:tabs>
          <w:tab w:leader="none" w:pos="1620" w:val="left"/>
        </w:tabs>
        <w:numPr>
          <w:ilvl w:val="0"/>
          <w:numId w:val="48"/>
        </w:numPr>
        <w:rPr>
          <w:rFonts w:ascii="Arial" w:cs="Arial" w:eastAsia="Arial" w:hAnsi="Arial"/>
          <w:sz w:val="27"/>
          <w:szCs w:val="27"/>
          <w:color w:val="auto"/>
          <w:vertAlign w:val="superscript"/>
        </w:rPr>
      </w:pPr>
      <w:r>
        <w:rPr>
          <w:rFonts w:ascii="Arial" w:cs="Arial" w:eastAsia="Arial" w:hAnsi="Arial"/>
          <w:sz w:val="18"/>
          <w:szCs w:val="18"/>
          <w:color w:val="auto"/>
        </w:rPr>
        <w:t>Based on a volume weighted average price per unit for the 10-trading day period beginning five days before and ending five days after the ex-dividend date for the August 2022 distribution ($10.91).</w:t>
      </w:r>
    </w:p>
    <w:p>
      <w:pPr>
        <w:spacing w:after="0" w:line="112" w:lineRule="exact"/>
        <w:rPr>
          <w:rFonts w:ascii="Arial" w:cs="Arial" w:eastAsia="Arial" w:hAnsi="Arial"/>
          <w:sz w:val="27"/>
          <w:szCs w:val="27"/>
          <w:color w:val="auto"/>
          <w:vertAlign w:val="superscript"/>
        </w:rPr>
      </w:pPr>
    </w:p>
    <w:p>
      <w:pPr>
        <w:ind w:left="1620" w:right="479" w:hanging="360"/>
        <w:spacing w:after="0" w:line="210" w:lineRule="auto"/>
        <w:tabs>
          <w:tab w:leader="none" w:pos="1620" w:val="left"/>
        </w:tabs>
        <w:numPr>
          <w:ilvl w:val="0"/>
          <w:numId w:val="48"/>
        </w:numPr>
        <w:rPr>
          <w:rFonts w:ascii="Arial" w:cs="Arial" w:eastAsia="Arial" w:hAnsi="Arial"/>
          <w:sz w:val="27"/>
          <w:szCs w:val="27"/>
          <w:color w:val="auto"/>
          <w:vertAlign w:val="superscript"/>
        </w:rPr>
      </w:pPr>
      <w:r>
        <w:rPr>
          <w:rFonts w:ascii="Arial" w:cs="Arial" w:eastAsia="Arial" w:hAnsi="Arial"/>
          <w:sz w:val="18"/>
          <w:szCs w:val="18"/>
          <w:color w:val="auto"/>
        </w:rPr>
        <w:t>Annual LTIP grants were not awarded to Mr. Pefanis as he requested to not participate in the 2022 long-term incentive program.</w:t>
      </w:r>
    </w:p>
    <w:p>
      <w:pPr>
        <w:spacing w:after="0" w:line="128" w:lineRule="exact"/>
        <w:rPr>
          <w:sz w:val="20"/>
          <w:szCs w:val="20"/>
          <w:color w:val="auto"/>
        </w:rPr>
      </w:pPr>
    </w:p>
    <w:p>
      <w:pPr>
        <w:jc w:val="both"/>
        <w:ind w:left="1260" w:right="619" w:firstLine="360"/>
        <w:spacing w:after="0" w:line="268" w:lineRule="auto"/>
        <w:rPr>
          <w:sz w:val="20"/>
          <w:szCs w:val="20"/>
          <w:color w:val="auto"/>
        </w:rPr>
      </w:pPr>
      <w:r>
        <w:rPr>
          <w:rFonts w:ascii="Arial" w:cs="Arial" w:eastAsia="Arial" w:hAnsi="Arial"/>
          <w:sz w:val="18"/>
          <w:szCs w:val="18"/>
          <w:color w:val="auto"/>
        </w:rPr>
        <w:t>The 2022 time-vested phantom units will vest (become payable 1-for-1 in PAA common units) on the August 2025 distribution date. The performance-vested phantom units will potentially vest on the August 2025 distribution date at a scaled payout range of between 0% to 200% based on:</w:t>
      </w:r>
    </w:p>
    <w:p>
      <w:pPr>
        <w:spacing w:after="0" w:line="103" w:lineRule="exact"/>
        <w:rPr>
          <w:sz w:val="20"/>
          <w:szCs w:val="20"/>
          <w:color w:val="auto"/>
        </w:rPr>
      </w:pPr>
    </w:p>
    <w:p>
      <w:pPr>
        <w:ind w:left="1980" w:right="439" w:hanging="360"/>
        <w:spacing w:after="0" w:line="259"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50% Relative TSR with Negative TSR Modifier</w:t>
      </w:r>
      <w:r>
        <w:rPr>
          <w:rFonts w:ascii="Arial" w:cs="Arial" w:eastAsia="Arial" w:hAnsi="Arial"/>
          <w:sz w:val="18"/>
          <w:szCs w:val="18"/>
          <w:color w:val="auto"/>
        </w:rPr>
        <w:t>: PAA’s TSR measured over the three-year period ending June 30, 2025 compared to the TSR of the TSR Comparator Peer Group identified on page 34 (if PAA’s relative TSR results in a payout of over 100%, but actual TSR is negative, the payout on this portion of the award will be reduced by 25 gross percentage points, but not below 100%); and</w:t>
      </w:r>
    </w:p>
    <w:p>
      <w:pPr>
        <w:spacing w:after="0" w:line="98" w:lineRule="exact"/>
        <w:rPr>
          <w:rFonts w:ascii="Arial" w:cs="Arial" w:eastAsia="Arial" w:hAnsi="Arial"/>
          <w:sz w:val="18"/>
          <w:szCs w:val="18"/>
          <w:color w:val="auto"/>
        </w:rPr>
      </w:pPr>
    </w:p>
    <w:p>
      <w:pPr>
        <w:ind w:left="1980" w:right="419" w:hanging="360"/>
        <w:spacing w:after="0" w:line="268"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50% DCF per CUE with Leverage Modifier</w:t>
      </w:r>
      <w:r>
        <w:rPr>
          <w:rFonts w:ascii="Arial" w:cs="Arial" w:eastAsia="Arial" w:hAnsi="Arial"/>
          <w:sz w:val="18"/>
          <w:szCs w:val="18"/>
          <w:color w:val="auto"/>
        </w:rPr>
        <w:t>: PAA achieving cumulative DCF per CUE of $7.05 over the three-year period ending June 30, 2025 (payout may be decreased by 25 basis points if PAA’s leverage ratio as of June 30, 2025 is greater than 3.5x).</w:t>
      </w:r>
    </w:p>
    <w:p>
      <w:pPr>
        <w:spacing w:after="0" w:line="103"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8"/>
          <w:szCs w:val="18"/>
          <w:color w:val="auto"/>
        </w:rPr>
        <w:t>DERs associated with the time-vested phantom units will accrue for the first year and such accrued amount will be paid in cash in a lump sum on the August 2023 distribution date; beginning in November 2023, DERs on such time-vested phantom units will be paid quarterly until the associated</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spacing w:after="0" w:line="262" w:lineRule="auto"/>
        <w:rPr>
          <w:sz w:val="20"/>
          <w:szCs w:val="20"/>
          <w:color w:val="auto"/>
        </w:rPr>
      </w:pPr>
      <w:r>
        <w:rPr>
          <w:rFonts w:ascii="Arial" w:cs="Arial" w:eastAsia="Arial" w:hAnsi="Arial"/>
          <w:sz w:val="18"/>
          <w:szCs w:val="18"/>
          <w:color w:val="auto"/>
        </w:rPr>
        <w:t>phantom units vest. DERs associated with the performance-vested phantom units will accrue during the three-year performance period and be paid in cash in a lump sum on the August 2025 distribution date with respect to the number of such phantom units, if any, that vest on such date. See the “Grants of Plan Based Awards Table” below for additional information regarding the 2022 annual grants.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Adjustment of Certain Pre-Pandemic Long-Term Incentive Awards</w:t>
      </w:r>
    </w:p>
    <w:p>
      <w:pPr>
        <w:spacing w:after="0" w:line="156" w:lineRule="exact"/>
        <w:rPr>
          <w:sz w:val="20"/>
          <w:szCs w:val="20"/>
          <w:color w:val="auto"/>
        </w:rPr>
      </w:pPr>
    </w:p>
    <w:p>
      <w:pPr>
        <w:ind w:left="1260" w:right="639" w:firstLine="360"/>
        <w:spacing w:after="0" w:line="262" w:lineRule="auto"/>
        <w:rPr>
          <w:sz w:val="20"/>
          <w:szCs w:val="20"/>
          <w:color w:val="auto"/>
        </w:rPr>
      </w:pPr>
      <w:r>
        <w:rPr>
          <w:rFonts w:ascii="Arial" w:cs="Arial" w:eastAsia="Arial" w:hAnsi="Arial"/>
          <w:sz w:val="18"/>
          <w:szCs w:val="18"/>
          <w:color w:val="auto"/>
        </w:rPr>
        <w:t>On February 24, 2022, the Board approved, upon the recommendation of the Compensation Committee, amendments to the performance-based portion of long-term incentive awards originally granted in November 2019 to Messrs. Chandler and Goebel (the “2019 Special Grants”). The original terms of the 2019 Special Grants provided as follows:</w:t>
      </w:r>
    </w:p>
    <w:p>
      <w:pPr>
        <w:spacing w:after="0" w:line="109" w:lineRule="exact"/>
        <w:rPr>
          <w:sz w:val="20"/>
          <w:szCs w:val="20"/>
          <w:color w:val="auto"/>
        </w:rPr>
      </w:pPr>
    </w:p>
    <w:p>
      <w:pPr>
        <w:ind w:left="1980" w:right="679" w:hanging="360"/>
        <w:spacing w:after="0" w:line="287"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50% of the award (250,000 phantom units for each of Messrs. Goebel and Chandler) would vest on the August 2026 distribution date (the “time-based portion”);</w:t>
      </w:r>
    </w:p>
    <w:p>
      <w:pPr>
        <w:spacing w:after="0" w:line="85" w:lineRule="exact"/>
        <w:rPr>
          <w:rFonts w:ascii="Arial" w:cs="Arial" w:eastAsia="Arial" w:hAnsi="Arial"/>
          <w:sz w:val="18"/>
          <w:szCs w:val="18"/>
          <w:color w:val="auto"/>
        </w:rPr>
      </w:pPr>
    </w:p>
    <w:p>
      <w:pPr>
        <w:jc w:val="both"/>
        <w:ind w:left="1980" w:right="679" w:hanging="360"/>
        <w:spacing w:after="0" w:line="268"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25% of the award (125,000 phantom units for each of Messrs. Goebel and Chandler) would vest on the later of the August 2026 distribution date and the first distribution date following PAA’s achievement of DCF per CUE of $2.80 on a trailing four quarter basis; and</w:t>
      </w:r>
    </w:p>
    <w:p>
      <w:pPr>
        <w:spacing w:after="0" w:line="103" w:lineRule="exact"/>
        <w:rPr>
          <w:rFonts w:ascii="Arial" w:cs="Arial" w:eastAsia="Arial" w:hAnsi="Arial"/>
          <w:sz w:val="18"/>
          <w:szCs w:val="18"/>
          <w:color w:val="auto"/>
        </w:rPr>
      </w:pPr>
    </w:p>
    <w:p>
      <w:pPr>
        <w:jc w:val="both"/>
        <w:ind w:left="1980" w:right="679" w:hanging="360"/>
        <w:spacing w:after="0" w:line="262"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25% of the award (125,000 phantom units for each of Messrs. Goebel and Chandler) would vest on the later of the August 2026 distribution date and the first distribution date following PAA’s achievement of DCF per CUE of $3.15 on a trailing four quarter basis (together with (ii) above, the “performance-based portion”).</w:t>
      </w:r>
    </w:p>
    <w:p>
      <w:pPr>
        <w:spacing w:after="0" w:line="95"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The vesting thresholds for the performance-based portion of the awards (a total of 250,000 phantom units for each of Messrs. Goebel and Chandler) were based on PAA’s pre-pandemic outlook for its business. The pandemic triggered a “reset” of the North American production outlook, which in turn fundamentally changed the key forecasts and outlook upon which such performance metrics were based. As a result, the Compensation Committee and Board decided that the retentive and incentive benefit of the performance-based portion of the 2019 Special Grants had effectively been eliminated. Given the Board’s view that Messrs. Goebel and Chandler are critical to the future leadership of the company, the Board concluded that it would be prudent to reestablish an appropriate amount of retentive and incentive value for these grants, but to do so in a manner that further aligns the interests of these executive officers with the interests of our equity holders. In order to identify a solution that struck this balance, we sought input from our investors during our 2021 engagement effort. We discussed various alternatives with our investors and taking their feedback and input into account, the Compensation Committee and Board ultimately concluded that replacing the original DCF/CUE targets with a relative TSR metric was the most “investor-friendly” way to restore an appropriate amount of retentive and incentive value to the performance-based portion of the 2019 Special Grants. The key features of the amended performance-based portion of the 2019 Special Grants are as follows:</w:t>
      </w:r>
    </w:p>
    <w:p>
      <w:pPr>
        <w:spacing w:after="0" w:line="85" w:lineRule="exact"/>
        <w:rPr>
          <w:sz w:val="20"/>
          <w:szCs w:val="20"/>
          <w:color w:val="auto"/>
        </w:rPr>
      </w:pPr>
    </w:p>
    <w:p>
      <w:pPr>
        <w:ind w:left="1800" w:right="699" w:hanging="180"/>
        <w:spacing w:after="0" w:line="259"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Vesting of the performance-based portion of the awards is based on the TSR ranking of PAA relative to a designated comparator group from January 1, 2022 through June 30, 2026, an approximate four and one-half year measurement period with an end date that represents the quarter-end date closest in time to the vesting date for the time-based portion of the original grants;</w:t>
      </w:r>
    </w:p>
    <w:p>
      <w:pPr>
        <w:spacing w:after="0" w:line="71" w:lineRule="exact"/>
        <w:rPr>
          <w:rFonts w:ascii="Arial" w:cs="Arial" w:eastAsia="Arial" w:hAnsi="Arial"/>
          <w:sz w:val="18"/>
          <w:szCs w:val="18"/>
          <w:color w:val="auto"/>
        </w:rPr>
      </w:pPr>
    </w:p>
    <w:p>
      <w:pPr>
        <w:jc w:val="both"/>
        <w:ind w:left="1800" w:right="459" w:hanging="180"/>
        <w:spacing w:after="0" w:line="268"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comparator group is the same comparator group that was used for the TSR metric included in the regular annual equity grants issued by PAA to its NEOs in August 2021, which includes 14 midstream peers, the S&amp;P 500 index, the AMNA index and PAA; and</w:t>
      </w:r>
    </w:p>
    <w:p>
      <w:pPr>
        <w:spacing w:after="0" w:line="62" w:lineRule="exact"/>
        <w:rPr>
          <w:rFonts w:ascii="Arial" w:cs="Arial" w:eastAsia="Arial" w:hAnsi="Arial"/>
          <w:sz w:val="18"/>
          <w:szCs w:val="18"/>
          <w:color w:val="auto"/>
        </w:rPr>
      </w:pPr>
    </w:p>
    <w:p>
      <w:pPr>
        <w:ind w:left="1800" w:right="579" w:hanging="180"/>
        <w:spacing w:after="0" w:line="255"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Payout is based on the numeric ranking of PAA’s TSR over the designated performance period relative to the TSR for the various members of the comparator group, with payout capped at 100% (i.e., a performance ranking at the midpoint or in the top half of the comparator group will pay out at 100% and performance in the bottom half will be scaled from 100% payout down to 0% payout). Not allowing a payout above 100% was an important feature based on our engagement discussions with investors as it insured that the maximum payout in terms of the number of performance units remained unchanged from the original grant, thus eliminating the opportunity</w:t>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00" w:right="519"/>
        <w:spacing w:after="0" w:line="271" w:lineRule="auto"/>
        <w:rPr>
          <w:sz w:val="20"/>
          <w:szCs w:val="20"/>
          <w:color w:val="auto"/>
        </w:rPr>
      </w:pPr>
      <w:r>
        <w:rPr>
          <w:rFonts w:ascii="Arial" w:cs="Arial" w:eastAsia="Arial" w:hAnsi="Arial"/>
          <w:sz w:val="18"/>
          <w:szCs w:val="18"/>
          <w:color w:val="auto"/>
        </w:rPr>
        <w:t>for the holders of the 2019 Special Grants to recoup the degradation of value experienced by all unitholders since the 2019 grant date.</w:t>
      </w:r>
    </w:p>
    <w:p>
      <w:pPr>
        <w:spacing w:after="0" w:line="73"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7"/>
          <w:szCs w:val="17"/>
          <w:color w:val="auto"/>
        </w:rPr>
        <w:t>Although Mr. Chiang received a pre-pandemic performance-based grant in 2018 that was 100% based on DCF/CUE targets reflecting PAA’s pre-pandemic outlook for its business, the Compensation</w:t>
      </w:r>
    </w:p>
    <w:p>
      <w:pPr>
        <w:spacing w:after="0" w:line="1" w:lineRule="exact"/>
        <w:rPr>
          <w:sz w:val="20"/>
          <w:szCs w:val="20"/>
          <w:color w:val="auto"/>
        </w:rPr>
      </w:pPr>
    </w:p>
    <w:p>
      <w:pPr>
        <w:ind w:left="1260" w:right="539"/>
        <w:spacing w:after="0"/>
        <w:rPr>
          <w:sz w:val="20"/>
          <w:szCs w:val="20"/>
          <w:color w:val="auto"/>
        </w:rPr>
      </w:pPr>
      <w:r>
        <w:rPr>
          <w:rFonts w:ascii="Arial" w:cs="Arial" w:eastAsia="Arial" w:hAnsi="Arial"/>
          <w:sz w:val="17"/>
          <w:szCs w:val="17"/>
          <w:color w:val="auto"/>
        </w:rPr>
        <w:t>Committee and the Board elected not to make any changes to such award, which was consistent with Mr. Chiang’s desires. The Compensation Committee and Board also elected not to make any changes</w:t>
      </w:r>
    </w:p>
    <w:p>
      <w:pPr>
        <w:ind w:left="1260"/>
        <w:spacing w:after="0" w:line="235" w:lineRule="auto"/>
        <w:rPr>
          <w:sz w:val="20"/>
          <w:szCs w:val="20"/>
          <w:color w:val="auto"/>
        </w:rPr>
      </w:pPr>
      <w:r>
        <w:rPr>
          <w:rFonts w:ascii="Arial" w:cs="Arial" w:eastAsia="Arial" w:hAnsi="Arial"/>
          <w:sz w:val="18"/>
          <w:szCs w:val="18"/>
          <w:color w:val="auto"/>
        </w:rPr>
        <w:t>to the performance-based portion of the regular annual phantom unit awards that were granted to the</w:t>
      </w:r>
    </w:p>
    <w:p>
      <w:pPr>
        <w:ind w:left="1260" w:right="859"/>
        <w:spacing w:after="0"/>
        <w:rPr>
          <w:sz w:val="20"/>
          <w:szCs w:val="20"/>
          <w:color w:val="auto"/>
        </w:rPr>
      </w:pPr>
      <w:r>
        <w:rPr>
          <w:rFonts w:ascii="Arial" w:cs="Arial" w:eastAsia="Arial" w:hAnsi="Arial"/>
          <w:sz w:val="17"/>
          <w:szCs w:val="17"/>
          <w:color w:val="auto"/>
        </w:rPr>
        <w:t>NEOs in August 2019; these awards also include DCF/CUE targets based on PAA’s pre-pandemic outlook. See “Outstanding Equity Awards at Fiscal Year End” for a description of the terms of</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Mr. Chiang’s 2018 promotion grant and the August 2019 annual NEO grants.</w:t>
      </w: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129"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i w:val="1"/>
          <w:iCs w:val="1"/>
          <w:color w:val="auto"/>
        </w:rPr>
        <w:t xml:space="preserve">Equity Ownership. </w:t>
      </w:r>
      <w:r>
        <w:rPr>
          <w:rFonts w:ascii="Arial" w:cs="Arial" w:eastAsia="Arial" w:hAnsi="Arial"/>
          <w:sz w:val="17"/>
          <w:szCs w:val="17"/>
          <w:color w:val="auto"/>
        </w:rPr>
        <w:t>Our Named Executive Officers and directors collectively own substantial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in PAA and PAGP including unvested long-term equity awards. As of March 27, 2023, the</w:t>
      </w:r>
    </w:p>
    <w:p>
      <w:pPr>
        <w:spacing w:after="0" w:line="1" w:lineRule="exact"/>
        <w:rPr>
          <w:sz w:val="20"/>
          <w:szCs w:val="20"/>
          <w:color w:val="auto"/>
        </w:rPr>
      </w:pPr>
    </w:p>
    <w:p>
      <w:pPr>
        <w:ind w:left="1260" w:right="859"/>
        <w:spacing w:after="0" w:line="226" w:lineRule="auto"/>
        <w:rPr>
          <w:sz w:val="20"/>
          <w:szCs w:val="20"/>
          <w:color w:val="auto"/>
        </w:rPr>
      </w:pPr>
      <w:r>
        <w:rPr>
          <w:rFonts w:ascii="Arial" w:cs="Arial" w:eastAsia="Arial" w:hAnsi="Arial"/>
          <w:sz w:val="18"/>
          <w:szCs w:val="18"/>
          <w:color w:val="auto"/>
        </w:rPr>
        <w:t>Named Executive Officers beneficially owned, in the aggregate, approximately 12.0 million units of equity interests in PAA and/or PAGP with an approximate market value of $144 million, and all</w:t>
      </w:r>
    </w:p>
    <w:p>
      <w:pPr>
        <w:spacing w:after="0" w:line="2"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executive officers and directors beneficially owned, in the aggregate, approximately 80.0 million units of equity interests in PAA and/or PAGP with an approximate market value of $963 million.</w:t>
      </w:r>
    </w:p>
    <w:p>
      <w:pPr>
        <w:spacing w:after="0" w:line="113"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i w:val="1"/>
          <w:iCs w:val="1"/>
          <w:color w:val="auto"/>
        </w:rPr>
        <w:t xml:space="preserve">Equity Ownership Guidelines. </w:t>
      </w:r>
      <w:r>
        <w:rPr>
          <w:rFonts w:ascii="Arial" w:cs="Arial" w:eastAsia="Arial" w:hAnsi="Arial"/>
          <w:sz w:val="17"/>
          <w:szCs w:val="17"/>
          <w:color w:val="auto"/>
        </w:rPr>
        <w:t>In November 2020, the Board adopted Equity Ownership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to further align the interests of our executive officers and directors with the interests of our unitholders</w:t>
      </w:r>
    </w:p>
    <w:p>
      <w:pPr>
        <w:ind w:left="1260"/>
        <w:spacing w:after="0" w:line="235" w:lineRule="auto"/>
        <w:rPr>
          <w:sz w:val="20"/>
          <w:szCs w:val="20"/>
          <w:color w:val="auto"/>
        </w:rPr>
      </w:pPr>
      <w:r>
        <w:rPr>
          <w:rFonts w:ascii="Arial" w:cs="Arial" w:eastAsia="Arial" w:hAnsi="Arial"/>
          <w:sz w:val="18"/>
          <w:szCs w:val="18"/>
          <w:color w:val="auto"/>
        </w:rPr>
        <w:t>by requiring each to achieve and maintain a minimum equity ownership level. Under these guidelines,</w:t>
      </w:r>
    </w:p>
    <w:p>
      <w:pPr>
        <w:ind w:left="1260" w:right="519"/>
        <w:spacing w:after="0" w:line="237" w:lineRule="auto"/>
        <w:rPr>
          <w:sz w:val="20"/>
          <w:szCs w:val="20"/>
          <w:color w:val="auto"/>
        </w:rPr>
      </w:pPr>
      <w:r>
        <w:rPr>
          <w:rFonts w:ascii="Arial" w:cs="Arial" w:eastAsia="Arial" w:hAnsi="Arial"/>
          <w:sz w:val="18"/>
          <w:szCs w:val="18"/>
          <w:color w:val="auto"/>
        </w:rPr>
        <w:t>each executive officer and director is expected to continuously own PAA and/or PAGP securities with a value equal to a specified multiple of his or her base salary or annual cash retainer as follows:</w:t>
      </w:r>
    </w:p>
    <w:p>
      <w:pPr>
        <w:spacing w:after="0" w:line="173" w:lineRule="exact"/>
        <w:rPr>
          <w:sz w:val="20"/>
          <w:szCs w:val="20"/>
          <w:color w:val="auto"/>
        </w:rPr>
      </w:pPr>
    </w:p>
    <w:tbl>
      <w:tblPr>
        <w:tblLayout w:type="fixed"/>
        <w:tblInd w:w="1630" w:type="dxa"/>
        <w:tblCellMar>
          <w:top w:w="0" w:type="dxa"/>
          <w:left w:w="0" w:type="dxa"/>
          <w:bottom w:w="0" w:type="dxa"/>
          <w:right w:w="0" w:type="dxa"/>
        </w:tblCellMar>
      </w:tblPr>
      <w:tr>
        <w:trPr>
          <w:trHeight w:val="247"/>
        </w:trPr>
        <w:tc>
          <w:tcPr>
            <w:tcW w:w="2160" w:type="dxa"/>
            <w:vAlign w:val="bottom"/>
            <w:tcBorders>
              <w:left w:val="single" w:sz="8" w:color="424E6A"/>
            </w:tcBorders>
            <w:shd w:val="clear" w:color="auto" w:fill="424E6A"/>
          </w:tcPr>
          <w:p>
            <w:pPr>
              <w:spacing w:after="0"/>
              <w:rPr>
                <w:sz w:val="21"/>
                <w:szCs w:val="21"/>
                <w:color w:val="auto"/>
              </w:rPr>
            </w:pPr>
          </w:p>
        </w:tc>
        <w:tc>
          <w:tcPr>
            <w:tcW w:w="1480" w:type="dxa"/>
            <w:vAlign w:val="bottom"/>
            <w:tcBorders>
              <w:right w:val="single" w:sz="8" w:color="424E6A"/>
            </w:tcBorders>
            <w:shd w:val="clear" w:color="auto" w:fill="424E6A"/>
          </w:tcPr>
          <w:p>
            <w:pPr>
              <w:spacing w:after="0"/>
              <w:rPr>
                <w:sz w:val="21"/>
                <w:szCs w:val="21"/>
                <w:color w:val="auto"/>
              </w:rPr>
            </w:pPr>
          </w:p>
        </w:tc>
        <w:tc>
          <w:tcPr>
            <w:tcW w:w="560" w:type="dxa"/>
            <w:vAlign w:val="bottom"/>
            <w:shd w:val="clear" w:color="auto" w:fill="424E6A"/>
          </w:tcPr>
          <w:p>
            <w:pPr>
              <w:spacing w:after="0"/>
              <w:rPr>
                <w:sz w:val="21"/>
                <w:szCs w:val="21"/>
                <w:color w:val="auto"/>
              </w:rPr>
            </w:pPr>
          </w:p>
        </w:tc>
        <w:tc>
          <w:tcPr>
            <w:tcW w:w="27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Multiple of Base Salary or</w:t>
            </w:r>
          </w:p>
        </w:tc>
        <w:tc>
          <w:tcPr>
            <w:tcW w:w="560" w:type="dxa"/>
            <w:vAlign w:val="bottom"/>
            <w:tcBorders>
              <w:right w:val="single" w:sz="8" w:color="424E6A"/>
            </w:tcBorders>
            <w:shd w:val="clear" w:color="auto" w:fill="424E6A"/>
          </w:tcPr>
          <w:p>
            <w:pPr>
              <w:spacing w:after="0"/>
              <w:rPr>
                <w:sz w:val="21"/>
                <w:szCs w:val="21"/>
                <w:color w:val="auto"/>
              </w:rPr>
            </w:pPr>
          </w:p>
        </w:tc>
      </w:tr>
      <w:tr>
        <w:trPr>
          <w:trHeight w:val="212"/>
        </w:trPr>
        <w:tc>
          <w:tcPr>
            <w:tcW w:w="2160" w:type="dxa"/>
            <w:vAlign w:val="bottom"/>
            <w:tcBorders>
              <w:left w:val="single" w:sz="8" w:color="424E6A"/>
            </w:tcBorders>
            <w:shd w:val="clear" w:color="auto" w:fill="424E6A"/>
          </w:tcPr>
          <w:p>
            <w:pPr>
              <w:ind w:left="2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Title</w:t>
            </w:r>
          </w:p>
        </w:tc>
        <w:tc>
          <w:tcPr>
            <w:tcW w:w="2040" w:type="dxa"/>
            <w:vAlign w:val="bottom"/>
            <w:gridSpan w:val="2"/>
            <w:shd w:val="clear" w:color="auto" w:fill="424E6A"/>
          </w:tcPr>
          <w:p>
            <w:pPr>
              <w:jc w:val="center"/>
              <w:ind w:left="753"/>
              <w:spacing w:after="0"/>
              <w:rPr>
                <w:sz w:val="20"/>
                <w:szCs w:val="20"/>
                <w:color w:val="auto"/>
              </w:rPr>
            </w:pPr>
            <w:r>
              <w:rPr>
                <w:rFonts w:ascii="Arial" w:cs="Arial" w:eastAsia="Arial" w:hAnsi="Arial"/>
                <w:sz w:val="14"/>
                <w:szCs w:val="14"/>
                <w:b w:val="1"/>
                <w:bCs w:val="1"/>
                <w:color w:val="FFFFFF"/>
              </w:rPr>
              <w:t>​ ​</w:t>
            </w:r>
          </w:p>
        </w:tc>
        <w:tc>
          <w:tcPr>
            <w:tcW w:w="27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Annual Cash Retainer</w:t>
            </w:r>
          </w:p>
        </w:tc>
        <w:tc>
          <w:tcPr>
            <w:tcW w:w="560" w:type="dxa"/>
            <w:vAlign w:val="bottom"/>
            <w:tcBorders>
              <w:right w:val="single" w:sz="8" w:color="424E6A"/>
            </w:tcBorders>
            <w:shd w:val="clear" w:color="auto" w:fill="424E6A"/>
          </w:tcPr>
          <w:p>
            <w:pPr>
              <w:ind w:left="500"/>
              <w:spacing w:after="0"/>
              <w:rPr>
                <w:sz w:val="20"/>
                <w:szCs w:val="20"/>
                <w:color w:val="auto"/>
              </w:rPr>
            </w:pPr>
            <w:r>
              <w:rPr>
                <w:rFonts w:ascii="Arial" w:cs="Arial" w:eastAsia="Arial" w:hAnsi="Arial"/>
                <w:sz w:val="14"/>
                <w:szCs w:val="14"/>
                <w:b w:val="1"/>
                <w:bCs w:val="1"/>
                <w:color w:val="FFFFFF"/>
              </w:rPr>
              <w:t>​</w:t>
            </w:r>
          </w:p>
        </w:tc>
      </w:tr>
      <w:tr>
        <w:trPr>
          <w:trHeight w:val="256"/>
        </w:trPr>
        <w:tc>
          <w:tcPr>
            <w:tcW w:w="2160" w:type="dxa"/>
            <w:vAlign w:val="bottom"/>
            <w:tcBorders>
              <w:left w:val="single" w:sz="8" w:color="424E6A"/>
              <w:bottom w:val="single" w:sz="8" w:color="424E6A"/>
            </w:tcBorders>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CEO</w:t>
            </w:r>
          </w:p>
        </w:tc>
        <w:tc>
          <w:tcPr>
            <w:tcW w:w="1480" w:type="dxa"/>
            <w:vAlign w:val="bottom"/>
            <w:tcBorders>
              <w:bottom w:val="single" w:sz="8" w:color="424E6A"/>
              <w:right w:val="single" w:sz="8" w:color="424E6A"/>
            </w:tcBorders>
            <w:shd w:val="clear" w:color="auto" w:fill="D9DCE1"/>
          </w:tcPr>
          <w:p>
            <w:pPr>
              <w:jc w:val="center"/>
              <w:ind w:left="13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​6x</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r>
      <w:tr>
        <w:trPr>
          <w:trHeight w:val="250"/>
        </w:trPr>
        <w:tc>
          <w:tcPr>
            <w:tcW w:w="216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President</w:t>
            </w:r>
          </w:p>
        </w:tc>
        <w:tc>
          <w:tcPr>
            <w:tcW w:w="1480" w:type="dxa"/>
            <w:vAlign w:val="bottom"/>
            <w:tcBorders>
              <w:bottom w:val="single" w:sz="8" w:color="424E6A"/>
              <w:right w:val="single" w:sz="8" w:color="424E6A"/>
            </w:tcBorders>
          </w:tcPr>
          <w:p>
            <w:pPr>
              <w:jc w:val="center"/>
              <w:ind w:left="13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​5x</w:t>
            </w:r>
          </w:p>
        </w:tc>
        <w:tc>
          <w:tcPr>
            <w:tcW w:w="560" w:type="dxa"/>
            <w:vAlign w:val="bottom"/>
            <w:tcBorders>
              <w:bottom w:val="single" w:sz="8" w:color="424E6A"/>
              <w:right w:val="single" w:sz="8" w:color="424E6A"/>
            </w:tcBorders>
          </w:tcPr>
          <w:p>
            <w:pPr>
              <w:ind w:left="500"/>
              <w:spacing w:after="0"/>
              <w:rPr>
                <w:sz w:val="20"/>
                <w:szCs w:val="20"/>
                <w:color w:val="auto"/>
              </w:rPr>
            </w:pPr>
            <w:r>
              <w:rPr>
                <w:rFonts w:ascii="Arial" w:cs="Arial" w:eastAsia="Arial" w:hAnsi="Arial"/>
                <w:sz w:val="18"/>
                <w:szCs w:val="18"/>
                <w:color w:val="auto"/>
              </w:rPr>
              <w:t>​​</w:t>
            </w:r>
          </w:p>
        </w:tc>
      </w:tr>
      <w:tr>
        <w:trPr>
          <w:trHeight w:val="250"/>
        </w:trPr>
        <w:tc>
          <w:tcPr>
            <w:tcW w:w="216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EVP</w:t>
            </w:r>
          </w:p>
        </w:tc>
        <w:tc>
          <w:tcPr>
            <w:tcW w:w="1480" w:type="dxa"/>
            <w:vAlign w:val="bottom"/>
            <w:tcBorders>
              <w:bottom w:val="single" w:sz="8" w:color="424E6A"/>
              <w:right w:val="single" w:sz="8" w:color="424E6A"/>
            </w:tcBorders>
            <w:shd w:val="clear" w:color="auto" w:fill="D9DCE1"/>
          </w:tcPr>
          <w:p>
            <w:pPr>
              <w:jc w:val="center"/>
              <w:ind w:left="13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​3x</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r>
      <w:tr>
        <w:trPr>
          <w:trHeight w:val="250"/>
        </w:trPr>
        <w:tc>
          <w:tcPr>
            <w:tcW w:w="216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SVP</w:t>
            </w:r>
          </w:p>
        </w:tc>
        <w:tc>
          <w:tcPr>
            <w:tcW w:w="1480" w:type="dxa"/>
            <w:vAlign w:val="bottom"/>
            <w:tcBorders>
              <w:bottom w:val="single" w:sz="8" w:color="424E6A"/>
              <w:right w:val="single" w:sz="8" w:color="424E6A"/>
            </w:tcBorders>
          </w:tcPr>
          <w:p>
            <w:pPr>
              <w:jc w:val="center"/>
              <w:ind w:left="13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​1x</w:t>
            </w:r>
          </w:p>
        </w:tc>
        <w:tc>
          <w:tcPr>
            <w:tcW w:w="560" w:type="dxa"/>
            <w:vAlign w:val="bottom"/>
            <w:tcBorders>
              <w:bottom w:val="single" w:sz="8" w:color="424E6A"/>
              <w:right w:val="single" w:sz="8" w:color="424E6A"/>
            </w:tcBorders>
          </w:tcPr>
          <w:p>
            <w:pPr>
              <w:ind w:left="500"/>
              <w:spacing w:after="0"/>
              <w:rPr>
                <w:sz w:val="20"/>
                <w:szCs w:val="20"/>
                <w:color w:val="auto"/>
              </w:rPr>
            </w:pPr>
            <w:r>
              <w:rPr>
                <w:rFonts w:ascii="Arial" w:cs="Arial" w:eastAsia="Arial" w:hAnsi="Arial"/>
                <w:sz w:val="18"/>
                <w:szCs w:val="18"/>
                <w:color w:val="auto"/>
              </w:rPr>
              <w:t>​​</w:t>
            </w:r>
          </w:p>
        </w:tc>
      </w:tr>
      <w:tr>
        <w:trPr>
          <w:trHeight w:val="250"/>
        </w:trPr>
        <w:tc>
          <w:tcPr>
            <w:tcW w:w="216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Director</w:t>
            </w:r>
          </w:p>
        </w:tc>
        <w:tc>
          <w:tcPr>
            <w:tcW w:w="1480" w:type="dxa"/>
            <w:vAlign w:val="bottom"/>
            <w:tcBorders>
              <w:bottom w:val="single" w:sz="8" w:color="424E6A"/>
              <w:right w:val="single" w:sz="8" w:color="424E6A"/>
            </w:tcBorders>
            <w:shd w:val="clear" w:color="auto" w:fill="D9DCE1"/>
          </w:tcPr>
          <w:p>
            <w:pPr>
              <w:jc w:val="center"/>
              <w:ind w:left="13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​5x</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r>
    </w:tbl>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Executive officers and directors are expected to meet these guidelines within five years after the</w:t>
      </w:r>
    </w:p>
    <w:p>
      <w:pPr>
        <w:spacing w:after="0" w:line="14" w:lineRule="exact"/>
        <w:rPr>
          <w:sz w:val="20"/>
          <w:szCs w:val="20"/>
          <w:color w:val="auto"/>
        </w:rPr>
      </w:pPr>
    </w:p>
    <w:p>
      <w:pPr>
        <w:ind w:left="1260" w:right="719"/>
        <w:spacing w:after="0"/>
        <w:rPr>
          <w:sz w:val="20"/>
          <w:szCs w:val="20"/>
          <w:color w:val="auto"/>
        </w:rPr>
      </w:pPr>
      <w:r>
        <w:rPr>
          <w:rFonts w:ascii="Arial" w:cs="Arial" w:eastAsia="Arial" w:hAnsi="Arial"/>
          <w:sz w:val="17"/>
          <w:szCs w:val="17"/>
          <w:color w:val="auto"/>
        </w:rPr>
        <w:t>later of becoming subject to the guidelines or the date of adoption of the guidelines. The compliance date for current executive officers and directors is November 2025, except for Mr. McCarthy whose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compliance date is August 2026 and Ms. DeSanctis whose compliance date is August 2027. All current</w:t>
      </w:r>
    </w:p>
    <w:p>
      <w:pPr>
        <w:spacing w:after="0" w:line="7" w:lineRule="exact"/>
        <w:rPr>
          <w:sz w:val="20"/>
          <w:szCs w:val="20"/>
          <w:color w:val="auto"/>
        </w:rPr>
      </w:pPr>
    </w:p>
    <w:p>
      <w:pPr>
        <w:ind w:left="1260" w:right="579"/>
        <w:spacing w:after="0"/>
        <w:rPr>
          <w:sz w:val="20"/>
          <w:szCs w:val="20"/>
          <w:color w:val="auto"/>
        </w:rPr>
      </w:pPr>
      <w:r>
        <w:rPr>
          <w:rFonts w:ascii="Arial" w:cs="Arial" w:eastAsia="Arial" w:hAnsi="Arial"/>
          <w:sz w:val="17"/>
          <w:szCs w:val="17"/>
          <w:color w:val="auto"/>
        </w:rPr>
        <w:t>executive officers and directors are on track to meet the applicable guidelines on their respective compliance dates. Executive officers and directors are required to hold 100% of units/shares acquired</w:t>
      </w:r>
    </w:p>
    <w:p>
      <w:pPr>
        <w:spacing w:after="0" w:line="1" w:lineRule="exact"/>
        <w:rPr>
          <w:sz w:val="20"/>
          <w:szCs w:val="20"/>
          <w:color w:val="auto"/>
        </w:rPr>
      </w:pPr>
    </w:p>
    <w:p>
      <w:pPr>
        <w:ind w:left="1260" w:right="639"/>
        <w:spacing w:after="0" w:line="250" w:lineRule="auto"/>
        <w:rPr>
          <w:sz w:val="20"/>
          <w:szCs w:val="20"/>
          <w:color w:val="auto"/>
        </w:rPr>
      </w:pPr>
      <w:r>
        <w:rPr>
          <w:rFonts w:ascii="Arial" w:cs="Arial" w:eastAsia="Arial" w:hAnsi="Arial"/>
          <w:sz w:val="18"/>
          <w:szCs w:val="18"/>
          <w:color w:val="auto"/>
        </w:rPr>
        <w:t>upon vesting of phantom units or phantom shares until ownership guidelines are met (“hold until met” requirement).</w:t>
      </w:r>
    </w:p>
    <w:p>
      <w:pPr>
        <w:spacing w:after="0" w:line="91" w:lineRule="exact"/>
        <w:rPr>
          <w:sz w:val="20"/>
          <w:szCs w:val="20"/>
          <w:color w:val="auto"/>
        </w:rPr>
      </w:pPr>
    </w:p>
    <w:p>
      <w:pPr>
        <w:ind w:left="1260" w:right="619" w:firstLine="360"/>
        <w:spacing w:after="0" w:line="251" w:lineRule="auto"/>
        <w:rPr>
          <w:sz w:val="20"/>
          <w:szCs w:val="20"/>
          <w:color w:val="auto"/>
        </w:rPr>
      </w:pPr>
      <w:r>
        <w:rPr>
          <w:rFonts w:ascii="Arial" w:cs="Arial" w:eastAsia="Arial" w:hAnsi="Arial"/>
          <w:sz w:val="17"/>
          <w:szCs w:val="17"/>
          <w:i w:val="1"/>
          <w:iCs w:val="1"/>
          <w:color w:val="auto"/>
        </w:rPr>
        <w:t xml:space="preserve">Anti-Hedging and Pledging Policies. </w:t>
      </w:r>
      <w:r>
        <w:rPr>
          <w:rFonts w:ascii="Arial" w:cs="Arial" w:eastAsia="Arial" w:hAnsi="Arial"/>
          <w:sz w:val="17"/>
          <w:szCs w:val="17"/>
          <w:color w:val="auto"/>
        </w:rPr>
        <w:t>We have policies and procedures in place that prohibit our</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and officers, including our Named Executive Officers, from using puts, calls, options or other</w:t>
      </w:r>
    </w:p>
    <w:p>
      <w:pPr>
        <w:ind w:left="1260"/>
        <w:spacing w:after="0" w:line="235" w:lineRule="auto"/>
        <w:rPr>
          <w:sz w:val="20"/>
          <w:szCs w:val="20"/>
          <w:color w:val="auto"/>
        </w:rPr>
      </w:pPr>
      <w:r>
        <w:rPr>
          <w:rFonts w:ascii="Arial" w:cs="Arial" w:eastAsia="Arial" w:hAnsi="Arial"/>
          <w:sz w:val="18"/>
          <w:szCs w:val="18"/>
          <w:color w:val="auto"/>
        </w:rPr>
        <w:t>derivative securities to hedge the economic risk of their equity ownership in us, and from engaging in</w:t>
      </w:r>
    </w:p>
    <w:p>
      <w:pPr>
        <w:ind w:left="1260" w:right="679"/>
        <w:spacing w:after="0"/>
        <w:rPr>
          <w:sz w:val="20"/>
          <w:szCs w:val="20"/>
          <w:color w:val="auto"/>
        </w:rPr>
      </w:pPr>
      <w:r>
        <w:rPr>
          <w:rFonts w:ascii="Arial" w:cs="Arial" w:eastAsia="Arial" w:hAnsi="Arial"/>
          <w:sz w:val="17"/>
          <w:szCs w:val="17"/>
          <w:color w:val="auto"/>
        </w:rPr>
        <w:t>other types of hedging transactions, including prepaid variable forwards, equity swaps, collars and exchange funds. Our policies also prohibit pledging company securities or holding such securities as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marginable securities in a margin account.</w:t>
      </w:r>
    </w:p>
    <w:p>
      <w:pPr>
        <w:spacing w:after="0" w:line="12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i w:val="1"/>
          <w:iCs w:val="1"/>
          <w:color w:val="auto"/>
        </w:rPr>
        <w:t xml:space="preserve">Clawback Policy. </w:t>
      </w:r>
      <w:r>
        <w:rPr>
          <w:rFonts w:ascii="Arial" w:cs="Arial" w:eastAsia="Arial" w:hAnsi="Arial"/>
          <w:sz w:val="18"/>
          <w:szCs w:val="18"/>
          <w:color w:val="auto"/>
        </w:rPr>
        <w:t>In November 2020, the Board also adopted a Clawback Policy to further align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of our executive officers with the interests of our unitholders, incentivize appropriate behaviors and discourage excessive risk taking. The Clawback Policy covers all executive officers and includes the following clawback triggers and related recoveries:</w:t>
      </w:r>
    </w:p>
    <w:p>
      <w:pPr>
        <w:spacing w:after="0" w:line="62" w:lineRule="exact"/>
        <w:rPr>
          <w:sz w:val="20"/>
          <w:szCs w:val="20"/>
          <w:color w:val="auto"/>
        </w:rPr>
      </w:pPr>
    </w:p>
    <w:p>
      <w:pPr>
        <w:ind w:left="1800" w:right="619" w:hanging="180"/>
        <w:spacing w:after="0" w:line="268"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Fraud or intentional/unlawful conduct that contributes to a material financial restatement that results in over-payment of performance-based compensation (Company may seek recovery of any excess compensation awarded or paid); and</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439" w:hanging="180"/>
        <w:spacing w:after="0" w:line="262"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Detrimental conduct that results in significant financial, reputational or other harm to the Company (Company may seek recovery or forfeiture of any performance-based compensation or unvested time-based equity awards granted or paid during the 3-year period prior to discovery of the misconduct).</w:t>
      </w:r>
    </w:p>
    <w:p>
      <w:pPr>
        <w:spacing w:after="0" w:line="109" w:lineRule="exact"/>
        <w:rPr>
          <w:sz w:val="20"/>
          <w:szCs w:val="20"/>
          <w:color w:val="auto"/>
        </w:rPr>
      </w:pPr>
    </w:p>
    <w:p>
      <w:pPr>
        <w:ind w:left="1260" w:right="579" w:firstLine="360"/>
        <w:spacing w:after="0" w:line="276" w:lineRule="auto"/>
        <w:rPr>
          <w:sz w:val="20"/>
          <w:szCs w:val="20"/>
          <w:color w:val="auto"/>
        </w:rPr>
      </w:pPr>
      <w:r>
        <w:rPr>
          <w:rFonts w:ascii="Arial" w:cs="Arial" w:eastAsia="Arial" w:hAnsi="Arial"/>
          <w:sz w:val="17"/>
          <w:szCs w:val="17"/>
          <w:i w:val="1"/>
          <w:iCs w:val="1"/>
          <w:color w:val="auto"/>
        </w:rPr>
        <w:t xml:space="preserve">Change in Control Triggers. </w:t>
      </w:r>
      <w:r>
        <w:rPr>
          <w:rFonts w:ascii="Arial" w:cs="Arial" w:eastAsia="Arial" w:hAnsi="Arial"/>
          <w:sz w:val="17"/>
          <w:szCs w:val="17"/>
          <w:color w:val="auto"/>
        </w:rPr>
        <w:t>Our long-term incentive plan grants provide for accelerated vesting</w:t>
      </w:r>
      <w:r>
        <w:rPr>
          <w:rFonts w:ascii="Arial" w:cs="Arial" w:eastAsia="Arial" w:hAnsi="Arial"/>
          <w:sz w:val="17"/>
          <w:szCs w:val="17"/>
          <w:i w:val="1"/>
          <w:iCs w:val="1"/>
          <w:color w:val="auto"/>
        </w:rPr>
        <w:t xml:space="preserve"> </w:t>
      </w:r>
      <w:r>
        <w:rPr>
          <w:rFonts w:ascii="Arial" w:cs="Arial" w:eastAsia="Arial" w:hAnsi="Arial"/>
          <w:sz w:val="17"/>
          <w:szCs w:val="17"/>
          <w:color w:val="auto"/>
        </w:rPr>
        <w:t>upon a change of control (as defined in such agreements), but such vesting becomes operative only if</w:t>
      </w:r>
    </w:p>
    <w:p>
      <w:pPr>
        <w:ind w:left="1260" w:right="439"/>
        <w:spacing w:after="0" w:line="250" w:lineRule="auto"/>
        <w:rPr>
          <w:sz w:val="20"/>
          <w:szCs w:val="20"/>
          <w:color w:val="auto"/>
        </w:rPr>
      </w:pPr>
      <w:r>
        <w:rPr>
          <w:rFonts w:ascii="Arial" w:cs="Arial" w:eastAsia="Arial" w:hAnsi="Arial"/>
          <w:sz w:val="18"/>
          <w:szCs w:val="18"/>
          <w:color w:val="auto"/>
        </w:rPr>
        <w:t>the change in control is accompanied by a “change in status” (which​ includes the termination of employment by GP LLC without cause and certain other circumstances involving a voluntary separation or retirement). We believe this “double trigger” arrangement is appropriate because it</w:t>
      </w:r>
    </w:p>
    <w:p>
      <w:pPr>
        <w:spacing w:after="0" w:line="1"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provides assurance to the executive, but does not offer a windfall to the executive when there has been no real change in employment status. In addition, the provisions in Mr. Pefanis’ legacy employment agreement provide for a severance payment if he terminates employment within three months following a change in control. Mr. Pefanis agreed to a conditional waiver of these provisions with respect to all prior qualifying transactions. See “— Potential Payments Upon Termination or Change-in-Control.” The provision of severance or equity acceleration for certain terminations and change of control transactions helps to create a retention tool by assuring the executive that the benefit of the employment arrangement will be at least partially realized despite the occurrence of an event that could materially alter the employment arrangement.</w:t>
      </w:r>
    </w:p>
    <w:p>
      <w:pPr>
        <w:spacing w:after="0" w:line="118"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Code, we are a limited partnership and do not fall within the definition of a “corporation” under Section 162(m).</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144"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targeted performance thresholds. For us, such risks would primarily attach to certain commercial merchant activities as well as to the execution of investment capital projects and acquisitions and the realization of associated returns.</w:t>
      </w:r>
    </w:p>
    <w:p>
      <w:pPr>
        <w:spacing w:after="0" w:line="117" w:lineRule="exact"/>
        <w:rPr>
          <w:sz w:val="20"/>
          <w:szCs w:val="20"/>
          <w:color w:val="auto"/>
        </w:rPr>
      </w:pPr>
    </w:p>
    <w:p>
      <w:pPr>
        <w:ind w:left="1260" w:right="499" w:firstLine="360"/>
        <w:spacing w:after="0" w:line="282" w:lineRule="auto"/>
        <w:rPr>
          <w:sz w:val="20"/>
          <w:szCs w:val="20"/>
          <w:color w:val="auto"/>
        </w:rPr>
      </w:pPr>
      <w:r>
        <w:rPr>
          <w:rFonts w:ascii="Arial" w:cs="Arial" w:eastAsia="Arial" w:hAnsi="Arial"/>
          <w:sz w:val="17"/>
          <w:szCs w:val="17"/>
          <w:color w:val="auto"/>
        </w:rPr>
        <w:t>From a risk management perspective, our policy is to conduct our commercial activities within pre-defined risk parameters that are closely monitored and are structured in a manner intended to control and minimize the potential for unwarranted risk-taking. We also routinely monitor and measure the execution and performance of investment capital projects and acquisitions relative to expectations.</w:t>
      </w:r>
    </w:p>
    <w:p>
      <w:pPr>
        <w:spacing w:after="0" w:line="94"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Our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our risk management policies and practices or of our Code of Business Conduct. In addition, the vesting criteria for long-term incentive awards are typically based on the passage of time and performance thresholds associated with achieving specified long-term financial goals. Also, the fact that we utilize a variety of metrics in connection with our incentive arrangements (both short and long term), including a leverage modifier in the case of our long-term incentive plan grants, provides a structural mitigant against excessive risk taking to achieve performance targets.</w:t>
      </w:r>
    </w:p>
    <w:p>
      <w:pPr>
        <w:spacing w:after="0" w:line="10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In combination with our risk-management practices and the processes employed by the Compensation Committee and the Board, we believe there is an adequate level of oversight with respect to the degree of risk being taken by management to achieve short- and long-term performance goals and we believe that risks arising from our compensation policies and practices for employees are not reasonably likely to have a material adverse effect on us.</w:t>
      </w: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58" w:lineRule="exact"/>
        <w:rPr>
          <w:sz w:val="20"/>
          <w:szCs w:val="20"/>
          <w:color w:val="auto"/>
        </w:rPr>
      </w:pPr>
    </w:p>
    <w:p>
      <w:pPr>
        <w:jc w:val="both"/>
        <w:ind w:left="1260" w:right="559" w:firstLine="360"/>
        <w:spacing w:after="0" w:line="252" w:lineRule="auto"/>
        <w:rPr>
          <w:sz w:val="20"/>
          <w:szCs w:val="20"/>
          <w:color w:val="auto"/>
        </w:rPr>
      </w:pPr>
      <w:r>
        <w:rPr>
          <w:rFonts w:ascii="Arial" w:cs="Arial" w:eastAsia="Arial" w:hAnsi="Arial"/>
          <w:sz w:val="18"/>
          <w:szCs w:val="18"/>
          <w:color w:val="auto"/>
        </w:rPr>
        <w:t>The following table sets forth certain compensation information for our Named Executive Officers. As a result of his request to not participate in the 2022 long-term incentive program, Mr. Pefanis is not one of our three most highly compensated executive officers for 2022, but he has been included as a Named Executive Officer given the significance of his role as President of Plains.</w:t>
      </w:r>
    </w:p>
    <w:p>
      <w:pPr>
        <w:spacing w:after="0" w:line="162"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40" w:type="dxa"/>
            <w:vAlign w:val="bottom"/>
            <w:tcBorders>
              <w:left w:val="single" w:sz="8" w:color="424E6A"/>
            </w:tcBorders>
            <w:shd w:val="clear" w:color="auto" w:fill="424E6A"/>
          </w:tcPr>
          <w:p>
            <w:pPr>
              <w:spacing w:after="0"/>
              <w:rPr>
                <w:sz w:val="21"/>
                <w:szCs w:val="21"/>
                <w:color w:val="auto"/>
              </w:rPr>
            </w:pPr>
          </w:p>
        </w:tc>
        <w:tc>
          <w:tcPr>
            <w:tcW w:w="2400" w:type="dxa"/>
            <w:vAlign w:val="bottom"/>
            <w:tcBorders>
              <w:right w:val="single" w:sz="8" w:color="424E6A"/>
            </w:tcBorders>
            <w:shd w:val="clear" w:color="auto" w:fill="424E6A"/>
          </w:tcPr>
          <w:p>
            <w:pPr>
              <w:spacing w:after="0"/>
              <w:rPr>
                <w:sz w:val="21"/>
                <w:szCs w:val="21"/>
                <w:color w:val="auto"/>
              </w:rPr>
            </w:pPr>
          </w:p>
        </w:tc>
        <w:tc>
          <w:tcPr>
            <w:tcW w:w="560" w:type="dxa"/>
            <w:vAlign w:val="bottom"/>
            <w:tcBorders>
              <w:right w:val="single" w:sz="8" w:color="424E6A"/>
            </w:tcBorders>
            <w:shd w:val="clear" w:color="auto" w:fill="424E6A"/>
          </w:tcPr>
          <w:p>
            <w:pPr>
              <w:spacing w:after="0"/>
              <w:rPr>
                <w:sz w:val="21"/>
                <w:szCs w:val="21"/>
                <w:color w:val="auto"/>
              </w:rPr>
            </w:pPr>
          </w:p>
        </w:tc>
        <w:tc>
          <w:tcPr>
            <w:tcW w:w="780" w:type="dxa"/>
            <w:vAlign w:val="bottom"/>
            <w:tcBorders>
              <w:right w:val="single" w:sz="8" w:color="424E6A"/>
            </w:tcBorders>
            <w:shd w:val="clear" w:color="auto" w:fill="424E6A"/>
          </w:tcPr>
          <w:p>
            <w:pPr>
              <w:spacing w:after="0"/>
              <w:rPr>
                <w:sz w:val="21"/>
                <w:szCs w:val="21"/>
                <w:color w:val="auto"/>
              </w:rPr>
            </w:pPr>
          </w:p>
        </w:tc>
        <w:tc>
          <w:tcPr>
            <w:tcW w:w="160" w:type="dxa"/>
            <w:vAlign w:val="bottom"/>
            <w:shd w:val="clear" w:color="auto" w:fill="424E6A"/>
          </w:tcPr>
          <w:p>
            <w:pPr>
              <w:spacing w:after="0"/>
              <w:rPr>
                <w:sz w:val="21"/>
                <w:szCs w:val="21"/>
                <w:color w:val="auto"/>
              </w:rPr>
            </w:pPr>
          </w:p>
        </w:tc>
        <w:tc>
          <w:tcPr>
            <w:tcW w:w="700" w:type="dxa"/>
            <w:vAlign w:val="bottom"/>
            <w:shd w:val="clear" w:color="auto" w:fill="424E6A"/>
          </w:tcPr>
          <w:p>
            <w:pPr>
              <w:spacing w:after="0"/>
              <w:rPr>
                <w:sz w:val="21"/>
                <w:szCs w:val="21"/>
                <w:color w:val="auto"/>
              </w:rPr>
            </w:pPr>
          </w:p>
        </w:tc>
        <w:tc>
          <w:tcPr>
            <w:tcW w:w="80" w:type="dxa"/>
            <w:vAlign w:val="bottom"/>
            <w:tcBorders>
              <w:righ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1000" w:type="dxa"/>
            <w:vAlign w:val="bottom"/>
            <w:gridSpan w:val="2"/>
            <w:shd w:val="clear" w:color="auto" w:fill="424E6A"/>
          </w:tcPr>
          <w:p>
            <w:pPr>
              <w:jc w:val="right"/>
              <w:ind w:right="42"/>
              <w:spacing w:after="0"/>
              <w:rPr>
                <w:sz w:val="20"/>
                <w:szCs w:val="20"/>
                <w:color w:val="auto"/>
              </w:rPr>
            </w:pPr>
            <w:r>
              <w:rPr>
                <w:rFonts w:ascii="Arial" w:cs="Arial" w:eastAsia="Arial" w:hAnsi="Arial"/>
                <w:sz w:val="14"/>
                <w:szCs w:val="14"/>
                <w:b w:val="1"/>
                <w:bCs w:val="1"/>
                <w:color w:val="FFFFFF"/>
              </w:rPr>
              <w:t>Non-Equity</w:t>
            </w:r>
          </w:p>
        </w:tc>
        <w:tc>
          <w:tcPr>
            <w:tcW w:w="140" w:type="dxa"/>
            <w:vAlign w:val="bottom"/>
            <w:tcBorders>
              <w:righ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1020" w:type="dxa"/>
            <w:vAlign w:val="bottom"/>
            <w:shd w:val="clear" w:color="auto" w:fill="424E6A"/>
          </w:tcPr>
          <w:p>
            <w:pPr>
              <w:spacing w:after="0"/>
              <w:rPr>
                <w:sz w:val="21"/>
                <w:szCs w:val="21"/>
                <w:color w:val="auto"/>
              </w:rPr>
            </w:pPr>
          </w:p>
        </w:tc>
        <w:tc>
          <w:tcPr>
            <w:tcW w:w="120" w:type="dxa"/>
            <w:vAlign w:val="bottom"/>
            <w:tcBorders>
              <w:right w:val="single" w:sz="8" w:color="424E6A"/>
            </w:tcBorders>
            <w:shd w:val="clear" w:color="auto" w:fill="424E6A"/>
          </w:tcPr>
          <w:p>
            <w:pPr>
              <w:spacing w:after="0"/>
              <w:rPr>
                <w:sz w:val="21"/>
                <w:szCs w:val="21"/>
                <w:color w:val="auto"/>
              </w:rPr>
            </w:pPr>
          </w:p>
        </w:tc>
        <w:tc>
          <w:tcPr>
            <w:tcW w:w="220" w:type="dxa"/>
            <w:vAlign w:val="bottom"/>
            <w:shd w:val="clear" w:color="auto" w:fill="424E6A"/>
          </w:tcPr>
          <w:p>
            <w:pPr>
              <w:spacing w:after="0"/>
              <w:rPr>
                <w:sz w:val="21"/>
                <w:szCs w:val="21"/>
                <w:color w:val="auto"/>
              </w:rPr>
            </w:pPr>
          </w:p>
        </w:tc>
        <w:tc>
          <w:tcPr>
            <w:tcW w:w="700" w:type="dxa"/>
            <w:vAlign w:val="bottom"/>
            <w:tcBorders>
              <w:right w:val="single" w:sz="8" w:color="424E6A"/>
            </w:tcBorders>
            <w:shd w:val="clear" w:color="auto" w:fill="424E6A"/>
          </w:tcPr>
          <w:p>
            <w:pPr>
              <w:spacing w:after="0"/>
              <w:rPr>
                <w:sz w:val="21"/>
                <w:szCs w:val="21"/>
                <w:color w:val="auto"/>
              </w:rPr>
            </w:pPr>
          </w:p>
        </w:tc>
      </w:tr>
      <w:tr>
        <w:trPr>
          <w:trHeight w:val="162"/>
        </w:trPr>
        <w:tc>
          <w:tcPr>
            <w:tcW w:w="140" w:type="dxa"/>
            <w:vAlign w:val="bottom"/>
            <w:tcBorders>
              <w:left w:val="single" w:sz="8" w:color="424E6A"/>
            </w:tcBorders>
            <w:shd w:val="clear" w:color="auto" w:fill="424E6A"/>
          </w:tcPr>
          <w:p>
            <w:pPr>
              <w:spacing w:after="0"/>
              <w:rPr>
                <w:sz w:val="14"/>
                <w:szCs w:val="14"/>
                <w:color w:val="auto"/>
              </w:rPr>
            </w:pPr>
          </w:p>
        </w:tc>
        <w:tc>
          <w:tcPr>
            <w:tcW w:w="2400" w:type="dxa"/>
            <w:vAlign w:val="bottom"/>
            <w:tcBorders>
              <w:right w:val="single" w:sz="8" w:color="424E6A"/>
            </w:tcBorders>
            <w:shd w:val="clear" w:color="auto" w:fill="424E6A"/>
          </w:tcPr>
          <w:p>
            <w:pPr>
              <w:spacing w:after="0"/>
              <w:rPr>
                <w:sz w:val="14"/>
                <w:szCs w:val="14"/>
                <w:color w:val="auto"/>
              </w:rPr>
            </w:pPr>
          </w:p>
        </w:tc>
        <w:tc>
          <w:tcPr>
            <w:tcW w:w="560" w:type="dxa"/>
            <w:vAlign w:val="bottom"/>
            <w:tcBorders>
              <w:right w:val="single" w:sz="8" w:color="424E6A"/>
            </w:tcBorders>
            <w:shd w:val="clear" w:color="auto" w:fill="424E6A"/>
          </w:tcPr>
          <w:p>
            <w:pPr>
              <w:spacing w:after="0"/>
              <w:rPr>
                <w:sz w:val="14"/>
                <w:szCs w:val="14"/>
                <w:color w:val="auto"/>
              </w:rPr>
            </w:pPr>
          </w:p>
        </w:tc>
        <w:tc>
          <w:tcPr>
            <w:tcW w:w="7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700" w:type="dxa"/>
            <w:vAlign w:val="bottom"/>
            <w:shd w:val="clear" w:color="auto" w:fill="424E6A"/>
          </w:tcPr>
          <w:p>
            <w:pPr>
              <w:spacing w:after="0"/>
              <w:rPr>
                <w:sz w:val="14"/>
                <w:szCs w:val="14"/>
                <w:color w:val="auto"/>
              </w:rPr>
            </w:pPr>
          </w:p>
        </w:tc>
        <w:tc>
          <w:tcPr>
            <w:tcW w:w="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820" w:type="dxa"/>
            <w:vAlign w:val="bottom"/>
            <w:shd w:val="clear" w:color="auto" w:fill="424E6A"/>
          </w:tcPr>
          <w:p>
            <w:pPr>
              <w:jc w:val="center"/>
              <w:ind w:right="122"/>
              <w:spacing w:after="0"/>
              <w:rPr>
                <w:sz w:val="20"/>
                <w:szCs w:val="20"/>
                <w:color w:val="auto"/>
              </w:rPr>
            </w:pPr>
            <w:r>
              <w:rPr>
                <w:rFonts w:ascii="Arial" w:cs="Arial" w:eastAsia="Arial" w:hAnsi="Arial"/>
                <w:sz w:val="14"/>
                <w:szCs w:val="14"/>
                <w:b w:val="1"/>
                <w:bCs w:val="1"/>
                <w:color w:val="FFFFFF"/>
              </w:rPr>
              <w:t>Incentive</w:t>
            </w:r>
          </w:p>
        </w:tc>
        <w:tc>
          <w:tcPr>
            <w:tcW w:w="1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00" w:type="dxa"/>
            <w:vAlign w:val="bottom"/>
            <w:tcBorders>
              <w:right w:val="single" w:sz="8" w:color="424E6A"/>
            </w:tcBorders>
            <w:shd w:val="clear" w:color="auto" w:fill="424E6A"/>
          </w:tcPr>
          <w:p>
            <w:pPr>
              <w:spacing w:after="0"/>
              <w:rPr>
                <w:sz w:val="14"/>
                <w:szCs w:val="14"/>
                <w:color w:val="auto"/>
              </w:rPr>
            </w:pPr>
          </w:p>
        </w:tc>
      </w:tr>
      <w:tr>
        <w:trPr>
          <w:trHeight w:val="162"/>
        </w:trPr>
        <w:tc>
          <w:tcPr>
            <w:tcW w:w="140" w:type="dxa"/>
            <w:vAlign w:val="bottom"/>
            <w:tcBorders>
              <w:left w:val="single" w:sz="8" w:color="424E6A"/>
            </w:tcBorders>
            <w:shd w:val="clear" w:color="auto" w:fill="424E6A"/>
          </w:tcPr>
          <w:p>
            <w:pPr>
              <w:spacing w:after="0"/>
              <w:rPr>
                <w:sz w:val="14"/>
                <w:szCs w:val="14"/>
                <w:color w:val="auto"/>
              </w:rPr>
            </w:pPr>
          </w:p>
        </w:tc>
        <w:tc>
          <w:tcPr>
            <w:tcW w:w="2400" w:type="dxa"/>
            <w:vAlign w:val="bottom"/>
            <w:tcBorders>
              <w:right w:val="single" w:sz="8" w:color="424E6A"/>
            </w:tcBorders>
            <w:shd w:val="clear" w:color="auto" w:fill="424E6A"/>
          </w:tcPr>
          <w:p>
            <w:pPr>
              <w:spacing w:after="0"/>
              <w:rPr>
                <w:sz w:val="14"/>
                <w:szCs w:val="14"/>
                <w:color w:val="auto"/>
              </w:rPr>
            </w:pPr>
          </w:p>
        </w:tc>
        <w:tc>
          <w:tcPr>
            <w:tcW w:w="560" w:type="dxa"/>
            <w:vAlign w:val="bottom"/>
            <w:tcBorders>
              <w:right w:val="single" w:sz="8" w:color="424E6A"/>
            </w:tcBorders>
            <w:shd w:val="clear" w:color="auto" w:fill="424E6A"/>
          </w:tcPr>
          <w:p>
            <w:pPr>
              <w:spacing w:after="0"/>
              <w:rPr>
                <w:sz w:val="14"/>
                <w:szCs w:val="14"/>
                <w:color w:val="auto"/>
              </w:rPr>
            </w:pPr>
          </w:p>
        </w:tc>
        <w:tc>
          <w:tcPr>
            <w:tcW w:w="7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700" w:type="dxa"/>
            <w:vAlign w:val="bottom"/>
            <w:shd w:val="clear" w:color="auto" w:fill="424E6A"/>
          </w:tcPr>
          <w:p>
            <w:pPr>
              <w:ind w:left="80"/>
              <w:spacing w:after="0"/>
              <w:rPr>
                <w:sz w:val="20"/>
                <w:szCs w:val="20"/>
                <w:color w:val="auto"/>
              </w:rPr>
            </w:pPr>
            <w:r>
              <w:rPr>
                <w:rFonts w:ascii="Arial" w:cs="Arial" w:eastAsia="Arial" w:hAnsi="Arial"/>
                <w:sz w:val="14"/>
                <w:szCs w:val="14"/>
                <w:b w:val="1"/>
                <w:bCs w:val="1"/>
                <w:color w:val="FFFFFF"/>
              </w:rPr>
              <w:t>Stock</w:t>
            </w:r>
          </w:p>
        </w:tc>
        <w:tc>
          <w:tcPr>
            <w:tcW w:w="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820" w:type="dxa"/>
            <w:vAlign w:val="bottom"/>
            <w:shd w:val="clear" w:color="auto" w:fill="424E6A"/>
          </w:tcPr>
          <w:p>
            <w:pPr>
              <w:jc w:val="center"/>
              <w:ind w:right="122"/>
              <w:spacing w:after="0"/>
              <w:rPr>
                <w:sz w:val="20"/>
                <w:szCs w:val="20"/>
                <w:color w:val="auto"/>
              </w:rPr>
            </w:pPr>
            <w:r>
              <w:rPr>
                <w:rFonts w:ascii="Arial" w:cs="Arial" w:eastAsia="Arial" w:hAnsi="Arial"/>
                <w:sz w:val="14"/>
                <w:szCs w:val="14"/>
                <w:b w:val="1"/>
                <w:bCs w:val="1"/>
                <w:color w:val="FFFFFF"/>
              </w:rPr>
              <w:t>Plan</w:t>
            </w:r>
          </w:p>
        </w:tc>
        <w:tc>
          <w:tcPr>
            <w:tcW w:w="1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All Other</w:t>
            </w:r>
          </w:p>
        </w:tc>
        <w:tc>
          <w:tcPr>
            <w:tcW w:w="12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00" w:type="dxa"/>
            <w:vAlign w:val="bottom"/>
            <w:tcBorders>
              <w:right w:val="single" w:sz="8" w:color="424E6A"/>
            </w:tcBorders>
            <w:shd w:val="clear" w:color="auto" w:fill="424E6A"/>
          </w:tcPr>
          <w:p>
            <w:pPr>
              <w:spacing w:after="0"/>
              <w:rPr>
                <w:sz w:val="14"/>
                <w:szCs w:val="14"/>
                <w:color w:val="auto"/>
              </w:rPr>
            </w:pPr>
          </w:p>
        </w:tc>
      </w:tr>
      <w:tr>
        <w:trPr>
          <w:trHeight w:val="149"/>
        </w:trPr>
        <w:tc>
          <w:tcPr>
            <w:tcW w:w="2540" w:type="dxa"/>
            <w:vAlign w:val="bottom"/>
            <w:tcBorders>
              <w:left w:val="single" w:sz="8" w:color="424E6A"/>
              <w:right w:val="single" w:sz="8" w:color="424E6A"/>
            </w:tcBorders>
            <w:gridSpan w:val="2"/>
            <w:shd w:val="clear" w:color="auto" w:fill="424E6A"/>
          </w:tcPr>
          <w:p>
            <w:pPr>
              <w:ind w:left="60"/>
              <w:spacing w:after="0" w:line="149" w:lineRule="exact"/>
              <w:rPr>
                <w:sz w:val="20"/>
                <w:szCs w:val="20"/>
                <w:color w:val="auto"/>
              </w:rPr>
            </w:pPr>
            <w:r>
              <w:rPr>
                <w:rFonts w:ascii="Arial" w:cs="Arial" w:eastAsia="Arial" w:hAnsi="Arial"/>
                <w:sz w:val="14"/>
                <w:szCs w:val="14"/>
                <w:b w:val="1"/>
                <w:bCs w:val="1"/>
                <w:color w:val="FFFFFF"/>
              </w:rPr>
              <w:t>Name and Current Principal</w:t>
            </w:r>
          </w:p>
        </w:tc>
        <w:tc>
          <w:tcPr>
            <w:tcW w:w="560" w:type="dxa"/>
            <w:vAlign w:val="bottom"/>
            <w:tcBorders>
              <w:right w:val="single" w:sz="8" w:color="424E6A"/>
            </w:tcBorders>
            <w:shd w:val="clear" w:color="auto" w:fill="424E6A"/>
          </w:tcPr>
          <w:p>
            <w:pPr>
              <w:spacing w:after="0"/>
              <w:rPr>
                <w:sz w:val="12"/>
                <w:szCs w:val="12"/>
                <w:color w:val="auto"/>
              </w:rPr>
            </w:pPr>
          </w:p>
        </w:tc>
        <w:tc>
          <w:tcPr>
            <w:tcW w:w="780" w:type="dxa"/>
            <w:vAlign w:val="bottom"/>
            <w:tcBorders>
              <w:right w:val="single" w:sz="8" w:color="424E6A"/>
            </w:tcBorders>
            <w:shd w:val="clear" w:color="auto" w:fill="424E6A"/>
          </w:tcPr>
          <w:p>
            <w:pPr>
              <w:ind w:left="140"/>
              <w:spacing w:after="0" w:line="149" w:lineRule="exact"/>
              <w:rPr>
                <w:sz w:val="20"/>
                <w:szCs w:val="20"/>
                <w:color w:val="auto"/>
              </w:rPr>
            </w:pPr>
            <w:r>
              <w:rPr>
                <w:rFonts w:ascii="Arial" w:cs="Arial" w:eastAsia="Arial" w:hAnsi="Arial"/>
                <w:sz w:val="14"/>
                <w:szCs w:val="14"/>
                <w:b w:val="1"/>
                <w:bCs w:val="1"/>
                <w:color w:val="FFFFFF"/>
              </w:rPr>
              <w:t>Salary</w:t>
            </w:r>
          </w:p>
        </w:tc>
        <w:tc>
          <w:tcPr>
            <w:tcW w:w="160" w:type="dxa"/>
            <w:vAlign w:val="bottom"/>
            <w:shd w:val="clear" w:color="auto" w:fill="424E6A"/>
          </w:tcPr>
          <w:p>
            <w:pPr>
              <w:spacing w:after="0"/>
              <w:rPr>
                <w:sz w:val="12"/>
                <w:szCs w:val="12"/>
                <w:color w:val="auto"/>
              </w:rPr>
            </w:pPr>
          </w:p>
        </w:tc>
        <w:tc>
          <w:tcPr>
            <w:tcW w:w="700" w:type="dxa"/>
            <w:vAlign w:val="bottom"/>
            <w:shd w:val="clear" w:color="auto" w:fill="424E6A"/>
          </w:tcPr>
          <w:p>
            <w:pPr>
              <w:ind w:left="20"/>
              <w:spacing w:after="0" w:line="149" w:lineRule="exact"/>
              <w:rPr>
                <w:sz w:val="20"/>
                <w:szCs w:val="20"/>
                <w:color w:val="auto"/>
              </w:rPr>
            </w:pPr>
            <w:r>
              <w:rPr>
                <w:rFonts w:ascii="Arial" w:cs="Arial" w:eastAsia="Arial" w:hAnsi="Arial"/>
                <w:sz w:val="14"/>
                <w:szCs w:val="14"/>
                <w:b w:val="1"/>
                <w:bCs w:val="1"/>
                <w:color w:val="FFFFFF"/>
              </w:rPr>
              <w:t>Awards</w:t>
            </w:r>
          </w:p>
        </w:tc>
        <w:tc>
          <w:tcPr>
            <w:tcW w:w="80" w:type="dxa"/>
            <w:vAlign w:val="bottom"/>
            <w:tcBorders>
              <w:right w:val="single" w:sz="8" w:color="424E6A"/>
            </w:tcBorders>
            <w:shd w:val="clear" w:color="auto" w:fill="424E6A"/>
          </w:tcPr>
          <w:p>
            <w:pPr>
              <w:spacing w:after="0"/>
              <w:rPr>
                <w:sz w:val="12"/>
                <w:szCs w:val="12"/>
                <w:color w:val="auto"/>
              </w:rPr>
            </w:pPr>
          </w:p>
        </w:tc>
        <w:tc>
          <w:tcPr>
            <w:tcW w:w="100" w:type="dxa"/>
            <w:vAlign w:val="bottom"/>
            <w:shd w:val="clear" w:color="auto" w:fill="424E6A"/>
          </w:tcPr>
          <w:p>
            <w:pPr>
              <w:spacing w:after="0"/>
              <w:rPr>
                <w:sz w:val="12"/>
                <w:szCs w:val="12"/>
                <w:color w:val="auto"/>
              </w:rPr>
            </w:pPr>
          </w:p>
        </w:tc>
        <w:tc>
          <w:tcPr>
            <w:tcW w:w="1000" w:type="dxa"/>
            <w:vAlign w:val="bottom"/>
            <w:gridSpan w:val="2"/>
            <w:shd w:val="clear" w:color="auto" w:fill="424E6A"/>
          </w:tcPr>
          <w:p>
            <w:pPr>
              <w:jc w:val="center"/>
              <w:spacing w:after="0" w:line="149" w:lineRule="exact"/>
              <w:rPr>
                <w:sz w:val="20"/>
                <w:szCs w:val="20"/>
                <w:color w:val="auto"/>
              </w:rPr>
            </w:pPr>
            <w:r>
              <w:rPr>
                <w:rFonts w:ascii="Arial" w:cs="Arial" w:eastAsia="Arial" w:hAnsi="Arial"/>
                <w:sz w:val="14"/>
                <w:szCs w:val="14"/>
                <w:b w:val="1"/>
                <w:bCs w:val="1"/>
                <w:color w:val="FFFFFF"/>
              </w:rPr>
              <w:t>Compensation</w:t>
            </w:r>
          </w:p>
        </w:tc>
        <w:tc>
          <w:tcPr>
            <w:tcW w:w="140" w:type="dxa"/>
            <w:vAlign w:val="bottom"/>
            <w:tcBorders>
              <w:right w:val="single" w:sz="8" w:color="424E6A"/>
            </w:tcBorders>
            <w:shd w:val="clear" w:color="auto" w:fill="424E6A"/>
          </w:tcPr>
          <w:p>
            <w:pPr>
              <w:spacing w:after="0"/>
              <w:rPr>
                <w:sz w:val="12"/>
                <w:szCs w:val="12"/>
                <w:color w:val="auto"/>
              </w:rPr>
            </w:pPr>
          </w:p>
        </w:tc>
        <w:tc>
          <w:tcPr>
            <w:tcW w:w="100" w:type="dxa"/>
            <w:vAlign w:val="bottom"/>
            <w:shd w:val="clear" w:color="auto" w:fill="424E6A"/>
          </w:tcPr>
          <w:p>
            <w:pPr>
              <w:spacing w:after="0"/>
              <w:rPr>
                <w:sz w:val="12"/>
                <w:szCs w:val="12"/>
                <w:color w:val="auto"/>
              </w:rPr>
            </w:pPr>
          </w:p>
        </w:tc>
        <w:tc>
          <w:tcPr>
            <w:tcW w:w="1020" w:type="dxa"/>
            <w:vAlign w:val="bottom"/>
            <w:shd w:val="clear" w:color="auto" w:fill="424E6A"/>
          </w:tcPr>
          <w:p>
            <w:pPr>
              <w:jc w:val="center"/>
              <w:spacing w:after="0" w:line="149" w:lineRule="exact"/>
              <w:rPr>
                <w:sz w:val="20"/>
                <w:szCs w:val="20"/>
                <w:color w:val="auto"/>
              </w:rPr>
            </w:pPr>
            <w:r>
              <w:rPr>
                <w:rFonts w:ascii="Arial" w:cs="Arial" w:eastAsia="Arial" w:hAnsi="Arial"/>
                <w:sz w:val="14"/>
                <w:szCs w:val="14"/>
                <w:b w:val="1"/>
                <w:bCs w:val="1"/>
                <w:color w:val="FFFFFF"/>
              </w:rPr>
              <w:t>Compensation</w:t>
            </w:r>
          </w:p>
        </w:tc>
        <w:tc>
          <w:tcPr>
            <w:tcW w:w="120" w:type="dxa"/>
            <w:vAlign w:val="bottom"/>
            <w:tcBorders>
              <w:right w:val="single" w:sz="8" w:color="424E6A"/>
            </w:tcBorders>
            <w:shd w:val="clear" w:color="auto" w:fill="424E6A"/>
          </w:tcPr>
          <w:p>
            <w:pPr>
              <w:spacing w:after="0"/>
              <w:rPr>
                <w:sz w:val="12"/>
                <w:szCs w:val="12"/>
                <w:color w:val="auto"/>
              </w:rPr>
            </w:pPr>
          </w:p>
        </w:tc>
        <w:tc>
          <w:tcPr>
            <w:tcW w:w="220" w:type="dxa"/>
            <w:vAlign w:val="bottom"/>
            <w:shd w:val="clear" w:color="auto" w:fill="424E6A"/>
          </w:tcPr>
          <w:p>
            <w:pPr>
              <w:spacing w:after="0"/>
              <w:rPr>
                <w:sz w:val="12"/>
                <w:szCs w:val="12"/>
                <w:color w:val="auto"/>
              </w:rPr>
            </w:pPr>
          </w:p>
        </w:tc>
        <w:tc>
          <w:tcPr>
            <w:tcW w:w="700" w:type="dxa"/>
            <w:vAlign w:val="bottom"/>
            <w:tcBorders>
              <w:right w:val="single" w:sz="8" w:color="424E6A"/>
            </w:tcBorders>
            <w:shd w:val="clear" w:color="auto" w:fill="424E6A"/>
          </w:tcPr>
          <w:p>
            <w:pPr>
              <w:jc w:val="center"/>
              <w:ind w:right="168"/>
              <w:spacing w:after="0" w:line="149" w:lineRule="exact"/>
              <w:rPr>
                <w:sz w:val="20"/>
                <w:szCs w:val="20"/>
                <w:color w:val="auto"/>
              </w:rPr>
            </w:pPr>
            <w:r>
              <w:rPr>
                <w:rFonts w:ascii="Arial" w:cs="Arial" w:eastAsia="Arial" w:hAnsi="Arial"/>
                <w:sz w:val="14"/>
                <w:szCs w:val="14"/>
                <w:b w:val="1"/>
                <w:bCs w:val="1"/>
                <w:color w:val="FFFFFF"/>
              </w:rPr>
              <w:t>Total</w:t>
            </w:r>
          </w:p>
        </w:tc>
      </w:tr>
      <w:tr>
        <w:trPr>
          <w:trHeight w:val="224"/>
        </w:trPr>
        <w:tc>
          <w:tcPr>
            <w:tcW w:w="2540" w:type="dxa"/>
            <w:vAlign w:val="bottom"/>
            <w:tcBorders>
              <w:left w:val="single" w:sz="8" w:color="424E6A"/>
              <w:right w:val="single" w:sz="8" w:color="424E6A"/>
            </w:tcBorders>
            <w:gridSpan w:val="2"/>
            <w:shd w:val="clear" w:color="auto" w:fill="424E6A"/>
          </w:tcPr>
          <w:p>
            <w:pPr>
              <w:ind w:left="40"/>
              <w:spacing w:after="0" w:line="211"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13"/>
                <w:szCs w:val="13"/>
                <w:b w:val="1"/>
                <w:bCs w:val="1"/>
                <w:color w:val="FFFFFF"/>
              </w:rPr>
              <w:t>Position</w:t>
            </w:r>
          </w:p>
        </w:tc>
        <w:tc>
          <w:tcPr>
            <w:tcW w:w="560" w:type="dxa"/>
            <w:vAlign w:val="bottom"/>
            <w:tcBorders>
              <w:right w:val="single" w:sz="8" w:color="424E6A"/>
            </w:tcBorders>
            <w:shd w:val="clear" w:color="auto" w:fill="424E6A"/>
          </w:tcPr>
          <w:p>
            <w:pPr>
              <w:ind w:left="120"/>
              <w:spacing w:after="0"/>
              <w:rPr>
                <w:sz w:val="20"/>
                <w:szCs w:val="20"/>
                <w:color w:val="auto"/>
              </w:rPr>
            </w:pPr>
            <w:r>
              <w:rPr>
                <w:rFonts w:ascii="Arial" w:cs="Arial" w:eastAsia="Arial" w:hAnsi="Arial"/>
                <w:sz w:val="14"/>
                <w:szCs w:val="14"/>
                <w:b w:val="1"/>
                <w:bCs w:val="1"/>
                <w:color w:val="FFFFFF"/>
              </w:rPr>
              <w:t>Year</w:t>
            </w:r>
          </w:p>
        </w:tc>
        <w:tc>
          <w:tcPr>
            <w:tcW w:w="780" w:type="dxa"/>
            <w:vAlign w:val="bottom"/>
            <w:tcBorders>
              <w:right w:val="single" w:sz="8" w:color="424E6A"/>
            </w:tcBorders>
            <w:shd w:val="clear" w:color="auto" w:fill="424E6A"/>
          </w:tcPr>
          <w:p>
            <w:pPr>
              <w:ind w:left="240"/>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(1)</w:t>
            </w:r>
          </w:p>
        </w:tc>
        <w:tc>
          <w:tcPr>
            <w:tcW w:w="16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shd w:val="clear" w:color="auto" w:fill="424E6A"/>
          </w:tcPr>
          <w:p>
            <w:pPr>
              <w:ind w:left="160"/>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(2)</w:t>
            </w:r>
          </w:p>
        </w:tc>
        <w:tc>
          <w:tcPr>
            <w:tcW w:w="18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80" w:type="dxa"/>
            <w:vAlign w:val="bottom"/>
            <w:shd w:val="clear" w:color="auto" w:fill="424E6A"/>
          </w:tcPr>
          <w:p>
            <w:pPr>
              <w:spacing w:after="0"/>
              <w:rPr>
                <w:sz w:val="19"/>
                <w:szCs w:val="19"/>
                <w:color w:val="auto"/>
              </w:rPr>
            </w:pPr>
          </w:p>
        </w:tc>
        <w:tc>
          <w:tcPr>
            <w:tcW w:w="820" w:type="dxa"/>
            <w:vAlign w:val="bottom"/>
            <w:shd w:val="clear" w:color="auto" w:fill="424E6A"/>
          </w:tcPr>
          <w:p>
            <w:pPr>
              <w:jc w:val="center"/>
              <w:ind w:right="82"/>
              <w:spacing w:after="0"/>
              <w:rPr>
                <w:sz w:val="20"/>
                <w:szCs w:val="20"/>
                <w:color w:val="auto"/>
              </w:rPr>
            </w:pPr>
            <w:r>
              <w:rPr>
                <w:rFonts w:ascii="Arial" w:cs="Arial" w:eastAsia="Arial" w:hAnsi="Arial"/>
                <w:sz w:val="14"/>
                <w:szCs w:val="14"/>
                <w:b w:val="1"/>
                <w:bCs w:val="1"/>
                <w:color w:val="FFFFFF"/>
              </w:rPr>
              <w:t>($)</w:t>
            </w:r>
          </w:p>
        </w:tc>
        <w:tc>
          <w:tcPr>
            <w:tcW w:w="24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(3)</w:t>
            </w:r>
          </w:p>
        </w:tc>
        <w:tc>
          <w:tcPr>
            <w:tcW w:w="340" w:type="dxa"/>
            <w:vAlign w:val="bottom"/>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 ​</w:t>
            </w:r>
          </w:p>
        </w:tc>
        <w:tc>
          <w:tcPr>
            <w:tcW w:w="700" w:type="dxa"/>
            <w:vAlign w:val="bottom"/>
            <w:tcBorders>
              <w:right w:val="single" w:sz="8" w:color="424E6A"/>
            </w:tcBorders>
            <w:shd w:val="clear" w:color="auto" w:fill="424E6A"/>
          </w:tcPr>
          <w:p>
            <w:pPr>
              <w:jc w:val="right"/>
              <w:ind w:right="288"/>
              <w:spacing w:after="0"/>
              <w:rPr>
                <w:sz w:val="20"/>
                <w:szCs w:val="20"/>
                <w:color w:val="auto"/>
              </w:rPr>
            </w:pPr>
            <w:r>
              <w:rPr>
                <w:rFonts w:ascii="Arial" w:cs="Arial" w:eastAsia="Arial" w:hAnsi="Arial"/>
                <w:sz w:val="14"/>
                <w:szCs w:val="14"/>
                <w:b w:val="1"/>
                <w:bCs w:val="1"/>
                <w:color w:val="FFFFFF"/>
              </w:rPr>
              <w:t>($)</w:t>
            </w:r>
          </w:p>
        </w:tc>
      </w:tr>
      <w:tr>
        <w:trPr>
          <w:trHeight w:val="243"/>
        </w:trPr>
        <w:tc>
          <w:tcPr>
            <w:tcW w:w="2540" w:type="dxa"/>
            <w:vAlign w:val="bottom"/>
            <w:tcBorders>
              <w:left w:val="single" w:sz="8" w:color="424E6A"/>
              <w:bottom w:val="single" w:sz="8" w:color="424E6A"/>
              <w:right w:val="single" w:sz="8" w:color="424E6A"/>
            </w:tcBorders>
            <w:gridSpan w:val="2"/>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Willie Chiang</w:t>
            </w:r>
          </w:p>
        </w:tc>
        <w:tc>
          <w:tcPr>
            <w:tcW w:w="560" w:type="dxa"/>
            <w:vAlign w:val="bottom"/>
            <w:tcBorders>
              <w:bottom w:val="single" w:sz="8" w:color="424E6A"/>
              <w:right w:val="single" w:sz="8" w:color="424E6A"/>
            </w:tcBorders>
          </w:tcPr>
          <w:p>
            <w:pPr>
              <w:ind w:left="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2022</w:t>
            </w:r>
          </w:p>
        </w:tc>
        <w:tc>
          <w:tcPr>
            <w:tcW w:w="780" w:type="dxa"/>
            <w:vAlign w:val="bottom"/>
            <w:tcBorders>
              <w:bottom w:val="single" w:sz="8" w:color="424E6A"/>
              <w:right w:val="single" w:sz="8" w:color="424E6A"/>
            </w:tcBorders>
          </w:tcPr>
          <w:p>
            <w:pPr>
              <w:ind w:left="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750,000</w:t>
            </w:r>
          </w:p>
        </w:tc>
        <w:tc>
          <w:tcPr>
            <w:tcW w:w="940" w:type="dxa"/>
            <w:vAlign w:val="bottom"/>
            <w:tcBorders>
              <w:bottom w:val="single" w:sz="8" w:color="424E6A"/>
              <w:right w:val="single" w:sz="8" w:color="424E6A"/>
            </w:tcBorders>
            <w:gridSpan w:val="3"/>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3,927,000 </w:t>
            </w:r>
            <w:r>
              <w:rPr>
                <w:rFonts w:ascii="Arial" w:cs="Arial" w:eastAsia="Arial" w:hAnsi="Arial"/>
                <w:sz w:val="28"/>
                <w:szCs w:val="28"/>
                <w:color w:val="auto"/>
                <w:vertAlign w:val="subscript"/>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424E6A"/>
            </w:tcBorders>
            <w:gridSpan w:val="2"/>
          </w:tcPr>
          <w:p>
            <w:pPr>
              <w:ind w:left="1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3,600,000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19,140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8,296,140</w:t>
            </w:r>
          </w:p>
        </w:tc>
      </w:tr>
      <w:tr>
        <w:trPr>
          <w:trHeight w:val="237"/>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Chairman and Chief Executive</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600,000</w:t>
            </w:r>
          </w:p>
        </w:tc>
        <w:tc>
          <w:tcPr>
            <w:tcW w:w="940" w:type="dxa"/>
            <w:vAlign w:val="bottom"/>
            <w:tcBorders>
              <w:bottom w:val="single" w:sz="8" w:color="424E6A"/>
              <w:right w:val="single" w:sz="8" w:color="424E6A"/>
            </w:tcBorders>
            <w:gridSpan w:val="3"/>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2,053,850 </w:t>
            </w:r>
            <w:r>
              <w:rPr>
                <w:rFonts w:ascii="Arial" w:cs="Arial" w:eastAsia="Arial" w:hAnsi="Arial"/>
                <w:sz w:val="27"/>
                <w:szCs w:val="27"/>
                <w:color w:val="auto"/>
                <w:vertAlign w:val="subscript"/>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424E6A"/>
            </w:tcBorders>
            <w:gridSpan w:val="2"/>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1,720,000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18,360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4,392,210</w:t>
            </w:r>
          </w:p>
        </w:tc>
      </w:tr>
      <w:tr>
        <w:trPr>
          <w:trHeight w:val="236"/>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Officer</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2020</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600,000</w:t>
            </w:r>
          </w:p>
        </w:tc>
        <w:tc>
          <w:tcPr>
            <w:tcW w:w="940" w:type="dxa"/>
            <w:vAlign w:val="bottom"/>
            <w:tcBorders>
              <w:bottom w:val="single" w:sz="8" w:color="424E6A"/>
              <w:right w:val="single" w:sz="8" w:color="424E6A"/>
            </w:tcBorders>
            <w:gridSpan w:val="3"/>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2,247,181 </w:t>
            </w:r>
            <w:r>
              <w:rPr>
                <w:rFonts w:ascii="Arial" w:cs="Arial" w:eastAsia="Arial" w:hAnsi="Arial"/>
                <w:sz w:val="27"/>
                <w:szCs w:val="27"/>
                <w:color w:val="auto"/>
                <w:vertAlign w:val="subscript"/>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424E6A"/>
            </w:tcBorders>
            <w:gridSpan w:val="2"/>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1,425,000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18,060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4,290,241</w:t>
            </w:r>
          </w:p>
        </w:tc>
      </w:tr>
      <w:tr>
        <w:trPr>
          <w:trHeight w:val="296"/>
        </w:trPr>
        <w:tc>
          <w:tcPr>
            <w:tcW w:w="1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400" w:type="dxa"/>
            <w:vAlign w:val="bottom"/>
            <w:tcBorders>
              <w:bottom w:val="single" w:sz="8" w:color="D9DCE1"/>
              <w:right w:val="single" w:sz="8" w:color="424E6A"/>
            </w:tcBorders>
            <w:shd w:val="clear" w:color="auto" w:fill="D9DCE1"/>
          </w:tcPr>
          <w:p>
            <w:pPr>
              <w:spacing w:after="0"/>
              <w:rPr>
                <w:sz w:val="24"/>
                <w:szCs w:val="24"/>
                <w:color w:val="auto"/>
              </w:rPr>
            </w:pPr>
          </w:p>
        </w:tc>
        <w:tc>
          <w:tcPr>
            <w:tcW w:w="56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tcBorders>
            <w:shd w:val="clear" w:color="auto" w:fill="D9DCE1"/>
          </w:tcPr>
          <w:p>
            <w:pPr>
              <w:spacing w:after="0"/>
              <w:rPr>
                <w:sz w:val="24"/>
                <w:szCs w:val="24"/>
                <w:color w:val="auto"/>
              </w:rPr>
            </w:pPr>
          </w:p>
        </w:tc>
        <w:tc>
          <w:tcPr>
            <w:tcW w:w="80" w:type="dxa"/>
            <w:vAlign w:val="bottom"/>
            <w:tcBorders>
              <w:bottom w:val="single" w:sz="8" w:color="D9DCE1"/>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140"/>
              <w:spacing w:after="0"/>
              <w:rPr>
                <w:sz w:val="20"/>
                <w:szCs w:val="20"/>
                <w:color w:val="auto"/>
              </w:rPr>
            </w:pPr>
            <w:r>
              <w:rPr>
                <w:rFonts w:ascii="Arial" w:cs="Arial" w:eastAsia="Arial" w:hAnsi="Arial"/>
                <w:sz w:val="14"/>
                <w:szCs w:val="14"/>
                <w:b w:val="1"/>
                <w:bCs w:val="1"/>
                <w:color w:val="FFFFFF"/>
              </w:rPr>
              <w:t>​</w:t>
            </w:r>
          </w:p>
        </w:tc>
        <w:tc>
          <w:tcPr>
            <w:tcW w:w="820" w:type="dxa"/>
            <w:vAlign w:val="bottom"/>
            <w:tcBorders>
              <w:bottom w:val="single" w:sz="8" w:color="D9DCE1"/>
            </w:tcBorders>
            <w:shd w:val="clear" w:color="auto" w:fill="D9DCE1"/>
          </w:tcPr>
          <w:p>
            <w:pPr>
              <w:spacing w:after="0"/>
              <w:rPr>
                <w:sz w:val="24"/>
                <w:szCs w:val="24"/>
                <w:color w:val="auto"/>
              </w:rPr>
            </w:pPr>
          </w:p>
        </w:tc>
        <w:tc>
          <w:tcPr>
            <w:tcW w:w="1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D9DCE1"/>
            </w:tcBorders>
            <w:shd w:val="clear" w:color="auto" w:fill="D9DCE1"/>
          </w:tcPr>
          <w:p>
            <w:pPr>
              <w:ind w:left="26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right w:val="single" w:sz="8" w:color="424E6A"/>
            </w:tcBorders>
            <w:shd w:val="clear" w:color="auto" w:fill="D9DCE1"/>
          </w:tcPr>
          <w:p>
            <w:pPr>
              <w:spacing w:after="0"/>
              <w:rPr>
                <w:sz w:val="24"/>
                <w:szCs w:val="24"/>
                <w:color w:val="auto"/>
              </w:rPr>
            </w:pPr>
          </w:p>
        </w:tc>
      </w:tr>
      <w:tr>
        <w:trPr>
          <w:trHeight w:val="236"/>
        </w:trPr>
        <w:tc>
          <w:tcPr>
            <w:tcW w:w="2540" w:type="dxa"/>
            <w:vAlign w:val="bottom"/>
            <w:tcBorders>
              <w:top w:val="single" w:sz="8" w:color="424E6A"/>
              <w:left w:val="single" w:sz="8" w:color="424E6A"/>
              <w:bottom w:val="single" w:sz="8" w:color="424E6A"/>
              <w:right w:val="single" w:sz="8" w:color="424E6A"/>
            </w:tcBorders>
            <w:gridSpan w:val="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Harry Pefanis</w:t>
            </w:r>
          </w:p>
        </w:tc>
        <w:tc>
          <w:tcPr>
            <w:tcW w:w="56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16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424E6A"/>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10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424E6A"/>
              <w:bottom w:val="single" w:sz="8" w:color="424E6A"/>
            </w:tcBorders>
            <w:gridSpan w:val="2"/>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2,105,000</w:t>
            </w:r>
          </w:p>
        </w:tc>
        <w:tc>
          <w:tcPr>
            <w:tcW w:w="14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424E6A"/>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12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424E6A"/>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2,674,140</w:t>
            </w:r>
          </w:p>
        </w:tc>
      </w:tr>
      <w:tr>
        <w:trPr>
          <w:trHeight w:val="237"/>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President</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424E6A"/>
            </w:tcBorders>
            <w:gridSpan w:val="2"/>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1,150,000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18,360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1,568,360</w:t>
            </w:r>
          </w:p>
        </w:tc>
      </w:tr>
      <w:tr>
        <w:trPr>
          <w:trHeight w:val="237"/>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spacing w:after="0"/>
              <w:rPr>
                <w:sz w:val="20"/>
                <w:szCs w:val="20"/>
                <w:color w:val="auto"/>
              </w:rPr>
            </w:pP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2020</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424E6A"/>
            </w:tcBorders>
          </w:tcPr>
          <w:p>
            <w:pPr>
              <w:jc w:val="right"/>
              <w:ind w:right="42"/>
              <w:spacing w:after="0"/>
              <w:rPr>
                <w:sz w:val="20"/>
                <w:szCs w:val="20"/>
                <w:color w:val="auto"/>
              </w:rPr>
            </w:pPr>
            <w:r>
              <w:rPr>
                <w:rFonts w:ascii="Arial" w:cs="Arial" w:eastAsia="Arial" w:hAnsi="Arial"/>
                <w:sz w:val="16"/>
                <w:szCs w:val="16"/>
                <w:color w:val="auto"/>
              </w:rPr>
              <w:t>950,000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18,060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1,368,060</w:t>
            </w:r>
          </w:p>
        </w:tc>
      </w:tr>
      <w:tr>
        <w:trPr>
          <w:trHeight w:val="296"/>
        </w:trPr>
        <w:tc>
          <w:tcPr>
            <w:tcW w:w="1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400" w:type="dxa"/>
            <w:vAlign w:val="bottom"/>
            <w:tcBorders>
              <w:bottom w:val="single" w:sz="8" w:color="D9DCE1"/>
              <w:right w:val="single" w:sz="8" w:color="424E6A"/>
            </w:tcBorders>
            <w:shd w:val="clear" w:color="auto" w:fill="D9DCE1"/>
          </w:tcPr>
          <w:p>
            <w:pPr>
              <w:spacing w:after="0"/>
              <w:rPr>
                <w:sz w:val="24"/>
                <w:szCs w:val="24"/>
                <w:color w:val="auto"/>
              </w:rPr>
            </w:pPr>
          </w:p>
        </w:tc>
        <w:tc>
          <w:tcPr>
            <w:tcW w:w="56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tcBorders>
            <w:shd w:val="clear" w:color="auto" w:fill="D9DCE1"/>
          </w:tcPr>
          <w:p>
            <w:pPr>
              <w:spacing w:after="0"/>
              <w:rPr>
                <w:sz w:val="24"/>
                <w:szCs w:val="24"/>
                <w:color w:val="auto"/>
              </w:rPr>
            </w:pPr>
          </w:p>
        </w:tc>
        <w:tc>
          <w:tcPr>
            <w:tcW w:w="80" w:type="dxa"/>
            <w:vAlign w:val="bottom"/>
            <w:tcBorders>
              <w:bottom w:val="single" w:sz="8" w:color="D9DCE1"/>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140"/>
              <w:spacing w:after="0"/>
              <w:rPr>
                <w:sz w:val="20"/>
                <w:szCs w:val="20"/>
                <w:color w:val="auto"/>
              </w:rPr>
            </w:pPr>
            <w:r>
              <w:rPr>
                <w:rFonts w:ascii="Arial" w:cs="Arial" w:eastAsia="Arial" w:hAnsi="Arial"/>
                <w:sz w:val="14"/>
                <w:szCs w:val="14"/>
                <w:b w:val="1"/>
                <w:bCs w:val="1"/>
                <w:color w:val="FFFFFF"/>
              </w:rPr>
              <w:t>​</w:t>
            </w:r>
          </w:p>
        </w:tc>
        <w:tc>
          <w:tcPr>
            <w:tcW w:w="820" w:type="dxa"/>
            <w:vAlign w:val="bottom"/>
            <w:tcBorders>
              <w:bottom w:val="single" w:sz="8" w:color="D9DCE1"/>
            </w:tcBorders>
            <w:shd w:val="clear" w:color="auto" w:fill="D9DCE1"/>
          </w:tcPr>
          <w:p>
            <w:pPr>
              <w:spacing w:after="0"/>
              <w:rPr>
                <w:sz w:val="24"/>
                <w:szCs w:val="24"/>
                <w:color w:val="auto"/>
              </w:rPr>
            </w:pPr>
          </w:p>
        </w:tc>
        <w:tc>
          <w:tcPr>
            <w:tcW w:w="1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D9DCE1"/>
            </w:tcBorders>
            <w:shd w:val="clear" w:color="auto" w:fill="D9DCE1"/>
          </w:tcPr>
          <w:p>
            <w:pPr>
              <w:ind w:left="26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right w:val="single" w:sz="8" w:color="424E6A"/>
            </w:tcBorders>
            <w:shd w:val="clear" w:color="auto" w:fill="D9DCE1"/>
          </w:tcPr>
          <w:p>
            <w:pPr>
              <w:spacing w:after="0"/>
              <w:rPr>
                <w:sz w:val="24"/>
                <w:szCs w:val="24"/>
                <w:color w:val="auto"/>
              </w:rPr>
            </w:pPr>
          </w:p>
        </w:tc>
      </w:tr>
      <w:tr>
        <w:trPr>
          <w:trHeight w:val="236"/>
        </w:trPr>
        <w:tc>
          <w:tcPr>
            <w:tcW w:w="2540" w:type="dxa"/>
            <w:vAlign w:val="bottom"/>
            <w:tcBorders>
              <w:top w:val="single" w:sz="8" w:color="424E6A"/>
              <w:left w:val="single" w:sz="8" w:color="424E6A"/>
              <w:bottom w:val="single" w:sz="8" w:color="424E6A"/>
              <w:right w:val="single" w:sz="8" w:color="424E6A"/>
            </w:tcBorders>
            <w:gridSpan w:val="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Al Swanson</w:t>
            </w:r>
          </w:p>
        </w:tc>
        <w:tc>
          <w:tcPr>
            <w:tcW w:w="56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512,500</w:t>
            </w:r>
          </w:p>
        </w:tc>
        <w:tc>
          <w:tcPr>
            <w:tcW w:w="940" w:type="dxa"/>
            <w:vAlign w:val="bottom"/>
            <w:tcBorders>
              <w:top w:val="single" w:sz="8" w:color="424E6A"/>
              <w:bottom w:val="single" w:sz="8" w:color="424E6A"/>
              <w:right w:val="single" w:sz="8" w:color="424E6A"/>
            </w:tcBorders>
            <w:gridSpan w:val="3"/>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1,237,005 </w:t>
            </w:r>
            <w:r>
              <w:rPr>
                <w:rFonts w:ascii="Arial" w:cs="Arial" w:eastAsia="Arial" w:hAnsi="Arial"/>
                <w:sz w:val="27"/>
                <w:szCs w:val="27"/>
                <w:color w:val="auto"/>
                <w:vertAlign w:val="subscript"/>
              </w:rPr>
              <w:t>​</w:t>
            </w:r>
          </w:p>
        </w:tc>
        <w:tc>
          <w:tcPr>
            <w:tcW w:w="10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424E6A"/>
              <w:bottom w:val="single" w:sz="8" w:color="424E6A"/>
            </w:tcBorders>
            <w:gridSpan w:val="2"/>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1,450,000</w:t>
            </w:r>
          </w:p>
        </w:tc>
        <w:tc>
          <w:tcPr>
            <w:tcW w:w="14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424E6A"/>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12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424E6A"/>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3,218,645</w:t>
            </w:r>
          </w:p>
        </w:tc>
      </w:tr>
      <w:tr>
        <w:trPr>
          <w:trHeight w:val="237"/>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Executive Vice President and</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821,267</w:t>
            </w:r>
          </w:p>
        </w:tc>
        <w:tc>
          <w:tcPr>
            <w:tcW w:w="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424E6A"/>
            </w:tcBorders>
          </w:tcPr>
          <w:p>
            <w:pPr>
              <w:jc w:val="right"/>
              <w:ind w:right="42"/>
              <w:spacing w:after="0"/>
              <w:rPr>
                <w:sz w:val="20"/>
                <w:szCs w:val="20"/>
                <w:color w:val="auto"/>
              </w:rPr>
            </w:pPr>
            <w:r>
              <w:rPr>
                <w:rFonts w:ascii="Arial" w:cs="Arial" w:eastAsia="Arial" w:hAnsi="Arial"/>
                <w:sz w:val="16"/>
                <w:szCs w:val="16"/>
                <w:color w:val="auto"/>
              </w:rPr>
              <w:t>980,000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18,360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2,219,627</w:t>
            </w:r>
          </w:p>
        </w:tc>
      </w:tr>
      <w:tr>
        <w:trPr>
          <w:trHeight w:val="237"/>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Chief Financial Officer</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2020</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898,896</w:t>
            </w:r>
          </w:p>
        </w:tc>
        <w:tc>
          <w:tcPr>
            <w:tcW w:w="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424E6A"/>
            </w:tcBorders>
          </w:tcPr>
          <w:p>
            <w:pPr>
              <w:jc w:val="right"/>
              <w:ind w:right="42"/>
              <w:spacing w:after="0"/>
              <w:rPr>
                <w:sz w:val="20"/>
                <w:szCs w:val="20"/>
                <w:color w:val="auto"/>
              </w:rPr>
            </w:pPr>
            <w:r>
              <w:rPr>
                <w:rFonts w:ascii="Arial" w:cs="Arial" w:eastAsia="Arial" w:hAnsi="Arial"/>
                <w:sz w:val="16"/>
                <w:szCs w:val="16"/>
                <w:color w:val="auto"/>
              </w:rPr>
              <w:t>775,000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18,060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2,091,956</w:t>
            </w:r>
          </w:p>
        </w:tc>
      </w:tr>
      <w:tr>
        <w:trPr>
          <w:trHeight w:val="295"/>
        </w:trPr>
        <w:tc>
          <w:tcPr>
            <w:tcW w:w="1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400" w:type="dxa"/>
            <w:vAlign w:val="bottom"/>
            <w:tcBorders>
              <w:bottom w:val="single" w:sz="8" w:color="D9DCE1"/>
              <w:right w:val="single" w:sz="8" w:color="424E6A"/>
            </w:tcBorders>
            <w:shd w:val="clear" w:color="auto" w:fill="D9DCE1"/>
          </w:tcPr>
          <w:p>
            <w:pPr>
              <w:spacing w:after="0"/>
              <w:rPr>
                <w:sz w:val="24"/>
                <w:szCs w:val="24"/>
                <w:color w:val="auto"/>
              </w:rPr>
            </w:pPr>
          </w:p>
        </w:tc>
        <w:tc>
          <w:tcPr>
            <w:tcW w:w="56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tcBorders>
            <w:shd w:val="clear" w:color="auto" w:fill="D9DCE1"/>
          </w:tcPr>
          <w:p>
            <w:pPr>
              <w:spacing w:after="0"/>
              <w:rPr>
                <w:sz w:val="24"/>
                <w:szCs w:val="24"/>
                <w:color w:val="auto"/>
              </w:rPr>
            </w:pPr>
          </w:p>
        </w:tc>
        <w:tc>
          <w:tcPr>
            <w:tcW w:w="80" w:type="dxa"/>
            <w:vAlign w:val="bottom"/>
            <w:tcBorders>
              <w:bottom w:val="single" w:sz="8" w:color="D9DCE1"/>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140"/>
              <w:spacing w:after="0"/>
              <w:rPr>
                <w:sz w:val="20"/>
                <w:szCs w:val="20"/>
                <w:color w:val="auto"/>
              </w:rPr>
            </w:pPr>
            <w:r>
              <w:rPr>
                <w:rFonts w:ascii="Arial" w:cs="Arial" w:eastAsia="Arial" w:hAnsi="Arial"/>
                <w:sz w:val="14"/>
                <w:szCs w:val="14"/>
                <w:b w:val="1"/>
                <w:bCs w:val="1"/>
                <w:color w:val="FFFFFF"/>
              </w:rPr>
              <w:t>​</w:t>
            </w:r>
          </w:p>
        </w:tc>
        <w:tc>
          <w:tcPr>
            <w:tcW w:w="820" w:type="dxa"/>
            <w:vAlign w:val="bottom"/>
            <w:tcBorders>
              <w:bottom w:val="single" w:sz="8" w:color="D9DCE1"/>
            </w:tcBorders>
            <w:shd w:val="clear" w:color="auto" w:fill="D9DCE1"/>
          </w:tcPr>
          <w:p>
            <w:pPr>
              <w:spacing w:after="0"/>
              <w:rPr>
                <w:sz w:val="24"/>
                <w:szCs w:val="24"/>
                <w:color w:val="auto"/>
              </w:rPr>
            </w:pPr>
          </w:p>
        </w:tc>
        <w:tc>
          <w:tcPr>
            <w:tcW w:w="1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D9DCE1"/>
            </w:tcBorders>
            <w:shd w:val="clear" w:color="auto" w:fill="D9DCE1"/>
          </w:tcPr>
          <w:p>
            <w:pPr>
              <w:ind w:left="26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right w:val="single" w:sz="8" w:color="424E6A"/>
            </w:tcBorders>
            <w:shd w:val="clear" w:color="auto" w:fill="D9DCE1"/>
          </w:tcPr>
          <w:p>
            <w:pPr>
              <w:spacing w:after="0"/>
              <w:rPr>
                <w:sz w:val="24"/>
                <w:szCs w:val="24"/>
                <w:color w:val="auto"/>
              </w:rPr>
            </w:pPr>
          </w:p>
        </w:tc>
      </w:tr>
      <w:tr>
        <w:trPr>
          <w:trHeight w:val="237"/>
        </w:trPr>
        <w:tc>
          <w:tcPr>
            <w:tcW w:w="2540" w:type="dxa"/>
            <w:vAlign w:val="bottom"/>
            <w:tcBorders>
              <w:top w:val="single" w:sz="8" w:color="424E6A"/>
              <w:left w:val="single" w:sz="8" w:color="424E6A"/>
              <w:bottom w:val="single" w:sz="8" w:color="424E6A"/>
              <w:right w:val="single" w:sz="8" w:color="424E6A"/>
            </w:tcBorders>
            <w:gridSpan w:val="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Richard McGee</w:t>
            </w:r>
          </w:p>
        </w:tc>
        <w:tc>
          <w:tcPr>
            <w:tcW w:w="56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512,500</w:t>
            </w:r>
          </w:p>
        </w:tc>
        <w:tc>
          <w:tcPr>
            <w:tcW w:w="940" w:type="dxa"/>
            <w:vAlign w:val="bottom"/>
            <w:tcBorders>
              <w:top w:val="single" w:sz="8" w:color="424E6A"/>
              <w:bottom w:val="single" w:sz="8" w:color="424E6A"/>
              <w:right w:val="single" w:sz="8" w:color="424E6A"/>
            </w:tcBorders>
            <w:gridSpan w:val="3"/>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1,237,005 </w:t>
            </w:r>
            <w:r>
              <w:rPr>
                <w:rFonts w:ascii="Arial" w:cs="Arial" w:eastAsia="Arial" w:hAnsi="Arial"/>
                <w:sz w:val="27"/>
                <w:szCs w:val="27"/>
                <w:color w:val="auto"/>
                <w:vertAlign w:val="subscript"/>
              </w:rPr>
              <w:t>​</w:t>
            </w:r>
          </w:p>
        </w:tc>
        <w:tc>
          <w:tcPr>
            <w:tcW w:w="10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424E6A"/>
              <w:bottom w:val="single" w:sz="8" w:color="424E6A"/>
            </w:tcBorders>
            <w:gridSpan w:val="2"/>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1,515,000</w:t>
            </w:r>
          </w:p>
        </w:tc>
        <w:tc>
          <w:tcPr>
            <w:tcW w:w="14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424E6A"/>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12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424E6A"/>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3,283,645</w:t>
            </w:r>
          </w:p>
        </w:tc>
      </w:tr>
      <w:tr>
        <w:trPr>
          <w:trHeight w:val="236"/>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Executive Vice President,</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821,267</w:t>
            </w:r>
          </w:p>
        </w:tc>
        <w:tc>
          <w:tcPr>
            <w:tcW w:w="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424E6A"/>
            </w:tcBorders>
            <w:gridSpan w:val="2"/>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1,050,000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18,360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2,289,627</w:t>
            </w:r>
          </w:p>
        </w:tc>
      </w:tr>
      <w:tr>
        <w:trPr>
          <w:trHeight w:val="182"/>
        </w:trPr>
        <w:tc>
          <w:tcPr>
            <w:tcW w:w="140" w:type="dxa"/>
            <w:vAlign w:val="bottom"/>
            <w:tcBorders>
              <w:left w:val="single" w:sz="8" w:color="424E6A"/>
            </w:tcBorders>
          </w:tcPr>
          <w:p>
            <w:pPr>
              <w:spacing w:after="0"/>
              <w:rPr>
                <w:sz w:val="15"/>
                <w:szCs w:val="15"/>
                <w:color w:val="auto"/>
              </w:rPr>
            </w:pPr>
          </w:p>
        </w:tc>
        <w:tc>
          <w:tcPr>
            <w:tcW w:w="2400" w:type="dxa"/>
            <w:vAlign w:val="bottom"/>
            <w:tcBorders>
              <w:right w:val="single" w:sz="8" w:color="424E6A"/>
            </w:tcBorders>
          </w:tcPr>
          <w:p>
            <w:pPr>
              <w:ind w:left="80"/>
              <w:spacing w:after="0" w:line="182" w:lineRule="exact"/>
              <w:rPr>
                <w:sz w:val="20"/>
                <w:szCs w:val="20"/>
                <w:color w:val="auto"/>
              </w:rPr>
            </w:pPr>
            <w:r>
              <w:rPr>
                <w:rFonts w:ascii="Arial" w:cs="Arial" w:eastAsia="Arial" w:hAnsi="Arial"/>
                <w:sz w:val="16"/>
                <w:szCs w:val="16"/>
                <w:color w:val="auto"/>
              </w:rPr>
              <w:t>General Counsel and</w:t>
            </w:r>
          </w:p>
        </w:tc>
        <w:tc>
          <w:tcPr>
            <w:tcW w:w="560" w:type="dxa"/>
            <w:vAlign w:val="bottom"/>
            <w:tcBorders>
              <w:right w:val="single" w:sz="8" w:color="424E6A"/>
            </w:tcBorders>
          </w:tcPr>
          <w:p>
            <w:pPr>
              <w:spacing w:after="0"/>
              <w:rPr>
                <w:sz w:val="15"/>
                <w:szCs w:val="15"/>
                <w:color w:val="auto"/>
              </w:rPr>
            </w:pPr>
          </w:p>
        </w:tc>
        <w:tc>
          <w:tcPr>
            <w:tcW w:w="780" w:type="dxa"/>
            <w:vAlign w:val="bottom"/>
            <w:tcBorders>
              <w:right w:val="single" w:sz="8" w:color="424E6A"/>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Borders>
              <w:right w:val="single" w:sz="8" w:color="424E6A"/>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right w:val="single" w:sz="8" w:color="424E6A"/>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Borders>
              <w:right w:val="single" w:sz="8" w:color="424E6A"/>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right w:val="single" w:sz="8" w:color="424E6A"/>
            </w:tcBorders>
          </w:tcPr>
          <w:p>
            <w:pPr>
              <w:spacing w:after="0"/>
              <w:rPr>
                <w:sz w:val="15"/>
                <w:szCs w:val="15"/>
                <w:color w:val="auto"/>
              </w:rPr>
            </w:pPr>
          </w:p>
        </w:tc>
      </w:tr>
      <w:tr>
        <w:trPr>
          <w:trHeight w:val="244"/>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Secretary</w:t>
            </w:r>
          </w:p>
        </w:tc>
        <w:tc>
          <w:tcPr>
            <w:tcW w:w="56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​400,000</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898,896</w:t>
            </w:r>
          </w:p>
        </w:tc>
        <w:tc>
          <w:tcPr>
            <w:tcW w:w="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424E6A"/>
            </w:tcBorders>
          </w:tcPr>
          <w:p>
            <w:pPr>
              <w:jc w:val="right"/>
              <w:ind w:right="42"/>
              <w:spacing w:after="0"/>
              <w:rPr>
                <w:sz w:val="20"/>
                <w:szCs w:val="20"/>
                <w:color w:val="auto"/>
              </w:rPr>
            </w:pPr>
            <w:r>
              <w:rPr>
                <w:rFonts w:ascii="Arial" w:cs="Arial" w:eastAsia="Arial" w:hAnsi="Arial"/>
                <w:sz w:val="16"/>
                <w:szCs w:val="16"/>
                <w:color w:val="auto"/>
              </w:rPr>
              <w:t>775,000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rPr>
                <w:sz w:val="20"/>
                <w:szCs w:val="20"/>
                <w:color w:val="auto"/>
              </w:rPr>
            </w:pPr>
            <w:r>
              <w:rPr>
                <w:rFonts w:ascii="Arial" w:cs="Arial" w:eastAsia="Arial" w:hAnsi="Arial"/>
                <w:sz w:val="16"/>
                <w:szCs w:val="16"/>
                <w:color w:val="auto"/>
              </w:rPr>
              <w:t>​18,060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rPr>
                <w:sz w:val="20"/>
                <w:szCs w:val="20"/>
                <w:color w:val="auto"/>
              </w:rPr>
            </w:pPr>
            <w:r>
              <w:rPr>
                <w:rFonts w:ascii="Arial" w:cs="Arial" w:eastAsia="Arial" w:hAnsi="Arial"/>
                <w:sz w:val="16"/>
                <w:szCs w:val="16"/>
                <w:color w:val="auto"/>
              </w:rPr>
              <w:t>​​2,091,956</w:t>
            </w:r>
          </w:p>
        </w:tc>
      </w:tr>
      <w:tr>
        <w:trPr>
          <w:trHeight w:val="295"/>
        </w:trPr>
        <w:tc>
          <w:tcPr>
            <w:tcW w:w="1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400" w:type="dxa"/>
            <w:vAlign w:val="bottom"/>
            <w:tcBorders>
              <w:bottom w:val="single" w:sz="8" w:color="D9DCE1"/>
              <w:right w:val="single" w:sz="8" w:color="424E6A"/>
            </w:tcBorders>
            <w:shd w:val="clear" w:color="auto" w:fill="D9DCE1"/>
          </w:tcPr>
          <w:p>
            <w:pPr>
              <w:spacing w:after="0"/>
              <w:rPr>
                <w:sz w:val="24"/>
                <w:szCs w:val="24"/>
                <w:color w:val="auto"/>
              </w:rPr>
            </w:pPr>
          </w:p>
        </w:tc>
        <w:tc>
          <w:tcPr>
            <w:tcW w:w="56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tcBorders>
            <w:shd w:val="clear" w:color="auto" w:fill="D9DCE1"/>
          </w:tcPr>
          <w:p>
            <w:pPr>
              <w:spacing w:after="0"/>
              <w:rPr>
                <w:sz w:val="24"/>
                <w:szCs w:val="24"/>
                <w:color w:val="auto"/>
              </w:rPr>
            </w:pPr>
          </w:p>
        </w:tc>
        <w:tc>
          <w:tcPr>
            <w:tcW w:w="80" w:type="dxa"/>
            <w:vAlign w:val="bottom"/>
            <w:tcBorders>
              <w:bottom w:val="single" w:sz="8" w:color="D9DCE1"/>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140"/>
              <w:spacing w:after="0"/>
              <w:rPr>
                <w:sz w:val="20"/>
                <w:szCs w:val="20"/>
                <w:color w:val="auto"/>
              </w:rPr>
            </w:pPr>
            <w:r>
              <w:rPr>
                <w:rFonts w:ascii="Arial" w:cs="Arial" w:eastAsia="Arial" w:hAnsi="Arial"/>
                <w:sz w:val="14"/>
                <w:szCs w:val="14"/>
                <w:b w:val="1"/>
                <w:bCs w:val="1"/>
                <w:color w:val="FFFFFF"/>
              </w:rPr>
              <w:t>​</w:t>
            </w:r>
          </w:p>
        </w:tc>
        <w:tc>
          <w:tcPr>
            <w:tcW w:w="820" w:type="dxa"/>
            <w:vAlign w:val="bottom"/>
            <w:tcBorders>
              <w:bottom w:val="single" w:sz="8" w:color="D9DCE1"/>
            </w:tcBorders>
            <w:shd w:val="clear" w:color="auto" w:fill="D9DCE1"/>
          </w:tcPr>
          <w:p>
            <w:pPr>
              <w:spacing w:after="0"/>
              <w:rPr>
                <w:sz w:val="24"/>
                <w:szCs w:val="24"/>
                <w:color w:val="auto"/>
              </w:rPr>
            </w:pPr>
          </w:p>
        </w:tc>
        <w:tc>
          <w:tcPr>
            <w:tcW w:w="1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D9DCE1"/>
            </w:tcBorders>
            <w:shd w:val="clear" w:color="auto" w:fill="D9DCE1"/>
          </w:tcPr>
          <w:p>
            <w:pPr>
              <w:ind w:left="26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right w:val="single" w:sz="8" w:color="424E6A"/>
            </w:tcBorders>
            <w:shd w:val="clear" w:color="auto" w:fill="D9DCE1"/>
          </w:tcPr>
          <w:p>
            <w:pPr>
              <w:spacing w:after="0"/>
              <w:rPr>
                <w:sz w:val="24"/>
                <w:szCs w:val="24"/>
                <w:color w:val="auto"/>
              </w:rPr>
            </w:pPr>
          </w:p>
        </w:tc>
      </w:tr>
      <w:tr>
        <w:trPr>
          <w:trHeight w:val="236"/>
        </w:trPr>
        <w:tc>
          <w:tcPr>
            <w:tcW w:w="2540" w:type="dxa"/>
            <w:vAlign w:val="bottom"/>
            <w:tcBorders>
              <w:top w:val="single" w:sz="8" w:color="424E6A"/>
              <w:left w:val="single" w:sz="8" w:color="424E6A"/>
              <w:bottom w:val="single" w:sz="8" w:color="424E6A"/>
              <w:right w:val="single" w:sz="8" w:color="424E6A"/>
            </w:tcBorders>
            <w:gridSpan w:val="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Chris Chandler</w:t>
            </w:r>
          </w:p>
        </w:tc>
        <w:tc>
          <w:tcPr>
            <w:tcW w:w="56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940" w:type="dxa"/>
            <w:vAlign w:val="bottom"/>
            <w:tcBorders>
              <w:top w:val="single" w:sz="8" w:color="424E6A"/>
              <w:bottom w:val="single" w:sz="8" w:color="424E6A"/>
              <w:right w:val="single" w:sz="8" w:color="424E6A"/>
            </w:tcBorders>
            <w:gridSpan w:val="3"/>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4,081,569 </w:t>
            </w:r>
            <w:r>
              <w:rPr>
                <w:rFonts w:ascii="Arial" w:cs="Arial" w:eastAsia="Arial" w:hAnsi="Arial"/>
                <w:sz w:val="27"/>
                <w:szCs w:val="27"/>
                <w:color w:val="auto"/>
                <w:vertAlign w:val="subscript"/>
              </w:rPr>
              <w:t>​</w:t>
            </w:r>
          </w:p>
        </w:tc>
        <w:tc>
          <w:tcPr>
            <w:tcW w:w="10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424E6A"/>
              <w:bottom w:val="single" w:sz="8" w:color="424E6A"/>
            </w:tcBorders>
            <w:gridSpan w:val="2"/>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1,730,000</w:t>
            </w:r>
          </w:p>
        </w:tc>
        <w:tc>
          <w:tcPr>
            <w:tcW w:w="14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424E6A"/>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12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424E6A"/>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6,380,709</w:t>
            </w:r>
          </w:p>
        </w:tc>
      </w:tr>
      <w:tr>
        <w:trPr>
          <w:trHeight w:val="237"/>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Executive Vice President and</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821,267</w:t>
            </w:r>
          </w:p>
        </w:tc>
        <w:tc>
          <w:tcPr>
            <w:tcW w:w="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424E6A"/>
            </w:tcBorders>
            <w:gridSpan w:val="2"/>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1,010,000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18,360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2,249,627</w:t>
            </w:r>
          </w:p>
        </w:tc>
      </w:tr>
      <w:tr>
        <w:trPr>
          <w:trHeight w:val="236"/>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Chief Operating Officer</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2020</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898,896</w:t>
            </w:r>
          </w:p>
        </w:tc>
        <w:tc>
          <w:tcPr>
            <w:tcW w:w="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424E6A"/>
            </w:tcBorders>
          </w:tcPr>
          <w:p>
            <w:pPr>
              <w:jc w:val="right"/>
              <w:ind w:right="42"/>
              <w:spacing w:after="0"/>
              <w:rPr>
                <w:sz w:val="20"/>
                <w:szCs w:val="20"/>
                <w:color w:val="auto"/>
              </w:rPr>
            </w:pPr>
            <w:r>
              <w:rPr>
                <w:rFonts w:ascii="Arial" w:cs="Arial" w:eastAsia="Arial" w:hAnsi="Arial"/>
                <w:sz w:val="16"/>
                <w:szCs w:val="16"/>
                <w:color w:val="auto"/>
              </w:rPr>
              <w:t>800,000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18,060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2,116,956</w:t>
            </w:r>
          </w:p>
        </w:tc>
      </w:tr>
      <w:tr>
        <w:trPr>
          <w:trHeight w:val="296"/>
        </w:trPr>
        <w:tc>
          <w:tcPr>
            <w:tcW w:w="1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400" w:type="dxa"/>
            <w:vAlign w:val="bottom"/>
            <w:tcBorders>
              <w:bottom w:val="single" w:sz="8" w:color="D9DCE1"/>
              <w:right w:val="single" w:sz="8" w:color="424E6A"/>
            </w:tcBorders>
            <w:shd w:val="clear" w:color="auto" w:fill="D9DCE1"/>
          </w:tcPr>
          <w:p>
            <w:pPr>
              <w:spacing w:after="0"/>
              <w:rPr>
                <w:sz w:val="24"/>
                <w:szCs w:val="24"/>
                <w:color w:val="auto"/>
              </w:rPr>
            </w:pPr>
          </w:p>
        </w:tc>
        <w:tc>
          <w:tcPr>
            <w:tcW w:w="56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tcBorders>
            <w:shd w:val="clear" w:color="auto" w:fill="D9DCE1"/>
          </w:tcPr>
          <w:p>
            <w:pPr>
              <w:spacing w:after="0"/>
              <w:rPr>
                <w:sz w:val="24"/>
                <w:szCs w:val="24"/>
                <w:color w:val="auto"/>
              </w:rPr>
            </w:pPr>
          </w:p>
        </w:tc>
        <w:tc>
          <w:tcPr>
            <w:tcW w:w="80" w:type="dxa"/>
            <w:vAlign w:val="bottom"/>
            <w:tcBorders>
              <w:bottom w:val="single" w:sz="8" w:color="D9DCE1"/>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140"/>
              <w:spacing w:after="0"/>
              <w:rPr>
                <w:sz w:val="20"/>
                <w:szCs w:val="20"/>
                <w:color w:val="auto"/>
              </w:rPr>
            </w:pPr>
            <w:r>
              <w:rPr>
                <w:rFonts w:ascii="Arial" w:cs="Arial" w:eastAsia="Arial" w:hAnsi="Arial"/>
                <w:sz w:val="14"/>
                <w:szCs w:val="14"/>
                <w:b w:val="1"/>
                <w:bCs w:val="1"/>
                <w:color w:val="FFFFFF"/>
              </w:rPr>
              <w:t>​</w:t>
            </w:r>
          </w:p>
        </w:tc>
        <w:tc>
          <w:tcPr>
            <w:tcW w:w="820" w:type="dxa"/>
            <w:vAlign w:val="bottom"/>
            <w:tcBorders>
              <w:bottom w:val="single" w:sz="8" w:color="D9DCE1"/>
            </w:tcBorders>
            <w:shd w:val="clear" w:color="auto" w:fill="D9DCE1"/>
          </w:tcPr>
          <w:p>
            <w:pPr>
              <w:spacing w:after="0"/>
              <w:rPr>
                <w:sz w:val="24"/>
                <w:szCs w:val="24"/>
                <w:color w:val="auto"/>
              </w:rPr>
            </w:pPr>
          </w:p>
        </w:tc>
        <w:tc>
          <w:tcPr>
            <w:tcW w:w="1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D9DCE1"/>
            </w:tcBorders>
            <w:shd w:val="clear" w:color="auto" w:fill="D9DCE1"/>
          </w:tcPr>
          <w:p>
            <w:pPr>
              <w:ind w:left="26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right w:val="single" w:sz="8" w:color="424E6A"/>
            </w:tcBorders>
            <w:shd w:val="clear" w:color="auto" w:fill="D9DCE1"/>
          </w:tcPr>
          <w:p>
            <w:pPr>
              <w:spacing w:after="0"/>
              <w:rPr>
                <w:sz w:val="24"/>
                <w:szCs w:val="24"/>
                <w:color w:val="auto"/>
              </w:rPr>
            </w:pPr>
          </w:p>
        </w:tc>
      </w:tr>
      <w:tr>
        <w:trPr>
          <w:trHeight w:val="236"/>
        </w:trPr>
        <w:tc>
          <w:tcPr>
            <w:tcW w:w="2540" w:type="dxa"/>
            <w:vAlign w:val="bottom"/>
            <w:tcBorders>
              <w:top w:val="single" w:sz="8" w:color="424E6A"/>
              <w:left w:val="single" w:sz="8" w:color="424E6A"/>
              <w:bottom w:val="single" w:sz="8" w:color="424E6A"/>
              <w:right w:val="single" w:sz="8" w:color="424E6A"/>
            </w:tcBorders>
            <w:gridSpan w:val="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Jeremy Goebel</w:t>
            </w:r>
          </w:p>
        </w:tc>
        <w:tc>
          <w:tcPr>
            <w:tcW w:w="56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940" w:type="dxa"/>
            <w:vAlign w:val="bottom"/>
            <w:tcBorders>
              <w:top w:val="single" w:sz="8" w:color="424E6A"/>
              <w:bottom w:val="single" w:sz="8" w:color="424E6A"/>
              <w:right w:val="single" w:sz="8" w:color="424E6A"/>
            </w:tcBorders>
            <w:gridSpan w:val="3"/>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4,081,569 </w:t>
            </w:r>
            <w:r>
              <w:rPr>
                <w:rFonts w:ascii="Arial" w:cs="Arial" w:eastAsia="Arial" w:hAnsi="Arial"/>
                <w:sz w:val="27"/>
                <w:szCs w:val="27"/>
                <w:color w:val="auto"/>
                <w:vertAlign w:val="subscript"/>
              </w:rPr>
              <w:t>​</w:t>
            </w:r>
          </w:p>
        </w:tc>
        <w:tc>
          <w:tcPr>
            <w:tcW w:w="10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424E6A"/>
              <w:bottom w:val="single" w:sz="8" w:color="424E6A"/>
            </w:tcBorders>
            <w:gridSpan w:val="2"/>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1,730,000</w:t>
            </w:r>
          </w:p>
        </w:tc>
        <w:tc>
          <w:tcPr>
            <w:tcW w:w="14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424E6A"/>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12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424E6A"/>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6,380,709</w:t>
            </w:r>
          </w:p>
        </w:tc>
      </w:tr>
      <w:tr>
        <w:trPr>
          <w:trHeight w:val="237"/>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Executive Vice President and</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821,267</w:t>
            </w:r>
          </w:p>
        </w:tc>
        <w:tc>
          <w:tcPr>
            <w:tcW w:w="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424E6A"/>
            </w:tcBorders>
            <w:gridSpan w:val="2"/>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1,170,000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18,360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2,409,627</w:t>
            </w:r>
          </w:p>
        </w:tc>
      </w:tr>
      <w:tr>
        <w:trPr>
          <w:trHeight w:val="236"/>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Chief Commercial Officer</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2020</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898,896</w:t>
            </w:r>
          </w:p>
        </w:tc>
        <w:tc>
          <w:tcPr>
            <w:tcW w:w="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424E6A"/>
            </w:tcBorders>
          </w:tcPr>
          <w:p>
            <w:pPr>
              <w:jc w:val="right"/>
              <w:ind w:right="42"/>
              <w:spacing w:after="0"/>
              <w:rPr>
                <w:sz w:val="20"/>
                <w:szCs w:val="20"/>
                <w:color w:val="auto"/>
              </w:rPr>
            </w:pPr>
            <w:r>
              <w:rPr>
                <w:rFonts w:ascii="Arial" w:cs="Arial" w:eastAsia="Arial" w:hAnsi="Arial"/>
                <w:sz w:val="16"/>
                <w:szCs w:val="16"/>
                <w:color w:val="auto"/>
              </w:rPr>
              <w:t>800,000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18,060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2,116,956</w:t>
            </w:r>
          </w:p>
        </w:tc>
      </w:tr>
    </w:tbl>
    <w:p>
      <w:pPr>
        <w:spacing w:after="0" w:line="157" w:lineRule="exact"/>
        <w:rPr>
          <w:sz w:val="20"/>
          <w:szCs w:val="20"/>
          <w:color w:val="auto"/>
        </w:rPr>
      </w:pPr>
    </w:p>
    <w:p>
      <w:pPr>
        <w:ind w:left="1620" w:right="619" w:hanging="360"/>
        <w:spacing w:after="0" w:line="222" w:lineRule="auto"/>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As discussed above in CD&amp;A, NEO base salaries were increased effective April 1, 2022. Salary amounts in the table reflect the total salary earned by each NEO in 2022, taking into account this increase for the applicable portion of 2022.</w:t>
      </w:r>
    </w:p>
    <w:p>
      <w:pPr>
        <w:spacing w:after="0" w:line="45" w:lineRule="exact"/>
        <w:rPr>
          <w:rFonts w:ascii="Arial" w:cs="Arial" w:eastAsia="Arial" w:hAnsi="Arial"/>
          <w:sz w:val="27"/>
          <w:szCs w:val="27"/>
          <w:color w:val="auto"/>
          <w:vertAlign w:val="superscript"/>
        </w:rPr>
      </w:pPr>
    </w:p>
    <w:p>
      <w:pPr>
        <w:ind w:left="1620" w:right="419" w:hanging="360"/>
        <w:spacing w:after="0" w:line="256" w:lineRule="auto"/>
        <w:tabs>
          <w:tab w:leader="none" w:pos="1620" w:val="left"/>
        </w:tabs>
        <w:numPr>
          <w:ilvl w:val="0"/>
          <w:numId w:val="54"/>
        </w:numPr>
        <w:rPr>
          <w:rFonts w:ascii="Arial" w:cs="Arial" w:eastAsia="Arial" w:hAnsi="Arial"/>
          <w:sz w:val="26"/>
          <w:szCs w:val="26"/>
          <w:color w:val="auto"/>
          <w:vertAlign w:val="superscript"/>
        </w:rPr>
      </w:pPr>
      <w:r>
        <w:rPr>
          <w:rFonts w:ascii="Arial" w:cs="Arial" w:eastAsia="Arial" w:hAnsi="Arial"/>
          <w:sz w:val="17"/>
          <w:szCs w:val="17"/>
          <w:color w:val="auto"/>
        </w:rPr>
        <w:t>Grant date fair values are presented for (i) phantom unit grants awarded to Messrs. Chiang, Swanson, McGee, Chandler and Goebel in August 2020, 2021 and 2022, and (ii) a portion of phantom unit grants awarded to Messrs. Chandler and Goebel in November 2019, which were amended in February 2022. Dollar amounts in the table represent the aggregate fair value of phantom units awarded based on the probable outcome of underlying performance conditions pursuant to FASB ASC Topic 718. See Note 18 to our Consolidated Financial Statements included in our 2022 Annual Report for further discussion regarding the calculation of grant date fair values. For phantom unit grants awarded to Messrs. Chandler and Goebel in November 2019, 50% were deemed probable of vesting on the grant date. The probability-based fair value of the phantom unit grants awarded in November 2019 was $3,901,500; the maximum fair value of phantom unit grants awarded in November 2019, assuming that the highest level of performance conditions will</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99"/>
        <w:spacing w:after="0" w:line="255" w:lineRule="auto"/>
        <w:rPr>
          <w:sz w:val="20"/>
          <w:szCs w:val="20"/>
          <w:color w:val="auto"/>
        </w:rPr>
      </w:pPr>
      <w:r>
        <w:rPr>
          <w:rFonts w:ascii="Arial" w:cs="Arial" w:eastAsia="Arial" w:hAnsi="Arial"/>
          <w:sz w:val="18"/>
          <w:szCs w:val="18"/>
          <w:color w:val="auto"/>
        </w:rPr>
        <w:t>be met, was $6,865,000 for each of Messrs. Chandler and Goebel. The November 2019 phantom unit grants were amended in February 2022 to replace the original DCF/CUE metric in the performance-based portion of the award with a relative TSR metric. As a result of the amendment, 100% of the grants were deemed probable of vesting on the amendment date. The amounts presented for each of Messrs. Chandler and Goebel for 2022 include aggregate incremental fair value of $2,486,671 resulting from the amendment of the performance-based portion of the November 2019 awards. The incremental fair value represents the net increase in fair value of the amended awards relative to the fair value on the original grant date.</w:t>
      </w:r>
    </w:p>
    <w:p>
      <w:pPr>
        <w:spacing w:after="0" w:line="9" w:lineRule="exact"/>
        <w:rPr>
          <w:sz w:val="20"/>
          <w:szCs w:val="20"/>
          <w:color w:val="auto"/>
        </w:rPr>
      </w:pPr>
    </w:p>
    <w:p>
      <w:pPr>
        <w:ind w:left="1620" w:right="419"/>
        <w:spacing w:after="0" w:line="262" w:lineRule="auto"/>
        <w:rPr>
          <w:sz w:val="20"/>
          <w:szCs w:val="20"/>
          <w:color w:val="auto"/>
        </w:rPr>
      </w:pPr>
      <w:r>
        <w:rPr>
          <w:rFonts w:ascii="Arial" w:cs="Arial" w:eastAsia="Arial" w:hAnsi="Arial"/>
          <w:sz w:val="18"/>
          <w:szCs w:val="18"/>
          <w:color w:val="auto"/>
        </w:rPr>
        <w:t>For phantom unit grants awarded in August 2020, 75% were deemed probable of vesting on the grant date. The maximum fair value of phantom unit grants awarded in August 2020, assuming that the highest level of performance conditions will be met, was $4,494,363 for Mr. Chiang and $1,797,793 for each of Messrs. Swanson, McGee, Chandler and Goebel.</w:t>
      </w:r>
    </w:p>
    <w:p>
      <w:pPr>
        <w:spacing w:after="0" w:line="1" w:lineRule="exact"/>
        <w:rPr>
          <w:sz w:val="20"/>
          <w:szCs w:val="20"/>
          <w:color w:val="auto"/>
        </w:rPr>
      </w:pPr>
    </w:p>
    <w:p>
      <w:pPr>
        <w:ind w:left="1620" w:right="419"/>
        <w:spacing w:after="0" w:line="258" w:lineRule="auto"/>
        <w:rPr>
          <w:sz w:val="20"/>
          <w:szCs w:val="20"/>
          <w:color w:val="auto"/>
        </w:rPr>
      </w:pPr>
      <w:r>
        <w:rPr>
          <w:rFonts w:ascii="Arial" w:cs="Arial" w:eastAsia="Arial" w:hAnsi="Arial"/>
          <w:sz w:val="18"/>
          <w:szCs w:val="18"/>
          <w:color w:val="auto"/>
        </w:rPr>
        <w:t>For phantom unit grants awarded in August 2021, 75% were deemed probable of vesting on the grant date. The maximum fair value of phantom unit grants awarded in August 2021, assuming that the highest level of performance conditions will be met, was $2,738,466 for Mr. Chiang and $1,095,022 for each of Messrs. Swanson, McGee, Chandler and Goebel.</w:t>
      </w:r>
    </w:p>
    <w:p>
      <w:pPr>
        <w:spacing w:after="0" w:line="1" w:lineRule="exact"/>
        <w:rPr>
          <w:sz w:val="20"/>
          <w:szCs w:val="20"/>
          <w:color w:val="auto"/>
        </w:rPr>
      </w:pPr>
    </w:p>
    <w:p>
      <w:pPr>
        <w:ind w:left="1620" w:right="419"/>
        <w:spacing w:after="0" w:line="259" w:lineRule="auto"/>
        <w:rPr>
          <w:sz w:val="20"/>
          <w:szCs w:val="20"/>
          <w:color w:val="auto"/>
        </w:rPr>
      </w:pPr>
      <w:r>
        <w:rPr>
          <w:rFonts w:ascii="Arial" w:cs="Arial" w:eastAsia="Arial" w:hAnsi="Arial"/>
          <w:sz w:val="18"/>
          <w:szCs w:val="18"/>
          <w:color w:val="auto"/>
        </w:rPr>
        <w:t>For phantom unit grants awarded in August 2022, 75% were deemed probable of vesting on the grant date. The maximum fair value of phantom unit grants awarded in August 2022, assuming that the highest level of performance conditions will be met, was $7,854,000 for Mr. Chiang, $2,474,010 for each of Messrs. Swanson and McGee, and $3,189,795 for each of Messrs. Chandler and Goebel.</w:t>
      </w:r>
    </w:p>
    <w:p>
      <w:pPr>
        <w:spacing w:after="0" w:line="4" w:lineRule="exact"/>
        <w:rPr>
          <w:sz w:val="20"/>
          <w:szCs w:val="20"/>
          <w:color w:val="auto"/>
        </w:rPr>
      </w:pPr>
    </w:p>
    <w:p>
      <w:pPr>
        <w:jc w:val="both"/>
        <w:ind w:left="1620" w:right="479"/>
        <w:spacing w:after="0" w:line="268" w:lineRule="auto"/>
        <w:rPr>
          <w:sz w:val="20"/>
          <w:szCs w:val="20"/>
          <w:color w:val="auto"/>
        </w:rPr>
      </w:pPr>
      <w:r>
        <w:rPr>
          <w:rFonts w:ascii="Arial" w:cs="Arial" w:eastAsia="Arial" w:hAnsi="Arial"/>
          <w:sz w:val="18"/>
          <w:szCs w:val="18"/>
          <w:color w:val="auto"/>
        </w:rPr>
        <w:t>As referenced previously, Mr. Pefanis is a co-founder and substantial equity owner and for the last several years, despite being eligible for equity awards, has requested to not participate in the long-term incentive program.</w:t>
      </w:r>
    </w:p>
    <w:p>
      <w:pPr>
        <w:spacing w:after="0" w:line="103" w:lineRule="exact"/>
        <w:rPr>
          <w:sz w:val="20"/>
          <w:szCs w:val="20"/>
          <w:color w:val="auto"/>
        </w:rPr>
      </w:pPr>
    </w:p>
    <w:p>
      <w:pPr>
        <w:ind w:left="1620" w:right="459" w:hanging="360"/>
        <w:spacing w:after="0" w:line="228" w:lineRule="auto"/>
        <w:tabs>
          <w:tab w:leader="none" w:pos="162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GP LLC matches 100% of employees’ contributions to its 401(k) plan in cash, subject to certain limitations in the plan. All Other Compensation for 2022 includes $18,300 in matching contributions for each of the Named Executive Officers. The remaining amount represents premium payments on behalf of such Named Executive Officer for group term life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Grants of Plan-Based Awards Table</w:t>
      </w:r>
    </w:p>
    <w:p>
      <w:pPr>
        <w:spacing w:after="0" w:line="158" w:lineRule="exact"/>
        <w:rPr>
          <w:sz w:val="20"/>
          <w:szCs w:val="20"/>
          <w:color w:val="auto"/>
        </w:rPr>
      </w:pPr>
    </w:p>
    <w:p>
      <w:pPr>
        <w:ind w:left="1260" w:right="760" w:firstLine="360"/>
        <w:spacing w:after="0" w:line="287" w:lineRule="auto"/>
        <w:rPr>
          <w:sz w:val="20"/>
          <w:szCs w:val="20"/>
          <w:color w:val="auto"/>
        </w:rPr>
      </w:pPr>
      <w:r>
        <w:rPr>
          <w:rFonts w:ascii="Arial" w:cs="Arial" w:eastAsia="Arial" w:hAnsi="Arial"/>
          <w:sz w:val="18"/>
          <w:szCs w:val="18"/>
          <w:color w:val="auto"/>
        </w:rPr>
        <w:t>The following table sets forth summary information regarding all grants of plan-based awards made to our Named Executive Officers during the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109220</wp:posOffset>
            </wp:positionV>
            <wp:extent cx="43180" cy="7029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702945"/>
                    </a:xfrm>
                    <a:prstGeom prst="rect">
                      <a:avLst/>
                    </a:prstGeom>
                    <a:noFill/>
                  </pic:spPr>
                </pic:pic>
              </a:graphicData>
            </a:graphic>
          </wp:anchor>
        </w:drawing>
      </w:r>
    </w:p>
    <w:p>
      <w:pPr>
        <w:spacing w:after="0" w:line="152" w:lineRule="exact"/>
        <w:rPr>
          <w:sz w:val="20"/>
          <w:szCs w:val="20"/>
          <w:color w:val="auto"/>
        </w:rPr>
      </w:pPr>
    </w:p>
    <w:tbl>
      <w:tblPr>
        <w:tblLayout w:type="fixed"/>
        <w:tblInd w:w="510" w:type="dxa"/>
        <w:tblCellMar>
          <w:top w:w="0" w:type="dxa"/>
          <w:left w:w="0" w:type="dxa"/>
          <w:bottom w:w="0" w:type="dxa"/>
          <w:right w:w="0" w:type="dxa"/>
        </w:tblCellMar>
      </w:tblPr>
      <w:tr>
        <w:trPr>
          <w:trHeight w:val="247"/>
        </w:trPr>
        <w:tc>
          <w:tcPr>
            <w:tcW w:w="1060" w:type="dxa"/>
            <w:vAlign w:val="bottom"/>
            <w:tcBorders>
              <w:lef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140" w:type="dxa"/>
            <w:vAlign w:val="bottom"/>
            <w:shd w:val="clear" w:color="auto" w:fill="424E6A"/>
          </w:tcPr>
          <w:p>
            <w:pPr>
              <w:spacing w:after="0"/>
              <w:rPr>
                <w:sz w:val="21"/>
                <w:szCs w:val="21"/>
                <w:color w:val="auto"/>
              </w:rPr>
            </w:pPr>
          </w:p>
        </w:tc>
        <w:tc>
          <w:tcPr>
            <w:tcW w:w="540" w:type="dxa"/>
            <w:vAlign w:val="bottom"/>
            <w:shd w:val="clear" w:color="auto" w:fill="424E6A"/>
          </w:tcPr>
          <w:p>
            <w:pPr>
              <w:spacing w:after="0"/>
              <w:rPr>
                <w:sz w:val="21"/>
                <w:szCs w:val="21"/>
                <w:color w:val="auto"/>
              </w:rPr>
            </w:pPr>
          </w:p>
        </w:tc>
        <w:tc>
          <w:tcPr>
            <w:tcW w:w="220" w:type="dxa"/>
            <w:vAlign w:val="bottom"/>
            <w:tcBorders>
              <w:right w:val="single" w:sz="8" w:color="424E6A"/>
            </w:tcBorders>
            <w:shd w:val="clear" w:color="auto" w:fill="424E6A"/>
          </w:tcPr>
          <w:p>
            <w:pPr>
              <w:spacing w:after="0"/>
              <w:rPr>
                <w:sz w:val="21"/>
                <w:szCs w:val="21"/>
                <w:color w:val="auto"/>
              </w:rPr>
            </w:pPr>
          </w:p>
        </w:tc>
        <w:tc>
          <w:tcPr>
            <w:tcW w:w="80" w:type="dxa"/>
            <w:vAlign w:val="bottom"/>
            <w:tcBorders>
              <w:left w:val="single" w:sz="8" w:color="424E6A"/>
            </w:tcBorders>
            <w:shd w:val="clear" w:color="auto" w:fill="424E6A"/>
          </w:tcPr>
          <w:p>
            <w:pPr>
              <w:spacing w:after="0"/>
              <w:rPr>
                <w:sz w:val="21"/>
                <w:szCs w:val="21"/>
                <w:color w:val="auto"/>
              </w:rPr>
            </w:pPr>
          </w:p>
        </w:tc>
        <w:tc>
          <w:tcPr>
            <w:tcW w:w="700" w:type="dxa"/>
            <w:vAlign w:val="bottom"/>
            <w:shd w:val="clear" w:color="auto" w:fill="424E6A"/>
          </w:tcPr>
          <w:p>
            <w:pPr>
              <w:spacing w:after="0"/>
              <w:rPr>
                <w:sz w:val="21"/>
                <w:szCs w:val="21"/>
                <w:color w:val="auto"/>
              </w:rPr>
            </w:pPr>
          </w:p>
        </w:tc>
        <w:tc>
          <w:tcPr>
            <w:tcW w:w="20" w:type="dxa"/>
            <w:vAlign w:val="bottom"/>
            <w:shd w:val="clear" w:color="auto" w:fill="424E6A"/>
          </w:tcPr>
          <w:p>
            <w:pPr>
              <w:spacing w:after="0"/>
              <w:rPr>
                <w:sz w:val="21"/>
                <w:szCs w:val="21"/>
                <w:color w:val="auto"/>
              </w:rPr>
            </w:pPr>
          </w:p>
        </w:tc>
        <w:tc>
          <w:tcPr>
            <w:tcW w:w="120" w:type="dxa"/>
            <w:vAlign w:val="bottom"/>
            <w:tcBorders>
              <w:right w:val="single" w:sz="8" w:color="424E6A"/>
            </w:tcBorders>
            <w:shd w:val="clear" w:color="auto" w:fill="424E6A"/>
          </w:tcPr>
          <w:p>
            <w:pPr>
              <w:spacing w:after="0"/>
              <w:rPr>
                <w:sz w:val="21"/>
                <w:szCs w:val="21"/>
                <w:color w:val="auto"/>
              </w:rPr>
            </w:pPr>
          </w:p>
        </w:tc>
        <w:tc>
          <w:tcPr>
            <w:tcW w:w="160" w:type="dxa"/>
            <w:vAlign w:val="bottom"/>
            <w:shd w:val="clear" w:color="auto" w:fill="424E6A"/>
          </w:tcPr>
          <w:p>
            <w:pPr>
              <w:spacing w:after="0"/>
              <w:rPr>
                <w:sz w:val="21"/>
                <w:szCs w:val="21"/>
                <w:color w:val="auto"/>
              </w:rPr>
            </w:pPr>
          </w:p>
        </w:tc>
        <w:tc>
          <w:tcPr>
            <w:tcW w:w="400" w:type="dxa"/>
            <w:vAlign w:val="bottom"/>
            <w:shd w:val="clear" w:color="auto" w:fill="424E6A"/>
          </w:tcPr>
          <w:p>
            <w:pPr>
              <w:spacing w:after="0"/>
              <w:rPr>
                <w:sz w:val="21"/>
                <w:szCs w:val="21"/>
                <w:color w:val="auto"/>
              </w:rPr>
            </w:pPr>
          </w:p>
        </w:tc>
        <w:tc>
          <w:tcPr>
            <w:tcW w:w="300" w:type="dxa"/>
            <w:vAlign w:val="bottom"/>
            <w:tcBorders>
              <w:right w:val="single" w:sz="8" w:color="424E6A"/>
            </w:tcBorders>
            <w:shd w:val="clear" w:color="auto" w:fill="424E6A"/>
          </w:tcPr>
          <w:p>
            <w:pPr>
              <w:spacing w:after="0"/>
              <w:rPr>
                <w:sz w:val="21"/>
                <w:szCs w:val="21"/>
                <w:color w:val="auto"/>
              </w:rPr>
            </w:pPr>
          </w:p>
        </w:tc>
        <w:tc>
          <w:tcPr>
            <w:tcW w:w="260" w:type="dxa"/>
            <w:vAlign w:val="bottom"/>
            <w:shd w:val="clear" w:color="auto" w:fill="424E6A"/>
          </w:tcPr>
          <w:p>
            <w:pPr>
              <w:spacing w:after="0"/>
              <w:rPr>
                <w:sz w:val="21"/>
                <w:szCs w:val="21"/>
                <w:color w:val="auto"/>
              </w:rPr>
            </w:pPr>
          </w:p>
        </w:tc>
        <w:tc>
          <w:tcPr>
            <w:tcW w:w="320" w:type="dxa"/>
            <w:vAlign w:val="bottom"/>
            <w:shd w:val="clear" w:color="auto" w:fill="424E6A"/>
          </w:tcPr>
          <w:p>
            <w:pPr>
              <w:spacing w:after="0"/>
              <w:rPr>
                <w:sz w:val="21"/>
                <w:szCs w:val="21"/>
                <w:color w:val="auto"/>
              </w:rPr>
            </w:pPr>
          </w:p>
        </w:tc>
        <w:tc>
          <w:tcPr>
            <w:tcW w:w="320" w:type="dxa"/>
            <w:vAlign w:val="bottom"/>
            <w:tcBorders>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700" w:type="dxa"/>
            <w:vAlign w:val="bottom"/>
            <w:shd w:val="clear" w:color="auto" w:fill="424E6A"/>
          </w:tcPr>
          <w:p>
            <w:pPr>
              <w:spacing w:after="0"/>
              <w:rPr>
                <w:sz w:val="21"/>
                <w:szCs w:val="21"/>
                <w:color w:val="auto"/>
              </w:rPr>
            </w:pPr>
          </w:p>
        </w:tc>
        <w:tc>
          <w:tcPr>
            <w:tcW w:w="140" w:type="dxa"/>
            <w:vAlign w:val="bottom"/>
            <w:tcBorders>
              <w:right w:val="single" w:sz="8" w:color="424E6A"/>
            </w:tcBorders>
            <w:shd w:val="clear" w:color="auto" w:fill="424E6A"/>
          </w:tcPr>
          <w:p>
            <w:pPr>
              <w:spacing w:after="0"/>
              <w:rPr>
                <w:sz w:val="21"/>
                <w:szCs w:val="21"/>
                <w:color w:val="auto"/>
              </w:rPr>
            </w:pPr>
          </w:p>
        </w:tc>
        <w:tc>
          <w:tcPr>
            <w:tcW w:w="480" w:type="dxa"/>
            <w:vAlign w:val="bottom"/>
            <w:shd w:val="clear" w:color="auto" w:fill="424E6A"/>
          </w:tcPr>
          <w:p>
            <w:pPr>
              <w:spacing w:after="0"/>
              <w:rPr>
                <w:sz w:val="21"/>
                <w:szCs w:val="21"/>
                <w:color w:val="auto"/>
              </w:rPr>
            </w:pPr>
          </w:p>
        </w:tc>
        <w:tc>
          <w:tcPr>
            <w:tcW w:w="260" w:type="dxa"/>
            <w:vAlign w:val="bottom"/>
            <w:tcBorders>
              <w:righ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200" w:type="dxa"/>
            <w:vAlign w:val="bottom"/>
            <w:shd w:val="clear" w:color="auto" w:fill="424E6A"/>
          </w:tcPr>
          <w:p>
            <w:pPr>
              <w:spacing w:after="0"/>
              <w:rPr>
                <w:sz w:val="21"/>
                <w:szCs w:val="21"/>
                <w:color w:val="auto"/>
              </w:rPr>
            </w:pPr>
          </w:p>
        </w:tc>
        <w:tc>
          <w:tcPr>
            <w:tcW w:w="400" w:type="dxa"/>
            <w:vAlign w:val="bottom"/>
            <w:shd w:val="clear" w:color="auto" w:fill="424E6A"/>
          </w:tcPr>
          <w:p>
            <w:pPr>
              <w:spacing w:after="0"/>
              <w:rPr>
                <w:sz w:val="21"/>
                <w:szCs w:val="21"/>
                <w:color w:val="auto"/>
              </w:rPr>
            </w:pPr>
          </w:p>
        </w:tc>
        <w:tc>
          <w:tcPr>
            <w:tcW w:w="200" w:type="dxa"/>
            <w:vAlign w:val="bottom"/>
            <w:tcBorders>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All Other</w:t>
            </w:r>
          </w:p>
        </w:tc>
        <w:tc>
          <w:tcPr>
            <w:tcW w:w="120" w:type="dxa"/>
            <w:vAlign w:val="bottom"/>
            <w:tcBorders>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300" w:type="dxa"/>
            <w:vAlign w:val="bottom"/>
            <w:shd w:val="clear" w:color="auto" w:fill="424E6A"/>
          </w:tcPr>
          <w:p>
            <w:pPr>
              <w:spacing w:after="0"/>
              <w:rPr>
                <w:sz w:val="21"/>
                <w:szCs w:val="21"/>
                <w:color w:val="auto"/>
              </w:rPr>
            </w:pPr>
          </w:p>
        </w:tc>
        <w:tc>
          <w:tcPr>
            <w:tcW w:w="740" w:type="dxa"/>
            <w:vAlign w:val="bottom"/>
            <w:shd w:val="clear" w:color="auto" w:fill="424E6A"/>
          </w:tcPr>
          <w:p>
            <w:pPr>
              <w:spacing w:after="0"/>
              <w:rPr>
                <w:sz w:val="21"/>
                <w:szCs w:val="21"/>
                <w:color w:val="auto"/>
              </w:rPr>
            </w:pPr>
          </w:p>
        </w:tc>
        <w:tc>
          <w:tcPr>
            <w:tcW w:w="100" w:type="dxa"/>
            <w:vAlign w:val="bottom"/>
            <w:tcBorders>
              <w:right w:val="single" w:sz="8" w:color="424E6A"/>
            </w:tcBorders>
            <w:shd w:val="clear" w:color="auto" w:fill="424E6A"/>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1060" w:type="dxa"/>
            <w:vAlign w:val="bottom"/>
            <w:tcBorders>
              <w:left w:val="single" w:sz="8" w:color="424E6A"/>
            </w:tcBorders>
            <w:shd w:val="clear" w:color="auto" w:fill="424E6A"/>
          </w:tcPr>
          <w:p>
            <w:pPr>
              <w:spacing w:after="0"/>
              <w:rPr>
                <w:sz w:val="16"/>
                <w:szCs w:val="16"/>
                <w:color w:val="auto"/>
              </w:rPr>
            </w:pPr>
          </w:p>
        </w:tc>
        <w:tc>
          <w:tcPr>
            <w:tcW w:w="100" w:type="dxa"/>
            <w:vAlign w:val="bottom"/>
            <w:shd w:val="clear" w:color="auto" w:fill="424E6A"/>
          </w:tcPr>
          <w:p>
            <w:pPr>
              <w:spacing w:after="0"/>
              <w:rPr>
                <w:sz w:val="16"/>
                <w:szCs w:val="16"/>
                <w:color w:val="auto"/>
              </w:rPr>
            </w:pPr>
          </w:p>
        </w:tc>
        <w:tc>
          <w:tcPr>
            <w:tcW w:w="140" w:type="dxa"/>
            <w:vAlign w:val="bottom"/>
            <w:shd w:val="clear" w:color="auto" w:fill="424E6A"/>
          </w:tcPr>
          <w:p>
            <w:pPr>
              <w:spacing w:after="0"/>
              <w:rPr>
                <w:sz w:val="16"/>
                <w:szCs w:val="16"/>
                <w:color w:val="auto"/>
              </w:rPr>
            </w:pPr>
          </w:p>
        </w:tc>
        <w:tc>
          <w:tcPr>
            <w:tcW w:w="540" w:type="dxa"/>
            <w:vAlign w:val="bottom"/>
            <w:shd w:val="clear" w:color="auto" w:fill="424E6A"/>
          </w:tcPr>
          <w:p>
            <w:pPr>
              <w:spacing w:after="0"/>
              <w:rPr>
                <w:sz w:val="16"/>
                <w:szCs w:val="16"/>
                <w:color w:val="auto"/>
              </w:rPr>
            </w:pPr>
          </w:p>
        </w:tc>
        <w:tc>
          <w:tcPr>
            <w:tcW w:w="220" w:type="dxa"/>
            <w:vAlign w:val="bottom"/>
            <w:tcBorders>
              <w:right w:val="single" w:sz="8" w:color="424E6A"/>
            </w:tcBorders>
            <w:shd w:val="clear" w:color="auto" w:fill="424E6A"/>
          </w:tcPr>
          <w:p>
            <w:pPr>
              <w:spacing w:after="0"/>
              <w:rPr>
                <w:sz w:val="16"/>
                <w:szCs w:val="16"/>
                <w:color w:val="auto"/>
              </w:rPr>
            </w:pPr>
          </w:p>
        </w:tc>
        <w:tc>
          <w:tcPr>
            <w:tcW w:w="80" w:type="dxa"/>
            <w:vAlign w:val="bottom"/>
            <w:tcBorders>
              <w:left w:val="single" w:sz="8" w:color="424E6A"/>
            </w:tcBorders>
            <w:shd w:val="clear" w:color="auto" w:fill="424E6A"/>
          </w:tcPr>
          <w:p>
            <w:pPr>
              <w:spacing w:after="0"/>
              <w:rPr>
                <w:sz w:val="16"/>
                <w:szCs w:val="16"/>
                <w:color w:val="auto"/>
              </w:rPr>
            </w:pPr>
          </w:p>
        </w:tc>
        <w:tc>
          <w:tcPr>
            <w:tcW w:w="2680" w:type="dxa"/>
            <w:vAlign w:val="bottom"/>
            <w:gridSpan w:val="10"/>
            <w:shd w:val="clear" w:color="auto" w:fill="424E6A"/>
          </w:tcPr>
          <w:p>
            <w:pPr>
              <w:ind w:left="120"/>
              <w:spacing w:after="0"/>
              <w:rPr>
                <w:sz w:val="20"/>
                <w:szCs w:val="20"/>
                <w:color w:val="auto"/>
              </w:rPr>
            </w:pPr>
            <w:r>
              <w:rPr>
                <w:rFonts w:ascii="Arial" w:cs="Arial" w:eastAsia="Arial" w:hAnsi="Arial"/>
                <w:sz w:val="14"/>
                <w:szCs w:val="14"/>
                <w:b w:val="1"/>
                <w:bCs w:val="1"/>
                <w:color w:val="FFFFFF"/>
              </w:rPr>
              <w:t>Estimated Future Payouts Under</w:t>
            </w:r>
          </w:p>
        </w:tc>
        <w:tc>
          <w:tcPr>
            <w:tcW w:w="2280" w:type="dxa"/>
            <w:vAlign w:val="bottom"/>
            <w:gridSpan w:val="7"/>
            <w:shd w:val="clear" w:color="auto" w:fill="424E6A"/>
          </w:tcPr>
          <w:p>
            <w:pPr>
              <w:jc w:val="right"/>
              <w:spacing w:after="0"/>
              <w:rPr>
                <w:sz w:val="20"/>
                <w:szCs w:val="20"/>
                <w:color w:val="auto"/>
              </w:rPr>
            </w:pPr>
            <w:r>
              <w:rPr>
                <w:rFonts w:ascii="Arial" w:cs="Arial" w:eastAsia="Arial" w:hAnsi="Arial"/>
                <w:sz w:val="14"/>
                <w:szCs w:val="14"/>
                <w:b w:val="1"/>
                <w:bCs w:val="1"/>
                <w:color w:val="FFFFFF"/>
              </w:rPr>
              <w:t>Estimated Future Payouts Under</w:t>
            </w:r>
          </w:p>
        </w:tc>
        <w:tc>
          <w:tcPr>
            <w:tcW w:w="200" w:type="dxa"/>
            <w:vAlign w:val="bottom"/>
            <w:tcBorders>
              <w:right w:val="single" w:sz="8" w:color="424E6A"/>
            </w:tcBorders>
            <w:shd w:val="clear" w:color="auto" w:fill="424E6A"/>
          </w:tcPr>
          <w:p>
            <w:pPr>
              <w:spacing w:after="0"/>
              <w:rPr>
                <w:sz w:val="16"/>
                <w:szCs w:val="16"/>
                <w:color w:val="auto"/>
              </w:rPr>
            </w:pPr>
          </w:p>
        </w:tc>
        <w:tc>
          <w:tcPr>
            <w:tcW w:w="80" w:type="dxa"/>
            <w:vAlign w:val="bottom"/>
            <w:shd w:val="clear" w:color="auto" w:fill="424E6A"/>
          </w:tcPr>
          <w:p>
            <w:pPr>
              <w:spacing w:after="0"/>
              <w:rPr>
                <w:sz w:val="16"/>
                <w:szCs w:val="16"/>
                <w:color w:val="auto"/>
              </w:rPr>
            </w:pP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Stock Awards:</w:t>
            </w:r>
          </w:p>
        </w:tc>
        <w:tc>
          <w:tcPr>
            <w:tcW w:w="120" w:type="dxa"/>
            <w:vAlign w:val="bottom"/>
            <w:tcBorders>
              <w:right w:val="single" w:sz="8" w:color="424E6A"/>
            </w:tcBorders>
            <w:shd w:val="clear" w:color="auto" w:fill="424E6A"/>
          </w:tcPr>
          <w:p>
            <w:pPr>
              <w:spacing w:after="0"/>
              <w:rPr>
                <w:sz w:val="16"/>
                <w:szCs w:val="16"/>
                <w:color w:val="auto"/>
              </w:rPr>
            </w:pPr>
          </w:p>
        </w:tc>
        <w:tc>
          <w:tcPr>
            <w:tcW w:w="80" w:type="dxa"/>
            <w:vAlign w:val="bottom"/>
            <w:shd w:val="clear" w:color="auto" w:fill="424E6A"/>
          </w:tcPr>
          <w:p>
            <w:pPr>
              <w:spacing w:after="0"/>
              <w:rPr>
                <w:sz w:val="16"/>
                <w:szCs w:val="16"/>
                <w:color w:val="auto"/>
              </w:rPr>
            </w:pPr>
          </w:p>
        </w:tc>
        <w:tc>
          <w:tcPr>
            <w:tcW w:w="10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Grant Date</w:t>
            </w:r>
          </w:p>
        </w:tc>
        <w:tc>
          <w:tcPr>
            <w:tcW w:w="100" w:type="dxa"/>
            <w:vAlign w:val="bottom"/>
            <w:tcBorders>
              <w:right w:val="single" w:sz="8" w:color="424E6A"/>
            </w:tcBorders>
            <w:shd w:val="clear" w:color="auto" w:fill="424E6A"/>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60" w:type="dxa"/>
            <w:vAlign w:val="bottom"/>
            <w:tcBorders>
              <w:lef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54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8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680" w:type="dxa"/>
            <w:vAlign w:val="bottom"/>
            <w:gridSpan w:val="10"/>
            <w:shd w:val="clear" w:color="auto" w:fill="424E6A"/>
          </w:tcPr>
          <w:p>
            <w:pPr>
              <w:ind w:left="80"/>
              <w:spacing w:after="0" w:line="162" w:lineRule="exact"/>
              <w:rPr>
                <w:sz w:val="20"/>
                <w:szCs w:val="20"/>
                <w:color w:val="auto"/>
              </w:rPr>
            </w:pPr>
            <w:r>
              <w:rPr>
                <w:rFonts w:ascii="Arial" w:cs="Arial" w:eastAsia="Arial" w:hAnsi="Arial"/>
                <w:sz w:val="11"/>
                <w:szCs w:val="11"/>
                <w:b w:val="1"/>
                <w:bCs w:val="1"/>
                <w:color w:val="FFFFFF"/>
              </w:rPr>
              <w:t xml:space="preserve">Non-Equity Incentive Plan Awards  </w:t>
            </w:r>
            <w:r>
              <w:rPr>
                <w:rFonts w:ascii="Arial" w:cs="Arial" w:eastAsia="Arial" w:hAnsi="Arial"/>
                <w:sz w:val="18"/>
                <w:szCs w:val="18"/>
                <w:b w:val="1"/>
                <w:bCs w:val="1"/>
                <w:color w:val="FFFFFF"/>
                <w:vertAlign w:val="subscript"/>
              </w:rPr>
              <w:t>​ ​</w:t>
            </w:r>
          </w:p>
        </w:tc>
        <w:tc>
          <w:tcPr>
            <w:tcW w:w="2280" w:type="dxa"/>
            <w:vAlign w:val="bottom"/>
            <w:gridSpan w:val="7"/>
            <w:shd w:val="clear" w:color="auto" w:fill="424E6A"/>
          </w:tcPr>
          <w:p>
            <w:pPr>
              <w:ind w:left="140"/>
              <w:spacing w:after="0" w:line="162" w:lineRule="exact"/>
              <w:rPr>
                <w:sz w:val="20"/>
                <w:szCs w:val="20"/>
                <w:color w:val="auto"/>
              </w:rPr>
            </w:pPr>
            <w:r>
              <w:rPr>
                <w:rFonts w:ascii="Arial" w:cs="Arial" w:eastAsia="Arial" w:hAnsi="Arial"/>
                <w:sz w:val="14"/>
                <w:szCs w:val="14"/>
                <w:b w:val="1"/>
                <w:bCs w:val="1"/>
                <w:color w:val="FFFFFF"/>
              </w:rPr>
              <w:t>Equity Incentive Plan Awards</w:t>
            </w:r>
            <w:r>
              <w:rPr>
                <w:rFonts w:ascii="Arial" w:cs="Arial" w:eastAsia="Arial" w:hAnsi="Arial"/>
                <w:sz w:val="17"/>
                <w:szCs w:val="17"/>
                <w:b w:val="1"/>
                <w:bCs w:val="1"/>
                <w:color w:val="FFFFFF"/>
                <w:vertAlign w:val="superscript"/>
              </w:rPr>
              <w:t>(1)</w:t>
            </w:r>
          </w:p>
        </w:tc>
        <w:tc>
          <w:tcPr>
            <w:tcW w:w="20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424E6A"/>
          </w:tcPr>
          <w:p>
            <w:pPr>
              <w:spacing w:after="0"/>
              <w:rPr>
                <w:sz w:val="14"/>
                <w:szCs w:val="14"/>
                <w:color w:val="auto"/>
              </w:rPr>
            </w:pP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w:t>
            </w:r>
          </w:p>
        </w:tc>
        <w:tc>
          <w:tcPr>
            <w:tcW w:w="1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60" w:type="dxa"/>
            <w:vAlign w:val="bottom"/>
            <w:tcBorders>
              <w:left w:val="single" w:sz="8" w:color="424E6A"/>
            </w:tcBorders>
            <w:shd w:val="clear" w:color="auto" w:fill="424E6A"/>
          </w:tcPr>
          <w:p>
            <w:pPr>
              <w:spacing w:after="0"/>
              <w:rPr>
                <w:sz w:val="5"/>
                <w:szCs w:val="5"/>
                <w:color w:val="auto"/>
              </w:rPr>
            </w:pPr>
          </w:p>
        </w:tc>
        <w:tc>
          <w:tcPr>
            <w:tcW w:w="100" w:type="dxa"/>
            <w:vAlign w:val="bottom"/>
            <w:shd w:val="clear" w:color="auto" w:fill="424E6A"/>
          </w:tcPr>
          <w:p>
            <w:pPr>
              <w:spacing w:after="0"/>
              <w:rPr>
                <w:sz w:val="5"/>
                <w:szCs w:val="5"/>
                <w:color w:val="auto"/>
              </w:rPr>
            </w:pPr>
          </w:p>
        </w:tc>
        <w:tc>
          <w:tcPr>
            <w:tcW w:w="140" w:type="dxa"/>
            <w:vAlign w:val="bottom"/>
            <w:shd w:val="clear" w:color="auto" w:fill="424E6A"/>
          </w:tcPr>
          <w:p>
            <w:pPr>
              <w:spacing w:after="0"/>
              <w:rPr>
                <w:sz w:val="5"/>
                <w:szCs w:val="5"/>
                <w:color w:val="auto"/>
              </w:rPr>
            </w:pPr>
          </w:p>
        </w:tc>
        <w:tc>
          <w:tcPr>
            <w:tcW w:w="540" w:type="dxa"/>
            <w:vAlign w:val="bottom"/>
            <w:shd w:val="clear" w:color="auto" w:fill="424E6A"/>
          </w:tcPr>
          <w:p>
            <w:pPr>
              <w:spacing w:after="0"/>
              <w:rPr>
                <w:sz w:val="5"/>
                <w:szCs w:val="5"/>
                <w:color w:val="auto"/>
              </w:rPr>
            </w:pPr>
          </w:p>
        </w:tc>
        <w:tc>
          <w:tcPr>
            <w:tcW w:w="220" w:type="dxa"/>
            <w:vAlign w:val="bottom"/>
            <w:tcBorders>
              <w:right w:val="single" w:sz="8" w:color="424E6A"/>
            </w:tcBorders>
            <w:shd w:val="clear" w:color="auto" w:fill="424E6A"/>
          </w:tcPr>
          <w:p>
            <w:pPr>
              <w:spacing w:after="0"/>
              <w:rPr>
                <w:sz w:val="5"/>
                <w:szCs w:val="5"/>
                <w:color w:val="auto"/>
              </w:rPr>
            </w:pPr>
          </w:p>
        </w:tc>
        <w:tc>
          <w:tcPr>
            <w:tcW w:w="80" w:type="dxa"/>
            <w:vAlign w:val="bottom"/>
            <w:tcBorders>
              <w:left w:val="single" w:sz="8" w:color="424E6A"/>
            </w:tcBorders>
            <w:shd w:val="clear" w:color="auto" w:fill="424E6A"/>
          </w:tcPr>
          <w:p>
            <w:pPr>
              <w:spacing w:after="0"/>
              <w:rPr>
                <w:sz w:val="5"/>
                <w:szCs w:val="5"/>
                <w:color w:val="auto"/>
              </w:rPr>
            </w:pPr>
          </w:p>
        </w:tc>
        <w:tc>
          <w:tcPr>
            <w:tcW w:w="700" w:type="dxa"/>
            <w:vAlign w:val="bottom"/>
            <w:shd w:val="clear" w:color="auto" w:fill="424E6A"/>
          </w:tcPr>
          <w:p>
            <w:pPr>
              <w:spacing w:after="0"/>
              <w:rPr>
                <w:sz w:val="5"/>
                <w:szCs w:val="5"/>
                <w:color w:val="auto"/>
              </w:rPr>
            </w:pPr>
          </w:p>
        </w:tc>
        <w:tc>
          <w:tcPr>
            <w:tcW w:w="20" w:type="dxa"/>
            <w:vAlign w:val="bottom"/>
            <w:shd w:val="clear" w:color="auto" w:fill="424E6A"/>
          </w:tcPr>
          <w:p>
            <w:pPr>
              <w:spacing w:after="0"/>
              <w:rPr>
                <w:sz w:val="5"/>
                <w:szCs w:val="5"/>
                <w:color w:val="auto"/>
              </w:rPr>
            </w:pPr>
          </w:p>
        </w:tc>
        <w:tc>
          <w:tcPr>
            <w:tcW w:w="120" w:type="dxa"/>
            <w:vAlign w:val="bottom"/>
            <w:tcBorders>
              <w:right w:val="single" w:sz="8" w:color="424E6A"/>
            </w:tcBorders>
            <w:shd w:val="clear" w:color="auto" w:fill="424E6A"/>
          </w:tcPr>
          <w:p>
            <w:pPr>
              <w:spacing w:after="0"/>
              <w:rPr>
                <w:sz w:val="5"/>
                <w:szCs w:val="5"/>
                <w:color w:val="auto"/>
              </w:rPr>
            </w:pPr>
          </w:p>
        </w:tc>
        <w:tc>
          <w:tcPr>
            <w:tcW w:w="160" w:type="dxa"/>
            <w:vAlign w:val="bottom"/>
            <w:shd w:val="clear" w:color="auto" w:fill="424E6A"/>
          </w:tcPr>
          <w:p>
            <w:pPr>
              <w:spacing w:after="0"/>
              <w:rPr>
                <w:sz w:val="5"/>
                <w:szCs w:val="5"/>
                <w:color w:val="auto"/>
              </w:rPr>
            </w:pPr>
          </w:p>
        </w:tc>
        <w:tc>
          <w:tcPr>
            <w:tcW w:w="400" w:type="dxa"/>
            <w:vAlign w:val="bottom"/>
            <w:shd w:val="clear" w:color="auto" w:fill="424E6A"/>
          </w:tcPr>
          <w:p>
            <w:pPr>
              <w:spacing w:after="0"/>
              <w:rPr>
                <w:sz w:val="5"/>
                <w:szCs w:val="5"/>
                <w:color w:val="auto"/>
              </w:rPr>
            </w:pPr>
          </w:p>
        </w:tc>
        <w:tc>
          <w:tcPr>
            <w:tcW w:w="300" w:type="dxa"/>
            <w:vAlign w:val="bottom"/>
            <w:tcBorders>
              <w:right w:val="single" w:sz="8" w:color="424E6A"/>
            </w:tcBorders>
            <w:shd w:val="clear" w:color="auto" w:fill="424E6A"/>
          </w:tcPr>
          <w:p>
            <w:pPr>
              <w:spacing w:after="0"/>
              <w:rPr>
                <w:sz w:val="5"/>
                <w:szCs w:val="5"/>
                <w:color w:val="auto"/>
              </w:rPr>
            </w:pPr>
          </w:p>
        </w:tc>
        <w:tc>
          <w:tcPr>
            <w:tcW w:w="260" w:type="dxa"/>
            <w:vAlign w:val="bottom"/>
            <w:shd w:val="clear" w:color="auto" w:fill="424E6A"/>
          </w:tcPr>
          <w:p>
            <w:pPr>
              <w:spacing w:after="0"/>
              <w:rPr>
                <w:sz w:val="5"/>
                <w:szCs w:val="5"/>
                <w:color w:val="auto"/>
              </w:rPr>
            </w:pPr>
          </w:p>
        </w:tc>
        <w:tc>
          <w:tcPr>
            <w:tcW w:w="320" w:type="dxa"/>
            <w:vAlign w:val="bottom"/>
            <w:shd w:val="clear" w:color="auto" w:fill="424E6A"/>
          </w:tcPr>
          <w:p>
            <w:pPr>
              <w:spacing w:after="0"/>
              <w:rPr>
                <w:sz w:val="5"/>
                <w:szCs w:val="5"/>
                <w:color w:val="auto"/>
              </w:rPr>
            </w:pPr>
          </w:p>
        </w:tc>
        <w:tc>
          <w:tcPr>
            <w:tcW w:w="320" w:type="dxa"/>
            <w:vAlign w:val="bottom"/>
            <w:tcBorders>
              <w:right w:val="single" w:sz="8" w:color="424E6A"/>
            </w:tcBorders>
            <w:shd w:val="clear" w:color="auto" w:fill="424E6A"/>
          </w:tcPr>
          <w:p>
            <w:pPr>
              <w:spacing w:after="0"/>
              <w:rPr>
                <w:sz w:val="5"/>
                <w:szCs w:val="5"/>
                <w:color w:val="auto"/>
              </w:rPr>
            </w:pPr>
          </w:p>
        </w:tc>
        <w:tc>
          <w:tcPr>
            <w:tcW w:w="80" w:type="dxa"/>
            <w:vAlign w:val="bottom"/>
            <w:shd w:val="clear" w:color="auto" w:fill="424E6A"/>
          </w:tcPr>
          <w:p>
            <w:pPr>
              <w:spacing w:after="0"/>
              <w:rPr>
                <w:sz w:val="5"/>
                <w:szCs w:val="5"/>
                <w:color w:val="auto"/>
              </w:rPr>
            </w:pPr>
          </w:p>
        </w:tc>
        <w:tc>
          <w:tcPr>
            <w:tcW w:w="700" w:type="dxa"/>
            <w:vAlign w:val="bottom"/>
            <w:shd w:val="clear" w:color="auto" w:fill="424E6A"/>
          </w:tcPr>
          <w:p>
            <w:pPr>
              <w:spacing w:after="0"/>
              <w:rPr>
                <w:sz w:val="5"/>
                <w:szCs w:val="5"/>
                <w:color w:val="auto"/>
              </w:rPr>
            </w:pPr>
          </w:p>
        </w:tc>
        <w:tc>
          <w:tcPr>
            <w:tcW w:w="140" w:type="dxa"/>
            <w:vAlign w:val="bottom"/>
            <w:tcBorders>
              <w:right w:val="single" w:sz="8" w:color="424E6A"/>
            </w:tcBorders>
            <w:shd w:val="clear" w:color="auto" w:fill="424E6A"/>
          </w:tcPr>
          <w:p>
            <w:pPr>
              <w:spacing w:after="0"/>
              <w:rPr>
                <w:sz w:val="5"/>
                <w:szCs w:val="5"/>
                <w:color w:val="auto"/>
              </w:rPr>
            </w:pPr>
          </w:p>
        </w:tc>
        <w:tc>
          <w:tcPr>
            <w:tcW w:w="480" w:type="dxa"/>
            <w:vAlign w:val="bottom"/>
            <w:shd w:val="clear" w:color="auto" w:fill="424E6A"/>
          </w:tcPr>
          <w:p>
            <w:pPr>
              <w:spacing w:after="0"/>
              <w:rPr>
                <w:sz w:val="5"/>
                <w:szCs w:val="5"/>
                <w:color w:val="auto"/>
              </w:rPr>
            </w:pPr>
          </w:p>
        </w:tc>
        <w:tc>
          <w:tcPr>
            <w:tcW w:w="260" w:type="dxa"/>
            <w:vAlign w:val="bottom"/>
            <w:tcBorders>
              <w:right w:val="single" w:sz="8" w:color="424E6A"/>
            </w:tcBorders>
            <w:shd w:val="clear" w:color="auto" w:fill="424E6A"/>
          </w:tcPr>
          <w:p>
            <w:pPr>
              <w:spacing w:after="0"/>
              <w:rPr>
                <w:sz w:val="5"/>
                <w:szCs w:val="5"/>
                <w:color w:val="auto"/>
              </w:rPr>
            </w:pPr>
          </w:p>
        </w:tc>
        <w:tc>
          <w:tcPr>
            <w:tcW w:w="100" w:type="dxa"/>
            <w:vAlign w:val="bottom"/>
            <w:shd w:val="clear" w:color="auto" w:fill="424E6A"/>
          </w:tcPr>
          <w:p>
            <w:pPr>
              <w:spacing w:after="0"/>
              <w:rPr>
                <w:sz w:val="5"/>
                <w:szCs w:val="5"/>
                <w:color w:val="auto"/>
              </w:rPr>
            </w:pPr>
          </w:p>
        </w:tc>
        <w:tc>
          <w:tcPr>
            <w:tcW w:w="200" w:type="dxa"/>
            <w:vAlign w:val="bottom"/>
            <w:shd w:val="clear" w:color="auto" w:fill="424E6A"/>
          </w:tcPr>
          <w:p>
            <w:pPr>
              <w:spacing w:after="0"/>
              <w:rPr>
                <w:sz w:val="5"/>
                <w:szCs w:val="5"/>
                <w:color w:val="auto"/>
              </w:rPr>
            </w:pPr>
          </w:p>
        </w:tc>
        <w:tc>
          <w:tcPr>
            <w:tcW w:w="400" w:type="dxa"/>
            <w:vAlign w:val="bottom"/>
            <w:shd w:val="clear" w:color="auto" w:fill="424E6A"/>
          </w:tcPr>
          <w:p>
            <w:pPr>
              <w:spacing w:after="0"/>
              <w:rPr>
                <w:sz w:val="5"/>
                <w:szCs w:val="5"/>
                <w:color w:val="auto"/>
              </w:rPr>
            </w:pPr>
          </w:p>
        </w:tc>
        <w:tc>
          <w:tcPr>
            <w:tcW w:w="200" w:type="dxa"/>
            <w:vAlign w:val="bottom"/>
            <w:tcBorders>
              <w:right w:val="single" w:sz="8" w:color="424E6A"/>
            </w:tcBorders>
            <w:shd w:val="clear" w:color="auto" w:fill="424E6A"/>
          </w:tcPr>
          <w:p>
            <w:pPr>
              <w:spacing w:after="0"/>
              <w:rPr>
                <w:sz w:val="5"/>
                <w:szCs w:val="5"/>
                <w:color w:val="auto"/>
              </w:rPr>
            </w:pPr>
          </w:p>
        </w:tc>
        <w:tc>
          <w:tcPr>
            <w:tcW w:w="80" w:type="dxa"/>
            <w:vAlign w:val="bottom"/>
            <w:shd w:val="clear" w:color="auto" w:fill="424E6A"/>
          </w:tcPr>
          <w:p>
            <w:pPr>
              <w:spacing w:after="0"/>
              <w:rPr>
                <w:sz w:val="5"/>
                <w:szCs w:val="5"/>
                <w:color w:val="auto"/>
              </w:rPr>
            </w:pPr>
          </w:p>
        </w:tc>
        <w:tc>
          <w:tcPr>
            <w:tcW w:w="1020" w:type="dxa"/>
            <w:vAlign w:val="bottom"/>
            <w:gridSpan w:val="2"/>
            <w:vMerge w:val="restart"/>
            <w:shd w:val="clear" w:color="auto" w:fill="424E6A"/>
          </w:tcPr>
          <w:p>
            <w:pPr>
              <w:jc w:val="center"/>
              <w:spacing w:after="0" w:line="139" w:lineRule="exact"/>
              <w:rPr>
                <w:sz w:val="20"/>
                <w:szCs w:val="20"/>
                <w:color w:val="auto"/>
              </w:rPr>
            </w:pPr>
            <w:r>
              <w:rPr>
                <w:rFonts w:ascii="Arial" w:cs="Arial" w:eastAsia="Arial" w:hAnsi="Arial"/>
                <w:sz w:val="14"/>
                <w:szCs w:val="14"/>
                <w:b w:val="1"/>
                <w:bCs w:val="1"/>
                <w:color w:val="FFFFFF"/>
              </w:rPr>
              <w:t>Shares Of</w:t>
            </w:r>
          </w:p>
        </w:tc>
        <w:tc>
          <w:tcPr>
            <w:tcW w:w="120" w:type="dxa"/>
            <w:vAlign w:val="bottom"/>
            <w:tcBorders>
              <w:right w:val="single" w:sz="8" w:color="424E6A"/>
            </w:tcBorders>
            <w:shd w:val="clear" w:color="auto" w:fill="424E6A"/>
          </w:tcPr>
          <w:p>
            <w:pPr>
              <w:spacing w:after="0"/>
              <w:rPr>
                <w:sz w:val="5"/>
                <w:szCs w:val="5"/>
                <w:color w:val="auto"/>
              </w:rPr>
            </w:pPr>
          </w:p>
        </w:tc>
        <w:tc>
          <w:tcPr>
            <w:tcW w:w="80" w:type="dxa"/>
            <w:vAlign w:val="bottom"/>
            <w:shd w:val="clear" w:color="auto" w:fill="424E6A"/>
          </w:tcPr>
          <w:p>
            <w:pPr>
              <w:spacing w:after="0"/>
              <w:rPr>
                <w:sz w:val="5"/>
                <w:szCs w:val="5"/>
                <w:color w:val="auto"/>
              </w:rPr>
            </w:pPr>
          </w:p>
        </w:tc>
        <w:tc>
          <w:tcPr>
            <w:tcW w:w="1040" w:type="dxa"/>
            <w:vAlign w:val="bottom"/>
            <w:gridSpan w:val="2"/>
            <w:vMerge w:val="restart"/>
            <w:shd w:val="clear" w:color="auto" w:fill="424E6A"/>
          </w:tcPr>
          <w:p>
            <w:pPr>
              <w:jc w:val="center"/>
              <w:spacing w:after="0" w:line="139" w:lineRule="exact"/>
              <w:rPr>
                <w:sz w:val="20"/>
                <w:szCs w:val="20"/>
                <w:color w:val="auto"/>
              </w:rPr>
            </w:pPr>
            <w:r>
              <w:rPr>
                <w:rFonts w:ascii="Arial" w:cs="Arial" w:eastAsia="Arial" w:hAnsi="Arial"/>
                <w:sz w:val="14"/>
                <w:szCs w:val="14"/>
                <w:b w:val="1"/>
                <w:bCs w:val="1"/>
                <w:color w:val="FFFFFF"/>
              </w:rPr>
              <w:t>Of Stock and</w:t>
            </w:r>
          </w:p>
        </w:tc>
        <w:tc>
          <w:tcPr>
            <w:tcW w:w="100" w:type="dxa"/>
            <w:vAlign w:val="bottom"/>
            <w:tcBorders>
              <w:right w:val="single" w:sz="8" w:color="424E6A"/>
            </w:tcBorders>
            <w:shd w:val="clear" w:color="auto" w:fill="424E6A"/>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1060" w:type="dxa"/>
            <w:vAlign w:val="bottom"/>
            <w:tcBorders>
              <w:left w:val="single" w:sz="8" w:color="424E6A"/>
            </w:tcBorders>
            <w:shd w:val="clear" w:color="auto" w:fill="424E6A"/>
          </w:tcPr>
          <w:p>
            <w:pPr>
              <w:spacing w:after="0"/>
              <w:rPr>
                <w:sz w:val="6"/>
                <w:szCs w:val="6"/>
                <w:color w:val="auto"/>
              </w:rPr>
            </w:pPr>
          </w:p>
        </w:tc>
        <w:tc>
          <w:tcPr>
            <w:tcW w:w="100" w:type="dxa"/>
            <w:vAlign w:val="bottom"/>
            <w:shd w:val="clear" w:color="auto" w:fill="424E6A"/>
          </w:tcPr>
          <w:p>
            <w:pPr>
              <w:spacing w:after="0"/>
              <w:rPr>
                <w:sz w:val="6"/>
                <w:szCs w:val="6"/>
                <w:color w:val="auto"/>
              </w:rPr>
            </w:pPr>
          </w:p>
        </w:tc>
        <w:tc>
          <w:tcPr>
            <w:tcW w:w="140" w:type="dxa"/>
            <w:vAlign w:val="bottom"/>
            <w:shd w:val="clear" w:color="auto" w:fill="424E6A"/>
          </w:tcPr>
          <w:p>
            <w:pPr>
              <w:spacing w:after="0"/>
              <w:rPr>
                <w:sz w:val="6"/>
                <w:szCs w:val="6"/>
                <w:color w:val="auto"/>
              </w:rPr>
            </w:pPr>
          </w:p>
        </w:tc>
        <w:tc>
          <w:tcPr>
            <w:tcW w:w="540" w:type="dxa"/>
            <w:vAlign w:val="bottom"/>
            <w:shd w:val="clear" w:color="auto" w:fill="424E6A"/>
          </w:tcPr>
          <w:p>
            <w:pPr>
              <w:spacing w:after="0"/>
              <w:rPr>
                <w:sz w:val="6"/>
                <w:szCs w:val="6"/>
                <w:color w:val="auto"/>
              </w:rPr>
            </w:pPr>
          </w:p>
        </w:tc>
        <w:tc>
          <w:tcPr>
            <w:tcW w:w="220" w:type="dxa"/>
            <w:vAlign w:val="bottom"/>
            <w:tcBorders>
              <w:right w:val="single" w:sz="8" w:color="424E6A"/>
            </w:tcBorders>
            <w:shd w:val="clear" w:color="auto" w:fill="424E6A"/>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shd w:val="clear" w:color="auto" w:fill="424E6A"/>
          </w:tcPr>
          <w:p>
            <w:pPr>
              <w:spacing w:after="0"/>
              <w:rPr>
                <w:sz w:val="6"/>
                <w:szCs w:val="6"/>
                <w:color w:val="auto"/>
              </w:rPr>
            </w:pPr>
          </w:p>
        </w:tc>
        <w:tc>
          <w:tcPr>
            <w:tcW w:w="1020" w:type="dxa"/>
            <w:vAlign w:val="bottom"/>
            <w:gridSpan w:val="2"/>
            <w:vMerge w:val="continue"/>
            <w:shd w:val="clear" w:color="auto" w:fill="424E6A"/>
          </w:tcPr>
          <w:p>
            <w:pPr>
              <w:spacing w:after="0"/>
              <w:rPr>
                <w:sz w:val="6"/>
                <w:szCs w:val="6"/>
                <w:color w:val="auto"/>
              </w:rPr>
            </w:pPr>
          </w:p>
        </w:tc>
        <w:tc>
          <w:tcPr>
            <w:tcW w:w="120" w:type="dxa"/>
            <w:vAlign w:val="bottom"/>
            <w:tcBorders>
              <w:right w:val="single" w:sz="8" w:color="424E6A"/>
            </w:tcBorders>
            <w:shd w:val="clear" w:color="auto" w:fill="424E6A"/>
          </w:tcPr>
          <w:p>
            <w:pPr>
              <w:spacing w:after="0"/>
              <w:rPr>
                <w:sz w:val="6"/>
                <w:szCs w:val="6"/>
                <w:color w:val="auto"/>
              </w:rPr>
            </w:pPr>
          </w:p>
        </w:tc>
        <w:tc>
          <w:tcPr>
            <w:tcW w:w="80" w:type="dxa"/>
            <w:vAlign w:val="bottom"/>
            <w:shd w:val="clear" w:color="auto" w:fill="424E6A"/>
          </w:tcPr>
          <w:p>
            <w:pPr>
              <w:spacing w:after="0"/>
              <w:rPr>
                <w:sz w:val="6"/>
                <w:szCs w:val="6"/>
                <w:color w:val="auto"/>
              </w:rPr>
            </w:pPr>
          </w:p>
        </w:tc>
        <w:tc>
          <w:tcPr>
            <w:tcW w:w="1040" w:type="dxa"/>
            <w:vAlign w:val="bottom"/>
            <w:gridSpan w:val="2"/>
            <w:vMerge w:val="continue"/>
            <w:shd w:val="clear" w:color="auto" w:fill="424E6A"/>
          </w:tcPr>
          <w:p>
            <w:pPr>
              <w:spacing w:after="0"/>
              <w:rPr>
                <w:sz w:val="6"/>
                <w:szCs w:val="6"/>
                <w:color w:val="auto"/>
              </w:rPr>
            </w:pPr>
          </w:p>
        </w:tc>
        <w:tc>
          <w:tcPr>
            <w:tcW w:w="100" w:type="dxa"/>
            <w:vAlign w:val="bottom"/>
            <w:tcBorders>
              <w:right w:val="single" w:sz="8" w:color="424E6A"/>
            </w:tcBorders>
            <w:shd w:val="clear" w:color="auto" w:fill="424E6A"/>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060" w:type="dxa"/>
            <w:vAlign w:val="bottom"/>
            <w:tcBorders>
              <w:lef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54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FFFFFF"/>
              </w:rPr>
              <w:t>Threshold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FFFFFF"/>
              </w:rPr>
              <w:t>Target</w:t>
            </w:r>
          </w:p>
        </w:tc>
        <w:tc>
          <w:tcPr>
            <w:tcW w:w="980" w:type="dxa"/>
            <w:vAlign w:val="bottom"/>
            <w:gridSpan w:val="4"/>
          </w:tcPr>
          <w:p>
            <w:pPr>
              <w:ind w:left="100"/>
              <w:spacing w:after="0"/>
              <w:rPr>
                <w:sz w:val="20"/>
                <w:szCs w:val="20"/>
                <w:color w:val="auto"/>
              </w:rPr>
            </w:pPr>
            <w:r>
              <w:rPr>
                <w:rFonts w:ascii="Arial" w:cs="Arial" w:eastAsia="Arial" w:hAnsi="Arial"/>
                <w:sz w:val="14"/>
                <w:szCs w:val="14"/>
                <w:b w:val="1"/>
                <w:bCs w:val="1"/>
                <w:color w:val="FFFFFF"/>
              </w:rPr>
              <w:t>Maximum</w:t>
            </w:r>
          </w:p>
        </w:tc>
        <w:tc>
          <w:tcPr>
            <w:tcW w:w="700" w:type="dxa"/>
            <w:vAlign w:val="bottom"/>
          </w:tcPr>
          <w:p>
            <w:pPr>
              <w:spacing w:after="0"/>
              <w:rPr>
                <w:sz w:val="20"/>
                <w:szCs w:val="20"/>
                <w:color w:val="auto"/>
              </w:rPr>
            </w:pPr>
            <w:r>
              <w:rPr>
                <w:rFonts w:ascii="Arial" w:cs="Arial" w:eastAsia="Arial" w:hAnsi="Arial"/>
                <w:sz w:val="14"/>
                <w:szCs w:val="14"/>
                <w:b w:val="1"/>
                <w:bCs w:val="1"/>
                <w:color w:val="FFFFFF"/>
              </w:rPr>
              <w:t>Threshold</w:t>
            </w:r>
          </w:p>
        </w:tc>
        <w:tc>
          <w:tcPr>
            <w:tcW w:w="140" w:type="dxa"/>
            <w:vAlign w:val="bottom"/>
          </w:tcPr>
          <w:p>
            <w:pPr>
              <w:spacing w:after="0"/>
              <w:rPr>
                <w:sz w:val="14"/>
                <w:szCs w:val="14"/>
                <w:color w:val="auto"/>
              </w:rPr>
            </w:pPr>
          </w:p>
        </w:tc>
        <w:tc>
          <w:tcPr>
            <w:tcW w:w="74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FFFFFF"/>
              </w:rPr>
              <w:t>Target</w:t>
            </w:r>
          </w:p>
        </w:tc>
        <w:tc>
          <w:tcPr>
            <w:tcW w:w="100" w:type="dxa"/>
            <w:vAlign w:val="bottom"/>
          </w:tcPr>
          <w:p>
            <w:pPr>
              <w:spacing w:after="0"/>
              <w:rPr>
                <w:sz w:val="14"/>
                <w:szCs w:val="14"/>
                <w:color w:val="auto"/>
              </w:rPr>
            </w:pPr>
          </w:p>
        </w:tc>
        <w:tc>
          <w:tcPr>
            <w:tcW w:w="8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FFFFFF"/>
                <w:w w:val="99"/>
              </w:rPr>
              <w:t>Maximum</w:t>
            </w:r>
          </w:p>
        </w:tc>
        <w:tc>
          <w:tcPr>
            <w:tcW w:w="80" w:type="dxa"/>
            <w:vAlign w:val="bottom"/>
            <w:shd w:val="clear" w:color="auto" w:fill="424E6A"/>
          </w:tcPr>
          <w:p>
            <w:pPr>
              <w:spacing w:after="0"/>
              <w:rPr>
                <w:sz w:val="14"/>
                <w:szCs w:val="14"/>
                <w:color w:val="auto"/>
              </w:rPr>
            </w:pP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Stock or Units</w:t>
            </w:r>
          </w:p>
        </w:tc>
        <w:tc>
          <w:tcPr>
            <w:tcW w:w="1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Option Awards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60" w:type="dxa"/>
            <w:vAlign w:val="bottom"/>
            <w:tcBorders>
              <w:left w:val="single" w:sz="8" w:color="424E6A"/>
            </w:tcBorders>
            <w:shd w:val="clear" w:color="auto" w:fill="424E6A"/>
          </w:tcPr>
          <w:p>
            <w:pPr>
              <w:ind w:left="2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1000" w:type="dxa"/>
            <w:vAlign w:val="bottom"/>
            <w:tcBorders>
              <w:right w:val="single" w:sz="8" w:color="424E6A"/>
            </w:tcBorders>
            <w:gridSpan w:val="4"/>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Grant Date </w:t>
            </w:r>
            <w:r>
              <w:rPr>
                <w:rFonts w:ascii="Arial" w:cs="Arial" w:eastAsia="Arial" w:hAnsi="Arial"/>
                <w:sz w:val="22"/>
                <w:szCs w:val="22"/>
                <w:b w:val="1"/>
                <w:bCs w:val="1"/>
                <w:color w:val="FFFFFF"/>
                <w:vertAlign w:val="subscript"/>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Pr>
          <w:p>
            <w:pPr>
              <w:ind w:left="280"/>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FFFFFF"/>
              </w:rPr>
              <w:t>​ ​</w:t>
            </w:r>
          </w:p>
        </w:tc>
        <w:tc>
          <w:tcPr>
            <w:tcW w:w="700" w:type="dxa"/>
            <w:vAlign w:val="bottom"/>
          </w:tcPr>
          <w:p>
            <w:pPr>
              <w:ind w:left="280"/>
              <w:spacing w:after="0"/>
              <w:rPr>
                <w:sz w:val="20"/>
                <w:szCs w:val="20"/>
                <w:color w:val="auto"/>
              </w:rPr>
            </w:pPr>
            <w:r>
              <w:rPr>
                <w:rFonts w:ascii="Arial" w:cs="Arial" w:eastAsia="Arial" w:hAnsi="Arial"/>
                <w:sz w:val="14"/>
                <w:szCs w:val="14"/>
                <w:b w:val="1"/>
                <w:bCs w:val="1"/>
                <w:color w:val="FFFFFF"/>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480" w:type="dxa"/>
            <w:vAlign w:val="bottom"/>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Pr>
          <w:p>
            <w:pPr>
              <w:spacing w:after="0"/>
              <w:rPr>
                <w:sz w:val="17"/>
                <w:szCs w:val="17"/>
                <w:color w:val="auto"/>
              </w:rPr>
            </w:pPr>
          </w:p>
        </w:tc>
        <w:tc>
          <w:tcPr>
            <w:tcW w:w="400" w:type="dxa"/>
            <w:vAlign w:val="bottom"/>
          </w:tcPr>
          <w:p>
            <w:pPr>
              <w:jc w:val="right"/>
              <w:ind w:right="88"/>
              <w:spacing w:after="0"/>
              <w:rPr>
                <w:sz w:val="20"/>
                <w:szCs w:val="20"/>
                <w:color w:val="auto"/>
              </w:rPr>
            </w:pPr>
            <w:r>
              <w:rPr>
                <w:rFonts w:ascii="Arial" w:cs="Arial" w:eastAsia="Arial" w:hAnsi="Arial"/>
                <w:sz w:val="14"/>
                <w:szCs w:val="14"/>
                <w:b w:val="1"/>
                <w:bCs w:val="1"/>
                <w:color w:val="FFFFFF"/>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shd w:val="clear" w:color="auto" w:fill="424E6A"/>
          </w:tcPr>
          <w:p>
            <w:pPr>
              <w:spacing w:after="0"/>
              <w:rPr>
                <w:sz w:val="17"/>
                <w:szCs w:val="17"/>
                <w:color w:val="auto"/>
              </w:rPr>
            </w:pPr>
          </w:p>
        </w:tc>
        <w:tc>
          <w:tcPr>
            <w:tcW w:w="68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(2)</w:t>
            </w:r>
          </w:p>
        </w:tc>
        <w:tc>
          <w:tcPr>
            <w:tcW w:w="20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300" w:type="dxa"/>
            <w:vAlign w:val="bottom"/>
            <w:shd w:val="clear" w:color="auto" w:fill="424E6A"/>
          </w:tcPr>
          <w:p>
            <w:pPr>
              <w:spacing w:after="0"/>
              <w:rPr>
                <w:sz w:val="17"/>
                <w:szCs w:val="17"/>
                <w:color w:val="auto"/>
              </w:rPr>
            </w:pPr>
          </w:p>
        </w:tc>
        <w:tc>
          <w:tcPr>
            <w:tcW w:w="740" w:type="dxa"/>
            <w:vAlign w:val="bottom"/>
            <w:shd w:val="clear" w:color="auto" w:fill="424E6A"/>
          </w:tcPr>
          <w:p>
            <w:pPr>
              <w:ind w:left="80"/>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(3)</w:t>
            </w:r>
          </w:p>
        </w:tc>
        <w:tc>
          <w:tcPr>
            <w:tcW w:w="10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
        </w:trPr>
        <w:tc>
          <w:tcPr>
            <w:tcW w:w="1060" w:type="dxa"/>
            <w:vAlign w:val="bottom"/>
            <w:tcBorders>
              <w:left w:val="single" w:sz="8" w:color="424E6A"/>
            </w:tcBorders>
            <w:shd w:val="clear" w:color="auto" w:fill="424E6A"/>
          </w:tcPr>
          <w:p>
            <w:pPr>
              <w:spacing w:after="0" w:line="20" w:lineRule="exact"/>
              <w:rPr>
                <w:sz w:val="1"/>
                <w:szCs w:val="1"/>
                <w:color w:val="auto"/>
              </w:rPr>
            </w:pPr>
          </w:p>
        </w:tc>
        <w:tc>
          <w:tcPr>
            <w:tcW w:w="100" w:type="dxa"/>
            <w:vAlign w:val="bottom"/>
            <w:shd w:val="clear" w:color="auto" w:fill="424E6A"/>
          </w:tcPr>
          <w:p>
            <w:pPr>
              <w:spacing w:after="0" w:line="20" w:lineRule="exact"/>
              <w:rPr>
                <w:sz w:val="1"/>
                <w:szCs w:val="1"/>
                <w:color w:val="auto"/>
              </w:rPr>
            </w:pPr>
          </w:p>
        </w:tc>
        <w:tc>
          <w:tcPr>
            <w:tcW w:w="140" w:type="dxa"/>
            <w:vAlign w:val="bottom"/>
            <w:shd w:val="clear" w:color="auto" w:fill="424E6A"/>
          </w:tcPr>
          <w:p>
            <w:pPr>
              <w:spacing w:after="0" w:line="20" w:lineRule="exact"/>
              <w:rPr>
                <w:sz w:val="1"/>
                <w:szCs w:val="1"/>
                <w:color w:val="auto"/>
              </w:rPr>
            </w:pPr>
          </w:p>
        </w:tc>
        <w:tc>
          <w:tcPr>
            <w:tcW w:w="540" w:type="dxa"/>
            <w:vAlign w:val="bottom"/>
            <w:shd w:val="clear" w:color="auto" w:fill="424E6A"/>
          </w:tcPr>
          <w:p>
            <w:pPr>
              <w:spacing w:after="0" w:line="20" w:lineRule="exact"/>
              <w:rPr>
                <w:sz w:val="1"/>
                <w:szCs w:val="1"/>
                <w:color w:val="auto"/>
              </w:rPr>
            </w:pPr>
          </w:p>
        </w:tc>
        <w:tc>
          <w:tcPr>
            <w:tcW w:w="220" w:type="dxa"/>
            <w:vAlign w:val="bottom"/>
            <w:tcBorders>
              <w:right w:val="single" w:sz="8" w:color="424E6A"/>
            </w:tcBorders>
            <w:shd w:val="clear" w:color="auto" w:fill="424E6A"/>
          </w:tcPr>
          <w:p>
            <w:pPr>
              <w:spacing w:after="0" w:line="20" w:lineRule="exact"/>
              <w:rPr>
                <w:sz w:val="1"/>
                <w:szCs w:val="1"/>
                <w:color w:val="auto"/>
              </w:rPr>
            </w:pPr>
          </w:p>
        </w:tc>
        <w:tc>
          <w:tcPr>
            <w:tcW w:w="80" w:type="dxa"/>
            <w:vAlign w:val="bottom"/>
            <w:tcBorders>
              <w:left w:val="single" w:sz="8" w:color="424E6A"/>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424E6A"/>
            </w:tcBorders>
            <w:shd w:val="clear" w:color="auto" w:fill="424E6A"/>
          </w:tcPr>
          <w:p>
            <w:pPr>
              <w:spacing w:after="0" w:line="20" w:lineRule="exact"/>
              <w:rPr>
                <w:sz w:val="1"/>
                <w:szCs w:val="1"/>
                <w:color w:val="auto"/>
              </w:rPr>
            </w:pPr>
          </w:p>
        </w:tc>
        <w:tc>
          <w:tcPr>
            <w:tcW w:w="860" w:type="dxa"/>
            <w:vAlign w:val="bottom"/>
            <w:tcBorders>
              <w:right w:val="single" w:sz="8" w:color="424E6A"/>
            </w:tcBorders>
            <w:gridSpan w:val="3"/>
            <w:shd w:val="clear" w:color="auto" w:fill="424E6A"/>
          </w:tcPr>
          <w:p>
            <w:pPr>
              <w:spacing w:after="0" w:line="20" w:lineRule="exact"/>
              <w:rPr>
                <w:sz w:val="1"/>
                <w:szCs w:val="1"/>
                <w:color w:val="auto"/>
              </w:rPr>
            </w:pPr>
          </w:p>
        </w:tc>
        <w:tc>
          <w:tcPr>
            <w:tcW w:w="900" w:type="dxa"/>
            <w:vAlign w:val="bottom"/>
            <w:tcBorders>
              <w:right w:val="single" w:sz="8" w:color="424E6A"/>
            </w:tcBorders>
            <w:gridSpan w:val="3"/>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700" w:type="dxa"/>
            <w:vAlign w:val="bottom"/>
            <w:shd w:val="clear" w:color="auto" w:fill="424E6A"/>
          </w:tcPr>
          <w:p>
            <w:pPr>
              <w:spacing w:after="0" w:line="20" w:lineRule="exact"/>
              <w:rPr>
                <w:sz w:val="1"/>
                <w:szCs w:val="1"/>
                <w:color w:val="auto"/>
              </w:rPr>
            </w:pPr>
          </w:p>
        </w:tc>
        <w:tc>
          <w:tcPr>
            <w:tcW w:w="140" w:type="dxa"/>
            <w:vAlign w:val="bottom"/>
            <w:tcBorders>
              <w:right w:val="single" w:sz="8" w:color="424E6A"/>
            </w:tcBorders>
            <w:shd w:val="clear" w:color="auto" w:fill="424E6A"/>
          </w:tcPr>
          <w:p>
            <w:pPr>
              <w:spacing w:after="0" w:line="20" w:lineRule="exact"/>
              <w:rPr>
                <w:sz w:val="1"/>
                <w:szCs w:val="1"/>
                <w:color w:val="auto"/>
              </w:rPr>
            </w:pPr>
          </w:p>
        </w:tc>
        <w:tc>
          <w:tcPr>
            <w:tcW w:w="480" w:type="dxa"/>
            <w:vAlign w:val="bottom"/>
            <w:shd w:val="clear" w:color="auto" w:fill="424E6A"/>
          </w:tcPr>
          <w:p>
            <w:pPr>
              <w:spacing w:after="0" w:line="20" w:lineRule="exact"/>
              <w:rPr>
                <w:sz w:val="1"/>
                <w:szCs w:val="1"/>
                <w:color w:val="auto"/>
              </w:rPr>
            </w:pPr>
          </w:p>
        </w:tc>
        <w:tc>
          <w:tcPr>
            <w:tcW w:w="260" w:type="dxa"/>
            <w:vAlign w:val="bottom"/>
            <w:tcBorders>
              <w:right w:val="single" w:sz="8" w:color="424E6A"/>
            </w:tcBorders>
            <w:shd w:val="clear" w:color="auto" w:fill="424E6A"/>
          </w:tcPr>
          <w:p>
            <w:pPr>
              <w:spacing w:after="0" w:line="20" w:lineRule="exact"/>
              <w:rPr>
                <w:sz w:val="1"/>
                <w:szCs w:val="1"/>
                <w:color w:val="auto"/>
              </w:rPr>
            </w:pPr>
          </w:p>
        </w:tc>
        <w:tc>
          <w:tcPr>
            <w:tcW w:w="100" w:type="dxa"/>
            <w:vAlign w:val="bottom"/>
            <w:shd w:val="clear" w:color="auto" w:fill="424E6A"/>
          </w:tcPr>
          <w:p>
            <w:pPr>
              <w:spacing w:after="0" w:line="20" w:lineRule="exact"/>
              <w:rPr>
                <w:sz w:val="1"/>
                <w:szCs w:val="1"/>
                <w:color w:val="auto"/>
              </w:rPr>
            </w:pPr>
          </w:p>
        </w:tc>
        <w:tc>
          <w:tcPr>
            <w:tcW w:w="200" w:type="dxa"/>
            <w:vAlign w:val="bottom"/>
            <w:shd w:val="clear" w:color="auto" w:fill="424E6A"/>
          </w:tcPr>
          <w:p>
            <w:pPr>
              <w:spacing w:after="0" w:line="20" w:lineRule="exact"/>
              <w:rPr>
                <w:sz w:val="1"/>
                <w:szCs w:val="1"/>
                <w:color w:val="auto"/>
              </w:rPr>
            </w:pPr>
          </w:p>
        </w:tc>
        <w:tc>
          <w:tcPr>
            <w:tcW w:w="400" w:type="dxa"/>
            <w:vAlign w:val="bottom"/>
            <w:shd w:val="clear" w:color="auto" w:fill="424E6A"/>
          </w:tcPr>
          <w:p>
            <w:pPr>
              <w:spacing w:after="0" w:line="20" w:lineRule="exact"/>
              <w:rPr>
                <w:sz w:val="1"/>
                <w:szCs w:val="1"/>
                <w:color w:val="auto"/>
              </w:rPr>
            </w:pPr>
          </w:p>
        </w:tc>
        <w:tc>
          <w:tcPr>
            <w:tcW w:w="200" w:type="dxa"/>
            <w:vAlign w:val="bottom"/>
            <w:tcBorders>
              <w:right w:val="single" w:sz="8" w:color="424E6A"/>
            </w:tcBorders>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340" w:type="dxa"/>
            <w:vAlign w:val="bottom"/>
            <w:shd w:val="clear" w:color="auto" w:fill="424E6A"/>
          </w:tcPr>
          <w:p>
            <w:pPr>
              <w:spacing w:after="0" w:line="20" w:lineRule="exact"/>
              <w:rPr>
                <w:sz w:val="1"/>
                <w:szCs w:val="1"/>
                <w:color w:val="auto"/>
              </w:rPr>
            </w:pPr>
          </w:p>
        </w:tc>
        <w:tc>
          <w:tcPr>
            <w:tcW w:w="680" w:type="dxa"/>
            <w:vAlign w:val="bottom"/>
            <w:shd w:val="clear" w:color="auto" w:fill="424E6A"/>
          </w:tcPr>
          <w:p>
            <w:pPr>
              <w:spacing w:after="0" w:line="20" w:lineRule="exact"/>
              <w:rPr>
                <w:sz w:val="1"/>
                <w:szCs w:val="1"/>
                <w:color w:val="auto"/>
              </w:rPr>
            </w:pPr>
          </w:p>
        </w:tc>
        <w:tc>
          <w:tcPr>
            <w:tcW w:w="120" w:type="dxa"/>
            <w:vAlign w:val="bottom"/>
            <w:tcBorders>
              <w:right w:val="single" w:sz="8" w:color="424E6A"/>
            </w:tcBorders>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300" w:type="dxa"/>
            <w:vAlign w:val="bottom"/>
            <w:shd w:val="clear" w:color="auto" w:fill="424E6A"/>
          </w:tcPr>
          <w:p>
            <w:pPr>
              <w:spacing w:after="0" w:line="20" w:lineRule="exact"/>
              <w:rPr>
                <w:sz w:val="1"/>
                <w:szCs w:val="1"/>
                <w:color w:val="auto"/>
              </w:rPr>
            </w:pPr>
          </w:p>
        </w:tc>
        <w:tc>
          <w:tcPr>
            <w:tcW w:w="740" w:type="dxa"/>
            <w:vAlign w:val="bottom"/>
            <w:shd w:val="clear" w:color="auto" w:fill="424E6A"/>
          </w:tcPr>
          <w:p>
            <w:pPr>
              <w:spacing w:after="0" w:line="20" w:lineRule="exact"/>
              <w:rPr>
                <w:sz w:val="1"/>
                <w:szCs w:val="1"/>
                <w:color w:val="auto"/>
              </w:rPr>
            </w:pPr>
          </w:p>
        </w:tc>
        <w:tc>
          <w:tcPr>
            <w:tcW w:w="100" w:type="dxa"/>
            <w:vAlign w:val="bottom"/>
            <w:tcBorders>
              <w:right w:val="single" w:sz="8" w:color="424E6A"/>
            </w:tcBorders>
            <w:shd w:val="clear" w:color="auto" w:fill="424E6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Willie Chiang</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​2/24/22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right w:val="single" w:sz="8" w:color="424E6A"/>
            </w:tcBorders>
            <w:gridSpan w:val="3"/>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​2,000,000</w:t>
            </w:r>
            <w:r>
              <w:rPr>
                <w:rFonts w:ascii="Arial" w:cs="Arial" w:eastAsia="Arial" w:hAnsi="Arial"/>
                <w:sz w:val="25"/>
                <w:szCs w:val="25"/>
                <w:color w:val="auto"/>
                <w:vertAlign w:val="subscript"/>
              </w:rPr>
              <w:t>​​</w:t>
            </w:r>
          </w:p>
        </w:tc>
        <w:tc>
          <w:tcPr>
            <w:tcW w:w="90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4,000,000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80" w:type="dxa"/>
            <w:vAlign w:val="bottom"/>
            <w:tcBorders>
              <w:bottom w:val="single" w:sz="8" w:color="424E6A"/>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​8/18/22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​220,000</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​440,000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​220,000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3,927,000</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060" w:type="dxa"/>
            <w:vAlign w:val="bottom"/>
            <w:tcBorders>
              <w:left w:val="single" w:sz="8" w:color="424E6A"/>
              <w:bottom w:val="single" w:sz="8" w:color="424E6A"/>
            </w:tcBorders>
          </w:tcPr>
          <w:p>
            <w:pPr>
              <w:ind w:left="2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424E6A"/>
            </w:tcBorders>
            <w:shd w:val="clear" w:color="auto" w:fill="D9DCE1"/>
          </w:tcPr>
          <w:p>
            <w:pPr>
              <w:jc w:val="right"/>
              <w:ind w:right="372"/>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6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80" w:type="dxa"/>
            <w:vAlign w:val="bottom"/>
            <w:tcBorders>
              <w:bottom w:val="single" w:sz="8" w:color="424E6A"/>
            </w:tcBorders>
            <w:shd w:val="clear" w:color="auto" w:fill="D9DCE1"/>
          </w:tcPr>
          <w:p>
            <w:pPr>
              <w:ind w:left="4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Harry Pefanis</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​2/24/22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right w:val="single" w:sz="8" w:color="424E6A"/>
            </w:tcBorders>
            <w:gridSpan w:val="3"/>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​1,200,000</w:t>
            </w:r>
            <w:r>
              <w:rPr>
                <w:rFonts w:ascii="Arial" w:cs="Arial" w:eastAsia="Arial" w:hAnsi="Arial"/>
                <w:sz w:val="25"/>
                <w:szCs w:val="25"/>
                <w:color w:val="auto"/>
                <w:vertAlign w:val="subscript"/>
              </w:rPr>
              <w:t>​​</w:t>
            </w:r>
          </w:p>
        </w:tc>
        <w:tc>
          <w:tcPr>
            <w:tcW w:w="90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2,400,000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060" w:type="dxa"/>
            <w:vAlign w:val="bottom"/>
            <w:tcBorders>
              <w:left w:val="single" w:sz="8" w:color="424E6A"/>
              <w:bottom w:val="single" w:sz="8" w:color="424E6A"/>
            </w:tcBorders>
          </w:tcPr>
          <w:p>
            <w:pPr>
              <w:ind w:left="2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424E6A"/>
            </w:tcBorders>
            <w:shd w:val="clear" w:color="auto" w:fill="D9DCE1"/>
          </w:tcPr>
          <w:p>
            <w:pPr>
              <w:jc w:val="right"/>
              <w:ind w:right="372"/>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6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80" w:type="dxa"/>
            <w:vAlign w:val="bottom"/>
            <w:tcBorders>
              <w:bottom w:val="single" w:sz="8" w:color="424E6A"/>
            </w:tcBorders>
            <w:shd w:val="clear" w:color="auto" w:fill="D9DCE1"/>
          </w:tcPr>
          <w:p>
            <w:pPr>
              <w:ind w:left="4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Al Swanson</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​2/24/22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825,000</w:t>
            </w:r>
            <w:r>
              <w:rPr>
                <w:rFonts w:ascii="Arial" w:cs="Arial" w:eastAsia="Arial" w:hAnsi="Arial"/>
                <w:sz w:val="25"/>
                <w:szCs w:val="25"/>
                <w:color w:val="auto"/>
                <w:vertAlign w:val="subscript"/>
              </w:rPr>
              <w:t>​​</w:t>
            </w:r>
          </w:p>
        </w:tc>
        <w:tc>
          <w:tcPr>
            <w:tcW w:w="90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1,650,000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​8/18/22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69,300</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​138,600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69,300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1,237,005</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060" w:type="dxa"/>
            <w:vAlign w:val="bottom"/>
            <w:tcBorders>
              <w:left w:val="single" w:sz="8" w:color="424E6A"/>
              <w:bottom w:val="single" w:sz="8" w:color="424E6A"/>
            </w:tcBorders>
          </w:tcPr>
          <w:p>
            <w:pPr>
              <w:ind w:left="2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424E6A"/>
            </w:tcBorders>
            <w:shd w:val="clear" w:color="auto" w:fill="D9DCE1"/>
          </w:tcPr>
          <w:p>
            <w:pPr>
              <w:jc w:val="right"/>
              <w:ind w:right="372"/>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6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80" w:type="dxa"/>
            <w:vAlign w:val="bottom"/>
            <w:tcBorders>
              <w:bottom w:val="single" w:sz="8" w:color="424E6A"/>
            </w:tcBorders>
            <w:shd w:val="clear" w:color="auto" w:fill="D9DCE1"/>
          </w:tcPr>
          <w:p>
            <w:pPr>
              <w:ind w:left="4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Richard McGee</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​2/24/22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825,000</w:t>
            </w:r>
            <w:r>
              <w:rPr>
                <w:rFonts w:ascii="Arial" w:cs="Arial" w:eastAsia="Arial" w:hAnsi="Arial"/>
                <w:sz w:val="25"/>
                <w:szCs w:val="25"/>
                <w:color w:val="auto"/>
                <w:vertAlign w:val="subscript"/>
              </w:rPr>
              <w:t>​​</w:t>
            </w:r>
          </w:p>
        </w:tc>
        <w:tc>
          <w:tcPr>
            <w:tcW w:w="90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1,650,000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​8/18/22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69,300</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​138,600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69,300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1,237,005</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060" w:type="dxa"/>
            <w:vAlign w:val="bottom"/>
            <w:tcBorders>
              <w:left w:val="single" w:sz="8" w:color="424E6A"/>
              <w:bottom w:val="single" w:sz="8" w:color="424E6A"/>
            </w:tcBorders>
          </w:tcPr>
          <w:p>
            <w:pPr>
              <w:ind w:left="2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424E6A"/>
            </w:tcBorders>
            <w:shd w:val="clear" w:color="auto" w:fill="D9DCE1"/>
          </w:tcPr>
          <w:p>
            <w:pPr>
              <w:jc w:val="right"/>
              <w:ind w:right="372"/>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6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80" w:type="dxa"/>
            <w:vAlign w:val="bottom"/>
            <w:tcBorders>
              <w:bottom w:val="single" w:sz="8" w:color="424E6A"/>
            </w:tcBorders>
            <w:shd w:val="clear" w:color="auto" w:fill="D9DCE1"/>
          </w:tcPr>
          <w:p>
            <w:pPr>
              <w:ind w:left="4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Chris Chandler</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​2/24/22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900,000</w:t>
            </w:r>
            <w:r>
              <w:rPr>
                <w:rFonts w:ascii="Arial" w:cs="Arial" w:eastAsia="Arial" w:hAnsi="Arial"/>
                <w:sz w:val="25"/>
                <w:szCs w:val="25"/>
                <w:color w:val="auto"/>
                <w:vertAlign w:val="subscript"/>
              </w:rPr>
              <w:t>​​</w:t>
            </w:r>
          </w:p>
        </w:tc>
        <w:tc>
          <w:tcPr>
            <w:tcW w:w="90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1,800,000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​2/24/22</w:t>
            </w:r>
            <w:r>
              <w:rPr>
                <w:rFonts w:ascii="Arial" w:cs="Arial" w:eastAsia="Arial" w:hAnsi="Arial"/>
                <w:sz w:val="16"/>
                <w:szCs w:val="16"/>
                <w:color w:val="auto"/>
                <w:vertAlign w:val="superscript"/>
              </w:rPr>
              <w:t>(4)</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80" w:type="dxa"/>
            <w:vAlign w:val="bottom"/>
            <w:tcBorders>
              <w:bottom w:val="single" w:sz="8" w:color="424E6A"/>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2,486,671</w:t>
            </w:r>
            <w:r>
              <w:rPr>
                <w:rFonts w:ascii="Arial" w:cs="Arial" w:eastAsia="Arial" w:hAnsi="Arial"/>
                <w:sz w:val="16"/>
                <w:szCs w:val="16"/>
                <w:color w:val="auto"/>
                <w:vertAlign w:val="superscript"/>
              </w:rPr>
              <w:t>(5)</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​8/18/22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89,350</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​178,700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89,350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1,594,898</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060" w:type="dxa"/>
            <w:vAlign w:val="bottom"/>
            <w:tcBorders>
              <w:left w:val="single" w:sz="8" w:color="424E6A"/>
              <w:bottom w:val="single" w:sz="8" w:color="424E6A"/>
            </w:tcBorders>
          </w:tcPr>
          <w:p>
            <w:pPr>
              <w:ind w:left="2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424E6A"/>
            </w:tcBorders>
            <w:shd w:val="clear" w:color="auto" w:fill="D9DCE1"/>
          </w:tcPr>
          <w:p>
            <w:pPr>
              <w:jc w:val="right"/>
              <w:ind w:right="372"/>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6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80" w:type="dxa"/>
            <w:vAlign w:val="bottom"/>
            <w:tcBorders>
              <w:bottom w:val="single" w:sz="8" w:color="424E6A"/>
            </w:tcBorders>
            <w:shd w:val="clear" w:color="auto" w:fill="D9DCE1"/>
          </w:tcPr>
          <w:p>
            <w:pPr>
              <w:ind w:left="4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Jeremy Goebel</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​2/24/22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900,000</w:t>
            </w:r>
            <w:r>
              <w:rPr>
                <w:rFonts w:ascii="Arial" w:cs="Arial" w:eastAsia="Arial" w:hAnsi="Arial"/>
                <w:sz w:val="25"/>
                <w:szCs w:val="25"/>
                <w:color w:val="auto"/>
                <w:vertAlign w:val="subscript"/>
              </w:rPr>
              <w:t>​​</w:t>
            </w:r>
          </w:p>
        </w:tc>
        <w:tc>
          <w:tcPr>
            <w:tcW w:w="90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1,800,000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80" w:type="dxa"/>
            <w:vAlign w:val="bottom"/>
            <w:tcBorders>
              <w:bottom w:val="single" w:sz="8" w:color="424E6A"/>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​2/24/22</w:t>
            </w:r>
            <w:r>
              <w:rPr>
                <w:rFonts w:ascii="Arial" w:cs="Arial" w:eastAsia="Arial" w:hAnsi="Arial"/>
                <w:sz w:val="16"/>
                <w:szCs w:val="16"/>
                <w:color w:val="auto"/>
                <w:vertAlign w:val="superscript"/>
              </w:rPr>
              <w:t>(4)</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2,486,671</w:t>
            </w:r>
            <w:r>
              <w:rPr>
                <w:rFonts w:ascii="Arial" w:cs="Arial" w:eastAsia="Arial" w:hAnsi="Arial"/>
                <w:sz w:val="16"/>
                <w:szCs w:val="16"/>
                <w:color w:val="auto"/>
                <w:vertAlign w:val="superscript"/>
              </w:rPr>
              <w:t>(5)</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​8/18/22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89,350</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​178,700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89,350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1,594,898</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-3239770</wp:posOffset>
            </wp:positionV>
            <wp:extent cx="4629150" cy="32404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629150" cy="3240405"/>
                    </a:xfrm>
                    <a:prstGeom prst="rect">
                      <a:avLst/>
                    </a:prstGeom>
                    <a:noFill/>
                  </pic:spPr>
                </pic:pic>
              </a:graphicData>
            </a:graphic>
          </wp:anchor>
        </w:drawing>
      </w:r>
    </w:p>
    <w:p>
      <w:pPr>
        <w:spacing w:after="0" w:line="177" w:lineRule="exact"/>
        <w:rPr>
          <w:sz w:val="20"/>
          <w:szCs w:val="20"/>
          <w:color w:val="auto"/>
        </w:rPr>
      </w:pPr>
    </w:p>
    <w:p>
      <w:pPr>
        <w:ind w:left="1620" w:right="820" w:hanging="360"/>
        <w:spacing w:after="0" w:line="242" w:lineRule="auto"/>
        <w:tabs>
          <w:tab w:leader="none" w:pos="162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Represents the performance-vested portion of phantom units granted in August 2022. These phantom units will potentially vest on the August 2025 distribution date at a scaled payout range of between 0% and 200% based on: (i) with respect to 50% of the performance-vested award, PAA’s TSR over the three-year period ending June 30, 2025 compared to the TSR of the TSR Comparator Peer Group described on page 34 (payout may be reduced if absolute TSR is negative); and (ii) with respect to the other 50% of the performance-vested award, PAA achieving cumulative DCF per CUE of $7.05 over the three-year period ending June 30, 2025 (payout may be decreased by 25 basis points if PAA’s leverage ratio as of June 30, 2025 is greater than 3.5x). DERs associated with the performance-vested portion will accrue during the three-year performance period and be paid in cash in a lump sum on the August 2025 distribution date with respect to the number of such phantom units, if any, that vest on such date.</w:t>
      </w:r>
    </w:p>
    <w:p>
      <w:pPr>
        <w:spacing w:after="0" w:line="43" w:lineRule="exact"/>
        <w:rPr>
          <w:rFonts w:ascii="Arial" w:cs="Arial" w:eastAsia="Arial" w:hAnsi="Arial"/>
          <w:sz w:val="27"/>
          <w:szCs w:val="27"/>
          <w:color w:val="auto"/>
          <w:vertAlign w:val="superscript"/>
        </w:rPr>
      </w:pPr>
    </w:p>
    <w:p>
      <w:pPr>
        <w:ind w:left="1620" w:right="780" w:hanging="360"/>
        <w:spacing w:after="0" w:line="232" w:lineRule="auto"/>
        <w:tabs>
          <w:tab w:leader="none" w:pos="162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Represents the time-vested portion of phantom units granted in August 2022. These phantom units will vest on the August 2025 distribution date. DERs associated with the time-vested portion will accrue for the first year and such accrued amount will be paid in cash in a lump sum on the August 2023 distribution date; beginning in November 2023, DERs on such time-vested portion will be paid quarterly until the associated phantom units vest.</w:t>
      </w:r>
    </w:p>
    <w:p>
      <w:pPr>
        <w:spacing w:after="0" w:line="60" w:lineRule="exact"/>
        <w:rPr>
          <w:rFonts w:ascii="Arial" w:cs="Arial" w:eastAsia="Arial" w:hAnsi="Arial"/>
          <w:sz w:val="27"/>
          <w:szCs w:val="27"/>
          <w:color w:val="auto"/>
          <w:vertAlign w:val="superscript"/>
        </w:rPr>
      </w:pPr>
    </w:p>
    <w:p>
      <w:pPr>
        <w:ind w:left="1620" w:right="760" w:hanging="360"/>
        <w:spacing w:after="0" w:line="237" w:lineRule="auto"/>
        <w:tabs>
          <w:tab w:leader="none" w:pos="162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Represents the aggregate grant date fair values of phantom units granted in August 2022 based on the probable outcome of underlying performance conditions pursuant to FASB ASC Topic 718. For phantom unit grants awarded in August 2022, 75% were deemed probable of vesting on the grant date. The maximum fair value of phantom unit grants awarded in August 2022, assuming that the highest level of performance conditions will be met, was $7,854,000 for Mr. Chiang, $2,474,010 for each of Messrs. Swanson and McGee, and $3,189,795 for each of Messrs. Chandler and Goebel.</w:t>
      </w:r>
    </w:p>
    <w:p>
      <w:pPr>
        <w:sectPr>
          <w:pgSz w:w="11900" w:h="16838" w:orient="portrait"/>
          <w:cols w:equalWidth="0" w:num="1">
            <w:col w:w="10220"/>
          </w:cols>
          <w:pgMar w:left="580" w:top="97" w:right="1099" w:bottom="1440" w:gutter="0" w:footer="0" w:header="0"/>
        </w:sectPr>
      </w:pPr>
    </w:p>
    <w:p>
      <w:pPr>
        <w:spacing w:after="0" w:line="37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759" w:hanging="360"/>
        <w:spacing w:after="0" w:line="228" w:lineRule="auto"/>
        <w:tabs>
          <w:tab w:leader="none" w:pos="1620" w:val="left"/>
        </w:tabs>
        <w:numPr>
          <w:ilvl w:val="0"/>
          <w:numId w:val="57"/>
        </w:numPr>
        <w:rPr>
          <w:rFonts w:ascii="Arial" w:cs="Arial" w:eastAsia="Arial" w:hAnsi="Arial"/>
          <w:sz w:val="27"/>
          <w:szCs w:val="27"/>
          <w:color w:val="auto"/>
          <w:vertAlign w:val="superscript"/>
        </w:rPr>
      </w:pPr>
      <w:r>
        <w:rPr>
          <w:rFonts w:ascii="Arial" w:cs="Arial" w:eastAsia="Arial" w:hAnsi="Arial"/>
          <w:sz w:val="18"/>
          <w:szCs w:val="18"/>
          <w:color w:val="auto"/>
        </w:rPr>
        <w:t>Represents the date of amendment of previously granted phantom unit awards as discussed in footnote 2 to the Summary Compensation Table above, in footnote 4 to the Outstanding Equity Awards at Fiscal Year-End Table below, and under the heading “Adjustment of Certain Pre-Pandemic Long-Term Incentive Awards” on page 42.</w:t>
      </w:r>
    </w:p>
    <w:p>
      <w:pPr>
        <w:spacing w:after="0" w:line="60" w:lineRule="exact"/>
        <w:rPr>
          <w:rFonts w:ascii="Arial" w:cs="Arial" w:eastAsia="Arial" w:hAnsi="Arial"/>
          <w:sz w:val="27"/>
          <w:szCs w:val="27"/>
          <w:color w:val="auto"/>
          <w:vertAlign w:val="superscript"/>
        </w:rPr>
      </w:pPr>
    </w:p>
    <w:p>
      <w:pPr>
        <w:ind w:left="1620" w:right="519" w:hanging="360"/>
        <w:spacing w:after="0" w:line="222" w:lineRule="auto"/>
        <w:tabs>
          <w:tab w:leader="none" w:pos="1620" w:val="left"/>
        </w:tabs>
        <w:numPr>
          <w:ilvl w:val="0"/>
          <w:numId w:val="57"/>
        </w:numPr>
        <w:rPr>
          <w:rFonts w:ascii="Arial" w:cs="Arial" w:eastAsia="Arial" w:hAnsi="Arial"/>
          <w:sz w:val="27"/>
          <w:szCs w:val="27"/>
          <w:color w:val="auto"/>
          <w:vertAlign w:val="superscript"/>
        </w:rPr>
      </w:pPr>
      <w:r>
        <w:rPr>
          <w:rFonts w:ascii="Arial" w:cs="Arial" w:eastAsia="Arial" w:hAnsi="Arial"/>
          <w:sz w:val="18"/>
          <w:szCs w:val="18"/>
          <w:color w:val="auto"/>
        </w:rPr>
        <w:t>Represents the incremental value, calculated pursuant to FASB ASC Topic 718, resulting from the amendment in February 2022 of 250,000 performance-based phantom unit awards originally granted to each of Messrs. Chandler and Goebel in November 2019.</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44" w:lineRule="exact"/>
        <w:rPr>
          <w:sz w:val="20"/>
          <w:szCs w:val="20"/>
          <w:color w:val="auto"/>
        </w:rPr>
      </w:pPr>
    </w:p>
    <w:p>
      <w:pPr>
        <w:ind w:left="1260" w:right="599" w:firstLine="360"/>
        <w:spacing w:after="0" w:line="268" w:lineRule="auto"/>
        <w:rPr>
          <w:sz w:val="20"/>
          <w:szCs w:val="20"/>
          <w:color w:val="auto"/>
        </w:rPr>
      </w:pPr>
      <w:r>
        <w:rPr>
          <w:rFonts w:ascii="Arial" w:cs="Arial" w:eastAsia="Arial" w:hAnsi="Arial"/>
          <w:sz w:val="18"/>
          <w:szCs w:val="18"/>
          <w:color w:val="auto"/>
        </w:rPr>
        <w:t>A narrative description of all material factors necessary to an understanding of the information included in the above Summary Compensation Table is included in “— Compensation Discussion and Analysis” and in the footnotes to such table.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Contracts</w:t>
      </w:r>
    </w:p>
    <w:p>
      <w:pPr>
        <w:spacing w:after="0" w:line="158"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Mr. Chiang’s previous employment agreement was amended and restated in connection with his promotion to CEO in October 2018. Pursuant to the amended and restated agreement, which may be terminated by the Company or by Mr. Chiang at any time, Mr. Chiang’s compensation, which is described throughout this Executive Compensation section, is subject to adjustment by the Compensation Committee and full Board.</w:t>
      </w:r>
    </w:p>
    <w:p>
      <w:pPr>
        <w:spacing w:after="0" w:line="11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initial three-year term of Mr. Pefanis’ current employment agreement commenced on June 30, 2001, and is automatically extended for one year on June 30 of each year (such that the term is reset to three years) unless Mr. Pefanis receives notice from the Chairman of the Board that the Board has elected not to extend the agreement. Pursuant to Mr. Pefanis’ agreement, Mr. Pefanis’ compensation, which is described throughout this Executive Compensation section, is subject to adjustment by the Compensation Committee and full Board. See “— Potential Payments upon Termination or Change-In-Control” for a discussion of the provisions in Mr. Pefanis’ employment agreement related to termination, change of control and related payment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certain information regarding outstanding equity awards as in effect at</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2022 with respect to our Named Executive Officers: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1280" w:type="dxa"/>
            <w:vAlign w:val="bottom"/>
            <w:tcBorders>
              <w:right w:val="single" w:sz="8" w:color="424E6A"/>
            </w:tcBorders>
          </w:tcPr>
          <w:p>
            <w:pPr>
              <w:spacing w:after="0"/>
              <w:rPr>
                <w:sz w:val="24"/>
                <w:szCs w:val="24"/>
                <w:color w:val="auto"/>
              </w:rPr>
            </w:pPr>
          </w:p>
        </w:tc>
        <w:tc>
          <w:tcPr>
            <w:tcW w:w="2020" w:type="dxa"/>
            <w:vAlign w:val="bottom"/>
            <w:tcBorders>
              <w:bottom w:val="single" w:sz="8" w:color="424E6A"/>
            </w:tcBorders>
            <w:shd w:val="clear" w:color="auto" w:fill="424E6A"/>
          </w:tcPr>
          <w:p>
            <w:pPr>
              <w:spacing w:after="0"/>
              <w:rPr>
                <w:sz w:val="24"/>
                <w:szCs w:val="24"/>
                <w:color w:val="auto"/>
              </w:rPr>
            </w:pPr>
          </w:p>
        </w:tc>
        <w:tc>
          <w:tcPr>
            <w:tcW w:w="820" w:type="dxa"/>
            <w:vAlign w:val="bottom"/>
            <w:tcBorders>
              <w:bottom w:val="single" w:sz="8" w:color="424E6A"/>
              <w:right w:val="single" w:sz="8" w:color="424E6A"/>
            </w:tcBorders>
            <w:shd w:val="clear" w:color="auto" w:fill="424E6A"/>
          </w:tcPr>
          <w:p>
            <w:pPr>
              <w:spacing w:after="0"/>
              <w:rPr>
                <w:sz w:val="24"/>
                <w:szCs w:val="24"/>
                <w:color w:val="auto"/>
              </w:rPr>
            </w:pPr>
          </w:p>
        </w:tc>
        <w:tc>
          <w:tcPr>
            <w:tcW w:w="80" w:type="dxa"/>
            <w:vAlign w:val="bottom"/>
            <w:tcBorders>
              <w:bottom w:val="single" w:sz="8" w:color="auto"/>
            </w:tcBorders>
            <w:shd w:val="clear" w:color="auto" w:fill="424E6A"/>
          </w:tcPr>
          <w:p>
            <w:pPr>
              <w:spacing w:after="0"/>
              <w:rPr>
                <w:sz w:val="24"/>
                <w:szCs w:val="24"/>
                <w:color w:val="auto"/>
              </w:rPr>
            </w:pPr>
          </w:p>
        </w:tc>
        <w:tc>
          <w:tcPr>
            <w:tcW w:w="260" w:type="dxa"/>
            <w:vAlign w:val="bottom"/>
            <w:tcBorders>
              <w:bottom w:val="single" w:sz="8" w:color="auto"/>
            </w:tcBorders>
            <w:shd w:val="clear" w:color="auto" w:fill="424E6A"/>
          </w:tcPr>
          <w:p>
            <w:pPr>
              <w:spacing w:after="0"/>
              <w:rPr>
                <w:sz w:val="24"/>
                <w:szCs w:val="24"/>
                <w:color w:val="auto"/>
              </w:rPr>
            </w:pPr>
          </w:p>
        </w:tc>
        <w:tc>
          <w:tcPr>
            <w:tcW w:w="740" w:type="dxa"/>
            <w:vAlign w:val="bottom"/>
            <w:tcBorders>
              <w:bottom w:val="single" w:sz="8" w:color="auto"/>
            </w:tcBorders>
            <w:shd w:val="clear" w:color="auto" w:fill="424E6A"/>
          </w:tcPr>
          <w:p>
            <w:pPr>
              <w:spacing w:after="0"/>
              <w:rPr>
                <w:sz w:val="24"/>
                <w:szCs w:val="24"/>
                <w:color w:val="auto"/>
              </w:rPr>
            </w:pPr>
          </w:p>
        </w:tc>
        <w:tc>
          <w:tcPr>
            <w:tcW w:w="20" w:type="dxa"/>
            <w:vAlign w:val="bottom"/>
            <w:tcBorders>
              <w:bottom w:val="single" w:sz="8" w:color="auto"/>
            </w:tcBorders>
            <w:shd w:val="clear" w:color="auto" w:fill="424E6A"/>
          </w:tcPr>
          <w:p>
            <w:pPr>
              <w:spacing w:after="0"/>
              <w:rPr>
                <w:sz w:val="24"/>
                <w:szCs w:val="24"/>
                <w:color w:val="auto"/>
              </w:rPr>
            </w:pPr>
          </w:p>
        </w:tc>
        <w:tc>
          <w:tcPr>
            <w:tcW w:w="220" w:type="dxa"/>
            <w:vAlign w:val="bottom"/>
            <w:tcBorders>
              <w:bottom w:val="single" w:sz="8" w:color="auto"/>
              <w:right w:val="single" w:sz="8" w:color="424E6A"/>
            </w:tcBorders>
            <w:shd w:val="clear" w:color="auto" w:fill="424E6A"/>
          </w:tcPr>
          <w:p>
            <w:pPr>
              <w:spacing w:after="0"/>
              <w:rPr>
                <w:sz w:val="24"/>
                <w:szCs w:val="24"/>
                <w:color w:val="auto"/>
              </w:rPr>
            </w:pPr>
          </w:p>
        </w:tc>
        <w:tc>
          <w:tcPr>
            <w:tcW w:w="40" w:type="dxa"/>
            <w:vAlign w:val="bottom"/>
            <w:tcBorders>
              <w:bottom w:val="single" w:sz="8" w:color="auto"/>
            </w:tcBorders>
            <w:shd w:val="clear" w:color="auto" w:fill="424E6A"/>
          </w:tcPr>
          <w:p>
            <w:pPr>
              <w:spacing w:after="0"/>
              <w:rPr>
                <w:sz w:val="24"/>
                <w:szCs w:val="24"/>
                <w:color w:val="auto"/>
              </w:rPr>
            </w:pPr>
          </w:p>
        </w:tc>
        <w:tc>
          <w:tcPr>
            <w:tcW w:w="220" w:type="dxa"/>
            <w:vAlign w:val="bottom"/>
            <w:tcBorders>
              <w:bottom w:val="single" w:sz="8" w:color="auto"/>
            </w:tcBorders>
            <w:shd w:val="clear" w:color="auto" w:fill="424E6A"/>
          </w:tcPr>
          <w:p>
            <w:pPr>
              <w:spacing w:after="0"/>
              <w:rPr>
                <w:sz w:val="24"/>
                <w:szCs w:val="24"/>
                <w:color w:val="auto"/>
              </w:rPr>
            </w:pPr>
          </w:p>
        </w:tc>
        <w:tc>
          <w:tcPr>
            <w:tcW w:w="2160" w:type="dxa"/>
            <w:vAlign w:val="bottom"/>
            <w:tcBorders>
              <w:bottom w:val="single" w:sz="8" w:color="auto"/>
            </w:tcBorders>
            <w:gridSpan w:val="5"/>
            <w:shd w:val="clear" w:color="auto" w:fill="424E6A"/>
          </w:tcPr>
          <w:p>
            <w:pPr>
              <w:jc w:val="right"/>
              <w:ind w:right="558"/>
              <w:spacing w:after="0"/>
              <w:rPr>
                <w:sz w:val="20"/>
                <w:szCs w:val="20"/>
                <w:color w:val="auto"/>
              </w:rPr>
            </w:pPr>
            <w:r>
              <w:rPr>
                <w:rFonts w:ascii="Arial" w:cs="Arial" w:eastAsia="Arial" w:hAnsi="Arial"/>
                <w:sz w:val="14"/>
                <w:szCs w:val="14"/>
                <w:b w:val="1"/>
                <w:bCs w:val="1"/>
                <w:color w:val="FFFFFF"/>
              </w:rPr>
              <w:t>Unit Awards</w:t>
            </w:r>
          </w:p>
        </w:tc>
        <w:tc>
          <w:tcPr>
            <w:tcW w:w="240" w:type="dxa"/>
            <w:vAlign w:val="bottom"/>
            <w:tcBorders>
              <w:bottom w:val="single" w:sz="8" w:color="auto"/>
              <w:right w:val="single" w:sz="8" w:color="424E6A"/>
            </w:tcBorders>
            <w:shd w:val="clear" w:color="auto" w:fill="424E6A"/>
          </w:tcPr>
          <w:p>
            <w:pPr>
              <w:spacing w:after="0"/>
              <w:rPr>
                <w:sz w:val="24"/>
                <w:szCs w:val="24"/>
                <w:color w:val="auto"/>
              </w:rPr>
            </w:pPr>
          </w:p>
        </w:tc>
        <w:tc>
          <w:tcPr>
            <w:tcW w:w="180" w:type="dxa"/>
            <w:vAlign w:val="bottom"/>
            <w:tcBorders>
              <w:bottom w:val="single" w:sz="8" w:color="auto"/>
            </w:tcBorders>
            <w:shd w:val="clear" w:color="auto" w:fill="424E6A"/>
          </w:tcPr>
          <w:p>
            <w:pPr>
              <w:spacing w:after="0"/>
              <w:rPr>
                <w:sz w:val="24"/>
                <w:szCs w:val="24"/>
                <w:color w:val="auto"/>
              </w:rPr>
            </w:pPr>
          </w:p>
        </w:tc>
        <w:tc>
          <w:tcPr>
            <w:tcW w:w="220" w:type="dxa"/>
            <w:vAlign w:val="bottom"/>
            <w:tcBorders>
              <w:bottom w:val="single" w:sz="8" w:color="auto"/>
            </w:tcBorders>
            <w:shd w:val="clear" w:color="auto" w:fill="424E6A"/>
          </w:tcPr>
          <w:p>
            <w:pPr>
              <w:spacing w:after="0"/>
              <w:rPr>
                <w:sz w:val="24"/>
                <w:szCs w:val="24"/>
                <w:color w:val="auto"/>
              </w:rPr>
            </w:pPr>
          </w:p>
        </w:tc>
        <w:tc>
          <w:tcPr>
            <w:tcW w:w="880" w:type="dxa"/>
            <w:vAlign w:val="bottom"/>
            <w:tcBorders>
              <w:bottom w:val="single" w:sz="8" w:color="auto"/>
            </w:tcBorders>
            <w:shd w:val="clear" w:color="auto" w:fill="424E6A"/>
          </w:tcPr>
          <w:p>
            <w:pPr>
              <w:spacing w:after="0"/>
              <w:rPr>
                <w:sz w:val="24"/>
                <w:szCs w:val="24"/>
                <w:color w:val="auto"/>
              </w:rPr>
            </w:pPr>
          </w:p>
        </w:tc>
        <w:tc>
          <w:tcPr>
            <w:tcW w:w="100" w:type="dxa"/>
            <w:vAlign w:val="bottom"/>
            <w:tcBorders>
              <w:bottom w:val="single" w:sz="8" w:color="auto"/>
              <w:right w:val="single" w:sz="8" w:color="424E6A"/>
            </w:tcBorders>
            <w:shd w:val="clear" w:color="auto" w:fill="424E6A"/>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80" w:type="dxa"/>
            <w:vAlign w:val="bottom"/>
            <w:tcBorders>
              <w:right w:val="single" w:sz="8" w:color="424E6A"/>
            </w:tcBorders>
          </w:tcPr>
          <w:p>
            <w:pPr>
              <w:spacing w:after="0"/>
              <w:rPr>
                <w:sz w:val="15"/>
                <w:szCs w:val="15"/>
                <w:color w:val="auto"/>
              </w:rPr>
            </w:pPr>
          </w:p>
        </w:tc>
        <w:tc>
          <w:tcPr>
            <w:tcW w:w="2020" w:type="dxa"/>
            <w:vAlign w:val="bottom"/>
            <w:shd w:val="clear" w:color="auto" w:fill="424E6A"/>
          </w:tcPr>
          <w:p>
            <w:pPr>
              <w:spacing w:after="0"/>
              <w:rPr>
                <w:sz w:val="15"/>
                <w:szCs w:val="15"/>
                <w:color w:val="auto"/>
              </w:rPr>
            </w:pPr>
          </w:p>
        </w:tc>
        <w:tc>
          <w:tcPr>
            <w:tcW w:w="820" w:type="dxa"/>
            <w:vAlign w:val="bottom"/>
            <w:tcBorders>
              <w:right w:val="single" w:sz="8" w:color="424E6A"/>
            </w:tcBorders>
            <w:shd w:val="clear" w:color="auto" w:fill="424E6A"/>
          </w:tcPr>
          <w:p>
            <w:pPr>
              <w:spacing w:after="0"/>
              <w:rPr>
                <w:sz w:val="15"/>
                <w:szCs w:val="15"/>
                <w:color w:val="auto"/>
              </w:rPr>
            </w:pPr>
          </w:p>
        </w:tc>
        <w:tc>
          <w:tcPr>
            <w:tcW w:w="80" w:type="dxa"/>
            <w:vAlign w:val="bottom"/>
            <w:shd w:val="clear" w:color="auto" w:fill="424E6A"/>
          </w:tcPr>
          <w:p>
            <w:pPr>
              <w:spacing w:after="0"/>
              <w:rPr>
                <w:sz w:val="15"/>
                <w:szCs w:val="15"/>
                <w:color w:val="auto"/>
              </w:rPr>
            </w:pPr>
          </w:p>
        </w:tc>
        <w:tc>
          <w:tcPr>
            <w:tcW w:w="260" w:type="dxa"/>
            <w:vAlign w:val="bottom"/>
            <w:shd w:val="clear" w:color="auto" w:fill="424E6A"/>
          </w:tcPr>
          <w:p>
            <w:pPr>
              <w:spacing w:after="0"/>
              <w:rPr>
                <w:sz w:val="15"/>
                <w:szCs w:val="15"/>
                <w:color w:val="auto"/>
              </w:rPr>
            </w:pPr>
          </w:p>
        </w:tc>
        <w:tc>
          <w:tcPr>
            <w:tcW w:w="740" w:type="dxa"/>
            <w:vAlign w:val="bottom"/>
            <w:shd w:val="clear" w:color="auto" w:fill="424E6A"/>
          </w:tcPr>
          <w:p>
            <w:pPr>
              <w:spacing w:after="0"/>
              <w:rPr>
                <w:sz w:val="15"/>
                <w:szCs w:val="15"/>
                <w:color w:val="auto"/>
              </w:rPr>
            </w:pPr>
          </w:p>
        </w:tc>
        <w:tc>
          <w:tcPr>
            <w:tcW w:w="20" w:type="dxa"/>
            <w:vAlign w:val="bottom"/>
            <w:shd w:val="clear" w:color="auto" w:fill="424E6A"/>
          </w:tcPr>
          <w:p>
            <w:pPr>
              <w:spacing w:after="0"/>
              <w:rPr>
                <w:sz w:val="15"/>
                <w:szCs w:val="15"/>
                <w:color w:val="auto"/>
              </w:rPr>
            </w:pPr>
          </w:p>
        </w:tc>
        <w:tc>
          <w:tcPr>
            <w:tcW w:w="220" w:type="dxa"/>
            <w:vAlign w:val="bottom"/>
            <w:tcBorders>
              <w:right w:val="single" w:sz="8" w:color="424E6A"/>
            </w:tcBorders>
            <w:shd w:val="clear" w:color="auto" w:fill="424E6A"/>
          </w:tcPr>
          <w:p>
            <w:pPr>
              <w:spacing w:after="0"/>
              <w:rPr>
                <w:sz w:val="15"/>
                <w:szCs w:val="15"/>
                <w:color w:val="auto"/>
              </w:rPr>
            </w:pPr>
          </w:p>
        </w:tc>
        <w:tc>
          <w:tcPr>
            <w:tcW w:w="40" w:type="dxa"/>
            <w:vAlign w:val="bottom"/>
            <w:shd w:val="clear" w:color="auto" w:fill="424E6A"/>
          </w:tcPr>
          <w:p>
            <w:pPr>
              <w:spacing w:after="0"/>
              <w:rPr>
                <w:sz w:val="15"/>
                <w:szCs w:val="15"/>
                <w:color w:val="auto"/>
              </w:rPr>
            </w:pPr>
          </w:p>
        </w:tc>
        <w:tc>
          <w:tcPr>
            <w:tcW w:w="220" w:type="dxa"/>
            <w:vAlign w:val="bottom"/>
            <w:shd w:val="clear" w:color="auto" w:fill="424E6A"/>
          </w:tcPr>
          <w:p>
            <w:pPr>
              <w:spacing w:after="0"/>
              <w:rPr>
                <w:sz w:val="15"/>
                <w:szCs w:val="15"/>
                <w:color w:val="auto"/>
              </w:rPr>
            </w:pPr>
          </w:p>
        </w:tc>
        <w:tc>
          <w:tcPr>
            <w:tcW w:w="760" w:type="dxa"/>
            <w:vAlign w:val="bottom"/>
            <w:shd w:val="clear" w:color="auto" w:fill="424E6A"/>
          </w:tcPr>
          <w:p>
            <w:pPr>
              <w:spacing w:after="0"/>
              <w:rPr>
                <w:sz w:val="15"/>
                <w:szCs w:val="15"/>
                <w:color w:val="auto"/>
              </w:rPr>
            </w:pPr>
          </w:p>
        </w:tc>
        <w:tc>
          <w:tcPr>
            <w:tcW w:w="240" w:type="dxa"/>
            <w:vAlign w:val="bottom"/>
            <w:tcBorders>
              <w:right w:val="single" w:sz="8" w:color="424E6A"/>
            </w:tcBorders>
            <w:shd w:val="clear" w:color="auto" w:fill="424E6A"/>
          </w:tcPr>
          <w:p>
            <w:pPr>
              <w:spacing w:after="0"/>
              <w:rPr>
                <w:sz w:val="15"/>
                <w:szCs w:val="15"/>
                <w:color w:val="auto"/>
              </w:rPr>
            </w:pPr>
          </w:p>
        </w:tc>
        <w:tc>
          <w:tcPr>
            <w:tcW w:w="180" w:type="dxa"/>
            <w:vAlign w:val="bottom"/>
            <w:shd w:val="clear" w:color="auto" w:fill="424E6A"/>
          </w:tcPr>
          <w:p>
            <w:pPr>
              <w:spacing w:after="0"/>
              <w:rPr>
                <w:sz w:val="15"/>
                <w:szCs w:val="15"/>
                <w:color w:val="auto"/>
              </w:rPr>
            </w:pPr>
          </w:p>
        </w:tc>
        <w:tc>
          <w:tcPr>
            <w:tcW w:w="220" w:type="dxa"/>
            <w:vAlign w:val="bottom"/>
            <w:shd w:val="clear" w:color="auto" w:fill="424E6A"/>
          </w:tcPr>
          <w:p>
            <w:pPr>
              <w:spacing w:after="0"/>
              <w:rPr>
                <w:sz w:val="15"/>
                <w:szCs w:val="15"/>
                <w:color w:val="auto"/>
              </w:rPr>
            </w:pPr>
          </w:p>
        </w:tc>
        <w:tc>
          <w:tcPr>
            <w:tcW w:w="760" w:type="dxa"/>
            <w:vAlign w:val="bottom"/>
            <w:shd w:val="clear" w:color="auto" w:fill="424E6A"/>
          </w:tcPr>
          <w:p>
            <w:pPr>
              <w:spacing w:after="0"/>
              <w:rPr>
                <w:sz w:val="15"/>
                <w:szCs w:val="15"/>
                <w:color w:val="auto"/>
              </w:rPr>
            </w:pPr>
          </w:p>
        </w:tc>
        <w:tc>
          <w:tcPr>
            <w:tcW w:w="240" w:type="dxa"/>
            <w:vAlign w:val="bottom"/>
            <w:tcBorders>
              <w:right w:val="single" w:sz="8" w:color="424E6A"/>
            </w:tcBorders>
            <w:shd w:val="clear" w:color="auto" w:fill="424E6A"/>
          </w:tcPr>
          <w:p>
            <w:pPr>
              <w:spacing w:after="0"/>
              <w:rPr>
                <w:sz w:val="15"/>
                <w:szCs w:val="15"/>
                <w:color w:val="auto"/>
              </w:rPr>
            </w:pPr>
          </w:p>
        </w:tc>
        <w:tc>
          <w:tcPr>
            <w:tcW w:w="180" w:type="dxa"/>
            <w:vAlign w:val="bottom"/>
            <w:shd w:val="clear" w:color="auto" w:fill="424E6A"/>
          </w:tcPr>
          <w:p>
            <w:pPr>
              <w:spacing w:after="0"/>
              <w:rPr>
                <w:sz w:val="15"/>
                <w:szCs w:val="15"/>
                <w:color w:val="auto"/>
              </w:rPr>
            </w:pPr>
          </w:p>
        </w:tc>
        <w:tc>
          <w:tcPr>
            <w:tcW w:w="220" w:type="dxa"/>
            <w:vAlign w:val="bottom"/>
            <w:shd w:val="clear" w:color="auto" w:fill="424E6A"/>
          </w:tcPr>
          <w:p>
            <w:pPr>
              <w:spacing w:after="0"/>
              <w:rPr>
                <w:sz w:val="15"/>
                <w:szCs w:val="15"/>
                <w:color w:val="auto"/>
              </w:rPr>
            </w:pPr>
          </w:p>
        </w:tc>
        <w:tc>
          <w:tcPr>
            <w:tcW w:w="880" w:type="dxa"/>
            <w:vAlign w:val="bottom"/>
            <w:shd w:val="clear" w:color="auto" w:fill="424E6A"/>
          </w:tcPr>
          <w:p>
            <w:pPr>
              <w:jc w:val="center"/>
              <w:ind w:right="154"/>
              <w:spacing w:after="0"/>
              <w:rPr>
                <w:sz w:val="20"/>
                <w:szCs w:val="20"/>
                <w:color w:val="auto"/>
              </w:rPr>
            </w:pPr>
            <w:r>
              <w:rPr>
                <w:rFonts w:ascii="Arial" w:cs="Arial" w:eastAsia="Arial" w:hAnsi="Arial"/>
                <w:sz w:val="14"/>
                <w:szCs w:val="14"/>
                <w:b w:val="1"/>
                <w:bCs w:val="1"/>
                <w:color w:val="FFFFFF"/>
              </w:rPr>
              <w:t>Equity</w:t>
            </w:r>
          </w:p>
        </w:tc>
        <w:tc>
          <w:tcPr>
            <w:tcW w:w="100" w:type="dxa"/>
            <w:vAlign w:val="bottom"/>
            <w:tcBorders>
              <w:right w:val="single" w:sz="8" w:color="424E6A"/>
            </w:tcBorders>
            <w:shd w:val="clear" w:color="auto" w:fill="424E6A"/>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80" w:type="dxa"/>
            <w:vAlign w:val="bottom"/>
            <w:tcBorders>
              <w:right w:val="single" w:sz="8" w:color="424E6A"/>
            </w:tcBorders>
          </w:tcPr>
          <w:p>
            <w:pPr>
              <w:spacing w:after="0"/>
              <w:rPr>
                <w:sz w:val="14"/>
                <w:szCs w:val="14"/>
                <w:color w:val="auto"/>
              </w:rPr>
            </w:pPr>
          </w:p>
        </w:tc>
        <w:tc>
          <w:tcPr>
            <w:tcW w:w="2020" w:type="dxa"/>
            <w:vAlign w:val="bottom"/>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2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4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58"/>
              <w:spacing w:after="0"/>
              <w:rPr>
                <w:sz w:val="20"/>
                <w:szCs w:val="20"/>
                <w:color w:val="auto"/>
              </w:rPr>
            </w:pPr>
            <w:r>
              <w:rPr>
                <w:rFonts w:ascii="Arial" w:cs="Arial" w:eastAsia="Arial" w:hAnsi="Arial"/>
                <w:sz w:val="14"/>
                <w:szCs w:val="14"/>
                <w:b w:val="1"/>
                <w:bCs w:val="1"/>
                <w:color w:val="FFFFFF"/>
              </w:rPr>
              <w:t>Equity</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34"/>
              <w:spacing w:after="0"/>
              <w:rPr>
                <w:sz w:val="20"/>
                <w:szCs w:val="20"/>
                <w:color w:val="auto"/>
              </w:rPr>
            </w:pPr>
            <w:r>
              <w:rPr>
                <w:rFonts w:ascii="Arial" w:cs="Arial" w:eastAsia="Arial" w:hAnsi="Arial"/>
                <w:sz w:val="14"/>
                <w:szCs w:val="14"/>
                <w:b w:val="1"/>
                <w:bCs w:val="1"/>
                <w:color w:val="FFFFFF"/>
              </w:rPr>
              <w:t>Incentive</w:t>
            </w:r>
          </w:p>
        </w:tc>
        <w:tc>
          <w:tcPr>
            <w:tcW w:w="100" w:type="dxa"/>
            <w:vAlign w:val="bottom"/>
            <w:tcBorders>
              <w:right w:val="single" w:sz="8" w:color="424E6A"/>
            </w:tcBorders>
            <w:shd w:val="clear" w:color="auto" w:fill="424E6A"/>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Borders>
              <w:right w:val="single" w:sz="8" w:color="424E6A"/>
            </w:tcBorders>
          </w:tcPr>
          <w:p>
            <w:pPr>
              <w:spacing w:after="0"/>
              <w:rPr>
                <w:sz w:val="14"/>
                <w:szCs w:val="14"/>
                <w:color w:val="auto"/>
              </w:rPr>
            </w:pPr>
          </w:p>
        </w:tc>
        <w:tc>
          <w:tcPr>
            <w:tcW w:w="2020" w:type="dxa"/>
            <w:vAlign w:val="bottom"/>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2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4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Incentive</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Plan Awards:</w:t>
            </w:r>
          </w:p>
        </w:tc>
        <w:tc>
          <w:tcPr>
            <w:tcW w:w="100" w:type="dxa"/>
            <w:vAlign w:val="bottom"/>
            <w:tcBorders>
              <w:right w:val="single" w:sz="8" w:color="424E6A"/>
            </w:tcBorders>
            <w:shd w:val="clear" w:color="auto" w:fill="424E6A"/>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Borders>
              <w:right w:val="single" w:sz="8" w:color="424E6A"/>
            </w:tcBorders>
          </w:tcPr>
          <w:p>
            <w:pPr>
              <w:spacing w:after="0"/>
              <w:rPr>
                <w:sz w:val="14"/>
                <w:szCs w:val="14"/>
                <w:color w:val="auto"/>
              </w:rPr>
            </w:pPr>
          </w:p>
        </w:tc>
        <w:tc>
          <w:tcPr>
            <w:tcW w:w="2020" w:type="dxa"/>
            <w:vAlign w:val="bottom"/>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2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4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Plan Awards:</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54"/>
              <w:spacing w:after="0"/>
              <w:rPr>
                <w:sz w:val="20"/>
                <w:szCs w:val="20"/>
                <w:color w:val="auto"/>
              </w:rPr>
            </w:pPr>
            <w:r>
              <w:rPr>
                <w:rFonts w:ascii="Arial" w:cs="Arial" w:eastAsia="Arial" w:hAnsi="Arial"/>
                <w:sz w:val="14"/>
                <w:szCs w:val="14"/>
                <w:b w:val="1"/>
                <w:bCs w:val="1"/>
                <w:color w:val="FFFFFF"/>
              </w:rPr>
              <w:t>Market or</w:t>
            </w:r>
          </w:p>
        </w:tc>
        <w:tc>
          <w:tcPr>
            <w:tcW w:w="100" w:type="dxa"/>
            <w:vAlign w:val="bottom"/>
            <w:tcBorders>
              <w:right w:val="single" w:sz="8" w:color="424E6A"/>
            </w:tcBorders>
            <w:shd w:val="clear" w:color="auto" w:fill="424E6A"/>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Borders>
              <w:right w:val="single" w:sz="8" w:color="424E6A"/>
            </w:tcBorders>
          </w:tcPr>
          <w:p>
            <w:pPr>
              <w:spacing w:after="0"/>
              <w:rPr>
                <w:sz w:val="14"/>
                <w:szCs w:val="14"/>
                <w:color w:val="auto"/>
              </w:rPr>
            </w:pPr>
          </w:p>
        </w:tc>
        <w:tc>
          <w:tcPr>
            <w:tcW w:w="2020" w:type="dxa"/>
            <w:vAlign w:val="bottom"/>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2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4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5"/>
              <w:spacing w:after="0"/>
              <w:rPr>
                <w:sz w:val="20"/>
                <w:szCs w:val="20"/>
                <w:color w:val="auto"/>
              </w:rPr>
            </w:pPr>
            <w:r>
              <w:rPr>
                <w:rFonts w:ascii="Arial" w:cs="Arial" w:eastAsia="Arial" w:hAnsi="Arial"/>
                <w:sz w:val="14"/>
                <w:szCs w:val="14"/>
                <w:b w:val="1"/>
                <w:bCs w:val="1"/>
                <w:color w:val="FFFFFF"/>
              </w:rPr>
              <w:t>Market</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Payout Value</w:t>
            </w:r>
          </w:p>
        </w:tc>
        <w:tc>
          <w:tcPr>
            <w:tcW w:w="100" w:type="dxa"/>
            <w:vAlign w:val="bottom"/>
            <w:tcBorders>
              <w:right w:val="single" w:sz="8" w:color="424E6A"/>
            </w:tcBorders>
            <w:shd w:val="clear" w:color="auto" w:fill="424E6A"/>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Borders>
              <w:right w:val="single" w:sz="8" w:color="424E6A"/>
            </w:tcBorders>
          </w:tcPr>
          <w:p>
            <w:pPr>
              <w:spacing w:after="0"/>
              <w:rPr>
                <w:sz w:val="14"/>
                <w:szCs w:val="14"/>
                <w:color w:val="auto"/>
              </w:rPr>
            </w:pPr>
          </w:p>
        </w:tc>
        <w:tc>
          <w:tcPr>
            <w:tcW w:w="2020" w:type="dxa"/>
            <w:vAlign w:val="bottom"/>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2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4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5"/>
              <w:spacing w:after="0"/>
              <w:rPr>
                <w:sz w:val="20"/>
                <w:szCs w:val="20"/>
                <w:color w:val="auto"/>
              </w:rPr>
            </w:pPr>
            <w:r>
              <w:rPr>
                <w:rFonts w:ascii="Arial" w:cs="Arial" w:eastAsia="Arial" w:hAnsi="Arial"/>
                <w:sz w:val="14"/>
                <w:szCs w:val="14"/>
                <w:b w:val="1"/>
                <w:bCs w:val="1"/>
                <w:color w:val="FFFFFF"/>
                <w:w w:val="99"/>
              </w:rPr>
              <w:t>Value of</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Unearned</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Unearned</w:t>
            </w:r>
          </w:p>
        </w:tc>
        <w:tc>
          <w:tcPr>
            <w:tcW w:w="100" w:type="dxa"/>
            <w:vAlign w:val="bottom"/>
            <w:tcBorders>
              <w:right w:val="single" w:sz="8" w:color="424E6A"/>
            </w:tcBorders>
            <w:shd w:val="clear" w:color="auto" w:fill="424E6A"/>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Borders>
              <w:right w:val="single" w:sz="8" w:color="424E6A"/>
            </w:tcBorders>
          </w:tcPr>
          <w:p>
            <w:pPr>
              <w:spacing w:after="0"/>
              <w:rPr>
                <w:sz w:val="14"/>
                <w:szCs w:val="14"/>
                <w:color w:val="auto"/>
              </w:rPr>
            </w:pPr>
          </w:p>
        </w:tc>
        <w:tc>
          <w:tcPr>
            <w:tcW w:w="2020" w:type="dxa"/>
            <w:vAlign w:val="bottom"/>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2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4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5"/>
              <w:spacing w:after="0"/>
              <w:rPr>
                <w:sz w:val="20"/>
                <w:szCs w:val="20"/>
                <w:color w:val="auto"/>
              </w:rPr>
            </w:pPr>
            <w:r>
              <w:rPr>
                <w:rFonts w:ascii="Arial" w:cs="Arial" w:eastAsia="Arial" w:hAnsi="Arial"/>
                <w:sz w:val="14"/>
                <w:szCs w:val="14"/>
                <w:b w:val="1"/>
                <w:bCs w:val="1"/>
                <w:color w:val="FFFFFF"/>
              </w:rPr>
              <w:t>Shares or</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58"/>
              <w:spacing w:after="0"/>
              <w:rPr>
                <w:sz w:val="20"/>
                <w:szCs w:val="20"/>
                <w:color w:val="auto"/>
              </w:rPr>
            </w:pPr>
            <w:r>
              <w:rPr>
                <w:rFonts w:ascii="Arial" w:cs="Arial" w:eastAsia="Arial" w:hAnsi="Arial"/>
                <w:sz w:val="14"/>
                <w:szCs w:val="14"/>
                <w:b w:val="1"/>
                <w:bCs w:val="1"/>
                <w:color w:val="FFFFFF"/>
              </w:rPr>
              <w:t>Shares,</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54"/>
              <w:spacing w:after="0"/>
              <w:rPr>
                <w:sz w:val="20"/>
                <w:szCs w:val="20"/>
                <w:color w:val="auto"/>
              </w:rPr>
            </w:pPr>
            <w:r>
              <w:rPr>
                <w:rFonts w:ascii="Arial" w:cs="Arial" w:eastAsia="Arial" w:hAnsi="Arial"/>
                <w:sz w:val="14"/>
                <w:szCs w:val="14"/>
                <w:b w:val="1"/>
                <w:bCs w:val="1"/>
                <w:color w:val="FFFFFF"/>
              </w:rPr>
              <w:t>Shares,</w:t>
            </w:r>
          </w:p>
        </w:tc>
        <w:tc>
          <w:tcPr>
            <w:tcW w:w="100" w:type="dxa"/>
            <w:vAlign w:val="bottom"/>
            <w:tcBorders>
              <w:right w:val="single" w:sz="8" w:color="424E6A"/>
            </w:tcBorders>
            <w:shd w:val="clear" w:color="auto" w:fill="424E6A"/>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Borders>
              <w:right w:val="single" w:sz="8" w:color="424E6A"/>
            </w:tcBorders>
          </w:tcPr>
          <w:p>
            <w:pPr>
              <w:spacing w:after="0"/>
              <w:rPr>
                <w:sz w:val="14"/>
                <w:szCs w:val="14"/>
                <w:color w:val="auto"/>
              </w:rPr>
            </w:pPr>
          </w:p>
        </w:tc>
        <w:tc>
          <w:tcPr>
            <w:tcW w:w="2020" w:type="dxa"/>
            <w:vAlign w:val="bottom"/>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Shares or</w:t>
            </w:r>
          </w:p>
        </w:tc>
        <w:tc>
          <w:tcPr>
            <w:tcW w:w="2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4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5"/>
              <w:spacing w:after="0"/>
              <w:rPr>
                <w:sz w:val="20"/>
                <w:szCs w:val="20"/>
                <w:color w:val="auto"/>
              </w:rPr>
            </w:pPr>
            <w:r>
              <w:rPr>
                <w:rFonts w:ascii="Arial" w:cs="Arial" w:eastAsia="Arial" w:hAnsi="Arial"/>
                <w:sz w:val="14"/>
                <w:szCs w:val="14"/>
                <w:b w:val="1"/>
                <w:bCs w:val="1"/>
                <w:color w:val="FFFFFF"/>
              </w:rPr>
              <w:t>Units of</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Units or</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34"/>
              <w:spacing w:after="0"/>
              <w:rPr>
                <w:sz w:val="20"/>
                <w:szCs w:val="20"/>
                <w:color w:val="auto"/>
              </w:rPr>
            </w:pPr>
            <w:r>
              <w:rPr>
                <w:rFonts w:ascii="Arial" w:cs="Arial" w:eastAsia="Arial" w:hAnsi="Arial"/>
                <w:sz w:val="14"/>
                <w:szCs w:val="14"/>
                <w:b w:val="1"/>
                <w:bCs w:val="1"/>
                <w:color w:val="FFFFFF"/>
              </w:rPr>
              <w:t>Units or</w:t>
            </w:r>
          </w:p>
        </w:tc>
        <w:tc>
          <w:tcPr>
            <w:tcW w:w="100" w:type="dxa"/>
            <w:vAlign w:val="bottom"/>
            <w:tcBorders>
              <w:right w:val="single" w:sz="8" w:color="424E6A"/>
            </w:tcBorders>
            <w:shd w:val="clear" w:color="auto" w:fill="424E6A"/>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Borders>
              <w:right w:val="single" w:sz="8" w:color="424E6A"/>
            </w:tcBorders>
          </w:tcPr>
          <w:p>
            <w:pPr>
              <w:spacing w:after="0"/>
              <w:rPr>
                <w:sz w:val="14"/>
                <w:szCs w:val="14"/>
                <w:color w:val="auto"/>
              </w:rPr>
            </w:pPr>
          </w:p>
        </w:tc>
        <w:tc>
          <w:tcPr>
            <w:tcW w:w="2020" w:type="dxa"/>
            <w:vAlign w:val="bottom"/>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Units of Stock</w:t>
            </w:r>
          </w:p>
        </w:tc>
        <w:tc>
          <w:tcPr>
            <w:tcW w:w="2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4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ind w:left="44"/>
              <w:spacing w:after="0"/>
              <w:rPr>
                <w:sz w:val="20"/>
                <w:szCs w:val="20"/>
                <w:color w:val="auto"/>
              </w:rPr>
            </w:pPr>
            <w:r>
              <w:rPr>
                <w:rFonts w:ascii="Arial" w:cs="Arial" w:eastAsia="Arial" w:hAnsi="Arial"/>
                <w:sz w:val="14"/>
                <w:szCs w:val="14"/>
                <w:b w:val="1"/>
                <w:bCs w:val="1"/>
                <w:color w:val="FFFFFF"/>
              </w:rPr>
              <w:t>Stock That</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Other Rights</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Other Rights</w:t>
            </w:r>
          </w:p>
        </w:tc>
        <w:tc>
          <w:tcPr>
            <w:tcW w:w="100" w:type="dxa"/>
            <w:vAlign w:val="bottom"/>
            <w:tcBorders>
              <w:right w:val="single" w:sz="8" w:color="424E6A"/>
            </w:tcBorders>
            <w:shd w:val="clear" w:color="auto" w:fill="424E6A"/>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Borders>
              <w:right w:val="single" w:sz="8" w:color="424E6A"/>
            </w:tcBorders>
          </w:tcPr>
          <w:p>
            <w:pPr>
              <w:spacing w:after="0"/>
              <w:rPr>
                <w:sz w:val="14"/>
                <w:szCs w:val="14"/>
                <w:color w:val="auto"/>
              </w:rPr>
            </w:pPr>
          </w:p>
        </w:tc>
        <w:tc>
          <w:tcPr>
            <w:tcW w:w="2020" w:type="dxa"/>
            <w:vAlign w:val="bottom"/>
            <w:vMerge w:val="restart"/>
            <w:shd w:val="clear" w:color="auto" w:fill="424E6A"/>
          </w:tcPr>
          <w:p>
            <w:pPr>
              <w:ind w:left="40"/>
              <w:spacing w:after="0"/>
              <w:rPr>
                <w:sz w:val="20"/>
                <w:szCs w:val="20"/>
                <w:color w:val="auto"/>
              </w:rPr>
            </w:pPr>
            <w:r>
              <w:rPr>
                <w:rFonts w:ascii="Arial" w:cs="Arial" w:eastAsia="Arial" w:hAnsi="Arial"/>
                <w:sz w:val="14"/>
                <w:szCs w:val="14"/>
                <w:b w:val="1"/>
                <w:bCs w:val="1"/>
                <w:color w:val="FFFFFF"/>
              </w:rPr>
              <w:t>Name</w:t>
            </w:r>
          </w:p>
        </w:tc>
        <w:tc>
          <w:tcPr>
            <w:tcW w:w="8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That Have</w:t>
            </w:r>
          </w:p>
        </w:tc>
        <w:tc>
          <w:tcPr>
            <w:tcW w:w="2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4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5"/>
              <w:spacing w:after="0"/>
              <w:rPr>
                <w:sz w:val="20"/>
                <w:szCs w:val="20"/>
                <w:color w:val="auto"/>
              </w:rPr>
            </w:pPr>
            <w:r>
              <w:rPr>
                <w:rFonts w:ascii="Arial" w:cs="Arial" w:eastAsia="Arial" w:hAnsi="Arial"/>
                <w:sz w:val="14"/>
                <w:szCs w:val="14"/>
                <w:b w:val="1"/>
                <w:bCs w:val="1"/>
                <w:color w:val="FFFFFF"/>
              </w:rPr>
              <w:t>Have Not</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That Have</w:t>
            </w:r>
          </w:p>
        </w:tc>
        <w:tc>
          <w:tcPr>
            <w:tcW w:w="2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That Have</w:t>
            </w:r>
          </w:p>
        </w:tc>
        <w:tc>
          <w:tcPr>
            <w:tcW w:w="100" w:type="dxa"/>
            <w:vAlign w:val="bottom"/>
            <w:tcBorders>
              <w:right w:val="single" w:sz="8" w:color="424E6A"/>
            </w:tcBorders>
            <w:shd w:val="clear" w:color="auto" w:fill="424E6A"/>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280" w:type="dxa"/>
            <w:vAlign w:val="bottom"/>
            <w:tcBorders>
              <w:right w:val="single" w:sz="8" w:color="424E6A"/>
            </w:tcBorders>
          </w:tcPr>
          <w:p>
            <w:pPr>
              <w:spacing w:after="0"/>
              <w:rPr>
                <w:sz w:val="18"/>
                <w:szCs w:val="18"/>
                <w:color w:val="auto"/>
              </w:rPr>
            </w:pPr>
          </w:p>
        </w:tc>
        <w:tc>
          <w:tcPr>
            <w:tcW w:w="2020" w:type="dxa"/>
            <w:vAlign w:val="bottom"/>
            <w:vMerge w:val="continue"/>
            <w:shd w:val="clear" w:color="auto" w:fill="424E6A"/>
          </w:tcPr>
          <w:p>
            <w:pPr>
              <w:spacing w:after="0"/>
              <w:rPr>
                <w:sz w:val="18"/>
                <w:szCs w:val="18"/>
                <w:color w:val="auto"/>
              </w:rPr>
            </w:pPr>
          </w:p>
        </w:tc>
        <w:tc>
          <w:tcPr>
            <w:tcW w:w="820" w:type="dxa"/>
            <w:vAlign w:val="bottom"/>
            <w:tcBorders>
              <w:right w:val="single" w:sz="8" w:color="424E6A"/>
            </w:tcBorders>
            <w:shd w:val="clear" w:color="auto" w:fill="424E6A"/>
          </w:tcPr>
          <w:p>
            <w:pPr>
              <w:spacing w:after="0"/>
              <w:rPr>
                <w:sz w:val="18"/>
                <w:szCs w:val="18"/>
                <w:color w:val="auto"/>
              </w:rPr>
            </w:pPr>
          </w:p>
        </w:tc>
        <w:tc>
          <w:tcPr>
            <w:tcW w:w="8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Not Vested (#)</w:t>
            </w:r>
          </w:p>
        </w:tc>
        <w:tc>
          <w:tcPr>
            <w:tcW w:w="20" w:type="dxa"/>
            <w:vAlign w:val="bottom"/>
            <w:shd w:val="clear" w:color="auto" w:fill="424E6A"/>
          </w:tcPr>
          <w:p>
            <w:pPr>
              <w:spacing w:after="0"/>
              <w:rPr>
                <w:sz w:val="18"/>
                <w:szCs w:val="18"/>
                <w:color w:val="auto"/>
              </w:rPr>
            </w:pPr>
          </w:p>
        </w:tc>
        <w:tc>
          <w:tcPr>
            <w:tcW w:w="260" w:type="dxa"/>
            <w:vAlign w:val="bottom"/>
            <w:tcBorders>
              <w:bottom w:val="single" w:sz="8" w:color="424E6A"/>
            </w:tcBorders>
            <w:gridSpan w:val="2"/>
            <w:shd w:val="clear" w:color="auto" w:fill="424E6A"/>
          </w:tcPr>
          <w:p>
            <w:pPr>
              <w:jc w:val="center"/>
              <w:ind w:right="20"/>
              <w:spacing w:after="0"/>
              <w:rPr>
                <w:sz w:val="20"/>
                <w:szCs w:val="20"/>
                <w:color w:val="auto"/>
              </w:rPr>
            </w:pPr>
            <w:r>
              <w:rPr>
                <w:rFonts w:ascii="Arial" w:cs="Arial" w:eastAsia="Arial" w:hAnsi="Arial"/>
                <w:sz w:val="14"/>
                <w:szCs w:val="14"/>
                <w:b w:val="1"/>
                <w:bCs w:val="1"/>
                <w:color w:val="FFFFFF"/>
              </w:rPr>
              <w:t>​</w:t>
            </w:r>
          </w:p>
        </w:tc>
        <w:tc>
          <w:tcPr>
            <w:tcW w:w="980" w:type="dxa"/>
            <w:vAlign w:val="bottom"/>
            <w:tcBorders>
              <w:bottom w:val="single" w:sz="8" w:color="424E6A"/>
            </w:tcBorders>
            <w:gridSpan w:val="2"/>
            <w:shd w:val="clear" w:color="auto" w:fill="424E6A"/>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Vested ($)</w:t>
            </w:r>
            <w:r>
              <w:rPr>
                <w:rFonts w:ascii="Arial" w:cs="Arial" w:eastAsia="Arial" w:hAnsi="Arial"/>
                <w:sz w:val="14"/>
                <w:szCs w:val="14"/>
                <w:b w:val="1"/>
                <w:bCs w:val="1"/>
                <w:color w:val="FFFFFF"/>
                <w:vertAlign w:val="superscript"/>
              </w:rPr>
              <w:t>(1)</w:t>
            </w:r>
          </w:p>
        </w:tc>
        <w:tc>
          <w:tcPr>
            <w:tcW w:w="240" w:type="dxa"/>
            <w:vAlign w:val="bottom"/>
            <w:tcBorders>
              <w:bottom w:val="single" w:sz="8" w:color="424E6A"/>
              <w:right w:val="single" w:sz="8" w:color="424E6A"/>
            </w:tcBorders>
            <w:shd w:val="clear" w:color="auto" w:fill="424E6A"/>
          </w:tcPr>
          <w:p>
            <w:pPr>
              <w:ind w:left="120"/>
              <w:spacing w:after="0"/>
              <w:rPr>
                <w:sz w:val="20"/>
                <w:szCs w:val="20"/>
                <w:color w:val="auto"/>
              </w:rPr>
            </w:pPr>
            <w:r>
              <w:rPr>
                <w:rFonts w:ascii="Arial" w:cs="Arial" w:eastAsia="Arial" w:hAnsi="Arial"/>
                <w:sz w:val="14"/>
                <w:szCs w:val="14"/>
                <w:b w:val="1"/>
                <w:bCs w:val="1"/>
                <w:color w:val="FFFFFF"/>
              </w:rPr>
              <w:t>​</w:t>
            </w:r>
          </w:p>
        </w:tc>
        <w:tc>
          <w:tcPr>
            <w:tcW w:w="1160" w:type="dxa"/>
            <w:vAlign w:val="bottom"/>
            <w:tcBorders>
              <w:bottom w:val="single" w:sz="8" w:color="424E6A"/>
            </w:tcBorders>
            <w:gridSpan w:val="3"/>
            <w:shd w:val="clear" w:color="auto" w:fill="424E6A"/>
          </w:tcPr>
          <w:p>
            <w:pPr>
              <w:ind w:left="8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Not Vested (#)</w:t>
            </w:r>
          </w:p>
        </w:tc>
        <w:tc>
          <w:tcPr>
            <w:tcW w:w="240" w:type="dxa"/>
            <w:vAlign w:val="bottom"/>
            <w:tcBorders>
              <w:bottom w:val="single" w:sz="8" w:color="424E6A"/>
              <w:right w:val="single" w:sz="8" w:color="424E6A"/>
            </w:tcBorders>
            <w:shd w:val="clear" w:color="auto" w:fill="424E6A"/>
          </w:tcPr>
          <w:p>
            <w:pPr>
              <w:ind w:left="12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424E6A"/>
            </w:tcBorders>
            <w:shd w:val="clear" w:color="auto" w:fill="424E6A"/>
          </w:tcPr>
          <w:p>
            <w:pPr>
              <w:ind w:left="100"/>
              <w:spacing w:after="0"/>
              <w:rPr>
                <w:sz w:val="20"/>
                <w:szCs w:val="20"/>
                <w:color w:val="auto"/>
              </w:rPr>
            </w:pPr>
            <w:r>
              <w:rPr>
                <w:rFonts w:ascii="Arial" w:cs="Arial" w:eastAsia="Arial" w:hAnsi="Arial"/>
                <w:sz w:val="14"/>
                <w:szCs w:val="14"/>
                <w:b w:val="1"/>
                <w:bCs w:val="1"/>
                <w:color w:val="FFFFFF"/>
              </w:rPr>
              <w:t>​</w:t>
            </w:r>
          </w:p>
        </w:tc>
        <w:tc>
          <w:tcPr>
            <w:tcW w:w="1100" w:type="dxa"/>
            <w:vAlign w:val="bottom"/>
            <w:tcBorders>
              <w:bottom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Not Vested ($)</w:t>
            </w:r>
            <w:r>
              <w:rPr>
                <w:rFonts w:ascii="Arial" w:cs="Arial" w:eastAsia="Arial" w:hAnsi="Arial"/>
                <w:sz w:val="17"/>
                <w:szCs w:val="17"/>
                <w:b w:val="1"/>
                <w:bCs w:val="1"/>
                <w:color w:val="FFFFFF"/>
                <w:w w:val="98"/>
                <w:vertAlign w:val="superscript"/>
              </w:rPr>
              <w:t>(1)</w:t>
            </w:r>
          </w:p>
        </w:tc>
        <w:tc>
          <w:tcPr>
            <w:tcW w:w="100" w:type="dxa"/>
            <w:vAlign w:val="bottom"/>
            <w:tcBorders>
              <w:bottom w:val="single" w:sz="8" w:color="424E6A"/>
              <w:right w:val="single" w:sz="8" w:color="424E6A"/>
            </w:tcBorders>
            <w:shd w:val="clear" w:color="auto" w:fill="424E6A"/>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80" w:type="dxa"/>
            <w:vAlign w:val="bottom"/>
            <w:tcBorders>
              <w:right w:val="single" w:sz="8" w:color="424E6A"/>
            </w:tcBorders>
          </w:tcPr>
          <w:p>
            <w:pPr>
              <w:spacing w:after="0"/>
              <w:rPr>
                <w:sz w:val="14"/>
                <w:szCs w:val="14"/>
                <w:color w:val="auto"/>
              </w:rPr>
            </w:pPr>
          </w:p>
        </w:tc>
        <w:tc>
          <w:tcPr>
            <w:tcW w:w="2020" w:type="dxa"/>
            <w:vAlign w:val="bottom"/>
          </w:tcPr>
          <w:p>
            <w:pPr>
              <w:ind w:left="40"/>
              <w:spacing w:after="0" w:line="169" w:lineRule="exact"/>
              <w:rPr>
                <w:sz w:val="20"/>
                <w:szCs w:val="20"/>
                <w:color w:val="auto"/>
              </w:rPr>
            </w:pPr>
            <w:r>
              <w:rPr>
                <w:rFonts w:ascii="Arial" w:cs="Arial" w:eastAsia="Arial" w:hAnsi="Arial"/>
                <w:sz w:val="18"/>
                <w:szCs w:val="18"/>
                <w:color w:val="auto"/>
              </w:rPr>
              <w:t>Willie Chiang</w:t>
            </w: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line="169" w:lineRule="exact"/>
              <w:rPr>
                <w:sz w:val="20"/>
                <w:szCs w:val="20"/>
                <w:color w:val="auto"/>
              </w:rPr>
            </w:pPr>
            <w:r>
              <w:rPr>
                <w:rFonts w:ascii="Arial" w:cs="Arial" w:eastAsia="Arial" w:hAnsi="Arial"/>
                <w:sz w:val="18"/>
                <w:szCs w:val="18"/>
                <w:color w:val="auto"/>
              </w:rPr>
              <w:t>—</w:t>
            </w:r>
          </w:p>
        </w:tc>
        <w:tc>
          <w:tcPr>
            <w:tcW w:w="240" w:type="dxa"/>
            <w:vAlign w:val="bottom"/>
            <w:tcBorders>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4"/>
                <w:szCs w:val="14"/>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500,000</w:t>
            </w:r>
            <w:r>
              <w:rPr>
                <w:rFonts w:ascii="Arial" w:cs="Arial" w:eastAsia="Arial" w:hAnsi="Arial"/>
                <w:sz w:val="19"/>
                <w:szCs w:val="19"/>
                <w:color w:val="auto"/>
                <w:vertAlign w:val="superscript"/>
              </w:rPr>
              <w:t>(2)</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
              <w:spacing w:after="0" w:line="169" w:lineRule="exact"/>
              <w:rPr>
                <w:sz w:val="20"/>
                <w:szCs w:val="20"/>
                <w:color w:val="auto"/>
              </w:rPr>
            </w:pPr>
            <w:r>
              <w:rPr>
                <w:rFonts w:ascii="Arial" w:cs="Arial" w:eastAsia="Arial" w:hAnsi="Arial"/>
                <w:sz w:val="18"/>
                <w:szCs w:val="18"/>
                <w:color w:val="auto"/>
              </w:rPr>
              <w:t>5,880,000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280" w:type="dxa"/>
            <w:vAlign w:val="bottom"/>
            <w:tcBorders>
              <w:right w:val="single" w:sz="8" w:color="424E6A"/>
            </w:tcBorders>
          </w:tcPr>
          <w:p>
            <w:pPr>
              <w:spacing w:after="0"/>
              <w:rPr>
                <w:sz w:val="5"/>
                <w:szCs w:val="5"/>
                <w:color w:val="auto"/>
              </w:rPr>
            </w:pPr>
          </w:p>
        </w:tc>
        <w:tc>
          <w:tcPr>
            <w:tcW w:w="2020" w:type="dxa"/>
            <w:vAlign w:val="bottom"/>
            <w:tcBorders>
              <w:bottom w:val="single" w:sz="8" w:color="424E6A"/>
            </w:tcBorders>
          </w:tcPr>
          <w:p>
            <w:pPr>
              <w:ind w:left="20"/>
              <w:spacing w:after="0" w:line="68" w:lineRule="exact"/>
              <w:rPr>
                <w:sz w:val="20"/>
                <w:szCs w:val="20"/>
                <w:color w:val="auto"/>
              </w:rPr>
            </w:pPr>
            <w:r>
              <w:rPr>
                <w:rFonts w:ascii="Arial" w:cs="Arial" w:eastAsia="Arial" w:hAnsi="Arial"/>
                <w:sz w:val="7"/>
                <w:szCs w:val="7"/>
                <w:color w:val="auto"/>
              </w:rPr>
              <w:t>​</w:t>
            </w: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40" w:type="dxa"/>
            <w:vAlign w:val="bottom"/>
            <w:tcBorders>
              <w:bottom w:val="single" w:sz="8" w:color="424E6A"/>
            </w:tcBorders>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280" w:type="dxa"/>
            <w:vAlign w:val="bottom"/>
            <w:tcBorders>
              <w:right w:val="single" w:sz="8" w:color="424E6A"/>
            </w:tcBorders>
          </w:tcPr>
          <w:p>
            <w:pPr>
              <w:spacing w:after="0"/>
              <w:rPr>
                <w:sz w:val="21"/>
                <w:szCs w:val="21"/>
                <w:color w:val="auto"/>
              </w:rPr>
            </w:pPr>
          </w:p>
        </w:tc>
        <w:tc>
          <w:tcPr>
            <w:tcW w:w="202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right w:val="single" w:sz="8" w:color="424E6A"/>
            </w:tcBorders>
            <w:gridSpan w:val="2"/>
          </w:tcPr>
          <w:p>
            <w:pPr>
              <w:spacing w:after="0"/>
              <w:rPr>
                <w:sz w:val="20"/>
                <w:szCs w:val="20"/>
                <w:color w:val="auto"/>
              </w:rPr>
            </w:pPr>
            <w:r>
              <w:rPr>
                <w:rFonts w:ascii="Arial" w:cs="Arial" w:eastAsia="Arial" w:hAnsi="Arial"/>
                <w:sz w:val="18"/>
                <w:szCs w:val="18"/>
                <w:color w:val="auto"/>
              </w:rPr>
              <w:t>​ ​</w:t>
            </w:r>
          </w:p>
        </w:tc>
        <w:tc>
          <w:tcPr>
            <w:tcW w:w="40" w:type="dxa"/>
            <w:vAlign w:val="bottom"/>
            <w:tcBorders>
              <w:bottom w:val="single" w:sz="8" w:color="424E6A"/>
            </w:tcBorders>
          </w:tcPr>
          <w:p>
            <w:pPr>
              <w:spacing w:after="0"/>
              <w:rPr>
                <w:sz w:val="21"/>
                <w:szCs w:val="21"/>
                <w:color w:val="auto"/>
              </w:rPr>
            </w:pPr>
          </w:p>
        </w:tc>
        <w:tc>
          <w:tcPr>
            <w:tcW w:w="22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62,870</w:t>
            </w:r>
            <w:r>
              <w:rPr>
                <w:rFonts w:ascii="Arial" w:cs="Arial" w:eastAsia="Arial" w:hAnsi="Arial"/>
                <w:sz w:val="19"/>
                <w:szCs w:val="19"/>
                <w:color w:val="auto"/>
                <w:vertAlign w:val="superscript"/>
              </w:rPr>
              <w:t>(3)</w:t>
            </w:r>
          </w:p>
        </w:tc>
        <w:tc>
          <w:tcPr>
            <w:tcW w:w="2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739,351</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280" w:type="dxa"/>
            <w:vAlign w:val="bottom"/>
            <w:tcBorders>
              <w:right w:val="single" w:sz="8" w:color="424E6A"/>
            </w:tcBorders>
          </w:tcPr>
          <w:p>
            <w:pPr>
              <w:spacing w:after="0"/>
              <w:rPr>
                <w:sz w:val="15"/>
                <w:szCs w:val="15"/>
                <w:color w:val="auto"/>
              </w:rPr>
            </w:pPr>
          </w:p>
        </w:tc>
        <w:tc>
          <w:tcPr>
            <w:tcW w:w="20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187,970</w:t>
            </w:r>
            <w:r>
              <w:rPr>
                <w:rFonts w:ascii="Arial" w:cs="Arial" w:eastAsia="Arial" w:hAnsi="Arial"/>
                <w:sz w:val="21"/>
                <w:szCs w:val="21"/>
                <w:color w:val="auto"/>
                <w:vertAlign w:val="superscript"/>
              </w:rPr>
              <w:t>(6)</w:t>
            </w:r>
          </w:p>
        </w:tc>
        <w:tc>
          <w:tcPr>
            <w:tcW w:w="240" w:type="dxa"/>
            <w:vAlign w:val="bottom"/>
            <w:tcBorders>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5"/>
                <w:szCs w:val="15"/>
                <w:color w:val="auto"/>
              </w:rPr>
            </w:pP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2,210,527</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187,970</w:t>
            </w:r>
            <w:r>
              <w:rPr>
                <w:rFonts w:ascii="Arial" w:cs="Arial" w:eastAsia="Arial" w:hAnsi="Arial"/>
                <w:sz w:val="21"/>
                <w:szCs w:val="21"/>
                <w:color w:val="auto"/>
                <w:vertAlign w:val="superscript"/>
              </w:rPr>
              <w:t>(7)</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
              <w:spacing w:after="0" w:line="182" w:lineRule="exact"/>
              <w:rPr>
                <w:sz w:val="20"/>
                <w:szCs w:val="20"/>
                <w:color w:val="auto"/>
              </w:rPr>
            </w:pPr>
            <w:r>
              <w:rPr>
                <w:rFonts w:ascii="Arial" w:cs="Arial" w:eastAsia="Arial" w:hAnsi="Arial"/>
                <w:sz w:val="18"/>
                <w:szCs w:val="18"/>
                <w:color w:val="auto"/>
              </w:rPr>
              <w:t>2,210,527</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80" w:type="dxa"/>
            <w:vAlign w:val="bottom"/>
            <w:tcBorders>
              <w:right w:val="single" w:sz="8" w:color="424E6A"/>
            </w:tcBorders>
          </w:tcPr>
          <w:p>
            <w:pPr>
              <w:spacing w:after="0"/>
              <w:rPr>
                <w:sz w:val="5"/>
                <w:szCs w:val="5"/>
                <w:color w:val="auto"/>
              </w:rPr>
            </w:pPr>
          </w:p>
        </w:tc>
        <w:tc>
          <w:tcPr>
            <w:tcW w:w="2020" w:type="dxa"/>
            <w:vAlign w:val="bottom"/>
            <w:tcBorders>
              <w:bottom w:val="single" w:sz="8" w:color="424E6A"/>
            </w:tcBorders>
            <w:vMerge w:val="continue"/>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40" w:type="dxa"/>
            <w:vAlign w:val="bottom"/>
            <w:tcBorders>
              <w:bottom w:val="single" w:sz="8" w:color="424E6A"/>
            </w:tcBorders>
          </w:tcPr>
          <w:p>
            <w:pPr>
              <w:spacing w:after="0"/>
              <w:rPr>
                <w:sz w:val="5"/>
                <w:szCs w:val="5"/>
                <w:color w:val="auto"/>
              </w:rPr>
            </w:pPr>
          </w:p>
        </w:tc>
        <w:tc>
          <w:tcPr>
            <w:tcW w:w="220" w:type="dxa"/>
            <w:vAlign w:val="bottom"/>
            <w:tcBorders>
              <w:bottom w:val="single" w:sz="8" w:color="424E6A"/>
            </w:tcBorders>
          </w:tcPr>
          <w:p>
            <w:pPr>
              <w:ind w:left="6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280" w:type="dxa"/>
            <w:vAlign w:val="bottom"/>
            <w:tcBorders>
              <w:right w:val="single" w:sz="8" w:color="424E6A"/>
            </w:tcBorders>
          </w:tcPr>
          <w:p>
            <w:pPr>
              <w:spacing w:after="0"/>
              <w:rPr>
                <w:sz w:val="15"/>
                <w:szCs w:val="15"/>
                <w:color w:val="auto"/>
              </w:rPr>
            </w:pPr>
          </w:p>
        </w:tc>
        <w:tc>
          <w:tcPr>
            <w:tcW w:w="20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150,300</w:t>
            </w:r>
            <w:r>
              <w:rPr>
                <w:rFonts w:ascii="Arial" w:cs="Arial" w:eastAsia="Arial" w:hAnsi="Arial"/>
                <w:sz w:val="21"/>
                <w:szCs w:val="21"/>
                <w:color w:val="auto"/>
                <w:vertAlign w:val="superscript"/>
              </w:rPr>
              <w:t>(8)</w:t>
            </w:r>
          </w:p>
        </w:tc>
        <w:tc>
          <w:tcPr>
            <w:tcW w:w="240" w:type="dxa"/>
            <w:vAlign w:val="bottom"/>
            <w:tcBorders>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5"/>
                <w:szCs w:val="15"/>
                <w:color w:val="auto"/>
              </w:rPr>
            </w:pP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1,767,528</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150,300</w:t>
            </w:r>
            <w:r>
              <w:rPr>
                <w:rFonts w:ascii="Arial" w:cs="Arial" w:eastAsia="Arial" w:hAnsi="Arial"/>
                <w:sz w:val="21"/>
                <w:szCs w:val="21"/>
                <w:color w:val="auto"/>
                <w:vertAlign w:val="superscript"/>
              </w:rPr>
              <w:t>(9)</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
              <w:spacing w:after="0" w:line="182" w:lineRule="exact"/>
              <w:rPr>
                <w:sz w:val="20"/>
                <w:szCs w:val="20"/>
                <w:color w:val="auto"/>
              </w:rPr>
            </w:pPr>
            <w:r>
              <w:rPr>
                <w:rFonts w:ascii="Arial" w:cs="Arial" w:eastAsia="Arial" w:hAnsi="Arial"/>
                <w:sz w:val="18"/>
                <w:szCs w:val="18"/>
                <w:color w:val="auto"/>
              </w:rPr>
              <w:t>1,767,528</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80" w:type="dxa"/>
            <w:vAlign w:val="bottom"/>
            <w:tcBorders>
              <w:right w:val="single" w:sz="8" w:color="424E6A"/>
            </w:tcBorders>
          </w:tcPr>
          <w:p>
            <w:pPr>
              <w:spacing w:after="0"/>
              <w:rPr>
                <w:sz w:val="5"/>
                <w:szCs w:val="5"/>
                <w:color w:val="auto"/>
              </w:rPr>
            </w:pPr>
          </w:p>
        </w:tc>
        <w:tc>
          <w:tcPr>
            <w:tcW w:w="2020" w:type="dxa"/>
            <w:vAlign w:val="bottom"/>
            <w:tcBorders>
              <w:bottom w:val="single" w:sz="8" w:color="424E6A"/>
            </w:tcBorders>
            <w:vMerge w:val="continue"/>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40" w:type="dxa"/>
            <w:vAlign w:val="bottom"/>
            <w:tcBorders>
              <w:bottom w:val="single" w:sz="8" w:color="424E6A"/>
            </w:tcBorders>
          </w:tcPr>
          <w:p>
            <w:pPr>
              <w:spacing w:after="0"/>
              <w:rPr>
                <w:sz w:val="5"/>
                <w:szCs w:val="5"/>
                <w:color w:val="auto"/>
              </w:rPr>
            </w:pPr>
          </w:p>
        </w:tc>
        <w:tc>
          <w:tcPr>
            <w:tcW w:w="220" w:type="dxa"/>
            <w:vAlign w:val="bottom"/>
            <w:tcBorders>
              <w:bottom w:val="single" w:sz="8" w:color="424E6A"/>
            </w:tcBorders>
          </w:tcPr>
          <w:p>
            <w:pPr>
              <w:ind w:left="6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280" w:type="dxa"/>
            <w:vAlign w:val="bottom"/>
            <w:tcBorders>
              <w:right w:val="single" w:sz="8" w:color="424E6A"/>
            </w:tcBorders>
          </w:tcPr>
          <w:p>
            <w:pPr>
              <w:spacing w:after="0"/>
              <w:rPr>
                <w:sz w:val="15"/>
                <w:szCs w:val="15"/>
                <w:color w:val="auto"/>
              </w:rPr>
            </w:pPr>
          </w:p>
        </w:tc>
        <w:tc>
          <w:tcPr>
            <w:tcW w:w="20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424E6A"/>
            </w:tcBorders>
            <w:gridSpan w:val="4"/>
          </w:tcPr>
          <w:p>
            <w:pPr>
              <w:jc w:val="right"/>
              <w:ind w:right="128"/>
              <w:spacing w:after="0" w:line="183" w:lineRule="exact"/>
              <w:rPr>
                <w:sz w:val="20"/>
                <w:szCs w:val="20"/>
                <w:color w:val="auto"/>
              </w:rPr>
            </w:pPr>
            <w:r>
              <w:rPr>
                <w:rFonts w:ascii="Arial" w:cs="Arial" w:eastAsia="Arial" w:hAnsi="Arial"/>
                <w:sz w:val="17"/>
                <w:szCs w:val="17"/>
                <w:color w:val="auto"/>
              </w:rPr>
              <w:t>220,000</w:t>
            </w:r>
            <w:r>
              <w:rPr>
                <w:rFonts w:ascii="Arial" w:cs="Arial" w:eastAsia="Arial" w:hAnsi="Arial"/>
                <w:sz w:val="21"/>
                <w:szCs w:val="21"/>
                <w:color w:val="auto"/>
                <w:vertAlign w:val="superscript"/>
              </w:rPr>
              <w:t>(10)</w:t>
            </w:r>
          </w:p>
        </w:tc>
        <w:tc>
          <w:tcPr>
            <w:tcW w:w="40" w:type="dxa"/>
            <w:vAlign w:val="bottom"/>
          </w:tcPr>
          <w:p>
            <w:pPr>
              <w:spacing w:after="0"/>
              <w:rPr>
                <w:sz w:val="15"/>
                <w:szCs w:val="15"/>
                <w:color w:val="auto"/>
              </w:rPr>
            </w:pP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2,587,200</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424E6A"/>
            </w:tcBorders>
            <w:gridSpan w:val="3"/>
          </w:tcPr>
          <w:p>
            <w:pPr>
              <w:jc w:val="right"/>
              <w:ind w:right="100"/>
              <w:spacing w:after="0" w:line="183" w:lineRule="exact"/>
              <w:rPr>
                <w:sz w:val="20"/>
                <w:szCs w:val="20"/>
                <w:color w:val="auto"/>
              </w:rPr>
            </w:pPr>
            <w:r>
              <w:rPr>
                <w:rFonts w:ascii="Arial" w:cs="Arial" w:eastAsia="Arial" w:hAnsi="Arial"/>
                <w:sz w:val="17"/>
                <w:szCs w:val="17"/>
                <w:color w:val="auto"/>
              </w:rPr>
              <w:t>220,000</w:t>
            </w:r>
            <w:r>
              <w:rPr>
                <w:rFonts w:ascii="Arial" w:cs="Arial" w:eastAsia="Arial" w:hAnsi="Arial"/>
                <w:sz w:val="21"/>
                <w:szCs w:val="21"/>
                <w:color w:val="auto"/>
                <w:vertAlign w:val="superscript"/>
              </w:rPr>
              <w:t>(11)</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
              <w:spacing w:after="0" w:line="182" w:lineRule="exact"/>
              <w:rPr>
                <w:sz w:val="20"/>
                <w:szCs w:val="20"/>
                <w:color w:val="auto"/>
              </w:rPr>
            </w:pPr>
            <w:r>
              <w:rPr>
                <w:rFonts w:ascii="Arial" w:cs="Arial" w:eastAsia="Arial" w:hAnsi="Arial"/>
                <w:sz w:val="18"/>
                <w:szCs w:val="18"/>
                <w:color w:val="auto"/>
              </w:rPr>
              <w:t>2,587,200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80" w:type="dxa"/>
            <w:vAlign w:val="bottom"/>
            <w:tcBorders>
              <w:right w:val="single" w:sz="8" w:color="424E6A"/>
            </w:tcBorders>
          </w:tcPr>
          <w:p>
            <w:pPr>
              <w:spacing w:after="0"/>
              <w:rPr>
                <w:sz w:val="5"/>
                <w:szCs w:val="5"/>
                <w:color w:val="auto"/>
              </w:rPr>
            </w:pPr>
          </w:p>
        </w:tc>
        <w:tc>
          <w:tcPr>
            <w:tcW w:w="2020" w:type="dxa"/>
            <w:vAlign w:val="bottom"/>
            <w:tcBorders>
              <w:bottom w:val="single" w:sz="8" w:color="424E6A"/>
            </w:tcBorders>
            <w:vMerge w:val="continue"/>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tcPr>
          <w:p>
            <w:pPr>
              <w:spacing w:after="0" w:line="68" w:lineRule="exact"/>
              <w:rPr>
                <w:sz w:val="20"/>
                <w:szCs w:val="20"/>
                <w:color w:val="auto"/>
              </w:rPr>
            </w:pPr>
            <w:r>
              <w:rPr>
                <w:rFonts w:ascii="Arial" w:cs="Arial" w:eastAsia="Arial" w:hAnsi="Arial"/>
                <w:sz w:val="7"/>
                <w:szCs w:val="7"/>
                <w:color w:val="auto"/>
              </w:rPr>
              <w:t>​ ​</w:t>
            </w:r>
          </w:p>
        </w:tc>
        <w:tc>
          <w:tcPr>
            <w:tcW w:w="40" w:type="dxa"/>
            <w:vAlign w:val="bottom"/>
            <w:tcBorders>
              <w:bottom w:val="single" w:sz="8" w:color="424E6A"/>
            </w:tcBorders>
          </w:tcPr>
          <w:p>
            <w:pPr>
              <w:spacing w:after="0"/>
              <w:rPr>
                <w:sz w:val="5"/>
                <w:szCs w:val="5"/>
                <w:color w:val="auto"/>
              </w:rPr>
            </w:pPr>
          </w:p>
        </w:tc>
        <w:tc>
          <w:tcPr>
            <w:tcW w:w="220" w:type="dxa"/>
            <w:vAlign w:val="bottom"/>
            <w:tcBorders>
              <w:bottom w:val="single" w:sz="8" w:color="424E6A"/>
            </w:tcBorders>
          </w:tcPr>
          <w:p>
            <w:pPr>
              <w:ind w:left="6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tcPr>
          <w:p>
            <w:pPr>
              <w:ind w:left="20"/>
              <w:spacing w:after="0" w:line="68" w:lineRule="exact"/>
              <w:rPr>
                <w:sz w:val="20"/>
                <w:szCs w:val="20"/>
                <w:color w:val="auto"/>
              </w:rPr>
            </w:pPr>
            <w:r>
              <w:rPr>
                <w:rFonts w:ascii="Arial" w:cs="Arial" w:eastAsia="Arial" w:hAnsi="Arial"/>
                <w:sz w:val="7"/>
                <w:szCs w:val="7"/>
                <w:color w:val="auto"/>
              </w:rPr>
              <w:t>​ ​</w:t>
            </w: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1280" w:type="dxa"/>
            <w:vAlign w:val="bottom"/>
            <w:tcBorders>
              <w:right w:val="single" w:sz="8" w:color="424E6A"/>
            </w:tcBorders>
          </w:tcPr>
          <w:p>
            <w:pPr>
              <w:spacing w:after="0"/>
              <w:rPr>
                <w:sz w:val="24"/>
                <w:szCs w:val="24"/>
                <w:color w:val="auto"/>
              </w:rPr>
            </w:pPr>
          </w:p>
        </w:tc>
        <w:tc>
          <w:tcPr>
            <w:tcW w:w="2020" w:type="dxa"/>
            <w:vAlign w:val="bottom"/>
            <w:tcBorders>
              <w:bottom w:val="single" w:sz="8" w:color="D9DCE1"/>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820" w:type="dxa"/>
            <w:vAlign w:val="bottom"/>
            <w:tcBorders>
              <w:bottom w:val="single" w:sz="8" w:color="D9DCE1"/>
              <w:right w:val="single" w:sz="8" w:color="424E6A"/>
            </w:tcBorders>
            <w:shd w:val="clear" w:color="auto" w:fill="D9DCE1"/>
          </w:tcPr>
          <w:p>
            <w:pPr>
              <w:ind w:left="7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gridSpan w:val="2"/>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40" w:type="dxa"/>
            <w:vAlign w:val="bottom"/>
            <w:tcBorders>
              <w:bottom w:val="single" w:sz="8" w:color="D9DCE1"/>
            </w:tcBorders>
            <w:shd w:val="clear" w:color="auto" w:fill="D9DCE1"/>
          </w:tcPr>
          <w:p>
            <w:pPr>
              <w:spacing w:after="0"/>
              <w:rPr>
                <w:sz w:val="24"/>
                <w:szCs w:val="24"/>
                <w:color w:val="auto"/>
              </w:rPr>
            </w:pPr>
          </w:p>
        </w:tc>
        <w:tc>
          <w:tcPr>
            <w:tcW w:w="22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80" w:type="dxa"/>
            <w:vAlign w:val="bottom"/>
            <w:tcBorders>
              <w:right w:val="single" w:sz="8" w:color="424E6A"/>
            </w:tcBorders>
          </w:tcPr>
          <w:p>
            <w:pPr>
              <w:spacing w:after="0"/>
              <w:rPr>
                <w:sz w:val="21"/>
                <w:szCs w:val="21"/>
                <w:color w:val="auto"/>
              </w:rPr>
            </w:pPr>
          </w:p>
        </w:tc>
        <w:tc>
          <w:tcPr>
            <w:tcW w:w="2020" w:type="dxa"/>
            <w:vAlign w:val="bottom"/>
            <w:tcBorders>
              <w:top w:val="single" w:sz="8" w:color="424E6A"/>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Harry Pefanis</w:t>
            </w:r>
          </w:p>
        </w:tc>
        <w:tc>
          <w:tcPr>
            <w:tcW w:w="820" w:type="dxa"/>
            <w:vAlign w:val="bottom"/>
            <w:tcBorders>
              <w:top w:val="single" w:sz="8" w:color="424E6A"/>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24E6A"/>
              <w:bottom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424E6A"/>
              <w:bottom w:val="single" w:sz="8" w:color="424E6A"/>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424E6A"/>
              <w:bottom w:val="single" w:sz="8" w:color="424E6A"/>
              <w:right w:val="single" w:sz="8" w:color="424E6A"/>
            </w:tcBorders>
            <w:gridSpan w:val="2"/>
          </w:tcPr>
          <w:p>
            <w:pPr>
              <w:spacing w:after="0"/>
              <w:rPr>
                <w:sz w:val="20"/>
                <w:szCs w:val="20"/>
                <w:color w:val="auto"/>
              </w:rPr>
            </w:pPr>
            <w:r>
              <w:rPr>
                <w:rFonts w:ascii="Arial" w:cs="Arial" w:eastAsia="Arial" w:hAnsi="Arial"/>
                <w:sz w:val="18"/>
                <w:szCs w:val="18"/>
                <w:color w:val="auto"/>
              </w:rPr>
              <w:t>​ ​</w:t>
            </w:r>
          </w:p>
        </w:tc>
        <w:tc>
          <w:tcPr>
            <w:tcW w:w="40" w:type="dxa"/>
            <w:vAlign w:val="bottom"/>
            <w:tcBorders>
              <w:top w:val="single" w:sz="8" w:color="424E6A"/>
              <w:bottom w:val="single" w:sz="8" w:color="424E6A"/>
            </w:tcBorders>
          </w:tcPr>
          <w:p>
            <w:pPr>
              <w:spacing w:after="0"/>
              <w:rPr>
                <w:sz w:val="21"/>
                <w:szCs w:val="21"/>
                <w:color w:val="auto"/>
              </w:rPr>
            </w:pPr>
          </w:p>
        </w:tc>
        <w:tc>
          <w:tcPr>
            <w:tcW w:w="220" w:type="dxa"/>
            <w:vAlign w:val="bottom"/>
            <w:tcBorders>
              <w:top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24E6A"/>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424E6A"/>
              <w:bottom w:val="single" w:sz="8" w:color="424E6A"/>
            </w:tcBorders>
          </w:tcPr>
          <w:p>
            <w:pPr>
              <w:jc w:val="right"/>
              <w:ind w:right="58"/>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24E6A"/>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bottom w:val="single" w:sz="8" w:color="424E6A"/>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9"/>
        </w:trPr>
        <w:tc>
          <w:tcPr>
            <w:tcW w:w="1280" w:type="dxa"/>
            <w:vAlign w:val="bottom"/>
            <w:tcBorders>
              <w:right w:val="single" w:sz="8" w:color="424E6A"/>
            </w:tcBorders>
          </w:tcPr>
          <w:p>
            <w:pPr>
              <w:spacing w:after="0"/>
              <w:rPr>
                <w:sz w:val="24"/>
                <w:szCs w:val="24"/>
                <w:color w:val="auto"/>
              </w:rPr>
            </w:pPr>
          </w:p>
        </w:tc>
        <w:tc>
          <w:tcPr>
            <w:tcW w:w="2020" w:type="dxa"/>
            <w:vAlign w:val="bottom"/>
            <w:tcBorders>
              <w:bottom w:val="single" w:sz="8" w:color="D9DCE1"/>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820" w:type="dxa"/>
            <w:vAlign w:val="bottom"/>
            <w:tcBorders>
              <w:bottom w:val="single" w:sz="8" w:color="D9DCE1"/>
              <w:right w:val="single" w:sz="8" w:color="424E6A"/>
            </w:tcBorders>
            <w:shd w:val="clear" w:color="auto" w:fill="D9DCE1"/>
          </w:tcPr>
          <w:p>
            <w:pPr>
              <w:ind w:left="7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gridSpan w:val="2"/>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40" w:type="dxa"/>
            <w:vAlign w:val="bottom"/>
            <w:tcBorders>
              <w:bottom w:val="single" w:sz="8" w:color="D9DCE1"/>
            </w:tcBorders>
            <w:shd w:val="clear" w:color="auto" w:fill="D9DCE1"/>
          </w:tcPr>
          <w:p>
            <w:pPr>
              <w:spacing w:after="0"/>
              <w:rPr>
                <w:sz w:val="24"/>
                <w:szCs w:val="24"/>
                <w:color w:val="auto"/>
              </w:rPr>
            </w:pPr>
          </w:p>
        </w:tc>
        <w:tc>
          <w:tcPr>
            <w:tcW w:w="22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80" w:type="dxa"/>
            <w:vAlign w:val="bottom"/>
            <w:tcBorders>
              <w:right w:val="single" w:sz="8" w:color="424E6A"/>
            </w:tcBorders>
          </w:tcPr>
          <w:p>
            <w:pPr>
              <w:spacing w:after="0"/>
              <w:rPr>
                <w:sz w:val="15"/>
                <w:szCs w:val="15"/>
                <w:color w:val="auto"/>
              </w:rPr>
            </w:pPr>
          </w:p>
        </w:tc>
        <w:tc>
          <w:tcPr>
            <w:tcW w:w="2020" w:type="dxa"/>
            <w:vAlign w:val="bottom"/>
            <w:tcBorders>
              <w:top w:val="single" w:sz="8" w:color="424E6A"/>
            </w:tcBorders>
          </w:tcPr>
          <w:p>
            <w:pPr>
              <w:ind w:left="40"/>
              <w:spacing w:after="0" w:line="182" w:lineRule="exact"/>
              <w:rPr>
                <w:sz w:val="20"/>
                <w:szCs w:val="20"/>
                <w:color w:val="auto"/>
              </w:rPr>
            </w:pPr>
            <w:r>
              <w:rPr>
                <w:rFonts w:ascii="Arial" w:cs="Arial" w:eastAsia="Arial" w:hAnsi="Arial"/>
                <w:sz w:val="18"/>
                <w:szCs w:val="18"/>
                <w:color w:val="auto"/>
              </w:rPr>
              <w:t>Al Swanson</w:t>
            </w:r>
          </w:p>
        </w:tc>
        <w:tc>
          <w:tcPr>
            <w:tcW w:w="820" w:type="dxa"/>
            <w:vAlign w:val="bottom"/>
            <w:tcBorders>
              <w:top w:val="single" w:sz="8" w:color="424E6A"/>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24E6A"/>
            </w:tcBorders>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424E6A"/>
            </w:tcBorders>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424E6A"/>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40" w:type="dxa"/>
            <w:vAlign w:val="bottom"/>
            <w:tcBorders>
              <w:top w:val="single" w:sz="8" w:color="424E6A"/>
            </w:tcBorders>
          </w:tcPr>
          <w:p>
            <w:pPr>
              <w:spacing w:after="0"/>
              <w:rPr>
                <w:sz w:val="15"/>
                <w:szCs w:val="15"/>
                <w:color w:val="auto"/>
              </w:rPr>
            </w:pPr>
          </w:p>
        </w:tc>
        <w:tc>
          <w:tcPr>
            <w:tcW w:w="22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tcBorders>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24E6A"/>
            </w:tcBorders>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424E6A"/>
            </w:tcBorders>
          </w:tcPr>
          <w:p>
            <w:pPr>
              <w:jc w:val="right"/>
              <w:spacing w:after="0" w:line="183" w:lineRule="exact"/>
              <w:rPr>
                <w:sz w:val="20"/>
                <w:szCs w:val="20"/>
                <w:color w:val="auto"/>
              </w:rPr>
            </w:pPr>
            <w:r>
              <w:rPr>
                <w:rFonts w:ascii="Arial" w:cs="Arial" w:eastAsia="Arial" w:hAnsi="Arial"/>
                <w:sz w:val="17"/>
                <w:szCs w:val="17"/>
                <w:color w:val="auto"/>
              </w:rPr>
              <w:t>25,150</w:t>
            </w:r>
            <w:r>
              <w:rPr>
                <w:rFonts w:ascii="Arial" w:cs="Arial" w:eastAsia="Arial" w:hAnsi="Arial"/>
                <w:sz w:val="21"/>
                <w:szCs w:val="21"/>
                <w:color w:val="auto"/>
                <w:vertAlign w:val="superscript"/>
              </w:rPr>
              <w:t>(3)</w:t>
            </w:r>
          </w:p>
        </w:tc>
        <w:tc>
          <w:tcPr>
            <w:tcW w:w="24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24E6A"/>
            </w:tcBorders>
            <w:vMerge w:val="restart"/>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tcBorders>
          </w:tcPr>
          <w:p>
            <w:pPr>
              <w:jc w:val="right"/>
              <w:ind w:right="34"/>
              <w:spacing w:after="0" w:line="182" w:lineRule="exact"/>
              <w:rPr>
                <w:sz w:val="20"/>
                <w:szCs w:val="20"/>
                <w:color w:val="auto"/>
              </w:rPr>
            </w:pPr>
            <w:r>
              <w:rPr>
                <w:rFonts w:ascii="Arial" w:cs="Arial" w:eastAsia="Arial" w:hAnsi="Arial"/>
                <w:sz w:val="18"/>
                <w:szCs w:val="18"/>
                <w:color w:val="auto"/>
              </w:rPr>
              <w:t>295,764</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80" w:type="dxa"/>
            <w:vAlign w:val="bottom"/>
            <w:tcBorders>
              <w:right w:val="single" w:sz="8" w:color="424E6A"/>
            </w:tcBorders>
          </w:tcPr>
          <w:p>
            <w:pPr>
              <w:spacing w:after="0"/>
              <w:rPr>
                <w:sz w:val="5"/>
                <w:szCs w:val="5"/>
                <w:color w:val="auto"/>
              </w:rPr>
            </w:pPr>
          </w:p>
        </w:tc>
        <w:tc>
          <w:tcPr>
            <w:tcW w:w="2020" w:type="dxa"/>
            <w:vAlign w:val="bottom"/>
            <w:tcBorders>
              <w:bottom w:val="single" w:sz="8" w:color="424E6A"/>
            </w:tcBorders>
          </w:tcPr>
          <w:p>
            <w:pPr>
              <w:ind w:left="20"/>
              <w:spacing w:after="0" w:line="68" w:lineRule="exact"/>
              <w:rPr>
                <w:sz w:val="20"/>
                <w:szCs w:val="20"/>
                <w:color w:val="auto"/>
              </w:rPr>
            </w:pPr>
            <w:r>
              <w:rPr>
                <w:rFonts w:ascii="Arial" w:cs="Arial" w:eastAsia="Arial" w:hAnsi="Arial"/>
                <w:sz w:val="7"/>
                <w:szCs w:val="7"/>
                <w:color w:val="auto"/>
              </w:rPr>
              <w:t>​</w:t>
            </w: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40" w:type="dxa"/>
            <w:vAlign w:val="bottom"/>
            <w:tcBorders>
              <w:bottom w:val="single" w:sz="8" w:color="424E6A"/>
            </w:tcBorders>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280" w:type="dxa"/>
            <w:vAlign w:val="bottom"/>
            <w:tcBorders>
              <w:right w:val="single" w:sz="8" w:color="424E6A"/>
            </w:tcBorders>
          </w:tcPr>
          <w:p>
            <w:pPr>
              <w:spacing w:after="0"/>
              <w:rPr>
                <w:sz w:val="21"/>
                <w:szCs w:val="21"/>
                <w:color w:val="auto"/>
              </w:rPr>
            </w:pPr>
          </w:p>
        </w:tc>
        <w:tc>
          <w:tcPr>
            <w:tcW w:w="202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75,190</w:t>
            </w:r>
            <w:r>
              <w:rPr>
                <w:rFonts w:ascii="Arial" w:cs="Arial" w:eastAsia="Arial" w:hAnsi="Arial"/>
                <w:sz w:val="19"/>
                <w:szCs w:val="19"/>
                <w:color w:val="auto"/>
                <w:vertAlign w:val="superscript"/>
              </w:rPr>
              <w:t>(6)</w:t>
            </w:r>
          </w:p>
        </w:tc>
        <w:tc>
          <w:tcPr>
            <w:tcW w:w="240" w:type="dxa"/>
            <w:vAlign w:val="bottom"/>
            <w:tcBorders>
              <w:bottom w:val="single" w:sz="8" w:color="424E6A"/>
              <w:right w:val="single" w:sz="8" w:color="424E6A"/>
            </w:tcBorders>
            <w:gridSpan w:val="2"/>
          </w:tcPr>
          <w:p>
            <w:pPr>
              <w:spacing w:after="0"/>
              <w:rPr>
                <w:sz w:val="20"/>
                <w:szCs w:val="20"/>
                <w:color w:val="auto"/>
              </w:rPr>
            </w:pPr>
            <w:r>
              <w:rPr>
                <w:rFonts w:ascii="Arial" w:cs="Arial" w:eastAsia="Arial" w:hAnsi="Arial"/>
                <w:sz w:val="18"/>
                <w:szCs w:val="18"/>
                <w:color w:val="auto"/>
              </w:rPr>
              <w:t>​ ​</w:t>
            </w:r>
          </w:p>
        </w:tc>
        <w:tc>
          <w:tcPr>
            <w:tcW w:w="40" w:type="dxa"/>
            <w:vAlign w:val="bottom"/>
            <w:tcBorders>
              <w:bottom w:val="single" w:sz="8" w:color="424E6A"/>
            </w:tcBorders>
          </w:tcPr>
          <w:p>
            <w:pPr>
              <w:spacing w:after="0"/>
              <w:rPr>
                <w:sz w:val="21"/>
                <w:szCs w:val="21"/>
                <w:color w:val="auto"/>
              </w:rPr>
            </w:pPr>
          </w:p>
        </w:tc>
        <w:tc>
          <w:tcPr>
            <w:tcW w:w="22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884,234</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75,190</w:t>
            </w:r>
            <w:r>
              <w:rPr>
                <w:rFonts w:ascii="Arial" w:cs="Arial" w:eastAsia="Arial" w:hAnsi="Arial"/>
                <w:sz w:val="19"/>
                <w:szCs w:val="19"/>
                <w:color w:val="auto"/>
                <w:vertAlign w:val="superscript"/>
              </w:rPr>
              <w:t>(7)</w:t>
            </w:r>
          </w:p>
        </w:tc>
        <w:tc>
          <w:tcPr>
            <w:tcW w:w="2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884,234</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80" w:type="dxa"/>
            <w:vAlign w:val="bottom"/>
            <w:tcBorders>
              <w:right w:val="single" w:sz="8" w:color="424E6A"/>
            </w:tcBorders>
          </w:tcPr>
          <w:p>
            <w:pPr>
              <w:spacing w:after="0"/>
              <w:rPr>
                <w:sz w:val="21"/>
                <w:szCs w:val="21"/>
                <w:color w:val="auto"/>
              </w:rPr>
            </w:pPr>
          </w:p>
        </w:tc>
        <w:tc>
          <w:tcPr>
            <w:tcW w:w="202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60,100</w:t>
            </w:r>
            <w:r>
              <w:rPr>
                <w:rFonts w:ascii="Arial" w:cs="Arial" w:eastAsia="Arial" w:hAnsi="Arial"/>
                <w:sz w:val="19"/>
                <w:szCs w:val="19"/>
                <w:color w:val="auto"/>
                <w:vertAlign w:val="superscript"/>
              </w:rPr>
              <w:t>(8)</w:t>
            </w:r>
          </w:p>
        </w:tc>
        <w:tc>
          <w:tcPr>
            <w:tcW w:w="240" w:type="dxa"/>
            <w:vAlign w:val="bottom"/>
            <w:tcBorders>
              <w:bottom w:val="single" w:sz="8" w:color="424E6A"/>
              <w:right w:val="single" w:sz="8" w:color="424E6A"/>
            </w:tcBorders>
            <w:gridSpan w:val="2"/>
          </w:tcPr>
          <w:p>
            <w:pPr>
              <w:spacing w:after="0"/>
              <w:rPr>
                <w:sz w:val="20"/>
                <w:szCs w:val="20"/>
                <w:color w:val="auto"/>
              </w:rPr>
            </w:pPr>
            <w:r>
              <w:rPr>
                <w:rFonts w:ascii="Arial" w:cs="Arial" w:eastAsia="Arial" w:hAnsi="Arial"/>
                <w:sz w:val="18"/>
                <w:szCs w:val="18"/>
                <w:color w:val="auto"/>
              </w:rPr>
              <w:t>​ ​</w:t>
            </w:r>
          </w:p>
        </w:tc>
        <w:tc>
          <w:tcPr>
            <w:tcW w:w="40" w:type="dxa"/>
            <w:vAlign w:val="bottom"/>
            <w:tcBorders>
              <w:bottom w:val="single" w:sz="8" w:color="424E6A"/>
            </w:tcBorders>
          </w:tcPr>
          <w:p>
            <w:pPr>
              <w:spacing w:after="0"/>
              <w:rPr>
                <w:sz w:val="21"/>
                <w:szCs w:val="21"/>
                <w:color w:val="auto"/>
              </w:rPr>
            </w:pPr>
          </w:p>
        </w:tc>
        <w:tc>
          <w:tcPr>
            <w:tcW w:w="22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706,776</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60,100</w:t>
            </w:r>
            <w:r>
              <w:rPr>
                <w:rFonts w:ascii="Arial" w:cs="Arial" w:eastAsia="Arial" w:hAnsi="Arial"/>
                <w:sz w:val="19"/>
                <w:szCs w:val="19"/>
                <w:color w:val="auto"/>
                <w:vertAlign w:val="superscript"/>
              </w:rPr>
              <w:t>(9)</w:t>
            </w:r>
          </w:p>
        </w:tc>
        <w:tc>
          <w:tcPr>
            <w:tcW w:w="2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706,776</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80" w:type="dxa"/>
            <w:vAlign w:val="bottom"/>
            <w:tcBorders>
              <w:right w:val="single" w:sz="8" w:color="424E6A"/>
            </w:tcBorders>
          </w:tcPr>
          <w:p>
            <w:pPr>
              <w:spacing w:after="0"/>
              <w:rPr>
                <w:sz w:val="21"/>
                <w:szCs w:val="21"/>
                <w:color w:val="auto"/>
              </w:rPr>
            </w:pPr>
          </w:p>
        </w:tc>
        <w:tc>
          <w:tcPr>
            <w:tcW w:w="202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424E6A"/>
              <w:right w:val="single" w:sz="8" w:color="424E6A"/>
            </w:tcBorders>
            <w:gridSpan w:val="4"/>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69,300</w:t>
            </w:r>
            <w:r>
              <w:rPr>
                <w:rFonts w:ascii="Arial" w:cs="Arial" w:eastAsia="Arial" w:hAnsi="Arial"/>
                <w:sz w:val="19"/>
                <w:szCs w:val="19"/>
                <w:color w:val="auto"/>
                <w:vertAlign w:val="superscript"/>
              </w:rPr>
              <w:t>(10)</w:t>
            </w:r>
            <w:r>
              <w:rPr>
                <w:rFonts w:ascii="Arial" w:cs="Arial" w:eastAsia="Arial" w:hAnsi="Arial"/>
                <w:sz w:val="28"/>
                <w:szCs w:val="28"/>
                <w:color w:val="auto"/>
                <w:vertAlign w:val="subscript"/>
              </w:rPr>
              <w:t>​ ​</w:t>
            </w:r>
          </w:p>
        </w:tc>
        <w:tc>
          <w:tcPr>
            <w:tcW w:w="40" w:type="dxa"/>
            <w:vAlign w:val="bottom"/>
            <w:tcBorders>
              <w:bottom w:val="single" w:sz="8" w:color="424E6A"/>
            </w:tcBorders>
          </w:tcPr>
          <w:p>
            <w:pPr>
              <w:spacing w:after="0"/>
              <w:rPr>
                <w:sz w:val="21"/>
                <w:szCs w:val="21"/>
                <w:color w:val="auto"/>
              </w:rPr>
            </w:pPr>
          </w:p>
        </w:tc>
        <w:tc>
          <w:tcPr>
            <w:tcW w:w="22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814,968</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24E6A"/>
              <w:right w:val="single" w:sz="8" w:color="424E6A"/>
            </w:tcBorders>
            <w:gridSpan w:val="3"/>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69,300</w:t>
            </w:r>
            <w:r>
              <w:rPr>
                <w:rFonts w:ascii="Arial" w:cs="Arial" w:eastAsia="Arial" w:hAnsi="Arial"/>
                <w:sz w:val="19"/>
                <w:szCs w:val="19"/>
                <w:color w:val="auto"/>
                <w:vertAlign w:val="superscript"/>
              </w:rPr>
              <w:t>(11)</w:t>
            </w:r>
            <w:r>
              <w:rPr>
                <w:rFonts w:ascii="Arial" w:cs="Arial" w:eastAsia="Arial" w:hAnsi="Arial"/>
                <w:sz w:val="28"/>
                <w:szCs w:val="28"/>
                <w:color w:val="auto"/>
                <w:vertAlign w:val="subscript"/>
              </w:rPr>
              <w:t>​ ​</w:t>
            </w:r>
          </w:p>
        </w:tc>
        <w:tc>
          <w:tcPr>
            <w:tcW w:w="1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814,968</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9"/>
        </w:trPr>
        <w:tc>
          <w:tcPr>
            <w:tcW w:w="1280" w:type="dxa"/>
            <w:vAlign w:val="bottom"/>
            <w:tcBorders>
              <w:right w:val="single" w:sz="8" w:color="424E6A"/>
            </w:tcBorders>
          </w:tcPr>
          <w:p>
            <w:pPr>
              <w:spacing w:after="0"/>
              <w:rPr>
                <w:sz w:val="24"/>
                <w:szCs w:val="24"/>
                <w:color w:val="auto"/>
              </w:rPr>
            </w:pPr>
          </w:p>
        </w:tc>
        <w:tc>
          <w:tcPr>
            <w:tcW w:w="2020" w:type="dxa"/>
            <w:vAlign w:val="bottom"/>
            <w:tcBorders>
              <w:bottom w:val="single" w:sz="8" w:color="D9DCE1"/>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820" w:type="dxa"/>
            <w:vAlign w:val="bottom"/>
            <w:tcBorders>
              <w:bottom w:val="single" w:sz="8" w:color="D9DCE1"/>
              <w:right w:val="single" w:sz="8" w:color="424E6A"/>
            </w:tcBorders>
            <w:shd w:val="clear" w:color="auto" w:fill="D9DCE1"/>
          </w:tcPr>
          <w:p>
            <w:pPr>
              <w:ind w:left="7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gridSpan w:val="2"/>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40" w:type="dxa"/>
            <w:vAlign w:val="bottom"/>
            <w:tcBorders>
              <w:bottom w:val="single" w:sz="8" w:color="D9DCE1"/>
            </w:tcBorders>
            <w:shd w:val="clear" w:color="auto" w:fill="D9DCE1"/>
          </w:tcPr>
          <w:p>
            <w:pPr>
              <w:spacing w:after="0"/>
              <w:rPr>
                <w:sz w:val="24"/>
                <w:szCs w:val="24"/>
                <w:color w:val="auto"/>
              </w:rPr>
            </w:pPr>
          </w:p>
        </w:tc>
        <w:tc>
          <w:tcPr>
            <w:tcW w:w="22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80" w:type="dxa"/>
            <w:vAlign w:val="bottom"/>
            <w:tcBorders>
              <w:right w:val="single" w:sz="8" w:color="424E6A"/>
            </w:tcBorders>
          </w:tcPr>
          <w:p>
            <w:pPr>
              <w:spacing w:after="0"/>
              <w:rPr>
                <w:sz w:val="15"/>
                <w:szCs w:val="15"/>
                <w:color w:val="auto"/>
              </w:rPr>
            </w:pPr>
          </w:p>
        </w:tc>
        <w:tc>
          <w:tcPr>
            <w:tcW w:w="2020" w:type="dxa"/>
            <w:vAlign w:val="bottom"/>
            <w:tcBorders>
              <w:top w:val="single" w:sz="8" w:color="424E6A"/>
            </w:tcBorders>
          </w:tcPr>
          <w:p>
            <w:pPr>
              <w:ind w:left="40"/>
              <w:spacing w:after="0" w:line="182" w:lineRule="exact"/>
              <w:rPr>
                <w:sz w:val="20"/>
                <w:szCs w:val="20"/>
                <w:color w:val="auto"/>
              </w:rPr>
            </w:pPr>
            <w:r>
              <w:rPr>
                <w:rFonts w:ascii="Arial" w:cs="Arial" w:eastAsia="Arial" w:hAnsi="Arial"/>
                <w:sz w:val="18"/>
                <w:szCs w:val="18"/>
                <w:color w:val="auto"/>
              </w:rPr>
              <w:t>Richard McGee</w:t>
            </w:r>
          </w:p>
        </w:tc>
        <w:tc>
          <w:tcPr>
            <w:tcW w:w="820" w:type="dxa"/>
            <w:vAlign w:val="bottom"/>
            <w:tcBorders>
              <w:top w:val="single" w:sz="8" w:color="424E6A"/>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24E6A"/>
            </w:tcBorders>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424E6A"/>
            </w:tcBorders>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424E6A"/>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40" w:type="dxa"/>
            <w:vAlign w:val="bottom"/>
            <w:tcBorders>
              <w:top w:val="single" w:sz="8" w:color="424E6A"/>
            </w:tcBorders>
          </w:tcPr>
          <w:p>
            <w:pPr>
              <w:spacing w:after="0"/>
              <w:rPr>
                <w:sz w:val="15"/>
                <w:szCs w:val="15"/>
                <w:color w:val="auto"/>
              </w:rPr>
            </w:pPr>
          </w:p>
        </w:tc>
        <w:tc>
          <w:tcPr>
            <w:tcW w:w="22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tcBorders>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24E6A"/>
            </w:tcBorders>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424E6A"/>
            </w:tcBorders>
          </w:tcPr>
          <w:p>
            <w:pPr>
              <w:jc w:val="right"/>
              <w:spacing w:after="0" w:line="183" w:lineRule="exact"/>
              <w:rPr>
                <w:sz w:val="20"/>
                <w:szCs w:val="20"/>
                <w:color w:val="auto"/>
              </w:rPr>
            </w:pPr>
            <w:r>
              <w:rPr>
                <w:rFonts w:ascii="Arial" w:cs="Arial" w:eastAsia="Arial" w:hAnsi="Arial"/>
                <w:sz w:val="17"/>
                <w:szCs w:val="17"/>
                <w:color w:val="auto"/>
              </w:rPr>
              <w:t>25,150</w:t>
            </w:r>
            <w:r>
              <w:rPr>
                <w:rFonts w:ascii="Arial" w:cs="Arial" w:eastAsia="Arial" w:hAnsi="Arial"/>
                <w:sz w:val="21"/>
                <w:szCs w:val="21"/>
                <w:color w:val="auto"/>
                <w:vertAlign w:val="superscript"/>
              </w:rPr>
              <w:t>(3)</w:t>
            </w:r>
          </w:p>
        </w:tc>
        <w:tc>
          <w:tcPr>
            <w:tcW w:w="24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24E6A"/>
            </w:tcBorders>
            <w:vMerge w:val="restart"/>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tcBorders>
          </w:tcPr>
          <w:p>
            <w:pPr>
              <w:jc w:val="right"/>
              <w:ind w:right="34"/>
              <w:spacing w:after="0" w:line="182" w:lineRule="exact"/>
              <w:rPr>
                <w:sz w:val="20"/>
                <w:szCs w:val="20"/>
                <w:color w:val="auto"/>
              </w:rPr>
            </w:pPr>
            <w:r>
              <w:rPr>
                <w:rFonts w:ascii="Arial" w:cs="Arial" w:eastAsia="Arial" w:hAnsi="Arial"/>
                <w:sz w:val="18"/>
                <w:szCs w:val="18"/>
                <w:color w:val="auto"/>
              </w:rPr>
              <w:t>295,764</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80" w:type="dxa"/>
            <w:vAlign w:val="bottom"/>
            <w:tcBorders>
              <w:right w:val="single" w:sz="8" w:color="424E6A"/>
            </w:tcBorders>
          </w:tcPr>
          <w:p>
            <w:pPr>
              <w:spacing w:after="0"/>
              <w:rPr>
                <w:sz w:val="5"/>
                <w:szCs w:val="5"/>
                <w:color w:val="auto"/>
              </w:rPr>
            </w:pPr>
          </w:p>
        </w:tc>
        <w:tc>
          <w:tcPr>
            <w:tcW w:w="2020" w:type="dxa"/>
            <w:vAlign w:val="bottom"/>
            <w:tcBorders>
              <w:bottom w:val="single" w:sz="8" w:color="424E6A"/>
            </w:tcBorders>
          </w:tcPr>
          <w:p>
            <w:pPr>
              <w:ind w:left="20"/>
              <w:spacing w:after="0" w:line="68" w:lineRule="exact"/>
              <w:rPr>
                <w:sz w:val="20"/>
                <w:szCs w:val="20"/>
                <w:color w:val="auto"/>
              </w:rPr>
            </w:pPr>
            <w:r>
              <w:rPr>
                <w:rFonts w:ascii="Arial" w:cs="Arial" w:eastAsia="Arial" w:hAnsi="Arial"/>
                <w:sz w:val="7"/>
                <w:szCs w:val="7"/>
                <w:color w:val="auto"/>
              </w:rPr>
              <w:t>​</w:t>
            </w: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40" w:type="dxa"/>
            <w:vAlign w:val="bottom"/>
            <w:tcBorders>
              <w:bottom w:val="single" w:sz="8" w:color="424E6A"/>
            </w:tcBorders>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280" w:type="dxa"/>
            <w:vAlign w:val="bottom"/>
            <w:tcBorders>
              <w:right w:val="single" w:sz="8" w:color="424E6A"/>
            </w:tcBorders>
          </w:tcPr>
          <w:p>
            <w:pPr>
              <w:spacing w:after="0"/>
              <w:rPr>
                <w:sz w:val="21"/>
                <w:szCs w:val="21"/>
                <w:color w:val="auto"/>
              </w:rPr>
            </w:pPr>
          </w:p>
        </w:tc>
        <w:tc>
          <w:tcPr>
            <w:tcW w:w="202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75,190</w:t>
            </w:r>
            <w:r>
              <w:rPr>
                <w:rFonts w:ascii="Arial" w:cs="Arial" w:eastAsia="Arial" w:hAnsi="Arial"/>
                <w:sz w:val="19"/>
                <w:szCs w:val="19"/>
                <w:color w:val="auto"/>
                <w:vertAlign w:val="superscript"/>
              </w:rPr>
              <w:t>(6)</w:t>
            </w:r>
          </w:p>
        </w:tc>
        <w:tc>
          <w:tcPr>
            <w:tcW w:w="240" w:type="dxa"/>
            <w:vAlign w:val="bottom"/>
            <w:tcBorders>
              <w:bottom w:val="single" w:sz="8" w:color="424E6A"/>
              <w:right w:val="single" w:sz="8" w:color="424E6A"/>
            </w:tcBorders>
            <w:gridSpan w:val="2"/>
          </w:tcPr>
          <w:p>
            <w:pPr>
              <w:spacing w:after="0"/>
              <w:rPr>
                <w:sz w:val="20"/>
                <w:szCs w:val="20"/>
                <w:color w:val="auto"/>
              </w:rPr>
            </w:pPr>
            <w:r>
              <w:rPr>
                <w:rFonts w:ascii="Arial" w:cs="Arial" w:eastAsia="Arial" w:hAnsi="Arial"/>
                <w:sz w:val="18"/>
                <w:szCs w:val="18"/>
                <w:color w:val="auto"/>
              </w:rPr>
              <w:t>​ ​</w:t>
            </w:r>
          </w:p>
        </w:tc>
        <w:tc>
          <w:tcPr>
            <w:tcW w:w="40" w:type="dxa"/>
            <w:vAlign w:val="bottom"/>
            <w:tcBorders>
              <w:bottom w:val="single" w:sz="8" w:color="424E6A"/>
            </w:tcBorders>
          </w:tcPr>
          <w:p>
            <w:pPr>
              <w:spacing w:after="0"/>
              <w:rPr>
                <w:sz w:val="21"/>
                <w:szCs w:val="21"/>
                <w:color w:val="auto"/>
              </w:rPr>
            </w:pPr>
          </w:p>
        </w:tc>
        <w:tc>
          <w:tcPr>
            <w:tcW w:w="22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884,234</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75,190</w:t>
            </w:r>
            <w:r>
              <w:rPr>
                <w:rFonts w:ascii="Arial" w:cs="Arial" w:eastAsia="Arial" w:hAnsi="Arial"/>
                <w:sz w:val="19"/>
                <w:szCs w:val="19"/>
                <w:color w:val="auto"/>
                <w:vertAlign w:val="superscript"/>
              </w:rPr>
              <w:t>(7)</w:t>
            </w:r>
          </w:p>
        </w:tc>
        <w:tc>
          <w:tcPr>
            <w:tcW w:w="2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884,234</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80" w:type="dxa"/>
            <w:vAlign w:val="bottom"/>
            <w:tcBorders>
              <w:right w:val="single" w:sz="8" w:color="424E6A"/>
            </w:tcBorders>
          </w:tcPr>
          <w:p>
            <w:pPr>
              <w:spacing w:after="0"/>
              <w:rPr>
                <w:sz w:val="21"/>
                <w:szCs w:val="21"/>
                <w:color w:val="auto"/>
              </w:rPr>
            </w:pPr>
          </w:p>
        </w:tc>
        <w:tc>
          <w:tcPr>
            <w:tcW w:w="202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60,100</w:t>
            </w:r>
            <w:r>
              <w:rPr>
                <w:rFonts w:ascii="Arial" w:cs="Arial" w:eastAsia="Arial" w:hAnsi="Arial"/>
                <w:sz w:val="19"/>
                <w:szCs w:val="19"/>
                <w:color w:val="auto"/>
                <w:vertAlign w:val="superscript"/>
              </w:rPr>
              <w:t>(8)</w:t>
            </w:r>
          </w:p>
        </w:tc>
        <w:tc>
          <w:tcPr>
            <w:tcW w:w="240" w:type="dxa"/>
            <w:vAlign w:val="bottom"/>
            <w:tcBorders>
              <w:bottom w:val="single" w:sz="8" w:color="424E6A"/>
              <w:right w:val="single" w:sz="8" w:color="424E6A"/>
            </w:tcBorders>
            <w:gridSpan w:val="2"/>
          </w:tcPr>
          <w:p>
            <w:pPr>
              <w:spacing w:after="0"/>
              <w:rPr>
                <w:sz w:val="20"/>
                <w:szCs w:val="20"/>
                <w:color w:val="auto"/>
              </w:rPr>
            </w:pPr>
            <w:r>
              <w:rPr>
                <w:rFonts w:ascii="Arial" w:cs="Arial" w:eastAsia="Arial" w:hAnsi="Arial"/>
                <w:sz w:val="18"/>
                <w:szCs w:val="18"/>
                <w:color w:val="auto"/>
              </w:rPr>
              <w:t>​ ​</w:t>
            </w:r>
          </w:p>
        </w:tc>
        <w:tc>
          <w:tcPr>
            <w:tcW w:w="40" w:type="dxa"/>
            <w:vAlign w:val="bottom"/>
            <w:tcBorders>
              <w:bottom w:val="single" w:sz="8" w:color="424E6A"/>
            </w:tcBorders>
          </w:tcPr>
          <w:p>
            <w:pPr>
              <w:spacing w:after="0"/>
              <w:rPr>
                <w:sz w:val="21"/>
                <w:szCs w:val="21"/>
                <w:color w:val="auto"/>
              </w:rPr>
            </w:pPr>
          </w:p>
        </w:tc>
        <w:tc>
          <w:tcPr>
            <w:tcW w:w="22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706,776</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60,100</w:t>
            </w:r>
            <w:r>
              <w:rPr>
                <w:rFonts w:ascii="Arial" w:cs="Arial" w:eastAsia="Arial" w:hAnsi="Arial"/>
                <w:sz w:val="19"/>
                <w:szCs w:val="19"/>
                <w:color w:val="auto"/>
                <w:vertAlign w:val="superscript"/>
              </w:rPr>
              <w:t>(9)</w:t>
            </w:r>
          </w:p>
        </w:tc>
        <w:tc>
          <w:tcPr>
            <w:tcW w:w="2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706,776</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80" w:type="dxa"/>
            <w:vAlign w:val="bottom"/>
            <w:tcBorders>
              <w:right w:val="single" w:sz="8" w:color="424E6A"/>
            </w:tcBorders>
          </w:tcPr>
          <w:p>
            <w:pPr>
              <w:spacing w:after="0"/>
              <w:rPr>
                <w:sz w:val="21"/>
                <w:szCs w:val="21"/>
                <w:color w:val="auto"/>
              </w:rPr>
            </w:pPr>
          </w:p>
        </w:tc>
        <w:tc>
          <w:tcPr>
            <w:tcW w:w="202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424E6A"/>
              <w:right w:val="single" w:sz="8" w:color="424E6A"/>
            </w:tcBorders>
            <w:gridSpan w:val="4"/>
          </w:tcPr>
          <w:p>
            <w:pPr>
              <w:ind w:left="180"/>
              <w:spacing w:after="0" w:line="250" w:lineRule="exact"/>
              <w:rPr>
                <w:sz w:val="20"/>
                <w:szCs w:val="20"/>
                <w:color w:val="auto"/>
              </w:rPr>
            </w:pPr>
            <w:r>
              <w:rPr>
                <w:rFonts w:ascii="Arial" w:cs="Arial" w:eastAsia="Arial" w:hAnsi="Arial"/>
                <w:sz w:val="18"/>
                <w:szCs w:val="18"/>
                <w:color w:val="auto"/>
              </w:rPr>
              <w:t>​ 69,300</w:t>
            </w:r>
            <w:r>
              <w:rPr>
                <w:rFonts w:ascii="Arial" w:cs="Arial" w:eastAsia="Arial" w:hAnsi="Arial"/>
                <w:sz w:val="23"/>
                <w:szCs w:val="23"/>
                <w:color w:val="auto"/>
                <w:vertAlign w:val="superscript"/>
              </w:rPr>
              <w:t>(10)</w:t>
            </w:r>
            <w:r>
              <w:rPr>
                <w:rFonts w:ascii="Arial" w:cs="Arial" w:eastAsia="Arial" w:hAnsi="Arial"/>
                <w:sz w:val="18"/>
                <w:szCs w:val="18"/>
                <w:color w:val="auto"/>
              </w:rPr>
              <w:t>​ ​</w:t>
            </w:r>
          </w:p>
        </w:tc>
        <w:tc>
          <w:tcPr>
            <w:tcW w:w="40" w:type="dxa"/>
            <w:vAlign w:val="bottom"/>
            <w:tcBorders>
              <w:bottom w:val="single" w:sz="8" w:color="424E6A"/>
            </w:tcBorders>
          </w:tcPr>
          <w:p>
            <w:pPr>
              <w:spacing w:after="0"/>
              <w:rPr>
                <w:sz w:val="21"/>
                <w:szCs w:val="21"/>
                <w:color w:val="auto"/>
              </w:rPr>
            </w:pPr>
          </w:p>
        </w:tc>
        <w:tc>
          <w:tcPr>
            <w:tcW w:w="22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814,968</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24E6A"/>
              <w:right w:val="single" w:sz="8" w:color="424E6A"/>
            </w:tcBorders>
            <w:gridSpan w:val="3"/>
          </w:tcPr>
          <w:p>
            <w:pPr>
              <w:ind w:left="160"/>
              <w:spacing w:after="0" w:line="250" w:lineRule="exact"/>
              <w:rPr>
                <w:sz w:val="20"/>
                <w:szCs w:val="20"/>
                <w:color w:val="auto"/>
              </w:rPr>
            </w:pPr>
            <w:r>
              <w:rPr>
                <w:rFonts w:ascii="Arial" w:cs="Arial" w:eastAsia="Arial" w:hAnsi="Arial"/>
                <w:sz w:val="18"/>
                <w:szCs w:val="18"/>
                <w:color w:val="auto"/>
              </w:rPr>
              <w:t>​ 69,300</w:t>
            </w:r>
            <w:r>
              <w:rPr>
                <w:rFonts w:ascii="Arial" w:cs="Arial" w:eastAsia="Arial" w:hAnsi="Arial"/>
                <w:sz w:val="23"/>
                <w:szCs w:val="23"/>
                <w:color w:val="auto"/>
                <w:vertAlign w:val="superscript"/>
              </w:rPr>
              <w:t>(11)</w:t>
            </w:r>
            <w:r>
              <w:rPr>
                <w:rFonts w:ascii="Arial" w:cs="Arial" w:eastAsia="Arial" w:hAnsi="Arial"/>
                <w:sz w:val="18"/>
                <w:szCs w:val="18"/>
                <w:color w:val="auto"/>
              </w:rPr>
              <w:t>​ ​</w:t>
            </w:r>
          </w:p>
        </w:tc>
        <w:tc>
          <w:tcPr>
            <w:tcW w:w="1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814,968</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9"/>
        </w:trPr>
        <w:tc>
          <w:tcPr>
            <w:tcW w:w="1280" w:type="dxa"/>
            <w:vAlign w:val="bottom"/>
            <w:tcBorders>
              <w:right w:val="single" w:sz="8" w:color="424E6A"/>
            </w:tcBorders>
          </w:tcPr>
          <w:p>
            <w:pPr>
              <w:spacing w:after="0"/>
              <w:rPr>
                <w:sz w:val="24"/>
                <w:szCs w:val="24"/>
                <w:color w:val="auto"/>
              </w:rPr>
            </w:pPr>
          </w:p>
        </w:tc>
        <w:tc>
          <w:tcPr>
            <w:tcW w:w="2020" w:type="dxa"/>
            <w:vAlign w:val="bottom"/>
            <w:tcBorders>
              <w:bottom w:val="single" w:sz="8" w:color="D9DCE1"/>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820" w:type="dxa"/>
            <w:vAlign w:val="bottom"/>
            <w:tcBorders>
              <w:bottom w:val="single" w:sz="8" w:color="D9DCE1"/>
              <w:right w:val="single" w:sz="8" w:color="424E6A"/>
            </w:tcBorders>
            <w:shd w:val="clear" w:color="auto" w:fill="D9DCE1"/>
          </w:tcPr>
          <w:p>
            <w:pPr>
              <w:ind w:left="7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gridSpan w:val="2"/>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40" w:type="dxa"/>
            <w:vAlign w:val="bottom"/>
            <w:tcBorders>
              <w:bottom w:val="single" w:sz="8" w:color="D9DCE1"/>
            </w:tcBorders>
            <w:shd w:val="clear" w:color="auto" w:fill="D9DCE1"/>
          </w:tcPr>
          <w:p>
            <w:pPr>
              <w:spacing w:after="0"/>
              <w:rPr>
                <w:sz w:val="24"/>
                <w:szCs w:val="24"/>
                <w:color w:val="auto"/>
              </w:rPr>
            </w:pPr>
          </w:p>
        </w:tc>
        <w:tc>
          <w:tcPr>
            <w:tcW w:w="22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280" w:type="dxa"/>
            <w:vAlign w:val="bottom"/>
            <w:tcBorders>
              <w:right w:val="single" w:sz="8" w:color="424E6A"/>
            </w:tcBorders>
          </w:tcPr>
          <w:p>
            <w:pPr>
              <w:spacing w:after="0"/>
              <w:rPr>
                <w:sz w:val="15"/>
                <w:szCs w:val="15"/>
                <w:color w:val="auto"/>
              </w:rPr>
            </w:pPr>
          </w:p>
        </w:tc>
        <w:tc>
          <w:tcPr>
            <w:tcW w:w="2020" w:type="dxa"/>
            <w:vAlign w:val="bottom"/>
            <w:tcBorders>
              <w:top w:val="single" w:sz="8" w:color="424E6A"/>
            </w:tcBorders>
          </w:tcPr>
          <w:p>
            <w:pPr>
              <w:ind w:left="40"/>
              <w:spacing w:after="0" w:line="182" w:lineRule="exact"/>
              <w:rPr>
                <w:sz w:val="20"/>
                <w:szCs w:val="20"/>
                <w:color w:val="auto"/>
              </w:rPr>
            </w:pPr>
            <w:r>
              <w:rPr>
                <w:rFonts w:ascii="Arial" w:cs="Arial" w:eastAsia="Arial" w:hAnsi="Arial"/>
                <w:sz w:val="18"/>
                <w:szCs w:val="18"/>
                <w:color w:val="auto"/>
              </w:rPr>
              <w:t>Chris Chandler</w:t>
            </w:r>
          </w:p>
        </w:tc>
        <w:tc>
          <w:tcPr>
            <w:tcW w:w="820" w:type="dxa"/>
            <w:vAlign w:val="bottom"/>
            <w:tcBorders>
              <w:top w:val="single" w:sz="8" w:color="424E6A"/>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24E6A"/>
            </w:tcBorders>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424E6A"/>
            </w:tcBorders>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424E6A"/>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40" w:type="dxa"/>
            <w:vAlign w:val="bottom"/>
            <w:tcBorders>
              <w:top w:val="single" w:sz="8" w:color="424E6A"/>
            </w:tcBorders>
          </w:tcPr>
          <w:p>
            <w:pPr>
              <w:spacing w:after="0"/>
              <w:rPr>
                <w:sz w:val="15"/>
                <w:szCs w:val="15"/>
                <w:color w:val="auto"/>
              </w:rPr>
            </w:pPr>
          </w:p>
        </w:tc>
        <w:tc>
          <w:tcPr>
            <w:tcW w:w="22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tcBorders>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24E6A"/>
            </w:tcBorders>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424E6A"/>
            </w:tcBorders>
          </w:tcPr>
          <w:p>
            <w:pPr>
              <w:jc w:val="right"/>
              <w:spacing w:after="0" w:line="183" w:lineRule="exact"/>
              <w:rPr>
                <w:sz w:val="20"/>
                <w:szCs w:val="20"/>
                <w:color w:val="auto"/>
              </w:rPr>
            </w:pPr>
            <w:r>
              <w:rPr>
                <w:rFonts w:ascii="Arial" w:cs="Arial" w:eastAsia="Arial" w:hAnsi="Arial"/>
                <w:sz w:val="17"/>
                <w:szCs w:val="17"/>
                <w:color w:val="auto"/>
              </w:rPr>
              <w:t>25,150</w:t>
            </w:r>
            <w:r>
              <w:rPr>
                <w:rFonts w:ascii="Arial" w:cs="Arial" w:eastAsia="Arial" w:hAnsi="Arial"/>
                <w:sz w:val="21"/>
                <w:szCs w:val="21"/>
                <w:color w:val="auto"/>
                <w:vertAlign w:val="superscript"/>
              </w:rPr>
              <w:t>(3)</w:t>
            </w:r>
          </w:p>
        </w:tc>
        <w:tc>
          <w:tcPr>
            <w:tcW w:w="24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24E6A"/>
            </w:tcBorders>
            <w:vMerge w:val="restart"/>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tcBorders>
          </w:tcPr>
          <w:p>
            <w:pPr>
              <w:jc w:val="right"/>
              <w:ind w:right="34"/>
              <w:spacing w:after="0" w:line="182" w:lineRule="exact"/>
              <w:rPr>
                <w:sz w:val="20"/>
                <w:szCs w:val="20"/>
                <w:color w:val="auto"/>
              </w:rPr>
            </w:pPr>
            <w:r>
              <w:rPr>
                <w:rFonts w:ascii="Arial" w:cs="Arial" w:eastAsia="Arial" w:hAnsi="Arial"/>
                <w:sz w:val="18"/>
                <w:szCs w:val="18"/>
                <w:color w:val="auto"/>
              </w:rPr>
              <w:t>295,764</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1280" w:type="dxa"/>
            <w:vAlign w:val="bottom"/>
            <w:tcBorders>
              <w:right w:val="single" w:sz="8" w:color="424E6A"/>
            </w:tcBorders>
          </w:tcPr>
          <w:p>
            <w:pPr>
              <w:spacing w:after="0"/>
              <w:rPr>
                <w:sz w:val="5"/>
                <w:szCs w:val="5"/>
                <w:color w:val="auto"/>
              </w:rPr>
            </w:pPr>
          </w:p>
        </w:tc>
        <w:tc>
          <w:tcPr>
            <w:tcW w:w="2020" w:type="dxa"/>
            <w:vAlign w:val="bottom"/>
            <w:tcBorders>
              <w:bottom w:val="single" w:sz="8" w:color="424E6A"/>
            </w:tcBorders>
          </w:tcPr>
          <w:p>
            <w:pPr>
              <w:ind w:left="20"/>
              <w:spacing w:after="0" w:line="68" w:lineRule="exact"/>
              <w:rPr>
                <w:sz w:val="20"/>
                <w:szCs w:val="20"/>
                <w:color w:val="auto"/>
              </w:rPr>
            </w:pPr>
            <w:r>
              <w:rPr>
                <w:rFonts w:ascii="Arial" w:cs="Arial" w:eastAsia="Arial" w:hAnsi="Arial"/>
                <w:sz w:val="7"/>
                <w:szCs w:val="7"/>
                <w:color w:val="auto"/>
              </w:rPr>
              <w:t>​</w:t>
            </w: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40" w:type="dxa"/>
            <w:vAlign w:val="bottom"/>
            <w:tcBorders>
              <w:bottom w:val="single" w:sz="8" w:color="424E6A"/>
            </w:tcBorders>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280" w:type="dxa"/>
            <w:vAlign w:val="bottom"/>
            <w:tcBorders>
              <w:right w:val="single" w:sz="8" w:color="424E6A"/>
            </w:tcBorders>
          </w:tcPr>
          <w:p>
            <w:pPr>
              <w:spacing w:after="0"/>
              <w:rPr>
                <w:sz w:val="15"/>
                <w:szCs w:val="15"/>
                <w:color w:val="auto"/>
              </w:rPr>
            </w:pPr>
          </w:p>
        </w:tc>
        <w:tc>
          <w:tcPr>
            <w:tcW w:w="20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250,000</w:t>
            </w:r>
            <w:r>
              <w:rPr>
                <w:rFonts w:ascii="Arial" w:cs="Arial" w:eastAsia="Arial" w:hAnsi="Arial"/>
                <w:sz w:val="21"/>
                <w:szCs w:val="21"/>
                <w:color w:val="auto"/>
                <w:vertAlign w:val="superscript"/>
              </w:rPr>
              <w:t>(4)</w:t>
            </w:r>
          </w:p>
        </w:tc>
        <w:tc>
          <w:tcPr>
            <w:tcW w:w="240" w:type="dxa"/>
            <w:vAlign w:val="bottom"/>
            <w:tcBorders>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5"/>
                <w:szCs w:val="15"/>
                <w:color w:val="auto"/>
              </w:rPr>
            </w:pP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2,940,000</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250,000</w:t>
            </w:r>
            <w:r>
              <w:rPr>
                <w:rFonts w:ascii="Arial" w:cs="Arial" w:eastAsia="Arial" w:hAnsi="Arial"/>
                <w:sz w:val="21"/>
                <w:szCs w:val="21"/>
                <w:color w:val="auto"/>
                <w:vertAlign w:val="superscript"/>
              </w:rPr>
              <w:t>(4)</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
              <w:spacing w:after="0" w:line="182" w:lineRule="exact"/>
              <w:rPr>
                <w:sz w:val="20"/>
                <w:szCs w:val="20"/>
                <w:color w:val="auto"/>
              </w:rPr>
            </w:pPr>
            <w:r>
              <w:rPr>
                <w:rFonts w:ascii="Arial" w:cs="Arial" w:eastAsia="Arial" w:hAnsi="Arial"/>
                <w:sz w:val="18"/>
                <w:szCs w:val="18"/>
                <w:color w:val="auto"/>
              </w:rPr>
              <w:t>2,940,000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1280" w:type="dxa"/>
            <w:vAlign w:val="bottom"/>
            <w:tcBorders>
              <w:right w:val="single" w:sz="8" w:color="424E6A"/>
            </w:tcBorders>
          </w:tcPr>
          <w:p>
            <w:pPr>
              <w:spacing w:after="0"/>
              <w:rPr>
                <w:sz w:val="5"/>
                <w:szCs w:val="5"/>
                <w:color w:val="auto"/>
              </w:rPr>
            </w:pPr>
          </w:p>
        </w:tc>
        <w:tc>
          <w:tcPr>
            <w:tcW w:w="2020" w:type="dxa"/>
            <w:vAlign w:val="bottom"/>
            <w:tcBorders>
              <w:bottom w:val="single" w:sz="8" w:color="424E6A"/>
            </w:tcBorders>
            <w:vMerge w:val="continue"/>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40" w:type="dxa"/>
            <w:vAlign w:val="bottom"/>
            <w:tcBorders>
              <w:bottom w:val="single" w:sz="8" w:color="424E6A"/>
            </w:tcBorders>
          </w:tcPr>
          <w:p>
            <w:pPr>
              <w:spacing w:after="0"/>
              <w:rPr>
                <w:sz w:val="5"/>
                <w:szCs w:val="5"/>
                <w:color w:val="auto"/>
              </w:rPr>
            </w:pPr>
          </w:p>
        </w:tc>
        <w:tc>
          <w:tcPr>
            <w:tcW w:w="220" w:type="dxa"/>
            <w:vAlign w:val="bottom"/>
            <w:tcBorders>
              <w:bottom w:val="single" w:sz="8" w:color="424E6A"/>
            </w:tcBorders>
          </w:tcPr>
          <w:p>
            <w:pPr>
              <w:ind w:left="6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280" w:type="dxa"/>
            <w:vAlign w:val="bottom"/>
            <w:tcBorders>
              <w:right w:val="single" w:sz="8" w:color="424E6A"/>
            </w:tcBorders>
          </w:tcPr>
          <w:p>
            <w:pPr>
              <w:spacing w:after="0"/>
              <w:rPr>
                <w:sz w:val="21"/>
                <w:szCs w:val="21"/>
                <w:color w:val="auto"/>
              </w:rPr>
            </w:pPr>
          </w:p>
        </w:tc>
        <w:tc>
          <w:tcPr>
            <w:tcW w:w="202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75,190</w:t>
            </w:r>
            <w:r>
              <w:rPr>
                <w:rFonts w:ascii="Arial" w:cs="Arial" w:eastAsia="Arial" w:hAnsi="Arial"/>
                <w:sz w:val="19"/>
                <w:szCs w:val="19"/>
                <w:color w:val="auto"/>
                <w:vertAlign w:val="superscript"/>
              </w:rPr>
              <w:t>(6)</w:t>
            </w:r>
          </w:p>
        </w:tc>
        <w:tc>
          <w:tcPr>
            <w:tcW w:w="240" w:type="dxa"/>
            <w:vAlign w:val="bottom"/>
            <w:tcBorders>
              <w:bottom w:val="single" w:sz="8" w:color="424E6A"/>
              <w:right w:val="single" w:sz="8" w:color="424E6A"/>
            </w:tcBorders>
            <w:gridSpan w:val="2"/>
          </w:tcPr>
          <w:p>
            <w:pPr>
              <w:spacing w:after="0"/>
              <w:rPr>
                <w:sz w:val="20"/>
                <w:szCs w:val="20"/>
                <w:color w:val="auto"/>
              </w:rPr>
            </w:pPr>
            <w:r>
              <w:rPr>
                <w:rFonts w:ascii="Arial" w:cs="Arial" w:eastAsia="Arial" w:hAnsi="Arial"/>
                <w:sz w:val="18"/>
                <w:szCs w:val="18"/>
                <w:color w:val="auto"/>
              </w:rPr>
              <w:t>​ ​</w:t>
            </w:r>
          </w:p>
        </w:tc>
        <w:tc>
          <w:tcPr>
            <w:tcW w:w="40" w:type="dxa"/>
            <w:vAlign w:val="bottom"/>
            <w:tcBorders>
              <w:bottom w:val="single" w:sz="8" w:color="424E6A"/>
            </w:tcBorders>
          </w:tcPr>
          <w:p>
            <w:pPr>
              <w:spacing w:after="0"/>
              <w:rPr>
                <w:sz w:val="21"/>
                <w:szCs w:val="21"/>
                <w:color w:val="auto"/>
              </w:rPr>
            </w:pPr>
          </w:p>
        </w:tc>
        <w:tc>
          <w:tcPr>
            <w:tcW w:w="22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884,234</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75,190</w:t>
            </w:r>
            <w:r>
              <w:rPr>
                <w:rFonts w:ascii="Arial" w:cs="Arial" w:eastAsia="Arial" w:hAnsi="Arial"/>
                <w:sz w:val="19"/>
                <w:szCs w:val="19"/>
                <w:color w:val="auto"/>
                <w:vertAlign w:val="superscript"/>
              </w:rPr>
              <w:t>(7)</w:t>
            </w:r>
          </w:p>
        </w:tc>
        <w:tc>
          <w:tcPr>
            <w:tcW w:w="2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884,234</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80" w:type="dxa"/>
            <w:vAlign w:val="bottom"/>
            <w:tcBorders>
              <w:right w:val="single" w:sz="8" w:color="424E6A"/>
            </w:tcBorders>
          </w:tcPr>
          <w:p>
            <w:pPr>
              <w:spacing w:after="0"/>
              <w:rPr>
                <w:sz w:val="21"/>
                <w:szCs w:val="21"/>
                <w:color w:val="auto"/>
              </w:rPr>
            </w:pPr>
          </w:p>
        </w:tc>
        <w:tc>
          <w:tcPr>
            <w:tcW w:w="202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60,100</w:t>
            </w:r>
            <w:r>
              <w:rPr>
                <w:rFonts w:ascii="Arial" w:cs="Arial" w:eastAsia="Arial" w:hAnsi="Arial"/>
                <w:sz w:val="19"/>
                <w:szCs w:val="19"/>
                <w:color w:val="auto"/>
                <w:vertAlign w:val="superscript"/>
              </w:rPr>
              <w:t>(8)</w:t>
            </w:r>
          </w:p>
        </w:tc>
        <w:tc>
          <w:tcPr>
            <w:tcW w:w="240" w:type="dxa"/>
            <w:vAlign w:val="bottom"/>
            <w:tcBorders>
              <w:bottom w:val="single" w:sz="8" w:color="424E6A"/>
              <w:right w:val="single" w:sz="8" w:color="424E6A"/>
            </w:tcBorders>
            <w:gridSpan w:val="2"/>
          </w:tcPr>
          <w:p>
            <w:pPr>
              <w:spacing w:after="0"/>
              <w:rPr>
                <w:sz w:val="20"/>
                <w:szCs w:val="20"/>
                <w:color w:val="auto"/>
              </w:rPr>
            </w:pPr>
            <w:r>
              <w:rPr>
                <w:rFonts w:ascii="Arial" w:cs="Arial" w:eastAsia="Arial" w:hAnsi="Arial"/>
                <w:sz w:val="18"/>
                <w:szCs w:val="18"/>
                <w:color w:val="auto"/>
              </w:rPr>
              <w:t>​ ​</w:t>
            </w:r>
          </w:p>
        </w:tc>
        <w:tc>
          <w:tcPr>
            <w:tcW w:w="40" w:type="dxa"/>
            <w:vAlign w:val="bottom"/>
            <w:tcBorders>
              <w:bottom w:val="single" w:sz="8" w:color="424E6A"/>
            </w:tcBorders>
          </w:tcPr>
          <w:p>
            <w:pPr>
              <w:spacing w:after="0"/>
              <w:rPr>
                <w:sz w:val="21"/>
                <w:szCs w:val="21"/>
                <w:color w:val="auto"/>
              </w:rPr>
            </w:pPr>
          </w:p>
        </w:tc>
        <w:tc>
          <w:tcPr>
            <w:tcW w:w="22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706,776</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60,100</w:t>
            </w:r>
            <w:r>
              <w:rPr>
                <w:rFonts w:ascii="Arial" w:cs="Arial" w:eastAsia="Arial" w:hAnsi="Arial"/>
                <w:sz w:val="19"/>
                <w:szCs w:val="19"/>
                <w:color w:val="auto"/>
                <w:vertAlign w:val="superscript"/>
              </w:rPr>
              <w:t>(9)</w:t>
            </w:r>
          </w:p>
        </w:tc>
        <w:tc>
          <w:tcPr>
            <w:tcW w:w="2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706,776</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280" w:type="dxa"/>
            <w:vAlign w:val="bottom"/>
            <w:tcBorders>
              <w:right w:val="single" w:sz="8" w:color="424E6A"/>
            </w:tcBorders>
          </w:tcPr>
          <w:p>
            <w:pPr>
              <w:spacing w:after="0"/>
              <w:rPr>
                <w:sz w:val="15"/>
                <w:szCs w:val="15"/>
                <w:color w:val="auto"/>
              </w:rPr>
            </w:pPr>
          </w:p>
        </w:tc>
        <w:tc>
          <w:tcPr>
            <w:tcW w:w="20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424E6A"/>
            </w:tcBorders>
            <w:gridSpan w:val="3"/>
          </w:tcPr>
          <w:p>
            <w:pPr>
              <w:jc w:val="right"/>
              <w:ind w:right="128"/>
              <w:spacing w:after="0" w:line="183" w:lineRule="exact"/>
              <w:rPr>
                <w:sz w:val="20"/>
                <w:szCs w:val="20"/>
                <w:color w:val="auto"/>
              </w:rPr>
            </w:pPr>
            <w:r>
              <w:rPr>
                <w:rFonts w:ascii="Arial" w:cs="Arial" w:eastAsia="Arial" w:hAnsi="Arial"/>
                <w:sz w:val="17"/>
                <w:szCs w:val="17"/>
                <w:color w:val="auto"/>
                <w:w w:val="98"/>
              </w:rPr>
              <w:t>89,350</w:t>
            </w:r>
            <w:r>
              <w:rPr>
                <w:rFonts w:ascii="Arial" w:cs="Arial" w:eastAsia="Arial" w:hAnsi="Arial"/>
                <w:sz w:val="21"/>
                <w:szCs w:val="21"/>
                <w:color w:val="auto"/>
                <w:w w:val="98"/>
                <w:vertAlign w:val="superscript"/>
              </w:rPr>
              <w:t>(10)</w:t>
            </w:r>
          </w:p>
        </w:tc>
        <w:tc>
          <w:tcPr>
            <w:tcW w:w="40" w:type="dxa"/>
            <w:vAlign w:val="bottom"/>
          </w:tcPr>
          <w:p>
            <w:pPr>
              <w:spacing w:after="0"/>
              <w:rPr>
                <w:sz w:val="15"/>
                <w:szCs w:val="15"/>
                <w:color w:val="auto"/>
              </w:rPr>
            </w:pP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1,050,756</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424E6A"/>
            </w:tcBorders>
            <w:gridSpan w:val="2"/>
          </w:tcPr>
          <w:p>
            <w:pPr>
              <w:jc w:val="right"/>
              <w:ind w:right="100"/>
              <w:spacing w:after="0" w:line="183" w:lineRule="exact"/>
              <w:rPr>
                <w:sz w:val="20"/>
                <w:szCs w:val="20"/>
                <w:color w:val="auto"/>
              </w:rPr>
            </w:pPr>
            <w:r>
              <w:rPr>
                <w:rFonts w:ascii="Arial" w:cs="Arial" w:eastAsia="Arial" w:hAnsi="Arial"/>
                <w:sz w:val="17"/>
                <w:szCs w:val="17"/>
                <w:color w:val="auto"/>
              </w:rPr>
              <w:t>89,350</w:t>
            </w:r>
            <w:r>
              <w:rPr>
                <w:rFonts w:ascii="Arial" w:cs="Arial" w:eastAsia="Arial" w:hAnsi="Arial"/>
                <w:sz w:val="21"/>
                <w:szCs w:val="21"/>
                <w:color w:val="auto"/>
                <w:vertAlign w:val="superscript"/>
              </w:rPr>
              <w:t>(11)</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
              <w:spacing w:after="0" w:line="182" w:lineRule="exact"/>
              <w:rPr>
                <w:sz w:val="20"/>
                <w:szCs w:val="20"/>
                <w:color w:val="auto"/>
              </w:rPr>
            </w:pPr>
            <w:r>
              <w:rPr>
                <w:rFonts w:ascii="Arial" w:cs="Arial" w:eastAsia="Arial" w:hAnsi="Arial"/>
                <w:sz w:val="18"/>
                <w:szCs w:val="18"/>
                <w:color w:val="auto"/>
              </w:rPr>
              <w:t>1,050,756</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1280" w:type="dxa"/>
            <w:vAlign w:val="bottom"/>
            <w:tcBorders>
              <w:right w:val="single" w:sz="8" w:color="424E6A"/>
            </w:tcBorders>
          </w:tcPr>
          <w:p>
            <w:pPr>
              <w:spacing w:after="0"/>
              <w:rPr>
                <w:sz w:val="5"/>
                <w:szCs w:val="5"/>
                <w:color w:val="auto"/>
              </w:rPr>
            </w:pPr>
          </w:p>
        </w:tc>
        <w:tc>
          <w:tcPr>
            <w:tcW w:w="2020" w:type="dxa"/>
            <w:vAlign w:val="bottom"/>
            <w:tcBorders>
              <w:bottom w:val="single" w:sz="8" w:color="424E6A"/>
            </w:tcBorders>
            <w:vMerge w:val="continue"/>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tcPr>
          <w:p>
            <w:pPr>
              <w:spacing w:after="0" w:line="68" w:lineRule="exact"/>
              <w:rPr>
                <w:sz w:val="20"/>
                <w:szCs w:val="20"/>
                <w:color w:val="auto"/>
              </w:rPr>
            </w:pPr>
            <w:r>
              <w:rPr>
                <w:rFonts w:ascii="Arial" w:cs="Arial" w:eastAsia="Arial" w:hAnsi="Arial"/>
                <w:sz w:val="7"/>
                <w:szCs w:val="7"/>
                <w:color w:val="auto"/>
              </w:rPr>
              <w:t>​ ​</w:t>
            </w:r>
          </w:p>
        </w:tc>
        <w:tc>
          <w:tcPr>
            <w:tcW w:w="40" w:type="dxa"/>
            <w:vAlign w:val="bottom"/>
            <w:tcBorders>
              <w:bottom w:val="single" w:sz="8" w:color="424E6A"/>
            </w:tcBorders>
          </w:tcPr>
          <w:p>
            <w:pPr>
              <w:spacing w:after="0"/>
              <w:rPr>
                <w:sz w:val="5"/>
                <w:szCs w:val="5"/>
                <w:color w:val="auto"/>
              </w:rPr>
            </w:pPr>
          </w:p>
        </w:tc>
        <w:tc>
          <w:tcPr>
            <w:tcW w:w="220" w:type="dxa"/>
            <w:vAlign w:val="bottom"/>
            <w:tcBorders>
              <w:bottom w:val="single" w:sz="8" w:color="424E6A"/>
            </w:tcBorders>
          </w:tcPr>
          <w:p>
            <w:pPr>
              <w:ind w:left="6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tcPr>
          <w:p>
            <w:pPr>
              <w:ind w:left="20"/>
              <w:spacing w:after="0" w:line="68" w:lineRule="exact"/>
              <w:rPr>
                <w:sz w:val="20"/>
                <w:szCs w:val="20"/>
                <w:color w:val="auto"/>
              </w:rPr>
            </w:pPr>
            <w:r>
              <w:rPr>
                <w:rFonts w:ascii="Arial" w:cs="Arial" w:eastAsia="Arial" w:hAnsi="Arial"/>
                <w:sz w:val="7"/>
                <w:szCs w:val="7"/>
                <w:color w:val="auto"/>
              </w:rPr>
              <w:t>​ ​</w:t>
            </w: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1280" w:type="dxa"/>
            <w:vAlign w:val="bottom"/>
            <w:tcBorders>
              <w:right w:val="single" w:sz="8" w:color="424E6A"/>
            </w:tcBorders>
          </w:tcPr>
          <w:p>
            <w:pPr>
              <w:spacing w:after="0"/>
              <w:rPr>
                <w:sz w:val="24"/>
                <w:szCs w:val="24"/>
                <w:color w:val="auto"/>
              </w:rPr>
            </w:pPr>
          </w:p>
        </w:tc>
        <w:tc>
          <w:tcPr>
            <w:tcW w:w="2020" w:type="dxa"/>
            <w:vAlign w:val="bottom"/>
            <w:tcBorders>
              <w:bottom w:val="single" w:sz="8" w:color="D9DCE1"/>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820" w:type="dxa"/>
            <w:vAlign w:val="bottom"/>
            <w:tcBorders>
              <w:bottom w:val="single" w:sz="8" w:color="D9DCE1"/>
              <w:right w:val="single" w:sz="8" w:color="424E6A"/>
            </w:tcBorders>
            <w:shd w:val="clear" w:color="auto" w:fill="D9DCE1"/>
          </w:tcPr>
          <w:p>
            <w:pPr>
              <w:ind w:left="7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gridSpan w:val="2"/>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40" w:type="dxa"/>
            <w:vAlign w:val="bottom"/>
            <w:tcBorders>
              <w:bottom w:val="single" w:sz="8" w:color="D9DCE1"/>
            </w:tcBorders>
            <w:shd w:val="clear" w:color="auto" w:fill="D9DCE1"/>
          </w:tcPr>
          <w:p>
            <w:pPr>
              <w:spacing w:after="0"/>
              <w:rPr>
                <w:sz w:val="24"/>
                <w:szCs w:val="24"/>
                <w:color w:val="auto"/>
              </w:rPr>
            </w:pPr>
          </w:p>
        </w:tc>
        <w:tc>
          <w:tcPr>
            <w:tcW w:w="22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bottom w:val="single" w:sz="8" w:color="D9DCE1"/>
            </w:tcBorders>
            <w:shd w:val="clear" w:color="auto" w:fill="D9DCE1"/>
          </w:tcPr>
          <w:p>
            <w:pPr>
              <w:spacing w:after="0"/>
              <w:rPr>
                <w:sz w:val="24"/>
                <w:szCs w:val="24"/>
                <w:color w:val="auto"/>
              </w:rPr>
            </w:pPr>
          </w:p>
        </w:tc>
        <w:tc>
          <w:tcPr>
            <w:tcW w:w="2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18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80" w:type="dxa"/>
            <w:vAlign w:val="bottom"/>
            <w:tcBorders>
              <w:right w:val="single" w:sz="8" w:color="424E6A"/>
            </w:tcBorders>
          </w:tcPr>
          <w:p>
            <w:pPr>
              <w:spacing w:after="0"/>
              <w:rPr>
                <w:sz w:val="15"/>
                <w:szCs w:val="15"/>
                <w:color w:val="auto"/>
              </w:rPr>
            </w:pPr>
          </w:p>
        </w:tc>
        <w:tc>
          <w:tcPr>
            <w:tcW w:w="2020" w:type="dxa"/>
            <w:vAlign w:val="bottom"/>
            <w:tcBorders>
              <w:top w:val="single" w:sz="8" w:color="424E6A"/>
            </w:tcBorders>
          </w:tcPr>
          <w:p>
            <w:pPr>
              <w:ind w:left="40"/>
              <w:spacing w:after="0" w:line="182" w:lineRule="exact"/>
              <w:rPr>
                <w:sz w:val="20"/>
                <w:szCs w:val="20"/>
                <w:color w:val="auto"/>
              </w:rPr>
            </w:pPr>
            <w:r>
              <w:rPr>
                <w:rFonts w:ascii="Arial" w:cs="Arial" w:eastAsia="Arial" w:hAnsi="Arial"/>
                <w:sz w:val="18"/>
                <w:szCs w:val="18"/>
                <w:color w:val="auto"/>
              </w:rPr>
              <w:t>Jeremy Goebel</w:t>
            </w:r>
          </w:p>
        </w:tc>
        <w:tc>
          <w:tcPr>
            <w:tcW w:w="820" w:type="dxa"/>
            <w:vAlign w:val="bottom"/>
            <w:tcBorders>
              <w:top w:val="single" w:sz="8" w:color="424E6A"/>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24E6A"/>
            </w:tcBorders>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424E6A"/>
            </w:tcBorders>
          </w:tcPr>
          <w:p>
            <w:pPr>
              <w:jc w:val="right"/>
              <w:spacing w:after="0" w:line="183" w:lineRule="exact"/>
              <w:rPr>
                <w:sz w:val="20"/>
                <w:szCs w:val="20"/>
                <w:color w:val="auto"/>
              </w:rPr>
            </w:pPr>
            <w:r>
              <w:rPr>
                <w:rFonts w:ascii="Arial" w:cs="Arial" w:eastAsia="Arial" w:hAnsi="Arial"/>
                <w:sz w:val="17"/>
                <w:szCs w:val="17"/>
                <w:color w:val="auto"/>
              </w:rPr>
              <w:t>30,000</w:t>
            </w:r>
            <w:r>
              <w:rPr>
                <w:rFonts w:ascii="Arial" w:cs="Arial" w:eastAsia="Arial" w:hAnsi="Arial"/>
                <w:sz w:val="21"/>
                <w:szCs w:val="21"/>
                <w:color w:val="auto"/>
                <w:vertAlign w:val="superscript"/>
              </w:rPr>
              <w:t>(5)</w:t>
            </w:r>
          </w:p>
        </w:tc>
        <w:tc>
          <w:tcPr>
            <w:tcW w:w="240" w:type="dxa"/>
            <w:vAlign w:val="bottom"/>
            <w:tcBorders>
              <w:top w:val="single" w:sz="8" w:color="424E6A"/>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40" w:type="dxa"/>
            <w:vAlign w:val="bottom"/>
            <w:tcBorders>
              <w:top w:val="single" w:sz="8" w:color="424E6A"/>
            </w:tcBorders>
          </w:tcPr>
          <w:p>
            <w:pPr>
              <w:spacing w:after="0"/>
              <w:rPr>
                <w:sz w:val="15"/>
                <w:szCs w:val="15"/>
                <w:color w:val="auto"/>
              </w:rPr>
            </w:pPr>
          </w:p>
        </w:tc>
        <w:tc>
          <w:tcPr>
            <w:tcW w:w="22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tcBorders>
          </w:tcPr>
          <w:p>
            <w:pPr>
              <w:jc w:val="right"/>
              <w:spacing w:after="0" w:line="182" w:lineRule="exact"/>
              <w:rPr>
                <w:sz w:val="20"/>
                <w:szCs w:val="20"/>
                <w:color w:val="auto"/>
              </w:rPr>
            </w:pPr>
            <w:r>
              <w:rPr>
                <w:rFonts w:ascii="Arial" w:cs="Arial" w:eastAsia="Arial" w:hAnsi="Arial"/>
                <w:sz w:val="18"/>
                <w:szCs w:val="18"/>
                <w:color w:val="auto"/>
              </w:rPr>
              <w:t>352,800</w:t>
            </w:r>
          </w:p>
        </w:tc>
        <w:tc>
          <w:tcPr>
            <w:tcW w:w="24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24E6A"/>
            </w:tcBorders>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424E6A"/>
            </w:tcBorders>
          </w:tcPr>
          <w:p>
            <w:pPr>
              <w:jc w:val="right"/>
              <w:ind w:right="58"/>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top w:val="single" w:sz="8" w:color="424E6A"/>
            </w:tcBorders>
            <w:vMerge w:val="restart"/>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24E6A"/>
            </w:tcBorders>
            <w:vMerge w:val="restart"/>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tcBorders>
          </w:tcPr>
          <w:p>
            <w:pPr>
              <w:jc w:val="right"/>
              <w:ind w:right="34"/>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80" w:type="dxa"/>
            <w:vAlign w:val="bottom"/>
            <w:tcBorders>
              <w:right w:val="single" w:sz="8" w:color="424E6A"/>
            </w:tcBorders>
          </w:tcPr>
          <w:p>
            <w:pPr>
              <w:spacing w:after="0"/>
              <w:rPr>
                <w:sz w:val="5"/>
                <w:szCs w:val="5"/>
                <w:color w:val="auto"/>
              </w:rPr>
            </w:pPr>
          </w:p>
        </w:tc>
        <w:tc>
          <w:tcPr>
            <w:tcW w:w="2020" w:type="dxa"/>
            <w:vAlign w:val="bottom"/>
            <w:tcBorders>
              <w:bottom w:val="single" w:sz="8" w:color="424E6A"/>
            </w:tcBorders>
          </w:tcPr>
          <w:p>
            <w:pPr>
              <w:ind w:left="20"/>
              <w:spacing w:after="0" w:line="68" w:lineRule="exact"/>
              <w:rPr>
                <w:sz w:val="20"/>
                <w:szCs w:val="20"/>
                <w:color w:val="auto"/>
              </w:rPr>
            </w:pPr>
            <w:r>
              <w:rPr>
                <w:rFonts w:ascii="Arial" w:cs="Arial" w:eastAsia="Arial" w:hAnsi="Arial"/>
                <w:sz w:val="7"/>
                <w:szCs w:val="7"/>
                <w:color w:val="auto"/>
              </w:rPr>
              <w:t>​</w:t>
            </w: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40" w:type="dxa"/>
            <w:vAlign w:val="bottom"/>
            <w:tcBorders>
              <w:bottom w:val="single" w:sz="8" w:color="424E6A"/>
            </w:tcBorders>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280" w:type="dxa"/>
            <w:vAlign w:val="bottom"/>
            <w:tcBorders>
              <w:right w:val="single" w:sz="8" w:color="424E6A"/>
            </w:tcBorders>
          </w:tcPr>
          <w:p>
            <w:pPr>
              <w:spacing w:after="0"/>
              <w:rPr>
                <w:sz w:val="21"/>
                <w:szCs w:val="21"/>
                <w:color w:val="auto"/>
              </w:rPr>
            </w:pPr>
          </w:p>
        </w:tc>
        <w:tc>
          <w:tcPr>
            <w:tcW w:w="202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right w:val="single" w:sz="8" w:color="424E6A"/>
            </w:tcBorders>
            <w:gridSpan w:val="2"/>
          </w:tcPr>
          <w:p>
            <w:pPr>
              <w:spacing w:after="0"/>
              <w:rPr>
                <w:sz w:val="20"/>
                <w:szCs w:val="20"/>
                <w:color w:val="auto"/>
              </w:rPr>
            </w:pPr>
            <w:r>
              <w:rPr>
                <w:rFonts w:ascii="Arial" w:cs="Arial" w:eastAsia="Arial" w:hAnsi="Arial"/>
                <w:sz w:val="18"/>
                <w:szCs w:val="18"/>
                <w:color w:val="auto"/>
              </w:rPr>
              <w:t>​ ​</w:t>
            </w:r>
          </w:p>
        </w:tc>
        <w:tc>
          <w:tcPr>
            <w:tcW w:w="40" w:type="dxa"/>
            <w:vAlign w:val="bottom"/>
            <w:tcBorders>
              <w:bottom w:val="single" w:sz="8" w:color="424E6A"/>
            </w:tcBorders>
          </w:tcPr>
          <w:p>
            <w:pPr>
              <w:spacing w:after="0"/>
              <w:rPr>
                <w:sz w:val="21"/>
                <w:szCs w:val="21"/>
                <w:color w:val="auto"/>
              </w:rPr>
            </w:pPr>
          </w:p>
        </w:tc>
        <w:tc>
          <w:tcPr>
            <w:tcW w:w="22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25,150</w:t>
            </w:r>
            <w:r>
              <w:rPr>
                <w:rFonts w:ascii="Arial" w:cs="Arial" w:eastAsia="Arial" w:hAnsi="Arial"/>
                <w:sz w:val="19"/>
                <w:szCs w:val="19"/>
                <w:color w:val="auto"/>
                <w:vertAlign w:val="superscript"/>
              </w:rPr>
              <w:t>(3)</w:t>
            </w:r>
          </w:p>
        </w:tc>
        <w:tc>
          <w:tcPr>
            <w:tcW w:w="2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295,764</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80" w:type="dxa"/>
            <w:vAlign w:val="bottom"/>
            <w:tcBorders>
              <w:right w:val="single" w:sz="8" w:color="424E6A"/>
            </w:tcBorders>
          </w:tcPr>
          <w:p>
            <w:pPr>
              <w:spacing w:after="0"/>
              <w:rPr>
                <w:sz w:val="15"/>
                <w:szCs w:val="15"/>
                <w:color w:val="auto"/>
              </w:rPr>
            </w:pPr>
          </w:p>
        </w:tc>
        <w:tc>
          <w:tcPr>
            <w:tcW w:w="20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250,000</w:t>
            </w:r>
            <w:r>
              <w:rPr>
                <w:rFonts w:ascii="Arial" w:cs="Arial" w:eastAsia="Arial" w:hAnsi="Arial"/>
                <w:sz w:val="21"/>
                <w:szCs w:val="21"/>
                <w:color w:val="auto"/>
                <w:vertAlign w:val="superscript"/>
              </w:rPr>
              <w:t>(4)</w:t>
            </w:r>
          </w:p>
        </w:tc>
        <w:tc>
          <w:tcPr>
            <w:tcW w:w="240" w:type="dxa"/>
            <w:vAlign w:val="bottom"/>
            <w:tcBorders>
              <w:right w:val="single" w:sz="8" w:color="424E6A"/>
            </w:tcBorders>
            <w:gridSpan w:val="2"/>
            <w:vMerge w:val="restart"/>
          </w:tcPr>
          <w:p>
            <w:pPr>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5"/>
                <w:szCs w:val="15"/>
                <w:color w:val="auto"/>
              </w:rPr>
            </w:pP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2,940,000</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250,000</w:t>
            </w:r>
            <w:r>
              <w:rPr>
                <w:rFonts w:ascii="Arial" w:cs="Arial" w:eastAsia="Arial" w:hAnsi="Arial"/>
                <w:sz w:val="21"/>
                <w:szCs w:val="21"/>
                <w:color w:val="auto"/>
                <w:vertAlign w:val="superscript"/>
              </w:rPr>
              <w:t>(4)</w:t>
            </w:r>
          </w:p>
        </w:tc>
        <w:tc>
          <w:tcPr>
            <w:tcW w:w="2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
              <w:spacing w:after="0" w:line="182" w:lineRule="exact"/>
              <w:rPr>
                <w:sz w:val="20"/>
                <w:szCs w:val="20"/>
                <w:color w:val="auto"/>
              </w:rPr>
            </w:pPr>
            <w:r>
              <w:rPr>
                <w:rFonts w:ascii="Arial" w:cs="Arial" w:eastAsia="Arial" w:hAnsi="Arial"/>
                <w:sz w:val="18"/>
                <w:szCs w:val="18"/>
                <w:color w:val="auto"/>
              </w:rPr>
              <w:t>2,940,000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80" w:type="dxa"/>
            <w:vAlign w:val="bottom"/>
            <w:tcBorders>
              <w:right w:val="single" w:sz="8" w:color="424E6A"/>
            </w:tcBorders>
          </w:tcPr>
          <w:p>
            <w:pPr>
              <w:spacing w:after="0"/>
              <w:rPr>
                <w:sz w:val="5"/>
                <w:szCs w:val="5"/>
                <w:color w:val="auto"/>
              </w:rPr>
            </w:pPr>
          </w:p>
        </w:tc>
        <w:tc>
          <w:tcPr>
            <w:tcW w:w="2020" w:type="dxa"/>
            <w:vAlign w:val="bottom"/>
            <w:tcBorders>
              <w:bottom w:val="single" w:sz="8" w:color="424E6A"/>
            </w:tcBorders>
            <w:vMerge w:val="continue"/>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40" w:type="dxa"/>
            <w:vAlign w:val="bottom"/>
            <w:tcBorders>
              <w:bottom w:val="single" w:sz="8" w:color="424E6A"/>
            </w:tcBorders>
          </w:tcPr>
          <w:p>
            <w:pPr>
              <w:spacing w:after="0"/>
              <w:rPr>
                <w:sz w:val="5"/>
                <w:szCs w:val="5"/>
                <w:color w:val="auto"/>
              </w:rPr>
            </w:pPr>
          </w:p>
        </w:tc>
        <w:tc>
          <w:tcPr>
            <w:tcW w:w="220" w:type="dxa"/>
            <w:vAlign w:val="bottom"/>
            <w:tcBorders>
              <w:bottom w:val="single" w:sz="8" w:color="424E6A"/>
            </w:tcBorders>
          </w:tcPr>
          <w:p>
            <w:pPr>
              <w:ind w:left="6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280" w:type="dxa"/>
            <w:vAlign w:val="bottom"/>
            <w:tcBorders>
              <w:right w:val="single" w:sz="8" w:color="424E6A"/>
            </w:tcBorders>
          </w:tcPr>
          <w:p>
            <w:pPr>
              <w:spacing w:after="0"/>
              <w:rPr>
                <w:sz w:val="21"/>
                <w:szCs w:val="21"/>
                <w:color w:val="auto"/>
              </w:rPr>
            </w:pPr>
          </w:p>
        </w:tc>
        <w:tc>
          <w:tcPr>
            <w:tcW w:w="202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75,190</w:t>
            </w:r>
            <w:r>
              <w:rPr>
                <w:rFonts w:ascii="Arial" w:cs="Arial" w:eastAsia="Arial" w:hAnsi="Arial"/>
                <w:sz w:val="19"/>
                <w:szCs w:val="19"/>
                <w:color w:val="auto"/>
                <w:vertAlign w:val="superscript"/>
              </w:rPr>
              <w:t>(6)</w:t>
            </w:r>
          </w:p>
        </w:tc>
        <w:tc>
          <w:tcPr>
            <w:tcW w:w="240" w:type="dxa"/>
            <w:vAlign w:val="bottom"/>
            <w:tcBorders>
              <w:bottom w:val="single" w:sz="8" w:color="424E6A"/>
              <w:right w:val="single" w:sz="8" w:color="424E6A"/>
            </w:tcBorders>
            <w:gridSpan w:val="2"/>
          </w:tcPr>
          <w:p>
            <w:pPr>
              <w:spacing w:after="0"/>
              <w:rPr>
                <w:sz w:val="20"/>
                <w:szCs w:val="20"/>
                <w:color w:val="auto"/>
              </w:rPr>
            </w:pPr>
            <w:r>
              <w:rPr>
                <w:rFonts w:ascii="Arial" w:cs="Arial" w:eastAsia="Arial" w:hAnsi="Arial"/>
                <w:sz w:val="18"/>
                <w:szCs w:val="18"/>
                <w:color w:val="auto"/>
              </w:rPr>
              <w:t>​ ​</w:t>
            </w:r>
          </w:p>
        </w:tc>
        <w:tc>
          <w:tcPr>
            <w:tcW w:w="40" w:type="dxa"/>
            <w:vAlign w:val="bottom"/>
            <w:tcBorders>
              <w:bottom w:val="single" w:sz="8" w:color="424E6A"/>
            </w:tcBorders>
          </w:tcPr>
          <w:p>
            <w:pPr>
              <w:spacing w:after="0"/>
              <w:rPr>
                <w:sz w:val="21"/>
                <w:szCs w:val="21"/>
                <w:color w:val="auto"/>
              </w:rPr>
            </w:pPr>
          </w:p>
        </w:tc>
        <w:tc>
          <w:tcPr>
            <w:tcW w:w="22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884,234</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75,190</w:t>
            </w:r>
            <w:r>
              <w:rPr>
                <w:rFonts w:ascii="Arial" w:cs="Arial" w:eastAsia="Arial" w:hAnsi="Arial"/>
                <w:sz w:val="19"/>
                <w:szCs w:val="19"/>
                <w:color w:val="auto"/>
                <w:vertAlign w:val="superscript"/>
              </w:rPr>
              <w:t>(7)</w:t>
            </w:r>
          </w:p>
        </w:tc>
        <w:tc>
          <w:tcPr>
            <w:tcW w:w="2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884,234</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80" w:type="dxa"/>
            <w:vAlign w:val="bottom"/>
            <w:tcBorders>
              <w:right w:val="single" w:sz="8" w:color="424E6A"/>
            </w:tcBorders>
          </w:tcPr>
          <w:p>
            <w:pPr>
              <w:spacing w:after="0"/>
              <w:rPr>
                <w:sz w:val="21"/>
                <w:szCs w:val="21"/>
                <w:color w:val="auto"/>
              </w:rPr>
            </w:pPr>
          </w:p>
        </w:tc>
        <w:tc>
          <w:tcPr>
            <w:tcW w:w="202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60,100</w:t>
            </w:r>
            <w:r>
              <w:rPr>
                <w:rFonts w:ascii="Arial" w:cs="Arial" w:eastAsia="Arial" w:hAnsi="Arial"/>
                <w:sz w:val="19"/>
                <w:szCs w:val="19"/>
                <w:color w:val="auto"/>
                <w:vertAlign w:val="superscript"/>
              </w:rPr>
              <w:t>(8)</w:t>
            </w:r>
          </w:p>
        </w:tc>
        <w:tc>
          <w:tcPr>
            <w:tcW w:w="240" w:type="dxa"/>
            <w:vAlign w:val="bottom"/>
            <w:tcBorders>
              <w:bottom w:val="single" w:sz="8" w:color="424E6A"/>
              <w:right w:val="single" w:sz="8" w:color="424E6A"/>
            </w:tcBorders>
            <w:gridSpan w:val="2"/>
          </w:tcPr>
          <w:p>
            <w:pPr>
              <w:spacing w:after="0"/>
              <w:rPr>
                <w:sz w:val="20"/>
                <w:szCs w:val="20"/>
                <w:color w:val="auto"/>
              </w:rPr>
            </w:pPr>
            <w:r>
              <w:rPr>
                <w:rFonts w:ascii="Arial" w:cs="Arial" w:eastAsia="Arial" w:hAnsi="Arial"/>
                <w:sz w:val="18"/>
                <w:szCs w:val="18"/>
                <w:color w:val="auto"/>
              </w:rPr>
              <w:t>​ ​</w:t>
            </w:r>
          </w:p>
        </w:tc>
        <w:tc>
          <w:tcPr>
            <w:tcW w:w="40" w:type="dxa"/>
            <w:vAlign w:val="bottom"/>
            <w:tcBorders>
              <w:bottom w:val="single" w:sz="8" w:color="424E6A"/>
            </w:tcBorders>
          </w:tcPr>
          <w:p>
            <w:pPr>
              <w:spacing w:after="0"/>
              <w:rPr>
                <w:sz w:val="21"/>
                <w:szCs w:val="21"/>
                <w:color w:val="auto"/>
              </w:rPr>
            </w:pPr>
          </w:p>
        </w:tc>
        <w:tc>
          <w:tcPr>
            <w:tcW w:w="22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706,776</w:t>
            </w:r>
          </w:p>
        </w:tc>
        <w:tc>
          <w:tcPr>
            <w:tcW w:w="24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60,100</w:t>
            </w:r>
            <w:r>
              <w:rPr>
                <w:rFonts w:ascii="Arial" w:cs="Arial" w:eastAsia="Arial" w:hAnsi="Arial"/>
                <w:sz w:val="19"/>
                <w:szCs w:val="19"/>
                <w:color w:val="auto"/>
                <w:vertAlign w:val="superscript"/>
              </w:rPr>
              <w:t>(9)</w:t>
            </w:r>
          </w:p>
        </w:tc>
        <w:tc>
          <w:tcPr>
            <w:tcW w:w="2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706,776</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80" w:type="dxa"/>
            <w:vAlign w:val="bottom"/>
            <w:tcBorders>
              <w:right w:val="single" w:sz="8" w:color="424E6A"/>
            </w:tcBorders>
          </w:tcPr>
          <w:p>
            <w:pPr>
              <w:spacing w:after="0"/>
              <w:rPr>
                <w:sz w:val="15"/>
                <w:szCs w:val="15"/>
                <w:color w:val="auto"/>
              </w:rPr>
            </w:pPr>
          </w:p>
        </w:tc>
        <w:tc>
          <w:tcPr>
            <w:tcW w:w="20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424E6A"/>
            </w:tcBorders>
            <w:vMerge w:val="restart"/>
          </w:tcPr>
          <w:p>
            <w:pPr>
              <w:ind w:left="7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424E6A"/>
            </w:tcBorders>
            <w:gridSpan w:val="3"/>
          </w:tcPr>
          <w:p>
            <w:pPr>
              <w:jc w:val="right"/>
              <w:ind w:right="128"/>
              <w:spacing w:after="0" w:line="183" w:lineRule="exact"/>
              <w:rPr>
                <w:sz w:val="20"/>
                <w:szCs w:val="20"/>
                <w:color w:val="auto"/>
              </w:rPr>
            </w:pPr>
            <w:r>
              <w:rPr>
                <w:rFonts w:ascii="Arial" w:cs="Arial" w:eastAsia="Arial" w:hAnsi="Arial"/>
                <w:sz w:val="17"/>
                <w:szCs w:val="17"/>
                <w:color w:val="auto"/>
                <w:w w:val="98"/>
              </w:rPr>
              <w:t>89,350</w:t>
            </w:r>
            <w:r>
              <w:rPr>
                <w:rFonts w:ascii="Arial" w:cs="Arial" w:eastAsia="Arial" w:hAnsi="Arial"/>
                <w:sz w:val="21"/>
                <w:szCs w:val="21"/>
                <w:color w:val="auto"/>
                <w:w w:val="98"/>
                <w:vertAlign w:val="superscript"/>
              </w:rPr>
              <w:t>(10)</w:t>
            </w:r>
          </w:p>
        </w:tc>
        <w:tc>
          <w:tcPr>
            <w:tcW w:w="40" w:type="dxa"/>
            <w:vAlign w:val="bottom"/>
          </w:tcPr>
          <w:p>
            <w:pPr>
              <w:spacing w:after="0"/>
              <w:rPr>
                <w:sz w:val="15"/>
                <w:szCs w:val="15"/>
                <w:color w:val="auto"/>
              </w:rPr>
            </w:pP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1,050,756</w:t>
            </w:r>
          </w:p>
        </w:tc>
        <w:tc>
          <w:tcPr>
            <w:tcW w:w="2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424E6A"/>
            </w:tcBorders>
            <w:gridSpan w:val="2"/>
          </w:tcPr>
          <w:p>
            <w:pPr>
              <w:jc w:val="right"/>
              <w:ind w:right="100"/>
              <w:spacing w:after="0" w:line="183" w:lineRule="exact"/>
              <w:rPr>
                <w:sz w:val="20"/>
                <w:szCs w:val="20"/>
                <w:color w:val="auto"/>
              </w:rPr>
            </w:pPr>
            <w:r>
              <w:rPr>
                <w:rFonts w:ascii="Arial" w:cs="Arial" w:eastAsia="Arial" w:hAnsi="Arial"/>
                <w:sz w:val="17"/>
                <w:szCs w:val="17"/>
                <w:color w:val="auto"/>
              </w:rPr>
              <w:t>89,350</w:t>
            </w:r>
            <w:r>
              <w:rPr>
                <w:rFonts w:ascii="Arial" w:cs="Arial" w:eastAsia="Arial" w:hAnsi="Arial"/>
                <w:sz w:val="21"/>
                <w:szCs w:val="21"/>
                <w:color w:val="auto"/>
                <w:vertAlign w:val="superscript"/>
              </w:rPr>
              <w:t>(11)</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
              <w:spacing w:after="0" w:line="182" w:lineRule="exact"/>
              <w:rPr>
                <w:sz w:val="20"/>
                <w:szCs w:val="20"/>
                <w:color w:val="auto"/>
              </w:rPr>
            </w:pPr>
            <w:r>
              <w:rPr>
                <w:rFonts w:ascii="Arial" w:cs="Arial" w:eastAsia="Arial" w:hAnsi="Arial"/>
                <w:sz w:val="18"/>
                <w:szCs w:val="18"/>
                <w:color w:val="auto"/>
              </w:rPr>
              <w:t>1,050,756</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80" w:type="dxa"/>
            <w:vAlign w:val="bottom"/>
            <w:tcBorders>
              <w:right w:val="single" w:sz="8" w:color="424E6A"/>
            </w:tcBorders>
          </w:tcPr>
          <w:p>
            <w:pPr>
              <w:spacing w:after="0"/>
              <w:rPr>
                <w:sz w:val="5"/>
                <w:szCs w:val="5"/>
                <w:color w:val="auto"/>
              </w:rPr>
            </w:pPr>
          </w:p>
        </w:tc>
        <w:tc>
          <w:tcPr>
            <w:tcW w:w="2020" w:type="dxa"/>
            <w:vAlign w:val="bottom"/>
            <w:tcBorders>
              <w:bottom w:val="single" w:sz="8" w:color="424E6A"/>
            </w:tcBorders>
            <w:vMerge w:val="continue"/>
          </w:tcPr>
          <w:p>
            <w:pPr>
              <w:spacing w:after="0"/>
              <w:rPr>
                <w:sz w:val="5"/>
                <w:szCs w:val="5"/>
                <w:color w:val="auto"/>
              </w:rPr>
            </w:pPr>
          </w:p>
        </w:tc>
        <w:tc>
          <w:tcPr>
            <w:tcW w:w="82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tcPr>
          <w:p>
            <w:pPr>
              <w:spacing w:after="0" w:line="68" w:lineRule="exact"/>
              <w:rPr>
                <w:sz w:val="20"/>
                <w:szCs w:val="20"/>
                <w:color w:val="auto"/>
              </w:rPr>
            </w:pPr>
            <w:r>
              <w:rPr>
                <w:rFonts w:ascii="Arial" w:cs="Arial" w:eastAsia="Arial" w:hAnsi="Arial"/>
                <w:sz w:val="7"/>
                <w:szCs w:val="7"/>
                <w:color w:val="auto"/>
              </w:rPr>
              <w:t>​ ​</w:t>
            </w:r>
          </w:p>
        </w:tc>
        <w:tc>
          <w:tcPr>
            <w:tcW w:w="40" w:type="dxa"/>
            <w:vAlign w:val="bottom"/>
            <w:tcBorders>
              <w:bottom w:val="single" w:sz="8" w:color="424E6A"/>
            </w:tcBorders>
          </w:tcPr>
          <w:p>
            <w:pPr>
              <w:spacing w:after="0"/>
              <w:rPr>
                <w:sz w:val="5"/>
                <w:szCs w:val="5"/>
                <w:color w:val="auto"/>
              </w:rPr>
            </w:pPr>
          </w:p>
        </w:tc>
        <w:tc>
          <w:tcPr>
            <w:tcW w:w="220" w:type="dxa"/>
            <w:vAlign w:val="bottom"/>
            <w:tcBorders>
              <w:bottom w:val="single" w:sz="8" w:color="424E6A"/>
            </w:tcBorders>
          </w:tcPr>
          <w:p>
            <w:pPr>
              <w:ind w:left="6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tcPr>
          <w:p>
            <w:pPr>
              <w:ind w:left="20"/>
              <w:spacing w:after="0" w:line="68" w:lineRule="exact"/>
              <w:rPr>
                <w:sz w:val="20"/>
                <w:szCs w:val="20"/>
                <w:color w:val="auto"/>
              </w:rPr>
            </w:pPr>
            <w:r>
              <w:rPr>
                <w:rFonts w:ascii="Arial" w:cs="Arial" w:eastAsia="Arial" w:hAnsi="Arial"/>
                <w:sz w:val="7"/>
                <w:szCs w:val="7"/>
                <w:color w:val="auto"/>
              </w:rPr>
              <w:t>​ ​</w:t>
            </w:r>
          </w:p>
        </w:tc>
        <w:tc>
          <w:tcPr>
            <w:tcW w:w="180" w:type="dxa"/>
            <w:vAlign w:val="bottom"/>
            <w:tcBorders>
              <w:bottom w:val="single" w:sz="8" w:color="424E6A"/>
            </w:tcBorders>
            <w:vMerge w:val="continue"/>
          </w:tcPr>
          <w:p>
            <w:pPr>
              <w:spacing w:after="0"/>
              <w:rPr>
                <w:sz w:val="5"/>
                <w:szCs w:val="5"/>
                <w:color w:val="auto"/>
              </w:rPr>
            </w:pPr>
          </w:p>
        </w:tc>
        <w:tc>
          <w:tcPr>
            <w:tcW w:w="22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8"/>
        </w:trPr>
        <w:tc>
          <w:tcPr>
            <w:tcW w:w="1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2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79" w:hanging="360"/>
        <w:spacing w:after="0" w:line="228" w:lineRule="auto"/>
        <w:tabs>
          <w:tab w:leader="none" w:pos="162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Market value of phantom units reported in these columns is calculated by multiplying the closing market price ($11.76) of PAA’s common units at December 30, 2022 (the last trading day of the fiscal year) by the number of units. No discount is applied for remaining performance threshold or service period requirements.</w:t>
      </w:r>
    </w:p>
    <w:p>
      <w:pPr>
        <w:spacing w:after="0" w:line="46" w:lineRule="exact"/>
        <w:rPr>
          <w:rFonts w:ascii="Arial" w:cs="Arial" w:eastAsia="Arial" w:hAnsi="Arial"/>
          <w:sz w:val="27"/>
          <w:szCs w:val="27"/>
          <w:color w:val="auto"/>
          <w:vertAlign w:val="superscript"/>
        </w:rPr>
      </w:pPr>
    </w:p>
    <w:p>
      <w:pPr>
        <w:ind w:left="1620" w:right="419" w:hanging="360"/>
        <w:spacing w:after="0" w:line="245" w:lineRule="auto"/>
        <w:tabs>
          <w:tab w:leader="none" w:pos="162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Represents phantom units granted to Mr. Chiang in August 2018. These phantom units, which were granted in connection with Mr. Chiang’s promotion to CEO, will vest as follows: (i) 25% will vest upon the later of October 1, 2023 and the first distribution date on which PAA will have generated DCF per common unit of at least $3.00 on a trailing four quarter basis, and (ii) 75% will vest upon the later of October 1, 2023 and the first distribution date on which PAA will have generated DCF per common unit of at least $3.50 on a trailing four quarter basis, in both cases with the initial performance-related measurement period beginning on or after January 1, 2021. Upon vesting, the phantom units are payable on a one-for-one basis in PAA common units. Any phantom units or DERs that have not vested by October 1, 2025 will expire at that time. The phantom units have associated DERs that have vested or will vest as follows: (i) one-third vested on the May 2019 distribution date as a result of PAA generating DCF per common unit of at least $2.50 on a trailing four quarter basis, (ii) one-third will vest on the first distribution date on which PAA generates DCF per common unit of at least $2.60 on a trailing four quarter basis, and (iii) one-third will vest on the first distribution date on which PAA generates DCF per common unit of at least $2.80 on a trailing four quarter basis; provided that in the case of the performance thresholds described in clauses (ii) and (iii) immediately preceding, the applicable trailing four quarter period must begin on or after January 1, 2020.</w:t>
      </w:r>
    </w:p>
    <w:p>
      <w:pPr>
        <w:spacing w:after="0" w:line="55" w:lineRule="exact"/>
        <w:rPr>
          <w:rFonts w:ascii="Arial" w:cs="Arial" w:eastAsia="Arial" w:hAnsi="Arial"/>
          <w:sz w:val="27"/>
          <w:szCs w:val="27"/>
          <w:color w:val="auto"/>
          <w:vertAlign w:val="superscript"/>
        </w:rPr>
      </w:pPr>
    </w:p>
    <w:p>
      <w:pPr>
        <w:ind w:left="1620" w:right="439" w:hanging="360"/>
        <w:spacing w:after="0" w:line="238" w:lineRule="auto"/>
        <w:tabs>
          <w:tab w:leader="none" w:pos="162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2019 that will vest on the first distribution date following PAA’s achievement of DCF per common unit of at least $2.65 on a trailing four quarter basis. The applicable trailing four quarter period for determining whether the requisite DCF per common unit has been achieved for vesting of such phantom units may not begin until after December 31, 2020. The associated DERs will vest on the first distribution date following January 1, 2021 on which PAA achieves DCF per common unit of at least $2.50 on a trailing four quarter basis. Any phantom units and associated DERs that have not vested by the August 2024 distribution date will expire at that time.</w:t>
      </w:r>
    </w:p>
    <w:p>
      <w:pPr>
        <w:spacing w:after="0" w:line="50" w:lineRule="exact"/>
        <w:rPr>
          <w:rFonts w:ascii="Arial" w:cs="Arial" w:eastAsia="Arial" w:hAnsi="Arial"/>
          <w:sz w:val="27"/>
          <w:szCs w:val="27"/>
          <w:color w:val="auto"/>
          <w:vertAlign w:val="superscript"/>
        </w:rPr>
      </w:pPr>
    </w:p>
    <w:p>
      <w:pPr>
        <w:ind w:left="1620" w:right="419" w:hanging="360"/>
        <w:spacing w:after="0" w:line="259" w:lineRule="auto"/>
        <w:tabs>
          <w:tab w:leader="none" w:pos="1620" w:val="left"/>
        </w:tabs>
        <w:numPr>
          <w:ilvl w:val="0"/>
          <w:numId w:val="58"/>
        </w:numPr>
        <w:rPr>
          <w:rFonts w:ascii="Arial" w:cs="Arial" w:eastAsia="Arial" w:hAnsi="Arial"/>
          <w:sz w:val="26"/>
          <w:szCs w:val="26"/>
          <w:color w:val="auto"/>
          <w:vertAlign w:val="superscript"/>
        </w:rPr>
      </w:pPr>
      <w:r>
        <w:rPr>
          <w:rFonts w:ascii="Arial" w:cs="Arial" w:eastAsia="Arial" w:hAnsi="Arial"/>
          <w:sz w:val="17"/>
          <w:szCs w:val="17"/>
          <w:color w:val="auto"/>
        </w:rPr>
        <w:t>Represents the applicable portion of one-time special retention phantom unit awards granted in November 2019. The original terms of these phantom units provided that they would vest (i) 50% on the August 2026 distribution date, (ii) 25% on the later of the August 2026 distribution date and the first distribution date following PAA’s achievement of DCF per common unit and CUE of at least $2.80 on a trailing four quarter basis, and (iii) 25% on the later of the August 2026 distribution date and the first distribution date following PAA’s achievement of DCF per common unit and CUE of at least $3.15 on a trailing four quarter basis. Vesting of a portion of the associated DERs was also tied to PAA’s achievement of specified DCF per common unit and CUE levels. The vesting terms with respect to the performance-based portion of these phantom units (50% of the amount awarded) were amended in February 2022. As amended, the November 2019 phantom unit awards will vest as follows: (i) 50% will vest on the August 2026 distribution date (this is unchanged from the original terms), and (ii) up to 50% will potentially vest at a scaled payout range of between 0% and 100% based on the TSR ranking of PAA relative to a designated comparator group as measured over a four and one-half year period beginning on January 1, 2022 and ending on June 30, 2026. The unvested DERs associated with the November 2019 phantom unit awards that were originally tied to achievement of DCF/CUE targets were also amended such that they began accruing on January 1, 2022 and will be paid in cash in a lump sum on the August 2026 distribution date with respect to the number of phantom units, if any, that vest on such date.</w:t>
      </w:r>
    </w:p>
    <w:p>
      <w:pPr>
        <w:spacing w:after="0" w:line="46" w:lineRule="exact"/>
        <w:rPr>
          <w:rFonts w:ascii="Arial" w:cs="Arial" w:eastAsia="Arial" w:hAnsi="Arial"/>
          <w:sz w:val="26"/>
          <w:szCs w:val="26"/>
          <w:color w:val="auto"/>
          <w:vertAlign w:val="superscript"/>
        </w:rPr>
      </w:pPr>
    </w:p>
    <w:p>
      <w:pPr>
        <w:ind w:left="1620" w:right="959" w:hanging="360"/>
        <w:spacing w:after="0" w:line="210" w:lineRule="auto"/>
        <w:tabs>
          <w:tab w:leader="none" w:pos="162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Represents the unvested portion of phantom units granted to Mr. Goebel in December 2017. These phantom units vested on January 1, 2023.</w:t>
      </w:r>
    </w:p>
    <w:p>
      <w:pPr>
        <w:spacing w:after="0" w:line="46" w:lineRule="exact"/>
        <w:rPr>
          <w:rFonts w:ascii="Arial" w:cs="Arial" w:eastAsia="Arial" w:hAnsi="Arial"/>
          <w:sz w:val="27"/>
          <w:szCs w:val="27"/>
          <w:color w:val="auto"/>
          <w:vertAlign w:val="superscript"/>
        </w:rPr>
      </w:pPr>
    </w:p>
    <w:p>
      <w:pPr>
        <w:ind w:left="1620" w:right="779" w:hanging="360"/>
        <w:spacing w:after="0" w:line="222" w:lineRule="auto"/>
        <w:tabs>
          <w:tab w:leader="none" w:pos="162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2020 that will vest on the August 2023 distribution date. The associated DERs are paid quarterly in cash on each distribution payment date.</w:t>
      </w:r>
    </w:p>
    <w:p>
      <w:pPr>
        <w:spacing w:after="0" w:line="45" w:lineRule="exact"/>
        <w:rPr>
          <w:rFonts w:ascii="Arial" w:cs="Arial" w:eastAsia="Arial" w:hAnsi="Arial"/>
          <w:sz w:val="27"/>
          <w:szCs w:val="27"/>
          <w:color w:val="auto"/>
          <w:vertAlign w:val="superscript"/>
        </w:rPr>
      </w:pPr>
    </w:p>
    <w:p>
      <w:pPr>
        <w:ind w:left="1620" w:right="999" w:hanging="360"/>
        <w:spacing w:after="0" w:line="220" w:lineRule="auto"/>
        <w:tabs>
          <w:tab w:leader="none" w:pos="1620" w:val="left"/>
        </w:tabs>
        <w:numPr>
          <w:ilvl w:val="0"/>
          <w:numId w:val="58"/>
        </w:numPr>
        <w:rPr>
          <w:rFonts w:ascii="Arial" w:cs="Arial" w:eastAsia="Arial" w:hAnsi="Arial"/>
          <w:sz w:val="26"/>
          <w:szCs w:val="26"/>
          <w:color w:val="auto"/>
          <w:vertAlign w:val="superscript"/>
        </w:rPr>
      </w:pPr>
      <w:r>
        <w:rPr>
          <w:rFonts w:ascii="Arial" w:cs="Arial" w:eastAsia="Arial" w:hAnsi="Arial"/>
          <w:sz w:val="17"/>
          <w:szCs w:val="17"/>
          <w:color w:val="auto"/>
        </w:rPr>
        <w:t>Represents 50% of phantom units granted in August 2020 that will potentially vest on the August 2023 distribution date at a scaled payout range of between 0% and 200% based on:</w:t>
      </w:r>
    </w:p>
    <w:p>
      <w:pPr>
        <w:sectPr>
          <w:pgSz w:w="11900" w:h="16838" w:orient="portrait"/>
          <w:cols w:equalWidth="0" w:num="1">
            <w:col w:w="9879"/>
          </w:cols>
          <w:pgMar w:left="580" w:top="97"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39"/>
        <w:spacing w:after="0" w:line="254" w:lineRule="auto"/>
        <w:rPr>
          <w:sz w:val="20"/>
          <w:szCs w:val="20"/>
          <w:color w:val="auto"/>
        </w:rPr>
      </w:pPr>
      <w:r>
        <w:rPr>
          <w:rFonts w:ascii="Arial" w:cs="Arial" w:eastAsia="Arial" w:hAnsi="Arial"/>
          <w:sz w:val="18"/>
          <w:szCs w:val="18"/>
          <w:color w:val="auto"/>
        </w:rPr>
        <w:t>(i) with respect to 25% of the August 2020 award, PAA’s TSR over the three-year period ending June 30, 2023 compared to the TSR of the TSR Comparator Peer Group (payout may be reduced if absolute TSR is negative); and (ii) with respect to the other 25% of the August 2020 award, PAA achieving cumulative DCF per CUE of $6.00 over the three-year period ending June 30, 2023 (payout may be decreased or increased by 50 gross percentage points (but not above 200%) based on PAA’s leverage ratio as of June 30, 2023 compared to the target leverage ratio set forth in PAA’s multi-year plan as of August 2020). DERs will accrue during the three-year vesting period and be paid in cash in a lump sum on the August 2023 distribution date with respect to the number of phantom units, if any, that vest on such date. Any phantom units and associated DERs that have not vested by the August 2023 distribution date will expire at that time.</w:t>
      </w:r>
    </w:p>
    <w:p>
      <w:pPr>
        <w:spacing w:after="0" w:line="50" w:lineRule="exact"/>
        <w:rPr>
          <w:sz w:val="20"/>
          <w:szCs w:val="20"/>
          <w:color w:val="auto"/>
        </w:rPr>
      </w:pPr>
    </w:p>
    <w:p>
      <w:pPr>
        <w:ind w:left="1620" w:right="499" w:hanging="360"/>
        <w:spacing w:after="0" w:line="228"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2021 that will vest on the August 2024 distribution date. The associated DERs accrued for the first year and such accrued amount was paid in cash in a lump sum on the August 2022 distribution date; beginning in November 2022, the associated DERs began being paid quarterly in cash on each distribution payment date.</w:t>
      </w:r>
    </w:p>
    <w:p>
      <w:pPr>
        <w:spacing w:after="0" w:line="2" w:lineRule="exact"/>
        <w:rPr>
          <w:rFonts w:ascii="Arial" w:cs="Arial" w:eastAsia="Arial" w:hAnsi="Arial"/>
          <w:sz w:val="27"/>
          <w:szCs w:val="27"/>
          <w:color w:val="auto"/>
          <w:vertAlign w:val="superscript"/>
        </w:rPr>
      </w:pPr>
    </w:p>
    <w:p>
      <w:pPr>
        <w:ind w:left="1620" w:hanging="360"/>
        <w:spacing w:after="0" w:line="215"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2021 that will potentially vest on the</w:t>
      </w:r>
    </w:p>
    <w:p>
      <w:pPr>
        <w:ind w:left="1620" w:right="439"/>
        <w:spacing w:after="0" w:line="252" w:lineRule="auto"/>
        <w:rPr>
          <w:rFonts w:ascii="Arial" w:cs="Arial" w:eastAsia="Arial" w:hAnsi="Arial"/>
          <w:sz w:val="27"/>
          <w:szCs w:val="27"/>
          <w:color w:val="auto"/>
          <w:vertAlign w:val="superscript"/>
        </w:rPr>
      </w:pPr>
      <w:r>
        <w:rPr>
          <w:rFonts w:ascii="Arial" w:cs="Arial" w:eastAsia="Arial" w:hAnsi="Arial"/>
          <w:sz w:val="18"/>
          <w:szCs w:val="18"/>
          <w:color w:val="auto"/>
        </w:rPr>
        <w:t>August 2024 distribution date at a scaled payout range of between 0% and 200% based on: (i) with respect to 25% of the August 2021 award, PAA’s TSR over the three-year period ending June 30, 2024 compared to the TSR of the TSR Comparator Peer Group (payout may be reduced if absolute TSR is negative); and (ii) with respect to the other 25% of the August 2021 award, PAA achieving cumulative DCF per CUE of $6.00 over the three-year period ending June 30, 2024 (payout may be decreased or increased by 50 gross percentage points (but not above 200%) based on PAA’s leverage ratio as of June 30, 2024 compared to the target leverage ratio set forth in PAA’s multi-year plan as of August 2021). DERs will accrue during the three-year performance period and be paid in cash in a lump sum on the August 2024 distribution date with respect to the number of phantom units, if any, that vest on such date. Any phantom units and associated DERs that have not vested by the August 2024 distribution date will expire at that time.</w:t>
      </w:r>
    </w:p>
    <w:p>
      <w:pPr>
        <w:spacing w:after="0" w:line="34" w:lineRule="exact"/>
        <w:rPr>
          <w:rFonts w:ascii="Arial" w:cs="Arial" w:eastAsia="Arial" w:hAnsi="Arial"/>
          <w:sz w:val="27"/>
          <w:szCs w:val="27"/>
          <w:color w:val="auto"/>
          <w:vertAlign w:val="superscript"/>
        </w:rPr>
      </w:pPr>
    </w:p>
    <w:p>
      <w:pPr>
        <w:ind w:left="1620" w:right="539" w:hanging="360"/>
        <w:spacing w:after="0" w:line="228"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2022 that will vest on the August 2025 distribution date. The associated DERs will accrue for the first year and such accrued amount will be paid in cash in a lump sum on the August 2023 distribution date; beginning in November 2023, the associated DERs will be paid quarterly in cash on each distribution payment date.</w:t>
      </w:r>
    </w:p>
    <w:p>
      <w:pPr>
        <w:spacing w:after="0" w:line="2" w:lineRule="exact"/>
        <w:rPr>
          <w:rFonts w:ascii="Arial" w:cs="Arial" w:eastAsia="Arial" w:hAnsi="Arial"/>
          <w:sz w:val="27"/>
          <w:szCs w:val="27"/>
          <w:color w:val="auto"/>
          <w:vertAlign w:val="superscript"/>
        </w:rPr>
      </w:pPr>
    </w:p>
    <w:p>
      <w:pPr>
        <w:ind w:left="1620" w:hanging="360"/>
        <w:spacing w:after="0" w:line="225"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2022 that will potentially vest on the</w:t>
      </w:r>
    </w:p>
    <w:p>
      <w:pPr>
        <w:spacing w:after="0" w:line="1" w:lineRule="exact"/>
        <w:rPr>
          <w:rFonts w:ascii="Arial" w:cs="Arial" w:eastAsia="Arial" w:hAnsi="Arial"/>
          <w:sz w:val="27"/>
          <w:szCs w:val="27"/>
          <w:color w:val="auto"/>
          <w:vertAlign w:val="superscript"/>
        </w:rPr>
      </w:pPr>
    </w:p>
    <w:p>
      <w:pPr>
        <w:ind w:left="1620" w:right="439"/>
        <w:spacing w:after="0" w:line="252" w:lineRule="auto"/>
        <w:rPr>
          <w:rFonts w:ascii="Arial" w:cs="Arial" w:eastAsia="Arial" w:hAnsi="Arial"/>
          <w:sz w:val="27"/>
          <w:szCs w:val="27"/>
          <w:color w:val="auto"/>
          <w:vertAlign w:val="superscript"/>
        </w:rPr>
      </w:pPr>
      <w:r>
        <w:rPr>
          <w:rFonts w:ascii="Arial" w:cs="Arial" w:eastAsia="Arial" w:hAnsi="Arial"/>
          <w:sz w:val="18"/>
          <w:szCs w:val="18"/>
          <w:color w:val="auto"/>
        </w:rPr>
        <w:t>August 2025 distribution date at a scaled payout range of between 0% and 200% based on: (i) with respect to 25% of the August 2022 award, PAA’s TSR over the three-year period ending June 30, 2025 compared to the TSR of the TSR Comparator Peer Group (payout may be reduced if absolute TSR is negative); and (ii) with respect to the other 25% of the August 2022 award, PAA achieving cumulative DCF per CUE of $7.05 over the three-year period ending June 30, 2025 (payout may be decreased by 25 basis points if PAA’s leverage ratio as of June 30, 2025 is greater than 3.5x). DERs will accrue during the three-year performance period and be paid in cash in a lump sum on the August 2025 distribution date with respect to the number of phantom units, if any, that vest on such date. Any phantom units and associated DERs that have not vested by the August 2025 distribution date will expire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Exercises and Units Vested</w:t>
      </w:r>
    </w:p>
    <w:p>
      <w:pPr>
        <w:spacing w:after="0" w:line="158" w:lineRule="exact"/>
        <w:rPr>
          <w:sz w:val="20"/>
          <w:szCs w:val="20"/>
          <w:color w:val="auto"/>
        </w:rPr>
      </w:pPr>
    </w:p>
    <w:p>
      <w:pPr>
        <w:ind w:left="1260" w:right="539" w:firstLine="360"/>
        <w:spacing w:after="0" w:line="273" w:lineRule="auto"/>
        <w:rPr>
          <w:sz w:val="20"/>
          <w:szCs w:val="20"/>
          <w:color w:val="auto"/>
        </w:rPr>
      </w:pPr>
      <w:r>
        <w:rPr>
          <w:rFonts w:ascii="Arial" w:cs="Arial" w:eastAsia="Arial" w:hAnsi="Arial"/>
          <w:sz w:val="18"/>
          <w:szCs w:val="18"/>
          <w:color w:val="auto"/>
        </w:rPr>
        <w:t>We have never issued options under our long-term incentive plan; all of the grants awarded under our long-term incentive plan have been phantom unit grants. The following table sets forth certain information regarding the vesting of phantom units during the fiscal year ended December 31, 2022 with respect to our Named Executive Officers.</w:t>
      </w:r>
    </w:p>
    <w:p>
      <w:pPr>
        <w:spacing w:after="0" w:line="157" w:lineRule="exact"/>
        <w:rPr>
          <w:sz w:val="20"/>
          <w:szCs w:val="20"/>
          <w:color w:val="auto"/>
        </w:rPr>
      </w:pPr>
    </w:p>
    <w:tbl>
      <w:tblPr>
        <w:tblLayout w:type="fixed"/>
        <w:tblInd w:w="1270" w:type="dxa"/>
        <w:tblCellMar>
          <w:top w:w="0" w:type="dxa"/>
          <w:left w:w="0" w:type="dxa"/>
          <w:bottom w:w="0" w:type="dxa"/>
          <w:right w:w="0" w:type="dxa"/>
        </w:tblCellMar>
      </w:tblPr>
      <w:tr>
        <w:trPr>
          <w:trHeight w:val="291"/>
        </w:trPr>
        <w:tc>
          <w:tcPr>
            <w:tcW w:w="3440" w:type="dxa"/>
            <w:vAlign w:val="bottom"/>
            <w:tcBorders>
              <w:left w:val="single" w:sz="8" w:color="424E6A"/>
              <w:bottom w:val="single" w:sz="8" w:color="424E6A"/>
            </w:tcBorders>
            <w:shd w:val="clear" w:color="auto" w:fill="424E6A"/>
          </w:tcPr>
          <w:p>
            <w:pPr>
              <w:spacing w:after="0"/>
              <w:rPr>
                <w:sz w:val="24"/>
                <w:szCs w:val="24"/>
                <w:color w:val="auto"/>
              </w:rPr>
            </w:pPr>
          </w:p>
        </w:tc>
        <w:tc>
          <w:tcPr>
            <w:tcW w:w="2220" w:type="dxa"/>
            <w:vAlign w:val="bottom"/>
            <w:tcBorders>
              <w:bottom w:val="single" w:sz="8" w:color="424E6A"/>
              <w:right w:val="single" w:sz="8" w:color="424E6A"/>
            </w:tcBorders>
            <w:shd w:val="clear" w:color="auto" w:fill="424E6A"/>
          </w:tcPr>
          <w:p>
            <w:pPr>
              <w:spacing w:after="0"/>
              <w:rPr>
                <w:sz w:val="24"/>
                <w:szCs w:val="24"/>
                <w:color w:val="auto"/>
              </w:rPr>
            </w:pPr>
          </w:p>
        </w:tc>
        <w:tc>
          <w:tcPr>
            <w:tcW w:w="140" w:type="dxa"/>
            <w:vAlign w:val="bottom"/>
            <w:tcBorders>
              <w:bottom w:val="single" w:sz="8" w:color="auto"/>
            </w:tcBorders>
            <w:shd w:val="clear" w:color="auto" w:fill="424E6A"/>
          </w:tcPr>
          <w:p>
            <w:pPr>
              <w:spacing w:after="0"/>
              <w:rPr>
                <w:sz w:val="24"/>
                <w:szCs w:val="24"/>
                <w:color w:val="auto"/>
              </w:rPr>
            </w:pPr>
          </w:p>
        </w:tc>
        <w:tc>
          <w:tcPr>
            <w:tcW w:w="280" w:type="dxa"/>
            <w:vAlign w:val="bottom"/>
            <w:tcBorders>
              <w:bottom w:val="single" w:sz="8" w:color="auto"/>
            </w:tcBorders>
            <w:shd w:val="clear" w:color="auto" w:fill="424E6A"/>
          </w:tcPr>
          <w:p>
            <w:pPr>
              <w:spacing w:after="0"/>
              <w:rPr>
                <w:sz w:val="24"/>
                <w:szCs w:val="24"/>
                <w:color w:val="auto"/>
              </w:rPr>
            </w:pPr>
          </w:p>
        </w:tc>
        <w:tc>
          <w:tcPr>
            <w:tcW w:w="1340" w:type="dxa"/>
            <w:vAlign w:val="bottom"/>
            <w:tcBorders>
              <w:bottom w:val="single" w:sz="8" w:color="auto"/>
            </w:tcBorders>
            <w:gridSpan w:val="4"/>
            <w:shd w:val="clear" w:color="auto" w:fill="424E6A"/>
          </w:tcPr>
          <w:p>
            <w:pPr>
              <w:ind w:left="440"/>
              <w:spacing w:after="0"/>
              <w:rPr>
                <w:sz w:val="20"/>
                <w:szCs w:val="20"/>
                <w:color w:val="auto"/>
              </w:rPr>
            </w:pPr>
            <w:r>
              <w:rPr>
                <w:rFonts w:ascii="Arial" w:cs="Arial" w:eastAsia="Arial" w:hAnsi="Arial"/>
                <w:sz w:val="14"/>
                <w:szCs w:val="14"/>
                <w:b w:val="1"/>
                <w:bCs w:val="1"/>
                <w:color w:val="FFFFFF"/>
              </w:rPr>
              <w:t>Unit Awards</w:t>
            </w:r>
          </w:p>
        </w:tc>
        <w:tc>
          <w:tcPr>
            <w:tcW w:w="680" w:type="dxa"/>
            <w:vAlign w:val="bottom"/>
            <w:tcBorders>
              <w:bottom w:val="single" w:sz="8" w:color="auto"/>
            </w:tcBorders>
            <w:shd w:val="clear" w:color="auto" w:fill="424E6A"/>
          </w:tcPr>
          <w:p>
            <w:pPr>
              <w:spacing w:after="0"/>
              <w:rPr>
                <w:sz w:val="24"/>
                <w:szCs w:val="24"/>
                <w:color w:val="auto"/>
              </w:rPr>
            </w:pPr>
          </w:p>
        </w:tc>
        <w:tc>
          <w:tcPr>
            <w:tcW w:w="120" w:type="dxa"/>
            <w:vAlign w:val="bottom"/>
            <w:tcBorders>
              <w:bottom w:val="single" w:sz="8" w:color="auto"/>
              <w:right w:val="single" w:sz="8" w:color="424E6A"/>
            </w:tcBorders>
            <w:shd w:val="clear" w:color="auto" w:fill="424E6A"/>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440" w:type="dxa"/>
            <w:vAlign w:val="bottom"/>
            <w:tcBorders>
              <w:left w:val="single" w:sz="8" w:color="424E6A"/>
            </w:tcBorders>
            <w:shd w:val="clear" w:color="auto" w:fill="424E6A"/>
          </w:tcPr>
          <w:p>
            <w:pPr>
              <w:spacing w:after="0"/>
              <w:rPr>
                <w:sz w:val="15"/>
                <w:szCs w:val="15"/>
                <w:color w:val="auto"/>
              </w:rPr>
            </w:pPr>
          </w:p>
        </w:tc>
        <w:tc>
          <w:tcPr>
            <w:tcW w:w="2220" w:type="dxa"/>
            <w:vAlign w:val="bottom"/>
            <w:tcBorders>
              <w:right w:val="single" w:sz="8" w:color="424E6A"/>
            </w:tcBorders>
            <w:shd w:val="clear" w:color="auto" w:fill="424E6A"/>
          </w:tcPr>
          <w:p>
            <w:pPr>
              <w:spacing w:after="0"/>
              <w:rPr>
                <w:sz w:val="15"/>
                <w:szCs w:val="15"/>
                <w:color w:val="auto"/>
              </w:rPr>
            </w:pPr>
          </w:p>
        </w:tc>
        <w:tc>
          <w:tcPr>
            <w:tcW w:w="140" w:type="dxa"/>
            <w:vAlign w:val="bottom"/>
            <w:shd w:val="clear" w:color="auto" w:fill="424E6A"/>
          </w:tcPr>
          <w:p>
            <w:pPr>
              <w:spacing w:after="0"/>
              <w:rPr>
                <w:sz w:val="15"/>
                <w:szCs w:val="15"/>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w:t>
            </w:r>
          </w:p>
        </w:tc>
        <w:tc>
          <w:tcPr>
            <w:tcW w:w="180" w:type="dxa"/>
            <w:vAlign w:val="bottom"/>
            <w:tcBorders>
              <w:right w:val="single" w:sz="8" w:color="424E6A"/>
            </w:tcBorders>
            <w:shd w:val="clear" w:color="auto" w:fill="424E6A"/>
          </w:tcPr>
          <w:p>
            <w:pPr>
              <w:spacing w:after="0"/>
              <w:rPr>
                <w:sz w:val="15"/>
                <w:szCs w:val="15"/>
                <w:color w:val="auto"/>
              </w:rPr>
            </w:pPr>
          </w:p>
        </w:tc>
        <w:tc>
          <w:tcPr>
            <w:tcW w:w="100" w:type="dxa"/>
            <w:vAlign w:val="bottom"/>
            <w:shd w:val="clear" w:color="auto" w:fill="424E6A"/>
          </w:tcPr>
          <w:p>
            <w:pPr>
              <w:spacing w:after="0"/>
              <w:rPr>
                <w:sz w:val="15"/>
                <w:szCs w:val="15"/>
                <w:color w:val="auto"/>
              </w:rPr>
            </w:pPr>
          </w:p>
        </w:tc>
        <w:tc>
          <w:tcPr>
            <w:tcW w:w="360" w:type="dxa"/>
            <w:vAlign w:val="bottom"/>
            <w:shd w:val="clear" w:color="auto" w:fill="424E6A"/>
          </w:tcPr>
          <w:p>
            <w:pPr>
              <w:spacing w:after="0"/>
              <w:rPr>
                <w:sz w:val="15"/>
                <w:szCs w:val="15"/>
                <w:color w:val="auto"/>
              </w:rPr>
            </w:pPr>
          </w:p>
        </w:tc>
        <w:tc>
          <w:tcPr>
            <w:tcW w:w="680" w:type="dxa"/>
            <w:vAlign w:val="bottom"/>
            <w:shd w:val="clear" w:color="auto" w:fill="424E6A"/>
          </w:tcPr>
          <w:p>
            <w:pPr>
              <w:spacing w:after="0"/>
              <w:rPr>
                <w:sz w:val="15"/>
                <w:szCs w:val="15"/>
                <w:color w:val="auto"/>
              </w:rPr>
            </w:pPr>
          </w:p>
        </w:tc>
        <w:tc>
          <w:tcPr>
            <w:tcW w:w="120" w:type="dxa"/>
            <w:vAlign w:val="bottom"/>
            <w:tcBorders>
              <w:right w:val="single" w:sz="8" w:color="424E6A"/>
            </w:tcBorders>
            <w:shd w:val="clear" w:color="auto" w:fill="424E6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40" w:type="dxa"/>
            <w:vAlign w:val="bottom"/>
            <w:tcBorders>
              <w:left w:val="single" w:sz="8" w:color="424E6A"/>
            </w:tcBorders>
            <w:shd w:val="clear" w:color="auto" w:fill="424E6A"/>
          </w:tcPr>
          <w:p>
            <w:pPr>
              <w:spacing w:after="0"/>
              <w:rPr>
                <w:sz w:val="14"/>
                <w:szCs w:val="14"/>
                <w:color w:val="auto"/>
              </w:rPr>
            </w:pPr>
          </w:p>
        </w:tc>
        <w:tc>
          <w:tcPr>
            <w:tcW w:w="222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700" w:type="dxa"/>
            <w:vAlign w:val="bottom"/>
            <w:shd w:val="clear" w:color="auto" w:fill="424E6A"/>
          </w:tcPr>
          <w:p>
            <w:pPr>
              <w:jc w:val="center"/>
              <w:ind w:right="222"/>
              <w:spacing w:after="0"/>
              <w:rPr>
                <w:sz w:val="20"/>
                <w:szCs w:val="20"/>
                <w:color w:val="auto"/>
              </w:rPr>
            </w:pPr>
            <w:r>
              <w:rPr>
                <w:rFonts w:ascii="Arial" w:cs="Arial" w:eastAsia="Arial" w:hAnsi="Arial"/>
                <w:sz w:val="14"/>
                <w:szCs w:val="14"/>
                <w:b w:val="1"/>
                <w:bCs w:val="1"/>
                <w:color w:val="FFFFFF"/>
              </w:rPr>
              <w:t>Units</w:t>
            </w:r>
          </w:p>
        </w:tc>
        <w:tc>
          <w:tcPr>
            <w:tcW w:w="1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Value Realized</w:t>
            </w:r>
          </w:p>
        </w:tc>
        <w:tc>
          <w:tcPr>
            <w:tcW w:w="1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Borders>
              <w:left w:val="single" w:sz="8" w:color="424E6A"/>
            </w:tcBorders>
            <w:vMerge w:val="restart"/>
            <w:shd w:val="clear" w:color="auto" w:fill="424E6A"/>
          </w:tcPr>
          <w:p>
            <w:pPr>
              <w:ind w:left="60"/>
              <w:spacing w:after="0"/>
              <w:rPr>
                <w:sz w:val="20"/>
                <w:szCs w:val="20"/>
                <w:color w:val="auto"/>
              </w:rPr>
            </w:pPr>
            <w:r>
              <w:rPr>
                <w:rFonts w:ascii="Arial" w:cs="Arial" w:eastAsia="Arial" w:hAnsi="Arial"/>
                <w:sz w:val="14"/>
                <w:szCs w:val="14"/>
                <w:b w:val="1"/>
                <w:bCs w:val="1"/>
                <w:color w:val="FFFFFF"/>
              </w:rPr>
              <w:t>Name</w:t>
            </w:r>
          </w:p>
        </w:tc>
        <w:tc>
          <w:tcPr>
            <w:tcW w:w="222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Acquired on</w:t>
            </w:r>
          </w:p>
        </w:tc>
        <w:tc>
          <w:tcPr>
            <w:tcW w:w="1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360" w:type="dxa"/>
            <w:vAlign w:val="bottom"/>
            <w:shd w:val="clear" w:color="auto" w:fill="424E6A"/>
          </w:tcPr>
          <w:p>
            <w:pPr>
              <w:spacing w:after="0"/>
              <w:rPr>
                <w:sz w:val="14"/>
                <w:szCs w:val="14"/>
                <w:color w:val="auto"/>
              </w:rPr>
            </w:pPr>
          </w:p>
        </w:tc>
        <w:tc>
          <w:tcPr>
            <w:tcW w:w="680" w:type="dxa"/>
            <w:vAlign w:val="bottom"/>
            <w:shd w:val="clear" w:color="auto" w:fill="424E6A"/>
          </w:tcPr>
          <w:p>
            <w:pPr>
              <w:jc w:val="center"/>
              <w:ind w:right="299"/>
              <w:spacing w:after="0"/>
              <w:rPr>
                <w:sz w:val="20"/>
                <w:szCs w:val="20"/>
                <w:color w:val="auto"/>
              </w:rPr>
            </w:pPr>
            <w:r>
              <w:rPr>
                <w:rFonts w:ascii="Arial" w:cs="Arial" w:eastAsia="Arial" w:hAnsi="Arial"/>
                <w:sz w:val="14"/>
                <w:szCs w:val="14"/>
                <w:b w:val="1"/>
                <w:bCs w:val="1"/>
                <w:color w:val="FFFFFF"/>
              </w:rPr>
              <w:t>on</w:t>
            </w:r>
          </w:p>
        </w:tc>
        <w:tc>
          <w:tcPr>
            <w:tcW w:w="1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40" w:type="dxa"/>
            <w:vAlign w:val="bottom"/>
            <w:tcBorders>
              <w:left w:val="single" w:sz="8" w:color="424E6A"/>
            </w:tcBorders>
            <w:vMerge w:val="continue"/>
            <w:shd w:val="clear" w:color="auto" w:fill="424E6A"/>
          </w:tcPr>
          <w:p>
            <w:pPr>
              <w:spacing w:after="0"/>
              <w:rPr>
                <w:sz w:val="18"/>
                <w:szCs w:val="18"/>
                <w:color w:val="auto"/>
              </w:rPr>
            </w:pPr>
          </w:p>
        </w:tc>
        <w:tc>
          <w:tcPr>
            <w:tcW w:w="2220" w:type="dxa"/>
            <w:vAlign w:val="bottom"/>
            <w:tcBorders>
              <w:right w:val="single" w:sz="8" w:color="424E6A"/>
            </w:tcBorders>
            <w:shd w:val="clear" w:color="auto" w:fill="424E6A"/>
          </w:tcPr>
          <w:p>
            <w:pPr>
              <w:spacing w:after="0"/>
              <w:rPr>
                <w:sz w:val="18"/>
                <w:szCs w:val="18"/>
                <w:color w:val="auto"/>
              </w:rPr>
            </w:pPr>
          </w:p>
        </w:tc>
        <w:tc>
          <w:tcPr>
            <w:tcW w:w="14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Vesting (#)</w:t>
            </w:r>
            <w:r>
              <w:rPr>
                <w:rFonts w:ascii="Arial" w:cs="Arial" w:eastAsia="Arial" w:hAnsi="Arial"/>
                <w:sz w:val="17"/>
                <w:szCs w:val="17"/>
                <w:b w:val="1"/>
                <w:bCs w:val="1"/>
                <w:color w:val="FFFFFF"/>
                <w:w w:val="98"/>
                <w:vertAlign w:val="superscript"/>
              </w:rPr>
              <w:t>(1)</w:t>
            </w:r>
          </w:p>
        </w:tc>
        <w:tc>
          <w:tcPr>
            <w:tcW w:w="280" w:type="dxa"/>
            <w:vAlign w:val="bottom"/>
            <w:gridSpan w:val="2"/>
            <w:shd w:val="clear" w:color="auto" w:fill="424E6A"/>
          </w:tcPr>
          <w:p>
            <w:pPr>
              <w:ind w:left="120"/>
              <w:spacing w:after="0"/>
              <w:rPr>
                <w:sz w:val="20"/>
                <w:szCs w:val="20"/>
                <w:color w:val="auto"/>
              </w:rPr>
            </w:pPr>
            <w:r>
              <w:rPr>
                <w:rFonts w:ascii="Arial" w:cs="Arial" w:eastAsia="Arial" w:hAnsi="Arial"/>
                <w:sz w:val="14"/>
                <w:szCs w:val="14"/>
                <w:b w:val="1"/>
                <w:bCs w:val="1"/>
                <w:color w:val="FFFFFF"/>
              </w:rPr>
              <w:t>​ ​</w:t>
            </w:r>
          </w:p>
        </w:tc>
        <w:tc>
          <w:tcPr>
            <w:tcW w:w="10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Vesting ($)</w:t>
            </w:r>
          </w:p>
        </w:tc>
        <w:tc>
          <w:tcPr>
            <w:tcW w:w="120" w:type="dxa"/>
            <w:vAlign w:val="bottom"/>
            <w:tcBorders>
              <w:right w:val="single" w:sz="8" w:color="424E6A"/>
            </w:tcBorders>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40" w:type="dxa"/>
            <w:vAlign w:val="bottom"/>
            <w:tcBorders>
              <w:left w:val="single" w:sz="8" w:color="424E6A"/>
            </w:tcBorders>
          </w:tcPr>
          <w:p>
            <w:pPr>
              <w:ind w:left="60"/>
              <w:spacing w:after="0" w:line="189" w:lineRule="exact"/>
              <w:rPr>
                <w:sz w:val="20"/>
                <w:szCs w:val="20"/>
                <w:color w:val="auto"/>
              </w:rPr>
            </w:pPr>
            <w:r>
              <w:rPr>
                <w:rFonts w:ascii="Arial" w:cs="Arial" w:eastAsia="Arial" w:hAnsi="Arial"/>
                <w:sz w:val="18"/>
                <w:szCs w:val="18"/>
                <w:color w:val="auto"/>
              </w:rPr>
              <w:t>Willie Chiang</w:t>
            </w:r>
          </w:p>
        </w:tc>
        <w:tc>
          <w:tcPr>
            <w:tcW w:w="2220" w:type="dxa"/>
            <w:vAlign w:val="bottom"/>
            <w:tcBorders>
              <w:right w:val="single" w:sz="8" w:color="424E6A"/>
            </w:tcBorders>
            <w:vMerge w:val="restart"/>
          </w:tcPr>
          <w:p>
            <w:pPr>
              <w:ind w:left="216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62,870</w:t>
            </w:r>
          </w:p>
        </w:tc>
        <w:tc>
          <w:tcPr>
            <w:tcW w:w="180" w:type="dxa"/>
            <w:vAlign w:val="bottom"/>
            <w:tcBorders>
              <w:right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726,777</w:t>
            </w:r>
            <w:r>
              <w:rPr>
                <w:rFonts w:ascii="Arial" w:cs="Arial" w:eastAsia="Arial" w:hAnsi="Arial"/>
                <w:sz w:val="21"/>
                <w:szCs w:val="21"/>
                <w:color w:val="auto"/>
                <w:vertAlign w:val="superscript"/>
              </w:rPr>
              <w:t>(2)</w:t>
            </w:r>
          </w:p>
        </w:tc>
        <w:tc>
          <w:tcPr>
            <w:tcW w:w="120" w:type="dxa"/>
            <w:vAlign w:val="bottom"/>
            <w:tcBorders>
              <w:righ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440" w:type="dxa"/>
            <w:vAlign w:val="bottom"/>
            <w:tcBorders>
              <w:left w:val="single" w:sz="8" w:color="424E6A"/>
              <w:bottom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222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80" w:type="dxa"/>
            <w:vAlign w:val="bottom"/>
            <w:tcBorders>
              <w:bottom w:val="single" w:sz="8" w:color="424E6A"/>
            </w:tcBorders>
          </w:tcPr>
          <w:p>
            <w:pPr>
              <w:ind w:left="220"/>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00" w:type="dxa"/>
            <w:vAlign w:val="bottom"/>
            <w:tcBorders>
              <w:bottom w:val="single" w:sz="8" w:color="424E6A"/>
            </w:tcBorders>
            <w:vMerge w:val="continue"/>
          </w:tcPr>
          <w:p>
            <w:pPr>
              <w:spacing w:after="0"/>
              <w:rPr>
                <w:sz w:val="5"/>
                <w:szCs w:val="5"/>
                <w:color w:val="auto"/>
              </w:rPr>
            </w:pPr>
          </w:p>
        </w:tc>
        <w:tc>
          <w:tcPr>
            <w:tcW w:w="360" w:type="dxa"/>
            <w:vAlign w:val="bottom"/>
            <w:tcBorders>
              <w:bottom w:val="single" w:sz="8" w:color="424E6A"/>
            </w:tcBorders>
          </w:tcPr>
          <w:p>
            <w:pPr>
              <w:ind w:left="200"/>
              <w:spacing w:after="0" w:line="68" w:lineRule="exact"/>
              <w:rPr>
                <w:sz w:val="20"/>
                <w:szCs w:val="20"/>
                <w:color w:val="auto"/>
              </w:rPr>
            </w:pPr>
            <w:r>
              <w:rPr>
                <w:rFonts w:ascii="Arial" w:cs="Arial" w:eastAsia="Arial" w:hAnsi="Arial"/>
                <w:sz w:val="7"/>
                <w:szCs w:val="7"/>
                <w:color w:val="auto"/>
              </w:rPr>
              <w:t>​</w:t>
            </w:r>
          </w:p>
        </w:tc>
        <w:tc>
          <w:tcPr>
            <w:tcW w:w="68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34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220" w:type="dxa"/>
            <w:vAlign w:val="bottom"/>
            <w:tcBorders>
              <w:bottom w:val="single" w:sz="8" w:color="D9DCE1"/>
              <w:right w:val="single" w:sz="8" w:color="424E6A"/>
            </w:tcBorders>
            <w:shd w:val="clear" w:color="auto" w:fill="D9DCE1"/>
          </w:tcPr>
          <w:p>
            <w:pPr>
              <w:ind w:left="216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80" w:type="dxa"/>
            <w:vAlign w:val="bottom"/>
            <w:tcBorders>
              <w:bottom w:val="single" w:sz="8" w:color="D9DCE1"/>
            </w:tcBorders>
            <w:shd w:val="clear" w:color="auto" w:fill="D9DCE1"/>
          </w:tcPr>
          <w:p>
            <w:pPr>
              <w:ind w:left="22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D9DCE1"/>
            </w:tcBorders>
            <w:shd w:val="clear" w:color="auto" w:fill="D9DCE1"/>
          </w:tcPr>
          <w:p>
            <w:pPr>
              <w:ind w:left="200"/>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D9DCE1"/>
            </w:tcBorders>
            <w:shd w:val="clear" w:color="auto" w:fill="D9DCE1"/>
          </w:tcPr>
          <w:p>
            <w:pPr>
              <w:spacing w:after="0"/>
              <w:rPr>
                <w:sz w:val="24"/>
                <w:szCs w:val="24"/>
                <w:color w:val="auto"/>
              </w:rPr>
            </w:pPr>
          </w:p>
        </w:tc>
        <w:tc>
          <w:tcPr>
            <w:tcW w:w="120" w:type="dxa"/>
            <w:vAlign w:val="bottom"/>
            <w:tcBorders>
              <w:bottom w:val="single" w:sz="8" w:color="D9DCE1"/>
              <w:right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50"/>
        </w:trPr>
        <w:tc>
          <w:tcPr>
            <w:tcW w:w="3440" w:type="dxa"/>
            <w:vAlign w:val="bottom"/>
            <w:tcBorders>
              <w:top w:val="single" w:sz="8" w:color="424E6A"/>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Harry Pefanis</w:t>
            </w:r>
          </w:p>
        </w:tc>
        <w:tc>
          <w:tcPr>
            <w:tcW w:w="2220" w:type="dxa"/>
            <w:vAlign w:val="bottom"/>
            <w:tcBorders>
              <w:top w:val="single" w:sz="8" w:color="424E6A"/>
              <w:bottom w:val="single" w:sz="8" w:color="424E6A"/>
              <w:right w:val="single" w:sz="8" w:color="424E6A"/>
            </w:tcBorders>
          </w:tcPr>
          <w:p>
            <w:pPr>
              <w:ind w:left="2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424E6A"/>
              <w:bottom w:val="single" w:sz="8" w:color="424E6A"/>
            </w:tcBorders>
          </w:tcPr>
          <w:p>
            <w:pPr>
              <w:ind w:left="2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424E6A"/>
              <w:bottom w:val="single" w:sz="8" w:color="424E6A"/>
            </w:tcBorders>
          </w:tcPr>
          <w:p>
            <w:pPr>
              <w:ind w:left="3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424E6A"/>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424E6A"/>
              <w:bottom w:val="single" w:sz="8" w:color="424E6A"/>
            </w:tcBorders>
          </w:tcPr>
          <w:p>
            <w:pPr>
              <w:ind w:left="2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424E6A"/>
              <w:bottom w:val="single" w:sz="8" w:color="424E6A"/>
            </w:tcBorders>
          </w:tcPr>
          <w:p>
            <w:pPr>
              <w:jc w:val="right"/>
              <w:ind w:right="99"/>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424E6A"/>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9"/>
        </w:trPr>
        <w:tc>
          <w:tcPr>
            <w:tcW w:w="34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220" w:type="dxa"/>
            <w:vAlign w:val="bottom"/>
            <w:tcBorders>
              <w:bottom w:val="single" w:sz="8" w:color="D9DCE1"/>
              <w:right w:val="single" w:sz="8" w:color="424E6A"/>
            </w:tcBorders>
            <w:shd w:val="clear" w:color="auto" w:fill="D9DCE1"/>
          </w:tcPr>
          <w:p>
            <w:pPr>
              <w:ind w:left="216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80" w:type="dxa"/>
            <w:vAlign w:val="bottom"/>
            <w:tcBorders>
              <w:bottom w:val="single" w:sz="8" w:color="D9DCE1"/>
            </w:tcBorders>
            <w:shd w:val="clear" w:color="auto" w:fill="D9DCE1"/>
          </w:tcPr>
          <w:p>
            <w:pPr>
              <w:ind w:left="22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D9DCE1"/>
            </w:tcBorders>
            <w:shd w:val="clear" w:color="auto" w:fill="D9DCE1"/>
          </w:tcPr>
          <w:p>
            <w:pPr>
              <w:ind w:left="200"/>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D9DCE1"/>
            </w:tcBorders>
            <w:shd w:val="clear" w:color="auto" w:fill="D9DCE1"/>
          </w:tcPr>
          <w:p>
            <w:pPr>
              <w:spacing w:after="0"/>
              <w:rPr>
                <w:sz w:val="24"/>
                <w:szCs w:val="24"/>
                <w:color w:val="auto"/>
              </w:rPr>
            </w:pPr>
          </w:p>
        </w:tc>
        <w:tc>
          <w:tcPr>
            <w:tcW w:w="120" w:type="dxa"/>
            <w:vAlign w:val="bottom"/>
            <w:tcBorders>
              <w:bottom w:val="single" w:sz="8" w:color="D9DCE1"/>
              <w:right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Al Swanson</w:t>
            </w:r>
          </w:p>
        </w:tc>
        <w:tc>
          <w:tcPr>
            <w:tcW w:w="2220" w:type="dxa"/>
            <w:vAlign w:val="bottom"/>
            <w:tcBorders>
              <w:top w:val="single" w:sz="8" w:color="424E6A"/>
              <w:right w:val="single" w:sz="8" w:color="424E6A"/>
            </w:tcBorders>
            <w:vMerge w:val="restart"/>
          </w:tcPr>
          <w:p>
            <w:pPr>
              <w:ind w:left="2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424E6A"/>
            </w:tcBorders>
            <w:gridSpan w:val="2"/>
          </w:tcPr>
          <w:p>
            <w:pPr>
              <w:ind w:left="220"/>
              <w:spacing w:after="0" w:line="182" w:lineRule="exact"/>
              <w:rPr>
                <w:sz w:val="20"/>
                <w:szCs w:val="20"/>
                <w:color w:val="auto"/>
              </w:rPr>
            </w:pPr>
            <w:r>
              <w:rPr>
                <w:rFonts w:ascii="Arial" w:cs="Arial" w:eastAsia="Arial" w:hAnsi="Arial"/>
                <w:sz w:val="18"/>
                <w:szCs w:val="18"/>
                <w:color w:val="auto"/>
              </w:rPr>
              <w:t>25,150</w:t>
            </w:r>
          </w:p>
        </w:tc>
        <w:tc>
          <w:tcPr>
            <w:tcW w:w="180" w:type="dxa"/>
            <w:vAlign w:val="bottom"/>
            <w:tcBorders>
              <w:top w:val="single" w:sz="8" w:color="424E6A"/>
              <w:right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290,734</w:t>
            </w:r>
            <w:r>
              <w:rPr>
                <w:rFonts w:ascii="Arial" w:cs="Arial" w:eastAsia="Arial" w:hAnsi="Arial"/>
                <w:sz w:val="21"/>
                <w:szCs w:val="21"/>
                <w:color w:val="auto"/>
                <w:vertAlign w:val="superscript"/>
              </w:rPr>
              <w:t>(2)</w:t>
            </w:r>
          </w:p>
        </w:tc>
        <w:tc>
          <w:tcPr>
            <w:tcW w:w="120" w:type="dxa"/>
            <w:vAlign w:val="bottom"/>
            <w:tcBorders>
              <w:top w:val="single" w:sz="8" w:color="424E6A"/>
              <w:righ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440" w:type="dxa"/>
            <w:vAlign w:val="bottom"/>
            <w:tcBorders>
              <w:left w:val="single" w:sz="8" w:color="424E6A"/>
              <w:bottom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222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80" w:type="dxa"/>
            <w:vAlign w:val="bottom"/>
            <w:tcBorders>
              <w:bottom w:val="single" w:sz="8" w:color="424E6A"/>
            </w:tcBorders>
          </w:tcPr>
          <w:p>
            <w:pPr>
              <w:ind w:left="220"/>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00" w:type="dxa"/>
            <w:vAlign w:val="bottom"/>
            <w:tcBorders>
              <w:bottom w:val="single" w:sz="8" w:color="424E6A"/>
            </w:tcBorders>
            <w:vMerge w:val="continue"/>
          </w:tcPr>
          <w:p>
            <w:pPr>
              <w:spacing w:after="0"/>
              <w:rPr>
                <w:sz w:val="5"/>
                <w:szCs w:val="5"/>
                <w:color w:val="auto"/>
              </w:rPr>
            </w:pPr>
          </w:p>
        </w:tc>
        <w:tc>
          <w:tcPr>
            <w:tcW w:w="360" w:type="dxa"/>
            <w:vAlign w:val="bottom"/>
            <w:tcBorders>
              <w:bottom w:val="single" w:sz="8" w:color="424E6A"/>
            </w:tcBorders>
          </w:tcPr>
          <w:p>
            <w:pPr>
              <w:ind w:left="200"/>
              <w:spacing w:after="0" w:line="68" w:lineRule="exact"/>
              <w:rPr>
                <w:sz w:val="20"/>
                <w:szCs w:val="20"/>
                <w:color w:val="auto"/>
              </w:rPr>
            </w:pPr>
            <w:r>
              <w:rPr>
                <w:rFonts w:ascii="Arial" w:cs="Arial" w:eastAsia="Arial" w:hAnsi="Arial"/>
                <w:sz w:val="7"/>
                <w:szCs w:val="7"/>
                <w:color w:val="auto"/>
              </w:rPr>
              <w:t>​</w:t>
            </w:r>
          </w:p>
        </w:tc>
        <w:tc>
          <w:tcPr>
            <w:tcW w:w="68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34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220" w:type="dxa"/>
            <w:vAlign w:val="bottom"/>
            <w:tcBorders>
              <w:bottom w:val="single" w:sz="8" w:color="D9DCE1"/>
              <w:right w:val="single" w:sz="8" w:color="424E6A"/>
            </w:tcBorders>
            <w:shd w:val="clear" w:color="auto" w:fill="D9DCE1"/>
          </w:tcPr>
          <w:p>
            <w:pPr>
              <w:ind w:left="216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80" w:type="dxa"/>
            <w:vAlign w:val="bottom"/>
            <w:tcBorders>
              <w:bottom w:val="single" w:sz="8" w:color="D9DCE1"/>
            </w:tcBorders>
            <w:shd w:val="clear" w:color="auto" w:fill="D9DCE1"/>
          </w:tcPr>
          <w:p>
            <w:pPr>
              <w:ind w:left="22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D9DCE1"/>
            </w:tcBorders>
            <w:shd w:val="clear" w:color="auto" w:fill="D9DCE1"/>
          </w:tcPr>
          <w:p>
            <w:pPr>
              <w:ind w:left="200"/>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D9DCE1"/>
            </w:tcBorders>
            <w:shd w:val="clear" w:color="auto" w:fill="D9DCE1"/>
          </w:tcPr>
          <w:p>
            <w:pPr>
              <w:spacing w:after="0"/>
              <w:rPr>
                <w:sz w:val="24"/>
                <w:szCs w:val="24"/>
                <w:color w:val="auto"/>
              </w:rPr>
            </w:pPr>
          </w:p>
        </w:tc>
        <w:tc>
          <w:tcPr>
            <w:tcW w:w="120" w:type="dxa"/>
            <w:vAlign w:val="bottom"/>
            <w:tcBorders>
              <w:bottom w:val="single" w:sz="8" w:color="D9DCE1"/>
              <w:right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Richard McGee</w:t>
            </w:r>
          </w:p>
        </w:tc>
        <w:tc>
          <w:tcPr>
            <w:tcW w:w="2220" w:type="dxa"/>
            <w:vAlign w:val="bottom"/>
            <w:tcBorders>
              <w:top w:val="single" w:sz="8" w:color="424E6A"/>
              <w:right w:val="single" w:sz="8" w:color="424E6A"/>
            </w:tcBorders>
            <w:vMerge w:val="restart"/>
          </w:tcPr>
          <w:p>
            <w:pPr>
              <w:ind w:left="2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424E6A"/>
            </w:tcBorders>
            <w:gridSpan w:val="2"/>
          </w:tcPr>
          <w:p>
            <w:pPr>
              <w:ind w:left="220"/>
              <w:spacing w:after="0" w:line="182" w:lineRule="exact"/>
              <w:rPr>
                <w:sz w:val="20"/>
                <w:szCs w:val="20"/>
                <w:color w:val="auto"/>
              </w:rPr>
            </w:pPr>
            <w:r>
              <w:rPr>
                <w:rFonts w:ascii="Arial" w:cs="Arial" w:eastAsia="Arial" w:hAnsi="Arial"/>
                <w:sz w:val="18"/>
                <w:szCs w:val="18"/>
                <w:color w:val="auto"/>
              </w:rPr>
              <w:t>25,150</w:t>
            </w:r>
          </w:p>
        </w:tc>
        <w:tc>
          <w:tcPr>
            <w:tcW w:w="180" w:type="dxa"/>
            <w:vAlign w:val="bottom"/>
            <w:tcBorders>
              <w:top w:val="single" w:sz="8" w:color="424E6A"/>
              <w:right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290,734</w:t>
            </w:r>
            <w:r>
              <w:rPr>
                <w:rFonts w:ascii="Arial" w:cs="Arial" w:eastAsia="Arial" w:hAnsi="Arial"/>
                <w:sz w:val="21"/>
                <w:szCs w:val="21"/>
                <w:color w:val="auto"/>
                <w:vertAlign w:val="superscript"/>
              </w:rPr>
              <w:t>(2)</w:t>
            </w:r>
          </w:p>
        </w:tc>
        <w:tc>
          <w:tcPr>
            <w:tcW w:w="120" w:type="dxa"/>
            <w:vAlign w:val="bottom"/>
            <w:tcBorders>
              <w:top w:val="single" w:sz="8" w:color="424E6A"/>
              <w:righ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3440" w:type="dxa"/>
            <w:vAlign w:val="bottom"/>
            <w:tcBorders>
              <w:left w:val="single" w:sz="8" w:color="424E6A"/>
              <w:bottom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222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80" w:type="dxa"/>
            <w:vAlign w:val="bottom"/>
            <w:tcBorders>
              <w:bottom w:val="single" w:sz="8" w:color="424E6A"/>
            </w:tcBorders>
          </w:tcPr>
          <w:p>
            <w:pPr>
              <w:ind w:left="220"/>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00" w:type="dxa"/>
            <w:vAlign w:val="bottom"/>
            <w:tcBorders>
              <w:bottom w:val="single" w:sz="8" w:color="424E6A"/>
            </w:tcBorders>
            <w:vMerge w:val="continue"/>
          </w:tcPr>
          <w:p>
            <w:pPr>
              <w:spacing w:after="0"/>
              <w:rPr>
                <w:sz w:val="5"/>
                <w:szCs w:val="5"/>
                <w:color w:val="auto"/>
              </w:rPr>
            </w:pPr>
          </w:p>
        </w:tc>
        <w:tc>
          <w:tcPr>
            <w:tcW w:w="360" w:type="dxa"/>
            <w:vAlign w:val="bottom"/>
            <w:tcBorders>
              <w:bottom w:val="single" w:sz="8" w:color="424E6A"/>
            </w:tcBorders>
          </w:tcPr>
          <w:p>
            <w:pPr>
              <w:ind w:left="200"/>
              <w:spacing w:after="0" w:line="68" w:lineRule="exact"/>
              <w:rPr>
                <w:sz w:val="20"/>
                <w:szCs w:val="20"/>
                <w:color w:val="auto"/>
              </w:rPr>
            </w:pPr>
            <w:r>
              <w:rPr>
                <w:rFonts w:ascii="Arial" w:cs="Arial" w:eastAsia="Arial" w:hAnsi="Arial"/>
                <w:sz w:val="7"/>
                <w:szCs w:val="7"/>
                <w:color w:val="auto"/>
              </w:rPr>
              <w:t>​</w:t>
            </w:r>
          </w:p>
        </w:tc>
        <w:tc>
          <w:tcPr>
            <w:tcW w:w="68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34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220" w:type="dxa"/>
            <w:vAlign w:val="bottom"/>
            <w:tcBorders>
              <w:bottom w:val="single" w:sz="8" w:color="D9DCE1"/>
              <w:right w:val="single" w:sz="8" w:color="424E6A"/>
            </w:tcBorders>
            <w:shd w:val="clear" w:color="auto" w:fill="D9DCE1"/>
          </w:tcPr>
          <w:p>
            <w:pPr>
              <w:ind w:left="216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80" w:type="dxa"/>
            <w:vAlign w:val="bottom"/>
            <w:tcBorders>
              <w:bottom w:val="single" w:sz="8" w:color="D9DCE1"/>
            </w:tcBorders>
            <w:shd w:val="clear" w:color="auto" w:fill="D9DCE1"/>
          </w:tcPr>
          <w:p>
            <w:pPr>
              <w:ind w:left="22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D9DCE1"/>
            </w:tcBorders>
            <w:shd w:val="clear" w:color="auto" w:fill="D9DCE1"/>
          </w:tcPr>
          <w:p>
            <w:pPr>
              <w:ind w:left="200"/>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D9DCE1"/>
            </w:tcBorders>
            <w:shd w:val="clear" w:color="auto" w:fill="D9DCE1"/>
          </w:tcPr>
          <w:p>
            <w:pPr>
              <w:spacing w:after="0"/>
              <w:rPr>
                <w:sz w:val="24"/>
                <w:szCs w:val="24"/>
                <w:color w:val="auto"/>
              </w:rPr>
            </w:pPr>
          </w:p>
        </w:tc>
        <w:tc>
          <w:tcPr>
            <w:tcW w:w="120" w:type="dxa"/>
            <w:vAlign w:val="bottom"/>
            <w:tcBorders>
              <w:bottom w:val="single" w:sz="8" w:color="D9DCE1"/>
              <w:right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Chris Chandler</w:t>
            </w:r>
          </w:p>
        </w:tc>
        <w:tc>
          <w:tcPr>
            <w:tcW w:w="2220" w:type="dxa"/>
            <w:vAlign w:val="bottom"/>
            <w:tcBorders>
              <w:top w:val="single" w:sz="8" w:color="424E6A"/>
              <w:right w:val="single" w:sz="8" w:color="424E6A"/>
            </w:tcBorders>
            <w:vMerge w:val="restart"/>
          </w:tcPr>
          <w:p>
            <w:pPr>
              <w:ind w:left="2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424E6A"/>
            </w:tcBorders>
            <w:gridSpan w:val="2"/>
          </w:tcPr>
          <w:p>
            <w:pPr>
              <w:ind w:left="220"/>
              <w:spacing w:after="0" w:line="182" w:lineRule="exact"/>
              <w:rPr>
                <w:sz w:val="20"/>
                <w:szCs w:val="20"/>
                <w:color w:val="auto"/>
              </w:rPr>
            </w:pPr>
            <w:r>
              <w:rPr>
                <w:rFonts w:ascii="Arial" w:cs="Arial" w:eastAsia="Arial" w:hAnsi="Arial"/>
                <w:sz w:val="18"/>
                <w:szCs w:val="18"/>
                <w:color w:val="auto"/>
              </w:rPr>
              <w:t>25,150</w:t>
            </w:r>
          </w:p>
        </w:tc>
        <w:tc>
          <w:tcPr>
            <w:tcW w:w="180" w:type="dxa"/>
            <w:vAlign w:val="bottom"/>
            <w:tcBorders>
              <w:top w:val="single" w:sz="8" w:color="424E6A"/>
              <w:right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290,734</w:t>
            </w:r>
            <w:r>
              <w:rPr>
                <w:rFonts w:ascii="Arial" w:cs="Arial" w:eastAsia="Arial" w:hAnsi="Arial"/>
                <w:sz w:val="21"/>
                <w:szCs w:val="21"/>
                <w:color w:val="auto"/>
                <w:vertAlign w:val="superscript"/>
              </w:rPr>
              <w:t>(2)</w:t>
            </w:r>
          </w:p>
        </w:tc>
        <w:tc>
          <w:tcPr>
            <w:tcW w:w="120" w:type="dxa"/>
            <w:vAlign w:val="bottom"/>
            <w:tcBorders>
              <w:top w:val="single" w:sz="8" w:color="424E6A"/>
              <w:righ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440" w:type="dxa"/>
            <w:vAlign w:val="bottom"/>
            <w:tcBorders>
              <w:left w:val="single" w:sz="8" w:color="424E6A"/>
              <w:bottom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222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80" w:type="dxa"/>
            <w:vAlign w:val="bottom"/>
            <w:tcBorders>
              <w:bottom w:val="single" w:sz="8" w:color="424E6A"/>
            </w:tcBorders>
          </w:tcPr>
          <w:p>
            <w:pPr>
              <w:ind w:left="220"/>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00" w:type="dxa"/>
            <w:vAlign w:val="bottom"/>
            <w:tcBorders>
              <w:bottom w:val="single" w:sz="8" w:color="424E6A"/>
            </w:tcBorders>
            <w:vMerge w:val="continue"/>
          </w:tcPr>
          <w:p>
            <w:pPr>
              <w:spacing w:after="0"/>
              <w:rPr>
                <w:sz w:val="5"/>
                <w:szCs w:val="5"/>
                <w:color w:val="auto"/>
              </w:rPr>
            </w:pPr>
          </w:p>
        </w:tc>
        <w:tc>
          <w:tcPr>
            <w:tcW w:w="360" w:type="dxa"/>
            <w:vAlign w:val="bottom"/>
            <w:tcBorders>
              <w:bottom w:val="single" w:sz="8" w:color="424E6A"/>
            </w:tcBorders>
          </w:tcPr>
          <w:p>
            <w:pPr>
              <w:ind w:left="200"/>
              <w:spacing w:after="0" w:line="68" w:lineRule="exact"/>
              <w:rPr>
                <w:sz w:val="20"/>
                <w:szCs w:val="20"/>
                <w:color w:val="auto"/>
              </w:rPr>
            </w:pPr>
            <w:r>
              <w:rPr>
                <w:rFonts w:ascii="Arial" w:cs="Arial" w:eastAsia="Arial" w:hAnsi="Arial"/>
                <w:sz w:val="7"/>
                <w:szCs w:val="7"/>
                <w:color w:val="auto"/>
              </w:rPr>
              <w:t>​</w:t>
            </w:r>
          </w:p>
        </w:tc>
        <w:tc>
          <w:tcPr>
            <w:tcW w:w="68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4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2220" w:type="dxa"/>
            <w:vAlign w:val="bottom"/>
            <w:tcBorders>
              <w:right w:val="single" w:sz="8" w:color="424E6A"/>
            </w:tcBorders>
            <w:vMerge w:val="restart"/>
          </w:tcPr>
          <w:p>
            <w:pPr>
              <w:ind w:left="216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220"/>
              <w:spacing w:after="0" w:line="182" w:lineRule="exact"/>
              <w:rPr>
                <w:sz w:val="20"/>
                <w:szCs w:val="20"/>
                <w:color w:val="auto"/>
              </w:rPr>
            </w:pPr>
            <w:r>
              <w:rPr>
                <w:rFonts w:ascii="Arial" w:cs="Arial" w:eastAsia="Arial" w:hAnsi="Arial"/>
                <w:sz w:val="18"/>
                <w:szCs w:val="18"/>
                <w:color w:val="auto"/>
              </w:rPr>
              <w:t>45,000</w:t>
            </w:r>
          </w:p>
        </w:tc>
        <w:tc>
          <w:tcPr>
            <w:tcW w:w="180" w:type="dxa"/>
            <w:vAlign w:val="bottom"/>
            <w:tcBorders>
              <w:right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459,450</w:t>
            </w:r>
            <w:r>
              <w:rPr>
                <w:rFonts w:ascii="Arial" w:cs="Arial" w:eastAsia="Arial" w:hAnsi="Arial"/>
                <w:sz w:val="21"/>
                <w:szCs w:val="21"/>
                <w:color w:val="auto"/>
                <w:vertAlign w:val="superscript"/>
              </w:rPr>
              <w:t>(3)</w:t>
            </w:r>
          </w:p>
        </w:tc>
        <w:tc>
          <w:tcPr>
            <w:tcW w:w="120" w:type="dxa"/>
            <w:vAlign w:val="bottom"/>
            <w:tcBorders>
              <w:righ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440" w:type="dxa"/>
            <w:vAlign w:val="bottom"/>
            <w:tcBorders>
              <w:left w:val="single" w:sz="8" w:color="424E6A"/>
              <w:bottom w:val="single" w:sz="8" w:color="424E6A"/>
            </w:tcBorders>
            <w:vMerge w:val="continue"/>
          </w:tcPr>
          <w:p>
            <w:pPr>
              <w:spacing w:after="0"/>
              <w:rPr>
                <w:sz w:val="5"/>
                <w:szCs w:val="5"/>
                <w:color w:val="auto"/>
              </w:rPr>
            </w:pPr>
          </w:p>
        </w:tc>
        <w:tc>
          <w:tcPr>
            <w:tcW w:w="222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80" w:type="dxa"/>
            <w:vAlign w:val="bottom"/>
            <w:tcBorders>
              <w:bottom w:val="single" w:sz="8" w:color="424E6A"/>
            </w:tcBorders>
          </w:tcPr>
          <w:p>
            <w:pPr>
              <w:ind w:left="220"/>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00" w:type="dxa"/>
            <w:vAlign w:val="bottom"/>
            <w:tcBorders>
              <w:bottom w:val="single" w:sz="8" w:color="424E6A"/>
            </w:tcBorders>
            <w:vMerge w:val="continue"/>
          </w:tcPr>
          <w:p>
            <w:pPr>
              <w:spacing w:after="0"/>
              <w:rPr>
                <w:sz w:val="5"/>
                <w:szCs w:val="5"/>
                <w:color w:val="auto"/>
              </w:rPr>
            </w:pPr>
          </w:p>
        </w:tc>
        <w:tc>
          <w:tcPr>
            <w:tcW w:w="360" w:type="dxa"/>
            <w:vAlign w:val="bottom"/>
            <w:tcBorders>
              <w:bottom w:val="single" w:sz="8" w:color="424E6A"/>
            </w:tcBorders>
          </w:tcPr>
          <w:p>
            <w:pPr>
              <w:ind w:left="200"/>
              <w:spacing w:after="0" w:line="68" w:lineRule="exact"/>
              <w:rPr>
                <w:sz w:val="20"/>
                <w:szCs w:val="20"/>
                <w:color w:val="auto"/>
              </w:rPr>
            </w:pPr>
            <w:r>
              <w:rPr>
                <w:rFonts w:ascii="Arial" w:cs="Arial" w:eastAsia="Arial" w:hAnsi="Arial"/>
                <w:sz w:val="7"/>
                <w:szCs w:val="7"/>
                <w:color w:val="auto"/>
              </w:rPr>
              <w:t>​</w:t>
            </w:r>
          </w:p>
        </w:tc>
        <w:tc>
          <w:tcPr>
            <w:tcW w:w="68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34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220" w:type="dxa"/>
            <w:vAlign w:val="bottom"/>
            <w:tcBorders>
              <w:bottom w:val="single" w:sz="8" w:color="D9DCE1"/>
              <w:right w:val="single" w:sz="8" w:color="424E6A"/>
            </w:tcBorders>
            <w:shd w:val="clear" w:color="auto" w:fill="D9DCE1"/>
          </w:tcPr>
          <w:p>
            <w:pPr>
              <w:ind w:left="216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80" w:type="dxa"/>
            <w:vAlign w:val="bottom"/>
            <w:tcBorders>
              <w:bottom w:val="single" w:sz="8" w:color="D9DCE1"/>
            </w:tcBorders>
            <w:shd w:val="clear" w:color="auto" w:fill="D9DCE1"/>
          </w:tcPr>
          <w:p>
            <w:pPr>
              <w:ind w:left="22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D9DCE1"/>
            </w:tcBorders>
            <w:shd w:val="clear" w:color="auto" w:fill="D9DCE1"/>
          </w:tcPr>
          <w:p>
            <w:pPr>
              <w:ind w:left="200"/>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D9DCE1"/>
            </w:tcBorders>
            <w:shd w:val="clear" w:color="auto" w:fill="D9DCE1"/>
          </w:tcPr>
          <w:p>
            <w:pPr>
              <w:spacing w:after="0"/>
              <w:rPr>
                <w:sz w:val="24"/>
                <w:szCs w:val="24"/>
                <w:color w:val="auto"/>
              </w:rPr>
            </w:pPr>
          </w:p>
        </w:tc>
        <w:tc>
          <w:tcPr>
            <w:tcW w:w="120" w:type="dxa"/>
            <w:vAlign w:val="bottom"/>
            <w:tcBorders>
              <w:bottom w:val="single" w:sz="8" w:color="D9DCE1"/>
              <w:right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Jeremy Goebel</w:t>
            </w:r>
          </w:p>
        </w:tc>
        <w:tc>
          <w:tcPr>
            <w:tcW w:w="2220" w:type="dxa"/>
            <w:vAlign w:val="bottom"/>
            <w:tcBorders>
              <w:top w:val="single" w:sz="8" w:color="424E6A"/>
              <w:right w:val="single" w:sz="8" w:color="424E6A"/>
            </w:tcBorders>
            <w:vMerge w:val="restart"/>
          </w:tcPr>
          <w:p>
            <w:pPr>
              <w:ind w:left="2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424E6A"/>
            </w:tcBorders>
            <w:gridSpan w:val="2"/>
          </w:tcPr>
          <w:p>
            <w:pPr>
              <w:ind w:left="220"/>
              <w:spacing w:after="0" w:line="182" w:lineRule="exact"/>
              <w:rPr>
                <w:sz w:val="20"/>
                <w:szCs w:val="20"/>
                <w:color w:val="auto"/>
              </w:rPr>
            </w:pPr>
            <w:r>
              <w:rPr>
                <w:rFonts w:ascii="Arial" w:cs="Arial" w:eastAsia="Arial" w:hAnsi="Arial"/>
                <w:sz w:val="18"/>
                <w:szCs w:val="18"/>
                <w:color w:val="auto"/>
              </w:rPr>
              <w:t>25,150</w:t>
            </w:r>
          </w:p>
        </w:tc>
        <w:tc>
          <w:tcPr>
            <w:tcW w:w="180" w:type="dxa"/>
            <w:vAlign w:val="bottom"/>
            <w:tcBorders>
              <w:top w:val="single" w:sz="8" w:color="424E6A"/>
              <w:right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290,734</w:t>
            </w:r>
            <w:r>
              <w:rPr>
                <w:rFonts w:ascii="Arial" w:cs="Arial" w:eastAsia="Arial" w:hAnsi="Arial"/>
                <w:sz w:val="21"/>
                <w:szCs w:val="21"/>
                <w:color w:val="auto"/>
                <w:vertAlign w:val="superscript"/>
              </w:rPr>
              <w:t>(2)</w:t>
            </w:r>
          </w:p>
        </w:tc>
        <w:tc>
          <w:tcPr>
            <w:tcW w:w="120" w:type="dxa"/>
            <w:vAlign w:val="bottom"/>
            <w:tcBorders>
              <w:top w:val="single" w:sz="8" w:color="424E6A"/>
              <w:righ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440" w:type="dxa"/>
            <w:vAlign w:val="bottom"/>
            <w:tcBorders>
              <w:left w:val="single" w:sz="8" w:color="424E6A"/>
              <w:bottom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222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80" w:type="dxa"/>
            <w:vAlign w:val="bottom"/>
            <w:tcBorders>
              <w:bottom w:val="single" w:sz="8" w:color="424E6A"/>
            </w:tcBorders>
          </w:tcPr>
          <w:p>
            <w:pPr>
              <w:ind w:left="220"/>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00" w:type="dxa"/>
            <w:vAlign w:val="bottom"/>
            <w:tcBorders>
              <w:bottom w:val="single" w:sz="8" w:color="424E6A"/>
            </w:tcBorders>
            <w:vMerge w:val="continue"/>
          </w:tcPr>
          <w:p>
            <w:pPr>
              <w:spacing w:after="0"/>
              <w:rPr>
                <w:sz w:val="5"/>
                <w:szCs w:val="5"/>
                <w:color w:val="auto"/>
              </w:rPr>
            </w:pPr>
          </w:p>
        </w:tc>
        <w:tc>
          <w:tcPr>
            <w:tcW w:w="360" w:type="dxa"/>
            <w:vAlign w:val="bottom"/>
            <w:tcBorders>
              <w:bottom w:val="single" w:sz="8" w:color="424E6A"/>
            </w:tcBorders>
          </w:tcPr>
          <w:p>
            <w:pPr>
              <w:ind w:left="200"/>
              <w:spacing w:after="0" w:line="68" w:lineRule="exact"/>
              <w:rPr>
                <w:sz w:val="20"/>
                <w:szCs w:val="20"/>
                <w:color w:val="auto"/>
              </w:rPr>
            </w:pPr>
            <w:r>
              <w:rPr>
                <w:rFonts w:ascii="Arial" w:cs="Arial" w:eastAsia="Arial" w:hAnsi="Arial"/>
                <w:sz w:val="7"/>
                <w:szCs w:val="7"/>
                <w:color w:val="auto"/>
              </w:rPr>
              <w:t>​</w:t>
            </w:r>
          </w:p>
        </w:tc>
        <w:tc>
          <w:tcPr>
            <w:tcW w:w="68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4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2220" w:type="dxa"/>
            <w:vAlign w:val="bottom"/>
            <w:tcBorders>
              <w:right w:val="single" w:sz="8" w:color="424E6A"/>
            </w:tcBorders>
            <w:vMerge w:val="restart"/>
          </w:tcPr>
          <w:p>
            <w:pPr>
              <w:ind w:left="216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220"/>
              <w:spacing w:after="0" w:line="182" w:lineRule="exact"/>
              <w:rPr>
                <w:sz w:val="20"/>
                <w:szCs w:val="20"/>
                <w:color w:val="auto"/>
              </w:rPr>
            </w:pPr>
            <w:r>
              <w:rPr>
                <w:rFonts w:ascii="Arial" w:cs="Arial" w:eastAsia="Arial" w:hAnsi="Arial"/>
                <w:sz w:val="18"/>
                <w:szCs w:val="18"/>
                <w:color w:val="auto"/>
              </w:rPr>
              <w:t>30,000</w:t>
            </w:r>
          </w:p>
        </w:tc>
        <w:tc>
          <w:tcPr>
            <w:tcW w:w="180" w:type="dxa"/>
            <w:vAlign w:val="bottom"/>
            <w:tcBorders>
              <w:right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280,200</w:t>
            </w:r>
            <w:r>
              <w:rPr>
                <w:rFonts w:ascii="Arial" w:cs="Arial" w:eastAsia="Arial" w:hAnsi="Arial"/>
                <w:sz w:val="21"/>
                <w:szCs w:val="21"/>
                <w:color w:val="auto"/>
                <w:vertAlign w:val="superscript"/>
              </w:rPr>
              <w:t>(4)</w:t>
            </w:r>
          </w:p>
        </w:tc>
        <w:tc>
          <w:tcPr>
            <w:tcW w:w="120" w:type="dxa"/>
            <w:vAlign w:val="bottom"/>
            <w:tcBorders>
              <w:righ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440" w:type="dxa"/>
            <w:vAlign w:val="bottom"/>
            <w:tcBorders>
              <w:left w:val="single" w:sz="8" w:color="424E6A"/>
              <w:bottom w:val="single" w:sz="8" w:color="424E6A"/>
            </w:tcBorders>
            <w:vMerge w:val="continue"/>
          </w:tcPr>
          <w:p>
            <w:pPr>
              <w:spacing w:after="0"/>
              <w:rPr>
                <w:sz w:val="5"/>
                <w:szCs w:val="5"/>
                <w:color w:val="auto"/>
              </w:rPr>
            </w:pPr>
          </w:p>
        </w:tc>
        <w:tc>
          <w:tcPr>
            <w:tcW w:w="2220" w:type="dxa"/>
            <w:vAlign w:val="bottom"/>
            <w:tcBorders>
              <w:bottom w:val="single" w:sz="8" w:color="424E6A"/>
              <w:right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80" w:type="dxa"/>
            <w:vAlign w:val="bottom"/>
            <w:tcBorders>
              <w:bottom w:val="single" w:sz="8" w:color="424E6A"/>
            </w:tcBorders>
          </w:tcPr>
          <w:p>
            <w:pPr>
              <w:ind w:left="220"/>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00" w:type="dxa"/>
            <w:vAlign w:val="bottom"/>
            <w:tcBorders>
              <w:bottom w:val="single" w:sz="8" w:color="424E6A"/>
            </w:tcBorders>
            <w:vMerge w:val="continue"/>
          </w:tcPr>
          <w:p>
            <w:pPr>
              <w:spacing w:after="0"/>
              <w:rPr>
                <w:sz w:val="5"/>
                <w:szCs w:val="5"/>
                <w:color w:val="auto"/>
              </w:rPr>
            </w:pPr>
          </w:p>
        </w:tc>
        <w:tc>
          <w:tcPr>
            <w:tcW w:w="360" w:type="dxa"/>
            <w:vAlign w:val="bottom"/>
            <w:tcBorders>
              <w:bottom w:val="single" w:sz="8" w:color="424E6A"/>
            </w:tcBorders>
          </w:tcPr>
          <w:p>
            <w:pPr>
              <w:ind w:left="200"/>
              <w:spacing w:after="0" w:line="68" w:lineRule="exact"/>
              <w:rPr>
                <w:sz w:val="20"/>
                <w:szCs w:val="20"/>
                <w:color w:val="auto"/>
              </w:rPr>
            </w:pPr>
            <w:r>
              <w:rPr>
                <w:rFonts w:ascii="Arial" w:cs="Arial" w:eastAsia="Arial" w:hAnsi="Arial"/>
                <w:sz w:val="7"/>
                <w:szCs w:val="7"/>
                <w:color w:val="auto"/>
              </w:rPr>
              <w:t>​</w:t>
            </w:r>
          </w:p>
        </w:tc>
        <w:tc>
          <w:tcPr>
            <w:tcW w:w="68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20" w:right="639" w:hanging="360"/>
        <w:spacing w:after="0" w:line="210"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Represents the gross number of phantom units that vested during the year ended December 31, 2022. The actual number of units delivered was net of income tax withholding.</w:t>
      </w:r>
    </w:p>
    <w:p>
      <w:pPr>
        <w:spacing w:after="0" w:line="87" w:lineRule="exact"/>
        <w:rPr>
          <w:rFonts w:ascii="Arial" w:cs="Arial" w:eastAsia="Arial" w:hAnsi="Arial"/>
          <w:sz w:val="27"/>
          <w:szCs w:val="27"/>
          <w:color w:val="auto"/>
          <w:vertAlign w:val="superscript"/>
        </w:rPr>
      </w:pPr>
    </w:p>
    <w:p>
      <w:pPr>
        <w:ind w:left="1620" w:right="579" w:hanging="360"/>
        <w:spacing w:after="0" w:line="228"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($11.56) of PAA’s common units on August 11, 2022 (the trading date immediately preceding the vesting date) by the number of units that vested.</w:t>
      </w:r>
    </w:p>
    <w:p>
      <w:pPr>
        <w:spacing w:after="0" w:line="87" w:lineRule="exact"/>
        <w:rPr>
          <w:rFonts w:ascii="Arial" w:cs="Arial" w:eastAsia="Arial" w:hAnsi="Arial"/>
          <w:sz w:val="27"/>
          <w:szCs w:val="27"/>
          <w:color w:val="auto"/>
          <w:vertAlign w:val="superscript"/>
        </w:rPr>
      </w:pPr>
    </w:p>
    <w:p>
      <w:pPr>
        <w:ind w:left="1620" w:right="439" w:hanging="360"/>
        <w:spacing w:after="0" w:line="228"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($10.21) of PAA’s common units on May 12, 2022 (the trading date immediately preceding the vesting date) by the number of units that vested.</w:t>
      </w:r>
    </w:p>
    <w:p>
      <w:pPr>
        <w:spacing w:after="0" w:line="87" w:lineRule="exact"/>
        <w:rPr>
          <w:rFonts w:ascii="Arial" w:cs="Arial" w:eastAsia="Arial" w:hAnsi="Arial"/>
          <w:sz w:val="27"/>
          <w:szCs w:val="27"/>
          <w:color w:val="auto"/>
          <w:vertAlign w:val="superscript"/>
        </w:rPr>
      </w:pPr>
    </w:p>
    <w:p>
      <w:pPr>
        <w:jc w:val="both"/>
        <w:ind w:left="1620" w:right="879" w:hanging="360"/>
        <w:spacing w:after="0" w:line="228"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($9.34) of PAA’s common units on December 31, 2021 (the trading date immediately preceding the vesting date) by the number of units that vested.</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w:t>
      </w:r>
    </w:p>
    <w:p>
      <w:pPr>
        <w:spacing w:after="0" w:line="144" w:lineRule="exact"/>
        <w:rPr>
          <w:sz w:val="20"/>
          <w:szCs w:val="20"/>
          <w:color w:val="auto"/>
        </w:rPr>
      </w:pPr>
    </w:p>
    <w:p>
      <w:pPr>
        <w:jc w:val="both"/>
        <w:ind w:left="1260" w:right="739" w:firstLine="360"/>
        <w:spacing w:after="0" w:line="284" w:lineRule="auto"/>
        <w:rPr>
          <w:sz w:val="20"/>
          <w:szCs w:val="20"/>
          <w:color w:val="auto"/>
        </w:rPr>
      </w:pPr>
      <w:r>
        <w:rPr>
          <w:rFonts w:ascii="Arial" w:cs="Arial" w:eastAsia="Arial" w:hAnsi="Arial"/>
          <w:sz w:val="18"/>
          <w:szCs w:val="18"/>
          <w:color w:val="auto"/>
        </w:rPr>
        <w:t>GP LLC sponsors a 401(k) plan that is available to all U.S. employees. We do not maintain any pension or defined benefit programs in which any of our employees, including the Named Executive Officers, participate.</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158" w:lineRule="exact"/>
        <w:rPr>
          <w:sz w:val="20"/>
          <w:szCs w:val="20"/>
          <w:color w:val="auto"/>
        </w:rPr>
      </w:pPr>
    </w:p>
    <w:p>
      <w:pPr>
        <w:ind w:left="1260" w:right="459" w:firstLine="360"/>
        <w:spacing w:after="0" w:line="303" w:lineRule="auto"/>
        <w:rPr>
          <w:sz w:val="20"/>
          <w:szCs w:val="20"/>
          <w:color w:val="auto"/>
        </w:rPr>
      </w:pPr>
      <w:r>
        <w:rPr>
          <w:rFonts w:ascii="Arial" w:cs="Arial" w:eastAsia="Arial" w:hAnsi="Arial"/>
          <w:sz w:val="18"/>
          <w:szCs w:val="18"/>
          <w:color w:val="auto"/>
        </w:rPr>
        <w:t>We do not maintain any nonqualified deferred compensation plans or programs in which any of our employees, including our Named Executive Officers, participate.</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58" w:lineRule="exact"/>
        <w:rPr>
          <w:sz w:val="20"/>
          <w:szCs w:val="20"/>
          <w:color w:val="auto"/>
        </w:rPr>
      </w:pPr>
    </w:p>
    <w:p>
      <w:pPr>
        <w:ind w:left="1260" w:right="599" w:firstLine="360"/>
        <w:spacing w:after="0" w:line="318" w:lineRule="auto"/>
        <w:rPr>
          <w:sz w:val="20"/>
          <w:szCs w:val="20"/>
          <w:color w:val="auto"/>
        </w:rPr>
      </w:pPr>
      <w:r>
        <w:rPr>
          <w:rFonts w:ascii="Arial" w:cs="Arial" w:eastAsia="Arial" w:hAnsi="Arial"/>
          <w:sz w:val="17"/>
          <w:szCs w:val="17"/>
          <w:color w:val="auto"/>
        </w:rPr>
        <w:t>The following table sets forth potential amounts payable to the Named Executive Officers upon termination of employment under various circumstances, and as if terminated on December 31, 2022.</w:t>
      </w:r>
    </w:p>
    <w:p>
      <w:pPr>
        <w:spacing w:after="0" w:line="108"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40" w:type="dxa"/>
            <w:vAlign w:val="bottom"/>
            <w:tcBorders>
              <w:left w:val="single" w:sz="8" w:color="424E6A"/>
            </w:tcBorders>
            <w:shd w:val="clear" w:color="auto" w:fill="424E6A"/>
          </w:tcPr>
          <w:p>
            <w:pPr>
              <w:spacing w:after="0"/>
              <w:rPr>
                <w:sz w:val="21"/>
                <w:szCs w:val="21"/>
                <w:color w:val="auto"/>
              </w:rPr>
            </w:pPr>
          </w:p>
        </w:tc>
        <w:tc>
          <w:tcPr>
            <w:tcW w:w="1680" w:type="dxa"/>
            <w:vAlign w:val="bottom"/>
            <w:shd w:val="clear" w:color="auto" w:fill="424E6A"/>
          </w:tcPr>
          <w:p>
            <w:pPr>
              <w:spacing w:after="0"/>
              <w:rPr>
                <w:sz w:val="21"/>
                <w:szCs w:val="21"/>
                <w:color w:val="auto"/>
              </w:rPr>
            </w:pPr>
          </w:p>
        </w:tc>
        <w:tc>
          <w:tcPr>
            <w:tcW w:w="240" w:type="dxa"/>
            <w:vAlign w:val="bottom"/>
            <w:tcBorders>
              <w:right w:val="single" w:sz="8" w:color="424E6A"/>
            </w:tcBorders>
            <w:shd w:val="clear" w:color="auto" w:fill="424E6A"/>
          </w:tcPr>
          <w:p>
            <w:pPr>
              <w:spacing w:after="0"/>
              <w:rPr>
                <w:sz w:val="21"/>
                <w:szCs w:val="21"/>
                <w:color w:val="auto"/>
              </w:rPr>
            </w:pPr>
          </w:p>
        </w:tc>
        <w:tc>
          <w:tcPr>
            <w:tcW w:w="80" w:type="dxa"/>
            <w:vAlign w:val="bottom"/>
            <w:shd w:val="clear" w:color="auto" w:fill="424E6A"/>
          </w:tcPr>
          <w:p>
            <w:pPr>
              <w:spacing w:after="0"/>
              <w:rPr>
                <w:sz w:val="21"/>
                <w:szCs w:val="21"/>
                <w:color w:val="auto"/>
              </w:rPr>
            </w:pPr>
          </w:p>
        </w:tc>
        <w:tc>
          <w:tcPr>
            <w:tcW w:w="140" w:type="dxa"/>
            <w:vAlign w:val="bottom"/>
            <w:shd w:val="clear" w:color="auto" w:fill="424E6A"/>
          </w:tcPr>
          <w:p>
            <w:pPr>
              <w:spacing w:after="0"/>
              <w:rPr>
                <w:sz w:val="21"/>
                <w:szCs w:val="21"/>
                <w:color w:val="auto"/>
              </w:rPr>
            </w:pPr>
          </w:p>
        </w:tc>
        <w:tc>
          <w:tcPr>
            <w:tcW w:w="720" w:type="dxa"/>
            <w:vAlign w:val="bottom"/>
            <w:shd w:val="clear" w:color="auto" w:fill="424E6A"/>
          </w:tcPr>
          <w:p>
            <w:pPr>
              <w:spacing w:after="0"/>
              <w:rPr>
                <w:sz w:val="21"/>
                <w:szCs w:val="21"/>
                <w:color w:val="auto"/>
              </w:rPr>
            </w:pPr>
          </w:p>
        </w:tc>
        <w:tc>
          <w:tcPr>
            <w:tcW w:w="300" w:type="dxa"/>
            <w:vAlign w:val="bottom"/>
            <w:tcBorders>
              <w:right w:val="single" w:sz="8" w:color="424E6A"/>
            </w:tcBorders>
            <w:shd w:val="clear" w:color="auto" w:fill="424E6A"/>
          </w:tcPr>
          <w:p>
            <w:pPr>
              <w:spacing w:after="0"/>
              <w:rPr>
                <w:sz w:val="21"/>
                <w:szCs w:val="21"/>
                <w:color w:val="auto"/>
              </w:rPr>
            </w:pPr>
          </w:p>
        </w:tc>
        <w:tc>
          <w:tcPr>
            <w:tcW w:w="300" w:type="dxa"/>
            <w:vAlign w:val="bottom"/>
            <w:shd w:val="clear" w:color="auto" w:fill="424E6A"/>
          </w:tcPr>
          <w:p>
            <w:pPr>
              <w:spacing w:after="0"/>
              <w:rPr>
                <w:sz w:val="21"/>
                <w:szCs w:val="21"/>
                <w:color w:val="auto"/>
              </w:rPr>
            </w:pPr>
          </w:p>
        </w:tc>
        <w:tc>
          <w:tcPr>
            <w:tcW w:w="740" w:type="dxa"/>
            <w:vAlign w:val="bottom"/>
            <w:shd w:val="clear" w:color="auto" w:fill="424E6A"/>
          </w:tcPr>
          <w:p>
            <w:pPr>
              <w:spacing w:after="0"/>
              <w:rPr>
                <w:sz w:val="21"/>
                <w:szCs w:val="21"/>
                <w:color w:val="auto"/>
              </w:rPr>
            </w:pPr>
          </w:p>
        </w:tc>
        <w:tc>
          <w:tcPr>
            <w:tcW w:w="300" w:type="dxa"/>
            <w:vAlign w:val="bottom"/>
            <w:tcBorders>
              <w:right w:val="single" w:sz="8" w:color="424E6A"/>
            </w:tcBorders>
            <w:shd w:val="clear" w:color="auto" w:fill="424E6A"/>
          </w:tcPr>
          <w:p>
            <w:pPr>
              <w:spacing w:after="0"/>
              <w:rPr>
                <w:sz w:val="21"/>
                <w:szCs w:val="21"/>
                <w:color w:val="auto"/>
              </w:rPr>
            </w:pPr>
          </w:p>
        </w:tc>
        <w:tc>
          <w:tcPr>
            <w:tcW w:w="240" w:type="dxa"/>
            <w:vAlign w:val="bottom"/>
            <w:shd w:val="clear" w:color="auto" w:fill="424E6A"/>
          </w:tcPr>
          <w:p>
            <w:pPr>
              <w:spacing w:after="0"/>
              <w:rPr>
                <w:sz w:val="21"/>
                <w:szCs w:val="21"/>
                <w:color w:val="auto"/>
              </w:rPr>
            </w:pPr>
          </w:p>
        </w:tc>
        <w:tc>
          <w:tcPr>
            <w:tcW w:w="700" w:type="dxa"/>
            <w:vAlign w:val="bottom"/>
            <w:shd w:val="clear" w:color="auto" w:fill="424E6A"/>
          </w:tcPr>
          <w:p>
            <w:pPr>
              <w:spacing w:after="0"/>
              <w:rPr>
                <w:sz w:val="21"/>
                <w:szCs w:val="21"/>
                <w:color w:val="auto"/>
              </w:rPr>
            </w:pPr>
          </w:p>
        </w:tc>
        <w:tc>
          <w:tcPr>
            <w:tcW w:w="220" w:type="dxa"/>
            <w:vAlign w:val="bottom"/>
            <w:tcBorders>
              <w:right w:val="single" w:sz="8" w:color="424E6A"/>
            </w:tcBorders>
            <w:shd w:val="clear" w:color="auto" w:fill="424E6A"/>
          </w:tcPr>
          <w:p>
            <w:pPr>
              <w:spacing w:after="0"/>
              <w:rPr>
                <w:sz w:val="21"/>
                <w:szCs w:val="21"/>
                <w:color w:val="auto"/>
              </w:rPr>
            </w:pPr>
          </w:p>
        </w:tc>
        <w:tc>
          <w:tcPr>
            <w:tcW w:w="260" w:type="dxa"/>
            <w:vAlign w:val="bottom"/>
            <w:shd w:val="clear" w:color="auto" w:fill="424E6A"/>
          </w:tcPr>
          <w:p>
            <w:pPr>
              <w:spacing w:after="0"/>
              <w:rPr>
                <w:sz w:val="21"/>
                <w:szCs w:val="21"/>
                <w:color w:val="auto"/>
              </w:rPr>
            </w:pPr>
          </w:p>
        </w:tc>
        <w:tc>
          <w:tcPr>
            <w:tcW w:w="640" w:type="dxa"/>
            <w:vAlign w:val="bottom"/>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120" w:type="dxa"/>
            <w:vAlign w:val="bottom"/>
            <w:tcBorders>
              <w:right w:val="single" w:sz="8" w:color="424E6A"/>
            </w:tcBorders>
            <w:shd w:val="clear" w:color="auto" w:fill="424E6A"/>
          </w:tcPr>
          <w:p>
            <w:pPr>
              <w:spacing w:after="0"/>
              <w:rPr>
                <w:sz w:val="21"/>
                <w:szCs w:val="21"/>
                <w:color w:val="auto"/>
              </w:rPr>
            </w:pPr>
          </w:p>
        </w:tc>
        <w:tc>
          <w:tcPr>
            <w:tcW w:w="180" w:type="dxa"/>
            <w:vAlign w:val="bottom"/>
            <w:shd w:val="clear" w:color="auto" w:fill="424E6A"/>
          </w:tcPr>
          <w:p>
            <w:pPr>
              <w:spacing w:after="0"/>
              <w:rPr>
                <w:sz w:val="21"/>
                <w:szCs w:val="21"/>
                <w:color w:val="auto"/>
              </w:rPr>
            </w:pPr>
          </w:p>
        </w:tc>
        <w:tc>
          <w:tcPr>
            <w:tcW w:w="120" w:type="dxa"/>
            <w:vAlign w:val="bottom"/>
            <w:shd w:val="clear" w:color="auto" w:fill="424E6A"/>
          </w:tcPr>
          <w:p>
            <w:pPr>
              <w:spacing w:after="0"/>
              <w:rPr>
                <w:sz w:val="21"/>
                <w:szCs w:val="21"/>
                <w:color w:val="auto"/>
              </w:rPr>
            </w:pPr>
          </w:p>
        </w:tc>
        <w:tc>
          <w:tcPr>
            <w:tcW w:w="720" w:type="dxa"/>
            <w:vAlign w:val="bottom"/>
            <w:shd w:val="clear" w:color="auto" w:fill="424E6A"/>
          </w:tcPr>
          <w:p>
            <w:pPr>
              <w:jc w:val="center"/>
              <w:ind w:right="48"/>
              <w:spacing w:after="0"/>
              <w:rPr>
                <w:sz w:val="20"/>
                <w:szCs w:val="20"/>
                <w:color w:val="auto"/>
              </w:rPr>
            </w:pPr>
            <w:r>
              <w:rPr>
                <w:rFonts w:ascii="Arial" w:cs="Arial" w:eastAsia="Arial" w:hAnsi="Arial"/>
                <w:sz w:val="14"/>
                <w:szCs w:val="14"/>
                <w:b w:val="1"/>
                <w:bCs w:val="1"/>
                <w:color w:val="FFFFFF"/>
                <w:w w:val="96"/>
              </w:rPr>
              <w:t>In</w:t>
            </w:r>
          </w:p>
        </w:tc>
        <w:tc>
          <w:tcPr>
            <w:tcW w:w="260" w:type="dxa"/>
            <w:vAlign w:val="bottom"/>
            <w:tcBorders>
              <w:right w:val="single" w:sz="8" w:color="424E6A"/>
            </w:tcBorders>
            <w:shd w:val="clear" w:color="auto" w:fill="424E6A"/>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424E6A"/>
            </w:tcBorders>
            <w:shd w:val="clear" w:color="auto" w:fill="424E6A"/>
          </w:tcPr>
          <w:p>
            <w:pPr>
              <w:spacing w:after="0"/>
              <w:rPr>
                <w:sz w:val="14"/>
                <w:szCs w:val="14"/>
                <w:color w:val="auto"/>
              </w:rPr>
            </w:pPr>
          </w:p>
        </w:tc>
        <w:tc>
          <w:tcPr>
            <w:tcW w:w="168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720" w:type="dxa"/>
            <w:vAlign w:val="bottom"/>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30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700" w:type="dxa"/>
            <w:vAlign w:val="bottom"/>
            <w:shd w:val="clear" w:color="auto" w:fill="424E6A"/>
          </w:tcPr>
          <w:p>
            <w:pPr>
              <w:jc w:val="center"/>
              <w:ind w:right="7"/>
              <w:spacing w:after="0"/>
              <w:rPr>
                <w:sz w:val="20"/>
                <w:szCs w:val="20"/>
                <w:color w:val="auto"/>
              </w:rPr>
            </w:pPr>
            <w:r>
              <w:rPr>
                <w:rFonts w:ascii="Arial" w:cs="Arial" w:eastAsia="Arial" w:hAnsi="Arial"/>
                <w:sz w:val="14"/>
                <w:szCs w:val="14"/>
                <w:b w:val="1"/>
                <w:bCs w:val="1"/>
                <w:color w:val="FFFFFF"/>
              </w:rPr>
              <w:t>By</w:t>
            </w:r>
          </w:p>
        </w:tc>
        <w:tc>
          <w:tcPr>
            <w:tcW w:w="22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640" w:type="dxa"/>
            <w:vAlign w:val="bottom"/>
            <w:shd w:val="clear" w:color="auto" w:fill="424E6A"/>
          </w:tcPr>
          <w:p>
            <w:pPr>
              <w:jc w:val="center"/>
              <w:ind w:right="30"/>
              <w:spacing w:after="0"/>
              <w:rPr>
                <w:sz w:val="20"/>
                <w:szCs w:val="20"/>
                <w:color w:val="auto"/>
              </w:rPr>
            </w:pPr>
            <w:r>
              <w:rPr>
                <w:rFonts w:ascii="Arial" w:cs="Arial" w:eastAsia="Arial" w:hAnsi="Arial"/>
                <w:sz w:val="14"/>
                <w:szCs w:val="14"/>
                <w:b w:val="1"/>
                <w:bCs w:val="1"/>
                <w:color w:val="FFFFFF"/>
              </w:rPr>
              <w:t>By</w:t>
            </w:r>
          </w:p>
        </w:tc>
        <w:tc>
          <w:tcPr>
            <w:tcW w:w="12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840" w:type="dxa"/>
            <w:vAlign w:val="bottom"/>
            <w:gridSpan w:val="2"/>
            <w:shd w:val="clear" w:color="auto" w:fill="424E6A"/>
          </w:tcPr>
          <w:p>
            <w:pPr>
              <w:ind w:left="20"/>
              <w:spacing w:after="0"/>
              <w:rPr>
                <w:sz w:val="20"/>
                <w:szCs w:val="20"/>
                <w:color w:val="auto"/>
              </w:rPr>
            </w:pPr>
            <w:r>
              <w:rPr>
                <w:rFonts w:ascii="Arial" w:cs="Arial" w:eastAsia="Arial" w:hAnsi="Arial"/>
                <w:sz w:val="14"/>
                <w:szCs w:val="14"/>
                <w:b w:val="1"/>
                <w:bCs w:val="1"/>
                <w:color w:val="FFFFFF"/>
              </w:rPr>
              <w:t>Connection</w:t>
            </w:r>
          </w:p>
        </w:tc>
        <w:tc>
          <w:tcPr>
            <w:tcW w:w="26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424E6A"/>
            </w:tcBorders>
            <w:shd w:val="clear" w:color="auto" w:fill="424E6A"/>
          </w:tcPr>
          <w:p>
            <w:pPr>
              <w:spacing w:after="0"/>
              <w:rPr>
                <w:sz w:val="14"/>
                <w:szCs w:val="14"/>
                <w:color w:val="auto"/>
              </w:rPr>
            </w:pPr>
          </w:p>
        </w:tc>
        <w:tc>
          <w:tcPr>
            <w:tcW w:w="168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720" w:type="dxa"/>
            <w:vAlign w:val="bottom"/>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340" w:type="dxa"/>
            <w:vAlign w:val="bottom"/>
            <w:tcBorders>
              <w:right w:val="single" w:sz="8" w:color="424E6A"/>
            </w:tcBorders>
            <w:gridSpan w:val="3"/>
            <w:shd w:val="clear" w:color="auto" w:fill="424E6A"/>
          </w:tcPr>
          <w:p>
            <w:pPr>
              <w:jc w:val="center"/>
              <w:ind w:right="14"/>
              <w:spacing w:after="0"/>
              <w:rPr>
                <w:sz w:val="20"/>
                <w:szCs w:val="20"/>
                <w:color w:val="auto"/>
              </w:rPr>
            </w:pPr>
            <w:r>
              <w:rPr>
                <w:rFonts w:ascii="Arial" w:cs="Arial" w:eastAsia="Arial" w:hAnsi="Arial"/>
                <w:sz w:val="14"/>
                <w:szCs w:val="14"/>
                <w:b w:val="1"/>
                <w:bCs w:val="1"/>
                <w:color w:val="FFFFFF"/>
                <w:w w:val="97"/>
              </w:rPr>
              <w:t>    By Reason</w:t>
            </w:r>
          </w:p>
        </w:tc>
        <w:tc>
          <w:tcPr>
            <w:tcW w:w="940" w:type="dxa"/>
            <w:vAlign w:val="bottom"/>
            <w:gridSpan w:val="2"/>
            <w:shd w:val="clear" w:color="auto" w:fill="424E6A"/>
          </w:tcPr>
          <w:p>
            <w:pPr>
              <w:jc w:val="center"/>
              <w:ind w:left="90"/>
              <w:spacing w:after="0"/>
              <w:rPr>
                <w:sz w:val="20"/>
                <w:szCs w:val="20"/>
                <w:color w:val="auto"/>
              </w:rPr>
            </w:pPr>
            <w:r>
              <w:rPr>
                <w:rFonts w:ascii="Arial" w:cs="Arial" w:eastAsia="Arial" w:hAnsi="Arial"/>
                <w:sz w:val="14"/>
                <w:szCs w:val="14"/>
                <w:b w:val="1"/>
                <w:bCs w:val="1"/>
                <w:color w:val="FFFFFF"/>
              </w:rPr>
              <w:t>Company</w:t>
            </w:r>
          </w:p>
        </w:tc>
        <w:tc>
          <w:tcPr>
            <w:tcW w:w="220" w:type="dxa"/>
            <w:vAlign w:val="bottom"/>
            <w:tcBorders>
              <w:right w:val="single" w:sz="8" w:color="424E6A"/>
            </w:tcBorders>
            <w:shd w:val="clear" w:color="auto" w:fill="424E6A"/>
          </w:tcPr>
          <w:p>
            <w:pPr>
              <w:spacing w:after="0"/>
              <w:rPr>
                <w:sz w:val="14"/>
                <w:szCs w:val="14"/>
                <w:color w:val="auto"/>
              </w:rPr>
            </w:pPr>
          </w:p>
        </w:tc>
        <w:tc>
          <w:tcPr>
            <w:tcW w:w="900" w:type="dxa"/>
            <w:vAlign w:val="bottom"/>
            <w:gridSpan w:val="2"/>
            <w:shd w:val="clear" w:color="auto" w:fill="424E6A"/>
          </w:tcPr>
          <w:p>
            <w:pPr>
              <w:jc w:val="center"/>
              <w:ind w:left="87"/>
              <w:spacing w:after="0"/>
              <w:rPr>
                <w:sz w:val="20"/>
                <w:szCs w:val="20"/>
                <w:color w:val="auto"/>
              </w:rPr>
            </w:pPr>
            <w:r>
              <w:rPr>
                <w:rFonts w:ascii="Arial" w:cs="Arial" w:eastAsia="Arial" w:hAnsi="Arial"/>
                <w:sz w:val="14"/>
                <w:szCs w:val="14"/>
                <w:b w:val="1"/>
                <w:bCs w:val="1"/>
                <w:color w:val="FFFFFF"/>
              </w:rPr>
              <w:t>Executive</w:t>
            </w:r>
          </w:p>
        </w:tc>
        <w:tc>
          <w:tcPr>
            <w:tcW w:w="12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720" w:type="dxa"/>
            <w:vAlign w:val="bottom"/>
            <w:shd w:val="clear" w:color="auto" w:fill="424E6A"/>
          </w:tcPr>
          <w:p>
            <w:pPr>
              <w:jc w:val="center"/>
              <w:ind w:right="48"/>
              <w:spacing w:after="0"/>
              <w:rPr>
                <w:sz w:val="20"/>
                <w:szCs w:val="20"/>
                <w:color w:val="auto"/>
              </w:rPr>
            </w:pPr>
            <w:r>
              <w:rPr>
                <w:rFonts w:ascii="Arial" w:cs="Arial" w:eastAsia="Arial" w:hAnsi="Arial"/>
                <w:sz w:val="14"/>
                <w:szCs w:val="14"/>
                <w:b w:val="1"/>
                <w:bCs w:val="1"/>
                <w:color w:val="FFFFFF"/>
              </w:rPr>
              <w:t>with a</w:t>
            </w:r>
          </w:p>
        </w:tc>
        <w:tc>
          <w:tcPr>
            <w:tcW w:w="26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424E6A"/>
            </w:tcBorders>
            <w:shd w:val="clear" w:color="auto" w:fill="424E6A"/>
          </w:tcPr>
          <w:p>
            <w:pPr>
              <w:spacing w:after="0"/>
              <w:rPr>
                <w:sz w:val="14"/>
                <w:szCs w:val="14"/>
                <w:color w:val="auto"/>
              </w:rPr>
            </w:pPr>
          </w:p>
        </w:tc>
        <w:tc>
          <w:tcPr>
            <w:tcW w:w="168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60" w:type="dxa"/>
            <w:vAlign w:val="bottom"/>
            <w:tcBorders>
              <w:right w:val="single" w:sz="8" w:color="424E6A"/>
            </w:tcBorders>
            <w:gridSpan w:val="3"/>
            <w:shd w:val="clear" w:color="auto" w:fill="424E6A"/>
          </w:tcPr>
          <w:p>
            <w:pPr>
              <w:jc w:val="right"/>
              <w:ind w:right="193"/>
              <w:spacing w:after="0"/>
              <w:rPr>
                <w:sz w:val="20"/>
                <w:szCs w:val="20"/>
                <w:color w:val="auto"/>
              </w:rPr>
            </w:pPr>
            <w:r>
              <w:rPr>
                <w:rFonts w:ascii="Arial" w:cs="Arial" w:eastAsia="Arial" w:hAnsi="Arial"/>
                <w:sz w:val="14"/>
                <w:szCs w:val="14"/>
                <w:b w:val="1"/>
                <w:bCs w:val="1"/>
                <w:color w:val="FFFFFF"/>
                <w:w w:val="95"/>
              </w:rPr>
              <w:t>    By Reason</w:t>
            </w:r>
          </w:p>
        </w:tc>
        <w:tc>
          <w:tcPr>
            <w:tcW w:w="300" w:type="dxa"/>
            <w:vAlign w:val="bottom"/>
            <w:shd w:val="clear" w:color="auto" w:fill="424E6A"/>
          </w:tcPr>
          <w:p>
            <w:pPr>
              <w:spacing w:after="0"/>
              <w:rPr>
                <w:sz w:val="14"/>
                <w:szCs w:val="14"/>
                <w:color w:val="auto"/>
              </w:rPr>
            </w:pPr>
          </w:p>
        </w:tc>
        <w:tc>
          <w:tcPr>
            <w:tcW w:w="740" w:type="dxa"/>
            <w:vAlign w:val="bottom"/>
            <w:shd w:val="clear" w:color="auto" w:fill="424E6A"/>
          </w:tcPr>
          <w:p>
            <w:pPr>
              <w:jc w:val="center"/>
              <w:ind w:right="7"/>
              <w:spacing w:after="0"/>
              <w:rPr>
                <w:sz w:val="20"/>
                <w:szCs w:val="20"/>
                <w:color w:val="auto"/>
              </w:rPr>
            </w:pPr>
            <w:r>
              <w:rPr>
                <w:rFonts w:ascii="Arial" w:cs="Arial" w:eastAsia="Arial" w:hAnsi="Arial"/>
                <w:sz w:val="14"/>
                <w:szCs w:val="14"/>
                <w:b w:val="1"/>
                <w:bCs w:val="1"/>
                <w:color w:val="FFFFFF"/>
              </w:rPr>
              <w:t>of</w:t>
            </w:r>
          </w:p>
        </w:tc>
        <w:tc>
          <w:tcPr>
            <w:tcW w:w="30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700" w:type="dxa"/>
            <w:vAlign w:val="bottom"/>
            <w:shd w:val="clear" w:color="auto" w:fill="424E6A"/>
          </w:tcPr>
          <w:p>
            <w:pPr>
              <w:jc w:val="center"/>
              <w:ind w:right="27"/>
              <w:spacing w:after="0"/>
              <w:rPr>
                <w:sz w:val="20"/>
                <w:szCs w:val="20"/>
                <w:color w:val="auto"/>
              </w:rPr>
            </w:pPr>
            <w:r>
              <w:rPr>
                <w:rFonts w:ascii="Arial" w:cs="Arial" w:eastAsia="Arial" w:hAnsi="Arial"/>
                <w:sz w:val="14"/>
                <w:szCs w:val="14"/>
                <w:b w:val="1"/>
                <w:bCs w:val="1"/>
                <w:color w:val="FFFFFF"/>
              </w:rPr>
              <w:t>without</w:t>
            </w:r>
          </w:p>
        </w:tc>
        <w:tc>
          <w:tcPr>
            <w:tcW w:w="220" w:type="dxa"/>
            <w:vAlign w:val="bottom"/>
            <w:tcBorders>
              <w:right w:val="single" w:sz="8" w:color="424E6A"/>
            </w:tcBorders>
            <w:shd w:val="clear" w:color="auto" w:fill="424E6A"/>
          </w:tcPr>
          <w:p>
            <w:pPr>
              <w:spacing w:after="0"/>
              <w:rPr>
                <w:sz w:val="14"/>
                <w:szCs w:val="14"/>
                <w:color w:val="auto"/>
              </w:rPr>
            </w:pPr>
          </w:p>
        </w:tc>
        <w:tc>
          <w:tcPr>
            <w:tcW w:w="900" w:type="dxa"/>
            <w:vAlign w:val="bottom"/>
            <w:gridSpan w:val="2"/>
            <w:shd w:val="clear" w:color="auto" w:fill="424E6A"/>
          </w:tcPr>
          <w:p>
            <w:pPr>
              <w:jc w:val="center"/>
              <w:ind w:left="87"/>
              <w:spacing w:after="0"/>
              <w:rPr>
                <w:sz w:val="20"/>
                <w:szCs w:val="20"/>
                <w:color w:val="auto"/>
              </w:rPr>
            </w:pPr>
            <w:r>
              <w:rPr>
                <w:rFonts w:ascii="Arial" w:cs="Arial" w:eastAsia="Arial" w:hAnsi="Arial"/>
                <w:sz w:val="14"/>
                <w:szCs w:val="14"/>
                <w:b w:val="1"/>
                <w:bCs w:val="1"/>
                <w:color w:val="FFFFFF"/>
              </w:rPr>
              <w:t>with Good</w:t>
            </w:r>
          </w:p>
        </w:tc>
        <w:tc>
          <w:tcPr>
            <w:tcW w:w="12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8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w:t>
            </w:r>
          </w:p>
        </w:tc>
        <w:tc>
          <w:tcPr>
            <w:tcW w:w="26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424E6A"/>
            </w:tcBorders>
            <w:shd w:val="clear" w:color="auto" w:fill="424E6A"/>
          </w:tcPr>
          <w:p>
            <w:pPr>
              <w:spacing w:after="0"/>
              <w:rPr>
                <w:sz w:val="14"/>
                <w:szCs w:val="14"/>
                <w:color w:val="auto"/>
              </w:rPr>
            </w:pPr>
          </w:p>
        </w:tc>
        <w:tc>
          <w:tcPr>
            <w:tcW w:w="168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720" w:type="dxa"/>
            <w:vAlign w:val="bottom"/>
            <w:shd w:val="clear" w:color="auto" w:fill="424E6A"/>
          </w:tcPr>
          <w:p>
            <w:pPr>
              <w:jc w:val="right"/>
              <w:ind w:right="45"/>
              <w:spacing w:after="0"/>
              <w:rPr>
                <w:sz w:val="20"/>
                <w:szCs w:val="20"/>
                <w:color w:val="auto"/>
              </w:rPr>
            </w:pPr>
            <w:r>
              <w:rPr>
                <w:rFonts w:ascii="Arial" w:cs="Arial" w:eastAsia="Arial" w:hAnsi="Arial"/>
                <w:sz w:val="14"/>
                <w:szCs w:val="14"/>
                <w:b w:val="1"/>
                <w:bCs w:val="1"/>
                <w:color w:val="FFFFFF"/>
              </w:rPr>
              <w:t>of Death</w:t>
            </w:r>
          </w:p>
        </w:tc>
        <w:tc>
          <w:tcPr>
            <w:tcW w:w="300" w:type="dxa"/>
            <w:vAlign w:val="bottom"/>
            <w:tcBorders>
              <w:right w:val="single" w:sz="8" w:color="424E6A"/>
            </w:tcBorders>
            <w:shd w:val="clear" w:color="auto" w:fill="424E6A"/>
          </w:tcPr>
          <w:p>
            <w:pPr>
              <w:spacing w:after="0"/>
              <w:rPr>
                <w:sz w:val="14"/>
                <w:szCs w:val="14"/>
                <w:color w:val="auto"/>
              </w:rPr>
            </w:pPr>
          </w:p>
        </w:tc>
        <w:tc>
          <w:tcPr>
            <w:tcW w:w="300" w:type="dxa"/>
            <w:vAlign w:val="bottom"/>
            <w:shd w:val="clear" w:color="auto" w:fill="424E6A"/>
          </w:tcPr>
          <w:p>
            <w:pPr>
              <w:spacing w:after="0"/>
              <w:rPr>
                <w:sz w:val="14"/>
                <w:szCs w:val="14"/>
                <w:color w:val="auto"/>
              </w:rPr>
            </w:pPr>
          </w:p>
        </w:tc>
        <w:tc>
          <w:tcPr>
            <w:tcW w:w="7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Disability</w:t>
            </w:r>
          </w:p>
        </w:tc>
        <w:tc>
          <w:tcPr>
            <w:tcW w:w="30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700" w:type="dxa"/>
            <w:vAlign w:val="bottom"/>
            <w:shd w:val="clear" w:color="auto" w:fill="424E6A"/>
          </w:tcPr>
          <w:p>
            <w:pPr>
              <w:jc w:val="center"/>
              <w:ind w:right="27"/>
              <w:spacing w:after="0"/>
              <w:rPr>
                <w:sz w:val="20"/>
                <w:szCs w:val="20"/>
                <w:color w:val="auto"/>
              </w:rPr>
            </w:pPr>
            <w:r>
              <w:rPr>
                <w:rFonts w:ascii="Arial" w:cs="Arial" w:eastAsia="Arial" w:hAnsi="Arial"/>
                <w:sz w:val="14"/>
                <w:szCs w:val="14"/>
                <w:b w:val="1"/>
                <w:bCs w:val="1"/>
                <w:color w:val="FFFFFF"/>
              </w:rPr>
              <w:t>Cause</w:t>
            </w:r>
          </w:p>
        </w:tc>
        <w:tc>
          <w:tcPr>
            <w:tcW w:w="22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640" w:type="dxa"/>
            <w:vAlign w:val="bottom"/>
            <w:shd w:val="clear" w:color="auto" w:fill="424E6A"/>
          </w:tcPr>
          <w:p>
            <w:pPr>
              <w:jc w:val="center"/>
              <w:ind w:right="10"/>
              <w:spacing w:after="0"/>
              <w:rPr>
                <w:sz w:val="20"/>
                <w:szCs w:val="20"/>
                <w:color w:val="auto"/>
              </w:rPr>
            </w:pPr>
            <w:r>
              <w:rPr>
                <w:rFonts w:ascii="Arial" w:cs="Arial" w:eastAsia="Arial" w:hAnsi="Arial"/>
                <w:sz w:val="14"/>
                <w:szCs w:val="14"/>
                <w:b w:val="1"/>
                <w:bCs w:val="1"/>
                <w:color w:val="FFFFFF"/>
              </w:rPr>
              <w:t>Reason</w:t>
            </w:r>
          </w:p>
        </w:tc>
        <w:tc>
          <w:tcPr>
            <w:tcW w:w="12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720" w:type="dxa"/>
            <w:vAlign w:val="bottom"/>
            <w:shd w:val="clear" w:color="auto" w:fill="424E6A"/>
          </w:tcPr>
          <w:p>
            <w:pPr>
              <w:jc w:val="center"/>
              <w:ind w:right="48"/>
              <w:spacing w:after="0"/>
              <w:rPr>
                <w:sz w:val="20"/>
                <w:szCs w:val="20"/>
                <w:color w:val="auto"/>
              </w:rPr>
            </w:pPr>
            <w:r>
              <w:rPr>
                <w:rFonts w:ascii="Arial" w:cs="Arial" w:eastAsia="Arial" w:hAnsi="Arial"/>
                <w:sz w:val="14"/>
                <w:szCs w:val="14"/>
                <w:b w:val="1"/>
                <w:bCs w:val="1"/>
                <w:color w:val="FFFFFF"/>
              </w:rPr>
              <w:t>Control</w:t>
            </w:r>
          </w:p>
        </w:tc>
        <w:tc>
          <w:tcPr>
            <w:tcW w:w="26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4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680" w:type="dxa"/>
            <w:vAlign w:val="bottom"/>
            <w:shd w:val="clear" w:color="auto" w:fill="424E6A"/>
          </w:tcPr>
          <w:p>
            <w:pPr>
              <w:spacing w:after="0"/>
              <w:rPr>
                <w:sz w:val="18"/>
                <w:szCs w:val="18"/>
                <w:color w:val="auto"/>
              </w:rPr>
            </w:pPr>
          </w:p>
        </w:tc>
        <w:tc>
          <w:tcPr>
            <w:tcW w:w="320" w:type="dxa"/>
            <w:vAlign w:val="bottom"/>
            <w:gridSpan w:val="2"/>
            <w:shd w:val="clear" w:color="auto" w:fill="424E6A"/>
          </w:tcPr>
          <w:p>
            <w:pPr>
              <w:ind w:left="180"/>
              <w:spacing w:after="0"/>
              <w:rPr>
                <w:sz w:val="20"/>
                <w:szCs w:val="20"/>
                <w:color w:val="auto"/>
              </w:rPr>
            </w:pPr>
            <w:r>
              <w:rPr>
                <w:rFonts w:ascii="Arial" w:cs="Arial" w:eastAsia="Arial" w:hAnsi="Arial"/>
                <w:sz w:val="14"/>
                <w:szCs w:val="14"/>
                <w:b w:val="1"/>
                <w:bCs w:val="1"/>
                <w:color w:val="FFFFFF"/>
              </w:rPr>
              <w:t>​ ​</w:t>
            </w:r>
          </w:p>
        </w:tc>
        <w:tc>
          <w:tcPr>
            <w:tcW w:w="140" w:type="dxa"/>
            <w:vAlign w:val="bottom"/>
            <w:shd w:val="clear" w:color="auto" w:fill="424E6A"/>
          </w:tcPr>
          <w:p>
            <w:pPr>
              <w:spacing w:after="0"/>
              <w:rPr>
                <w:sz w:val="18"/>
                <w:szCs w:val="18"/>
                <w:color w:val="auto"/>
              </w:rPr>
            </w:pPr>
          </w:p>
        </w:tc>
        <w:tc>
          <w:tcPr>
            <w:tcW w:w="720" w:type="dxa"/>
            <w:vAlign w:val="bottom"/>
            <w:shd w:val="clear" w:color="auto" w:fill="424E6A"/>
          </w:tcPr>
          <w:p>
            <w:pPr>
              <w:jc w:val="right"/>
              <w:ind w:right="225"/>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right w:val="single" w:sz="8" w:color="424E6A"/>
            </w:tcBorders>
            <w:shd w:val="clear" w:color="auto" w:fill="424E6A"/>
          </w:tcPr>
          <w:p>
            <w:pPr>
              <w:spacing w:after="0"/>
              <w:rPr>
                <w:sz w:val="18"/>
                <w:szCs w:val="18"/>
                <w:color w:val="auto"/>
              </w:rPr>
            </w:pPr>
          </w:p>
        </w:tc>
        <w:tc>
          <w:tcPr>
            <w:tcW w:w="300" w:type="dxa"/>
            <w:vAlign w:val="bottom"/>
            <w:shd w:val="clear" w:color="auto" w:fill="424E6A"/>
          </w:tcPr>
          <w:p>
            <w:pPr>
              <w:spacing w:after="0"/>
              <w:rPr>
                <w:sz w:val="18"/>
                <w:szCs w:val="18"/>
                <w:color w:val="auto"/>
              </w:rPr>
            </w:pPr>
          </w:p>
        </w:tc>
        <w:tc>
          <w:tcPr>
            <w:tcW w:w="7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3"/>
              </w:rPr>
              <w:t>($)</w:t>
            </w:r>
          </w:p>
        </w:tc>
        <w:tc>
          <w:tcPr>
            <w:tcW w:w="300" w:type="dxa"/>
            <w:vAlign w:val="bottom"/>
            <w:tcBorders>
              <w:right w:val="single" w:sz="8" w:color="424E6A"/>
            </w:tcBorders>
            <w:shd w:val="clear" w:color="auto" w:fill="424E6A"/>
          </w:tcPr>
          <w:p>
            <w:pPr>
              <w:spacing w:after="0"/>
              <w:rPr>
                <w:sz w:val="18"/>
                <w:szCs w:val="18"/>
                <w:color w:val="auto"/>
              </w:rPr>
            </w:pPr>
          </w:p>
        </w:tc>
        <w:tc>
          <w:tcPr>
            <w:tcW w:w="240" w:type="dxa"/>
            <w:vAlign w:val="bottom"/>
            <w:shd w:val="clear" w:color="auto" w:fill="424E6A"/>
          </w:tcPr>
          <w:p>
            <w:pPr>
              <w:spacing w:after="0"/>
              <w:rPr>
                <w:sz w:val="18"/>
                <w:szCs w:val="18"/>
                <w:color w:val="auto"/>
              </w:rPr>
            </w:pPr>
          </w:p>
        </w:tc>
        <w:tc>
          <w:tcPr>
            <w:tcW w:w="700" w:type="dxa"/>
            <w:vAlign w:val="bottom"/>
            <w:shd w:val="clear" w:color="auto" w:fill="424E6A"/>
          </w:tcPr>
          <w:p>
            <w:pPr>
              <w:ind w:left="24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right w:val="single" w:sz="8" w:color="424E6A"/>
            </w:tcBorders>
            <w:shd w:val="clear" w:color="auto" w:fill="424E6A"/>
          </w:tcPr>
          <w:p>
            <w:pPr>
              <w:spacing w:after="0"/>
              <w:rPr>
                <w:sz w:val="18"/>
                <w:szCs w:val="18"/>
                <w:color w:val="auto"/>
              </w:rPr>
            </w:pPr>
          </w:p>
        </w:tc>
        <w:tc>
          <w:tcPr>
            <w:tcW w:w="260" w:type="dxa"/>
            <w:vAlign w:val="bottom"/>
            <w:shd w:val="clear" w:color="auto" w:fill="424E6A"/>
          </w:tcPr>
          <w:p>
            <w:pPr>
              <w:spacing w:after="0"/>
              <w:rPr>
                <w:sz w:val="18"/>
                <w:szCs w:val="18"/>
                <w:color w:val="auto"/>
              </w:rPr>
            </w:pPr>
          </w:p>
        </w:tc>
        <w:tc>
          <w:tcPr>
            <w:tcW w:w="640" w:type="dxa"/>
            <w:vAlign w:val="bottom"/>
            <w:shd w:val="clear" w:color="auto" w:fill="424E6A"/>
          </w:tcPr>
          <w:p>
            <w:pPr>
              <w:jc w:val="right"/>
              <w:ind w:right="190"/>
              <w:spacing w:after="0"/>
              <w:rPr>
                <w:sz w:val="20"/>
                <w:szCs w:val="20"/>
                <w:color w:val="auto"/>
              </w:rPr>
            </w:pPr>
            <w:r>
              <w:rPr>
                <w:rFonts w:ascii="Arial" w:cs="Arial" w:eastAsia="Arial" w:hAnsi="Arial"/>
                <w:sz w:val="14"/>
                <w:szCs w:val="14"/>
                <w:b w:val="1"/>
                <w:bCs w:val="1"/>
                <w:color w:val="FFFFFF"/>
              </w:rPr>
              <w:t>($)</w:t>
            </w:r>
          </w:p>
        </w:tc>
        <w:tc>
          <w:tcPr>
            <w:tcW w:w="120" w:type="dxa"/>
            <w:vAlign w:val="bottom"/>
            <w:shd w:val="clear" w:color="auto" w:fill="424E6A"/>
          </w:tcPr>
          <w:p>
            <w:pPr>
              <w:spacing w:after="0"/>
              <w:rPr>
                <w:sz w:val="18"/>
                <w:szCs w:val="18"/>
                <w:color w:val="auto"/>
              </w:rPr>
            </w:pPr>
          </w:p>
        </w:tc>
        <w:tc>
          <w:tcPr>
            <w:tcW w:w="120" w:type="dxa"/>
            <w:vAlign w:val="bottom"/>
            <w:tcBorders>
              <w:right w:val="single" w:sz="8" w:color="424E6A"/>
            </w:tcBorders>
            <w:shd w:val="clear" w:color="auto" w:fill="424E6A"/>
          </w:tcPr>
          <w:p>
            <w:pPr>
              <w:jc w:val="right"/>
              <w:ind w:right="5"/>
              <w:spacing w:after="0"/>
              <w:rPr>
                <w:sz w:val="20"/>
                <w:szCs w:val="20"/>
                <w:color w:val="auto"/>
              </w:rPr>
            </w:pPr>
            <w:r>
              <w:rPr>
                <w:rFonts w:ascii="Arial" w:cs="Arial" w:eastAsia="Arial" w:hAnsi="Arial"/>
                <w:sz w:val="14"/>
                <w:szCs w:val="14"/>
                <w:b w:val="1"/>
                <w:bCs w:val="1"/>
                <w:color w:val="FFFFFF"/>
              </w:rPr>
              <w:t>​</w:t>
            </w:r>
          </w:p>
        </w:tc>
        <w:tc>
          <w:tcPr>
            <w:tcW w:w="180" w:type="dxa"/>
            <w:vAlign w:val="bottom"/>
            <w:shd w:val="clear" w:color="auto" w:fill="424E6A"/>
          </w:tcPr>
          <w:p>
            <w:pPr>
              <w:ind w:left="100"/>
              <w:spacing w:after="0"/>
              <w:rPr>
                <w:sz w:val="20"/>
                <w:szCs w:val="20"/>
                <w:color w:val="auto"/>
              </w:rPr>
            </w:pPr>
            <w:r>
              <w:rPr>
                <w:rFonts w:ascii="Arial" w:cs="Arial" w:eastAsia="Arial" w:hAnsi="Arial"/>
                <w:sz w:val="14"/>
                <w:szCs w:val="14"/>
                <w:b w:val="1"/>
                <w:bCs w:val="1"/>
                <w:color w:val="FFFFFF"/>
              </w:rPr>
              <w:t>​</w:t>
            </w:r>
          </w:p>
        </w:tc>
        <w:tc>
          <w:tcPr>
            <w:tcW w:w="120" w:type="dxa"/>
            <w:vAlign w:val="bottom"/>
            <w:shd w:val="clear" w:color="auto" w:fill="424E6A"/>
          </w:tcPr>
          <w:p>
            <w:pPr>
              <w:spacing w:after="0"/>
              <w:rPr>
                <w:sz w:val="18"/>
                <w:szCs w:val="18"/>
                <w:color w:val="auto"/>
              </w:rPr>
            </w:pPr>
          </w:p>
        </w:tc>
        <w:tc>
          <w:tcPr>
            <w:tcW w:w="720" w:type="dxa"/>
            <w:vAlign w:val="bottom"/>
            <w:shd w:val="clear" w:color="auto" w:fill="424E6A"/>
          </w:tcPr>
          <w:p>
            <w:pPr>
              <w:jc w:val="right"/>
              <w:ind w:right="248"/>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right w:val="single" w:sz="8" w:color="424E6A"/>
            </w:tcBorders>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424E6A"/>
              <w:bottom w:val="single" w:sz="8" w:color="424E6A"/>
            </w:tcBorders>
            <w:gridSpan w:val="2"/>
            <w:shd w:val="clear" w:color="auto" w:fill="D9DCE1"/>
          </w:tcPr>
          <w:p>
            <w:pPr>
              <w:ind w:left="40"/>
              <w:spacing w:after="0" w:line="24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Willie Chiang</w:t>
            </w:r>
            <w:r>
              <w:rPr>
                <w:rFonts w:ascii="Arial" w:cs="Arial" w:eastAsia="Arial" w:hAnsi="Arial"/>
                <w:sz w:val="18"/>
                <w:szCs w:val="18"/>
                <w:b w:val="1"/>
                <w:bCs w:val="1"/>
                <w:color w:val="auto"/>
                <w:vertAlign w:val="superscript"/>
              </w:rPr>
              <w:t>(7)</w:t>
            </w:r>
          </w:p>
        </w:tc>
        <w:tc>
          <w:tcPr>
            <w:tcW w:w="24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424E6A"/>
            </w:tcBorders>
            <w:shd w:val="clear" w:color="auto" w:fill="D9DCE1"/>
          </w:tcPr>
          <w:p>
            <w:pPr>
              <w:spacing w:after="0"/>
              <w:rPr>
                <w:sz w:val="21"/>
                <w:szCs w:val="21"/>
                <w:color w:val="auto"/>
              </w:rPr>
            </w:pPr>
          </w:p>
        </w:tc>
        <w:tc>
          <w:tcPr>
            <w:tcW w:w="300" w:type="dxa"/>
            <w:vAlign w:val="bottom"/>
            <w:tcBorders>
              <w:bottom w:val="single" w:sz="8" w:color="424E6A"/>
              <w:right w:val="single" w:sz="8" w:color="424E6A"/>
            </w:tcBorders>
            <w:shd w:val="clear" w:color="auto" w:fill="D9DCE1"/>
          </w:tcPr>
          <w:p>
            <w:pPr>
              <w:jc w:val="right"/>
              <w:ind w:right="113"/>
              <w:spacing w:after="0"/>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424E6A"/>
            </w:tcBorders>
            <w:shd w:val="clear" w:color="auto" w:fill="D9DCE1"/>
          </w:tcPr>
          <w:p>
            <w:pPr>
              <w:ind w:left="260"/>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424E6A"/>
            </w:tcBorders>
            <w:shd w:val="clear" w:color="auto" w:fill="D9DCE1"/>
          </w:tcPr>
          <w:p>
            <w:pPr>
              <w:spacing w:after="0"/>
              <w:rPr>
                <w:sz w:val="21"/>
                <w:szCs w:val="21"/>
                <w:color w:val="auto"/>
              </w:rPr>
            </w:pPr>
          </w:p>
        </w:tc>
        <w:tc>
          <w:tcPr>
            <w:tcW w:w="300" w:type="dxa"/>
            <w:vAlign w:val="bottom"/>
            <w:tcBorders>
              <w:bottom w:val="single" w:sz="8" w:color="424E6A"/>
              <w:right w:val="single" w:sz="8" w:color="424E6A"/>
            </w:tcBorders>
            <w:shd w:val="clear" w:color="auto" w:fill="D9DCE1"/>
          </w:tcPr>
          <w:p>
            <w:pPr>
              <w:jc w:val="right"/>
              <w:ind w:right="114"/>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424E6A"/>
            </w:tcBorders>
            <w:shd w:val="clear" w:color="auto" w:fill="D9DCE1"/>
          </w:tcPr>
          <w:p>
            <w:pPr>
              <w:spacing w:after="0"/>
              <w:rPr>
                <w:sz w:val="21"/>
                <w:szCs w:val="21"/>
                <w:color w:val="auto"/>
              </w:rPr>
            </w:pPr>
          </w:p>
        </w:tc>
        <w:tc>
          <w:tcPr>
            <w:tcW w:w="220" w:type="dxa"/>
            <w:vAlign w:val="bottom"/>
            <w:tcBorders>
              <w:bottom w:val="single" w:sz="8" w:color="424E6A"/>
              <w:right w:val="single" w:sz="8" w:color="424E6A"/>
            </w:tcBorders>
            <w:shd w:val="clear" w:color="auto" w:fill="D9DCE1"/>
          </w:tcPr>
          <w:p>
            <w:pPr>
              <w:spacing w:after="0"/>
              <w:rPr>
                <w:sz w:val="21"/>
                <w:szCs w:val="21"/>
                <w:color w:val="auto"/>
              </w:rPr>
            </w:pPr>
          </w:p>
        </w:tc>
        <w:tc>
          <w:tcPr>
            <w:tcW w:w="26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24E6A"/>
            </w:tcBorders>
            <w:shd w:val="clear" w:color="auto" w:fill="D9DCE1"/>
          </w:tcPr>
          <w:p>
            <w:pPr>
              <w:spacing w:after="0"/>
              <w:rPr>
                <w:sz w:val="21"/>
                <w:szCs w:val="21"/>
                <w:color w:val="auto"/>
              </w:rPr>
            </w:pPr>
          </w:p>
        </w:tc>
        <w:tc>
          <w:tcPr>
            <w:tcW w:w="12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5"/>
                <w:szCs w:val="15"/>
                <w:b w:val="1"/>
                <w:bCs w:val="1"/>
                <w:color w:val="auto"/>
              </w:rPr>
              <w:t>​</w:t>
            </w:r>
          </w:p>
        </w:tc>
        <w:tc>
          <w:tcPr>
            <w:tcW w:w="120" w:type="dxa"/>
            <w:vAlign w:val="bottom"/>
            <w:tcBorders>
              <w:bottom w:val="single" w:sz="8" w:color="424E6A"/>
              <w:right w:val="single" w:sz="8" w:color="424E6A"/>
            </w:tcBorders>
            <w:shd w:val="clear" w:color="auto" w:fill="D9DCE1"/>
          </w:tcPr>
          <w:p>
            <w:pPr>
              <w:jc w:val="right"/>
              <w:ind w:right="5"/>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5"/>
                <w:szCs w:val="15"/>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424E6A"/>
            </w:tcBorders>
            <w:shd w:val="clear" w:color="auto" w:fill="D9DCE1"/>
          </w:tcPr>
          <w:p>
            <w:pPr>
              <w:spacing w:after="0"/>
              <w:rPr>
                <w:sz w:val="21"/>
                <w:szCs w:val="21"/>
                <w:color w:val="auto"/>
              </w:rPr>
            </w:pPr>
          </w:p>
        </w:tc>
        <w:tc>
          <w:tcPr>
            <w:tcW w:w="260" w:type="dxa"/>
            <w:vAlign w:val="bottom"/>
            <w:tcBorders>
              <w:bottom w:val="single" w:sz="8" w:color="424E6A"/>
              <w:right w:val="single" w:sz="8" w:color="424E6A"/>
            </w:tcBorders>
            <w:shd w:val="clear" w:color="auto" w:fill="D9DCE1"/>
          </w:tcPr>
          <w:p>
            <w:pPr>
              <w:jc w:val="right"/>
              <w:ind w:right="137"/>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6"/>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5"/>
                <w:szCs w:val="15"/>
                <w:color w:val="auto"/>
              </w:rPr>
              <w:t>​</w:t>
            </w:r>
          </w:p>
        </w:tc>
        <w:tc>
          <w:tcPr>
            <w:tcW w:w="1680" w:type="dxa"/>
            <w:vAlign w:val="bottom"/>
          </w:tcPr>
          <w:p>
            <w:pPr>
              <w:ind w:left="60"/>
              <w:spacing w:after="0" w:line="156" w:lineRule="exact"/>
              <w:rPr>
                <w:sz w:val="20"/>
                <w:szCs w:val="20"/>
                <w:color w:val="auto"/>
              </w:rPr>
            </w:pPr>
            <w:r>
              <w:rPr>
                <w:rFonts w:ascii="Arial" w:cs="Arial" w:eastAsia="Arial" w:hAnsi="Arial"/>
                <w:sz w:val="15"/>
                <w:szCs w:val="15"/>
                <w:color w:val="auto"/>
              </w:rPr>
              <w:t>Equity Compensation</w:t>
            </w:r>
          </w:p>
        </w:tc>
        <w:tc>
          <w:tcPr>
            <w:tcW w:w="240" w:type="dxa"/>
            <w:vAlign w:val="bottom"/>
            <w:tcBorders>
              <w:right w:val="single" w:sz="8" w:color="424E6A"/>
            </w:tcBorders>
            <w:vMerge w:val="restart"/>
          </w:tcPr>
          <w:p>
            <w:pPr>
              <w:ind w:lef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160" w:type="dxa"/>
            <w:vAlign w:val="bottom"/>
            <w:tcBorders>
              <w:right w:val="single" w:sz="8" w:color="424E6A"/>
            </w:tcBorders>
            <w:gridSpan w:val="3"/>
          </w:tcPr>
          <w:p>
            <w:pPr>
              <w:jc w:val="right"/>
              <w:ind w:right="113"/>
              <w:spacing w:after="0" w:line="156" w:lineRule="exact"/>
              <w:rPr>
                <w:sz w:val="20"/>
                <w:szCs w:val="20"/>
                <w:color w:val="auto"/>
              </w:rPr>
            </w:pPr>
            <w:r>
              <w:rPr>
                <w:rFonts w:ascii="Arial" w:cs="Arial" w:eastAsia="Arial" w:hAnsi="Arial"/>
                <w:sz w:val="15"/>
                <w:szCs w:val="15"/>
                <w:color w:val="auto"/>
              </w:rPr>
              <w:t>14,575,462</w:t>
            </w:r>
            <w:r>
              <w:rPr>
                <w:rFonts w:ascii="Arial" w:cs="Arial" w:eastAsia="Arial" w:hAnsi="Arial"/>
                <w:sz w:val="18"/>
                <w:szCs w:val="18"/>
                <w:color w:val="auto"/>
                <w:vertAlign w:val="superscript"/>
              </w:rPr>
              <w:t>(1)</w:t>
            </w:r>
          </w:p>
        </w:tc>
        <w:tc>
          <w:tcPr>
            <w:tcW w:w="1340" w:type="dxa"/>
            <w:vAlign w:val="bottom"/>
            <w:tcBorders>
              <w:right w:val="single" w:sz="8" w:color="424E6A"/>
            </w:tcBorders>
            <w:gridSpan w:val="3"/>
          </w:tcPr>
          <w:p>
            <w:pPr>
              <w:jc w:val="right"/>
              <w:ind w:right="114"/>
              <w:spacing w:after="0" w:line="156" w:lineRule="exact"/>
              <w:rPr>
                <w:sz w:val="20"/>
                <w:szCs w:val="20"/>
                <w:color w:val="auto"/>
              </w:rPr>
            </w:pPr>
            <w:r>
              <w:rPr>
                <w:rFonts w:ascii="Arial" w:cs="Arial" w:eastAsia="Arial" w:hAnsi="Arial"/>
                <w:sz w:val="15"/>
                <w:szCs w:val="15"/>
                <w:color w:val="auto"/>
              </w:rPr>
              <w:t>14,575,462</w:t>
            </w:r>
            <w:r>
              <w:rPr>
                <w:rFonts w:ascii="Arial" w:cs="Arial" w:eastAsia="Arial" w:hAnsi="Arial"/>
                <w:sz w:val="18"/>
                <w:szCs w:val="18"/>
                <w:color w:val="auto"/>
                <w:vertAlign w:val="superscript"/>
              </w:rPr>
              <w:t>(1)</w:t>
            </w:r>
          </w:p>
        </w:tc>
        <w:tc>
          <w:tcPr>
            <w:tcW w:w="1160" w:type="dxa"/>
            <w:vAlign w:val="bottom"/>
            <w:tcBorders>
              <w:right w:val="single" w:sz="8" w:color="424E6A"/>
            </w:tcBorders>
            <w:gridSpan w:val="3"/>
          </w:tcPr>
          <w:p>
            <w:pPr>
              <w:jc w:val="right"/>
              <w:ind w:right="31"/>
              <w:spacing w:after="0" w:line="156" w:lineRule="exact"/>
              <w:rPr>
                <w:sz w:val="20"/>
                <w:szCs w:val="20"/>
                <w:color w:val="auto"/>
              </w:rPr>
            </w:pPr>
            <w:r>
              <w:rPr>
                <w:rFonts w:ascii="Arial" w:cs="Arial" w:eastAsia="Arial" w:hAnsi="Arial"/>
                <w:sz w:val="15"/>
                <w:szCs w:val="15"/>
                <w:color w:val="auto"/>
              </w:rPr>
              <w:t>11,738,115</w:t>
            </w:r>
            <w:r>
              <w:rPr>
                <w:rFonts w:ascii="Arial" w:cs="Arial" w:eastAsia="Arial" w:hAnsi="Arial"/>
                <w:sz w:val="18"/>
                <w:szCs w:val="18"/>
                <w:color w:val="auto"/>
                <w:vertAlign w:val="superscript"/>
              </w:rPr>
              <w:t>(2)</w:t>
            </w:r>
          </w:p>
        </w:tc>
        <w:tc>
          <w:tcPr>
            <w:tcW w:w="260" w:type="dxa"/>
            <w:vAlign w:val="bottom"/>
            <w:vMerge w:val="restart"/>
          </w:tcPr>
          <w:p>
            <w:pPr>
              <w:ind w:left="2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240" w:type="dxa"/>
            <w:vAlign w:val="bottom"/>
            <w:tcBorders>
              <w:right w:val="single" w:sz="8" w:color="424E6A"/>
            </w:tcBorders>
            <w:gridSpan w:val="2"/>
            <w:vMerge w:val="restart"/>
          </w:tcPr>
          <w:p>
            <w:pPr>
              <w:jc w:val="right"/>
              <w:ind w:right="5"/>
              <w:spacing w:after="0"/>
              <w:rPr>
                <w:sz w:val="20"/>
                <w:szCs w:val="20"/>
                <w:color w:val="auto"/>
              </w:rPr>
            </w:pPr>
            <w:r>
              <w:rPr>
                <w:rFonts w:ascii="Arial" w:cs="Arial" w:eastAsia="Arial" w:hAnsi="Arial"/>
                <w:sz w:val="15"/>
                <w:szCs w:val="15"/>
                <w:color w:val="auto"/>
              </w:rPr>
              <w:t>​ ​</w:t>
            </w:r>
          </w:p>
        </w:tc>
        <w:tc>
          <w:tcPr>
            <w:tcW w:w="180" w:type="dxa"/>
            <w:vAlign w:val="bottom"/>
          </w:tcPr>
          <w:p>
            <w:pPr>
              <w:spacing w:after="0"/>
              <w:rPr>
                <w:sz w:val="13"/>
                <w:szCs w:val="13"/>
                <w:color w:val="auto"/>
              </w:rPr>
            </w:pPr>
          </w:p>
        </w:tc>
        <w:tc>
          <w:tcPr>
            <w:tcW w:w="1100" w:type="dxa"/>
            <w:vAlign w:val="bottom"/>
            <w:tcBorders>
              <w:right w:val="single" w:sz="8" w:color="424E6A"/>
            </w:tcBorders>
            <w:gridSpan w:val="3"/>
          </w:tcPr>
          <w:p>
            <w:pPr>
              <w:jc w:val="right"/>
              <w:ind w:right="77"/>
              <w:spacing w:after="0" w:line="156" w:lineRule="exact"/>
              <w:rPr>
                <w:sz w:val="20"/>
                <w:szCs w:val="20"/>
                <w:color w:val="auto"/>
              </w:rPr>
            </w:pPr>
            <w:r>
              <w:rPr>
                <w:rFonts w:ascii="Arial" w:cs="Arial" w:eastAsia="Arial" w:hAnsi="Arial"/>
                <w:sz w:val="15"/>
                <w:szCs w:val="15"/>
                <w:color w:val="auto"/>
              </w:rPr>
              <w:t>19,749,862</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67"/>
        </w:trPr>
        <w:tc>
          <w:tcPr>
            <w:tcW w:w="140" w:type="dxa"/>
            <w:vAlign w:val="bottom"/>
            <w:tcBorders>
              <w:left w:val="single" w:sz="8" w:color="424E6A"/>
              <w:bottom w:val="single" w:sz="8" w:color="424E6A"/>
            </w:tcBorders>
            <w:vMerge w:val="continue"/>
          </w:tcPr>
          <w:p>
            <w:pPr>
              <w:spacing w:after="0"/>
              <w:rPr>
                <w:sz w:val="5"/>
                <w:szCs w:val="5"/>
                <w:color w:val="auto"/>
              </w:rPr>
            </w:pPr>
          </w:p>
        </w:tc>
        <w:tc>
          <w:tcPr>
            <w:tcW w:w="168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220" w:type="dxa"/>
            <w:vAlign w:val="bottom"/>
            <w:tcBorders>
              <w:bottom w:val="single" w:sz="8" w:color="424E6A"/>
            </w:tcBorders>
            <w:gridSpan w:val="2"/>
          </w:tcPr>
          <w:p>
            <w:pPr>
              <w:ind w:left="40"/>
              <w:spacing w:after="0" w:line="68" w:lineRule="exact"/>
              <w:rPr>
                <w:sz w:val="20"/>
                <w:szCs w:val="20"/>
                <w:color w:val="auto"/>
              </w:rPr>
            </w:pPr>
            <w:r>
              <w:rPr>
                <w:rFonts w:ascii="Arial" w:cs="Arial" w:eastAsia="Arial" w:hAnsi="Arial"/>
                <w:sz w:val="7"/>
                <w:szCs w:val="7"/>
                <w:color w:val="auto"/>
              </w:rPr>
              <w:t>​ ​</w:t>
            </w:r>
          </w:p>
        </w:tc>
        <w:tc>
          <w:tcPr>
            <w:tcW w:w="720" w:type="dxa"/>
            <w:vAlign w:val="bottom"/>
            <w:tcBorders>
              <w:bottom w:val="single" w:sz="8" w:color="424E6A"/>
            </w:tcBorders>
          </w:tcPr>
          <w:p>
            <w:pPr>
              <w:spacing w:after="0"/>
              <w:rPr>
                <w:sz w:val="5"/>
                <w:szCs w:val="5"/>
                <w:color w:val="auto"/>
              </w:rPr>
            </w:pPr>
          </w:p>
        </w:tc>
        <w:tc>
          <w:tcPr>
            <w:tcW w:w="300" w:type="dxa"/>
            <w:vAlign w:val="bottom"/>
            <w:tcBorders>
              <w:bottom w:val="single" w:sz="8" w:color="424E6A"/>
              <w:right w:val="single" w:sz="8" w:color="424E6A"/>
            </w:tcBorders>
          </w:tcPr>
          <w:p>
            <w:pPr>
              <w:jc w:val="right"/>
              <w:ind w:right="113"/>
              <w:spacing w:after="0" w:line="68" w:lineRule="exact"/>
              <w:rPr>
                <w:sz w:val="20"/>
                <w:szCs w:val="20"/>
                <w:color w:val="auto"/>
              </w:rPr>
            </w:pPr>
            <w:r>
              <w:rPr>
                <w:rFonts w:ascii="Arial" w:cs="Arial" w:eastAsia="Arial" w:hAnsi="Arial"/>
                <w:sz w:val="7"/>
                <w:szCs w:val="7"/>
                <w:color w:val="auto"/>
              </w:rPr>
              <w:t>​</w:t>
            </w:r>
          </w:p>
        </w:tc>
        <w:tc>
          <w:tcPr>
            <w:tcW w:w="300" w:type="dxa"/>
            <w:vAlign w:val="bottom"/>
            <w:tcBorders>
              <w:bottom w:val="single" w:sz="8" w:color="424E6A"/>
            </w:tcBorders>
          </w:tcPr>
          <w:p>
            <w:pPr>
              <w:ind w:left="260"/>
              <w:spacing w:after="0" w:line="68"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424E6A"/>
            </w:tcBorders>
          </w:tcPr>
          <w:p>
            <w:pPr>
              <w:spacing w:after="0"/>
              <w:rPr>
                <w:sz w:val="5"/>
                <w:szCs w:val="5"/>
                <w:color w:val="auto"/>
              </w:rPr>
            </w:pPr>
          </w:p>
        </w:tc>
        <w:tc>
          <w:tcPr>
            <w:tcW w:w="300" w:type="dxa"/>
            <w:vAlign w:val="bottom"/>
            <w:tcBorders>
              <w:bottom w:val="single" w:sz="8" w:color="424E6A"/>
              <w:right w:val="single" w:sz="8" w:color="424E6A"/>
            </w:tcBorders>
          </w:tcPr>
          <w:p>
            <w:pPr>
              <w:jc w:val="right"/>
              <w:ind w:right="114"/>
              <w:spacing w:after="0" w:line="68" w:lineRule="exact"/>
              <w:rPr>
                <w:sz w:val="20"/>
                <w:szCs w:val="20"/>
                <w:color w:val="auto"/>
              </w:rPr>
            </w:pPr>
            <w:r>
              <w:rPr>
                <w:rFonts w:ascii="Arial" w:cs="Arial" w:eastAsia="Arial" w:hAnsi="Arial"/>
                <w:sz w:val="7"/>
                <w:szCs w:val="7"/>
                <w:color w:val="auto"/>
              </w:rPr>
              <w:t>​</w:t>
            </w:r>
          </w:p>
        </w:tc>
        <w:tc>
          <w:tcPr>
            <w:tcW w:w="24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spacing w:after="0"/>
              <w:rPr>
                <w:sz w:val="5"/>
                <w:szCs w:val="5"/>
                <w:color w:val="auto"/>
              </w:rPr>
            </w:pPr>
          </w:p>
        </w:tc>
        <w:tc>
          <w:tcPr>
            <w:tcW w:w="260" w:type="dxa"/>
            <w:vAlign w:val="bottom"/>
            <w:tcBorders>
              <w:bottom w:val="single" w:sz="8" w:color="424E6A"/>
            </w:tcBorders>
            <w:vMerge w:val="continue"/>
          </w:tcPr>
          <w:p>
            <w:pPr>
              <w:spacing w:after="0"/>
              <w:rPr>
                <w:sz w:val="5"/>
                <w:szCs w:val="5"/>
                <w:color w:val="auto"/>
              </w:rPr>
            </w:pPr>
          </w:p>
        </w:tc>
        <w:tc>
          <w:tcPr>
            <w:tcW w:w="6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vMerge w:val="continue"/>
          </w:tcPr>
          <w:p>
            <w:pPr>
              <w:spacing w:after="0"/>
              <w:rPr>
                <w:sz w:val="5"/>
                <w:szCs w:val="5"/>
                <w:color w:val="auto"/>
              </w:rPr>
            </w:pPr>
          </w:p>
        </w:tc>
        <w:tc>
          <w:tcPr>
            <w:tcW w:w="300" w:type="dxa"/>
            <w:vAlign w:val="bottom"/>
            <w:tcBorders>
              <w:bottom w:val="single" w:sz="8" w:color="424E6A"/>
            </w:tcBorders>
            <w:gridSpan w:val="2"/>
          </w:tcPr>
          <w:p>
            <w:pPr>
              <w:ind w:left="100"/>
              <w:spacing w:after="0" w:line="68" w:lineRule="exact"/>
              <w:rPr>
                <w:sz w:val="20"/>
                <w:szCs w:val="20"/>
                <w:color w:val="auto"/>
              </w:rPr>
            </w:pPr>
            <w:r>
              <w:rPr>
                <w:rFonts w:ascii="Arial" w:cs="Arial" w:eastAsia="Arial" w:hAnsi="Arial"/>
                <w:sz w:val="7"/>
                <w:szCs w:val="7"/>
                <w:color w:val="auto"/>
              </w:rPr>
              <w:t>​ ​</w:t>
            </w:r>
          </w:p>
        </w:tc>
        <w:tc>
          <w:tcPr>
            <w:tcW w:w="720" w:type="dxa"/>
            <w:vAlign w:val="bottom"/>
            <w:tcBorders>
              <w:bottom w:val="single" w:sz="8" w:color="424E6A"/>
            </w:tcBorders>
          </w:tcPr>
          <w:p>
            <w:pPr>
              <w:spacing w:after="0"/>
              <w:rPr>
                <w:sz w:val="5"/>
                <w:szCs w:val="5"/>
                <w:color w:val="auto"/>
              </w:rPr>
            </w:pPr>
          </w:p>
        </w:tc>
        <w:tc>
          <w:tcPr>
            <w:tcW w:w="260" w:type="dxa"/>
            <w:vAlign w:val="bottom"/>
            <w:tcBorders>
              <w:bottom w:val="single" w:sz="8" w:color="424E6A"/>
              <w:right w:val="single" w:sz="8" w:color="424E6A"/>
            </w:tcBorders>
          </w:tcPr>
          <w:p>
            <w:pPr>
              <w:jc w:val="right"/>
              <w:ind w:right="137"/>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23"/>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424E6A"/>
            </w:tcBorders>
          </w:tcPr>
          <w:p>
            <w:pPr>
              <w:ind w:left="6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424E6A"/>
              <w:right w:val="single" w:sz="8" w:color="424E6A"/>
            </w:tcBorders>
          </w:tcPr>
          <w:p>
            <w:pPr>
              <w:ind w:lef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14,575,462</w:t>
            </w:r>
          </w:p>
        </w:tc>
        <w:tc>
          <w:tcPr>
            <w:tcW w:w="300" w:type="dxa"/>
            <w:vAlign w:val="bottom"/>
            <w:tcBorders>
              <w:bottom w:val="single" w:sz="8" w:color="424E6A"/>
              <w:right w:val="single" w:sz="8" w:color="424E6A"/>
            </w:tcBorders>
          </w:tcPr>
          <w:p>
            <w:pPr>
              <w:jc w:val="right"/>
              <w:ind w:right="11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14,575,462</w:t>
            </w:r>
          </w:p>
        </w:tc>
        <w:tc>
          <w:tcPr>
            <w:tcW w:w="300" w:type="dxa"/>
            <w:vAlign w:val="bottom"/>
            <w:tcBorders>
              <w:bottom w:val="single" w:sz="8" w:color="424E6A"/>
              <w:right w:val="single" w:sz="8" w:color="424E6A"/>
            </w:tcBorders>
          </w:tcPr>
          <w:p>
            <w:pPr>
              <w:jc w:val="right"/>
              <w:ind w:right="11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11,738,115</w:t>
            </w:r>
          </w:p>
        </w:tc>
        <w:tc>
          <w:tcPr>
            <w:tcW w:w="220" w:type="dxa"/>
            <w:vAlign w:val="bottom"/>
            <w:tcBorders>
              <w:bottom w:val="single" w:sz="8" w:color="424E6A"/>
              <w:right w:val="single" w:sz="8" w:color="424E6A"/>
            </w:tcBorders>
          </w:tcPr>
          <w:p>
            <w:pPr>
              <w:spacing w:after="0"/>
              <w:rPr>
                <w:sz w:val="19"/>
                <w:szCs w:val="19"/>
                <w:color w:val="auto"/>
              </w:rPr>
            </w:pPr>
          </w:p>
        </w:tc>
        <w:tc>
          <w:tcPr>
            <w:tcW w:w="260" w:type="dxa"/>
            <w:vAlign w:val="bottom"/>
            <w:tcBorders>
              <w:bottom w:val="single" w:sz="8" w:color="424E6A"/>
            </w:tcBorders>
          </w:tcPr>
          <w:p>
            <w:pPr>
              <w:ind w:left="20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424E6A"/>
              <w:right w:val="single" w:sz="8" w:color="424E6A"/>
            </w:tcBorders>
            <w:gridSpan w:val="3"/>
          </w:tcPr>
          <w:p>
            <w:pPr>
              <w:jc w:val="right"/>
              <w:ind w:right="5"/>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 ​</w:t>
            </w:r>
          </w:p>
        </w:tc>
        <w:tc>
          <w:tcPr>
            <w:tcW w:w="1280" w:type="dxa"/>
            <w:vAlign w:val="bottom"/>
            <w:tcBorders>
              <w:bottom w:val="single" w:sz="8" w:color="424E6A"/>
              <w:right w:val="single" w:sz="8" w:color="424E6A"/>
            </w:tcBorders>
            <w:gridSpan w:val="4"/>
          </w:tcPr>
          <w:p>
            <w:pPr>
              <w:ind w:left="10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19,749,862 </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37"/>
        </w:trPr>
        <w:tc>
          <w:tcPr>
            <w:tcW w:w="1820" w:type="dxa"/>
            <w:vAlign w:val="bottom"/>
            <w:tcBorders>
              <w:left w:val="single" w:sz="8" w:color="424E6A"/>
              <w:bottom w:val="single" w:sz="8" w:color="424E6A"/>
            </w:tcBorders>
            <w:gridSpan w:val="2"/>
            <w:shd w:val="clear" w:color="auto" w:fill="D9DCE1"/>
          </w:tcPr>
          <w:p>
            <w:pPr>
              <w:ind w:left="40"/>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Harry Pefanis</w:t>
            </w:r>
            <w:r>
              <w:rPr>
                <w:rFonts w:ascii="Arial" w:cs="Arial" w:eastAsia="Arial" w:hAnsi="Arial"/>
                <w:sz w:val="17"/>
                <w:szCs w:val="17"/>
                <w:b w:val="1"/>
                <w:bCs w:val="1"/>
                <w:color w:val="auto"/>
                <w:vertAlign w:val="superscript"/>
              </w:rPr>
              <w:t>(7)</w:t>
            </w:r>
          </w:p>
        </w:tc>
        <w:tc>
          <w:tcPr>
            <w:tcW w:w="24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424E6A"/>
            </w:tcBorders>
            <w:shd w:val="clear" w:color="auto" w:fill="D9DCE1"/>
          </w:tcPr>
          <w:p>
            <w:pPr>
              <w:spacing w:after="0"/>
              <w:rPr>
                <w:sz w:val="20"/>
                <w:szCs w:val="20"/>
                <w:color w:val="auto"/>
              </w:rPr>
            </w:pPr>
          </w:p>
        </w:tc>
        <w:tc>
          <w:tcPr>
            <w:tcW w:w="300" w:type="dxa"/>
            <w:vAlign w:val="bottom"/>
            <w:tcBorders>
              <w:bottom w:val="single" w:sz="8" w:color="424E6A"/>
              <w:right w:val="single" w:sz="8" w:color="424E6A"/>
            </w:tcBorders>
            <w:shd w:val="clear" w:color="auto" w:fill="D9DCE1"/>
          </w:tcPr>
          <w:p>
            <w:pPr>
              <w:jc w:val="right"/>
              <w:ind w:right="113"/>
              <w:spacing w:after="0"/>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424E6A"/>
            </w:tcBorders>
            <w:shd w:val="clear" w:color="auto" w:fill="D9DCE1"/>
          </w:tcPr>
          <w:p>
            <w:pPr>
              <w:ind w:left="260"/>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424E6A"/>
            </w:tcBorders>
            <w:shd w:val="clear" w:color="auto" w:fill="D9DCE1"/>
          </w:tcPr>
          <w:p>
            <w:pPr>
              <w:spacing w:after="0"/>
              <w:rPr>
                <w:sz w:val="20"/>
                <w:szCs w:val="20"/>
                <w:color w:val="auto"/>
              </w:rPr>
            </w:pPr>
          </w:p>
        </w:tc>
        <w:tc>
          <w:tcPr>
            <w:tcW w:w="300" w:type="dxa"/>
            <w:vAlign w:val="bottom"/>
            <w:tcBorders>
              <w:bottom w:val="single" w:sz="8" w:color="424E6A"/>
              <w:right w:val="single" w:sz="8" w:color="424E6A"/>
            </w:tcBorders>
            <w:shd w:val="clear" w:color="auto" w:fill="D9DCE1"/>
          </w:tcPr>
          <w:p>
            <w:pPr>
              <w:jc w:val="right"/>
              <w:ind w:right="114"/>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424E6A"/>
            </w:tcBorders>
            <w:shd w:val="clear" w:color="auto" w:fill="D9DCE1"/>
          </w:tcPr>
          <w:p>
            <w:pPr>
              <w:spacing w:after="0"/>
              <w:rPr>
                <w:sz w:val="20"/>
                <w:szCs w:val="20"/>
                <w:color w:val="auto"/>
              </w:rPr>
            </w:pPr>
          </w:p>
        </w:tc>
        <w:tc>
          <w:tcPr>
            <w:tcW w:w="220" w:type="dxa"/>
            <w:vAlign w:val="bottom"/>
            <w:tcBorders>
              <w:bottom w:val="single" w:sz="8" w:color="424E6A"/>
              <w:right w:val="single" w:sz="8" w:color="424E6A"/>
            </w:tcBorders>
            <w:shd w:val="clear" w:color="auto" w:fill="D9DCE1"/>
          </w:tcPr>
          <w:p>
            <w:pPr>
              <w:spacing w:after="0"/>
              <w:rPr>
                <w:sz w:val="20"/>
                <w:szCs w:val="20"/>
                <w:color w:val="auto"/>
              </w:rPr>
            </w:pPr>
          </w:p>
        </w:tc>
        <w:tc>
          <w:tcPr>
            <w:tcW w:w="26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24E6A"/>
            </w:tcBorders>
            <w:shd w:val="clear" w:color="auto" w:fill="D9DCE1"/>
          </w:tcPr>
          <w:p>
            <w:pPr>
              <w:spacing w:after="0"/>
              <w:rPr>
                <w:sz w:val="20"/>
                <w:szCs w:val="20"/>
                <w:color w:val="auto"/>
              </w:rPr>
            </w:pPr>
          </w:p>
        </w:tc>
        <w:tc>
          <w:tcPr>
            <w:tcW w:w="12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5"/>
                <w:szCs w:val="15"/>
                <w:b w:val="1"/>
                <w:bCs w:val="1"/>
                <w:color w:val="auto"/>
              </w:rPr>
              <w:t>​</w:t>
            </w:r>
          </w:p>
        </w:tc>
        <w:tc>
          <w:tcPr>
            <w:tcW w:w="120" w:type="dxa"/>
            <w:vAlign w:val="bottom"/>
            <w:tcBorders>
              <w:bottom w:val="single" w:sz="8" w:color="424E6A"/>
              <w:right w:val="single" w:sz="8" w:color="424E6A"/>
            </w:tcBorders>
            <w:shd w:val="clear" w:color="auto" w:fill="D9DCE1"/>
          </w:tcPr>
          <w:p>
            <w:pPr>
              <w:jc w:val="right"/>
              <w:ind w:right="5"/>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5"/>
                <w:szCs w:val="15"/>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424E6A"/>
            </w:tcBorders>
            <w:shd w:val="clear" w:color="auto" w:fill="D9DCE1"/>
          </w:tcPr>
          <w:p>
            <w:pPr>
              <w:spacing w:after="0"/>
              <w:rPr>
                <w:sz w:val="20"/>
                <w:szCs w:val="20"/>
                <w:color w:val="auto"/>
              </w:rPr>
            </w:pPr>
          </w:p>
        </w:tc>
        <w:tc>
          <w:tcPr>
            <w:tcW w:w="260" w:type="dxa"/>
            <w:vAlign w:val="bottom"/>
            <w:tcBorders>
              <w:bottom w:val="single" w:sz="8" w:color="424E6A"/>
              <w:right w:val="single" w:sz="8" w:color="424E6A"/>
            </w:tcBorders>
            <w:shd w:val="clear" w:color="auto" w:fill="D9DCE1"/>
          </w:tcPr>
          <w:p>
            <w:pPr>
              <w:jc w:val="right"/>
              <w:ind w:right="137"/>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6"/>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5"/>
                <w:szCs w:val="15"/>
                <w:color w:val="auto"/>
              </w:rPr>
              <w:t>​</w:t>
            </w:r>
          </w:p>
        </w:tc>
        <w:tc>
          <w:tcPr>
            <w:tcW w:w="1680" w:type="dxa"/>
            <w:vAlign w:val="bottom"/>
          </w:tcPr>
          <w:p>
            <w:pPr>
              <w:ind w:left="60"/>
              <w:spacing w:after="0" w:line="156" w:lineRule="exact"/>
              <w:rPr>
                <w:sz w:val="20"/>
                <w:szCs w:val="20"/>
                <w:color w:val="auto"/>
              </w:rPr>
            </w:pPr>
            <w:r>
              <w:rPr>
                <w:rFonts w:ascii="Arial" w:cs="Arial" w:eastAsia="Arial" w:hAnsi="Arial"/>
                <w:sz w:val="15"/>
                <w:szCs w:val="15"/>
                <w:color w:val="auto"/>
              </w:rPr>
              <w:t>Salary and Bonus</w:t>
            </w:r>
          </w:p>
        </w:tc>
        <w:tc>
          <w:tcPr>
            <w:tcW w:w="240" w:type="dxa"/>
            <w:vAlign w:val="bottom"/>
            <w:tcBorders>
              <w:right w:val="single" w:sz="8" w:color="424E6A"/>
            </w:tcBorders>
            <w:vMerge w:val="restart"/>
          </w:tcPr>
          <w:p>
            <w:pPr>
              <w:ind w:left="180"/>
              <w:spacing w:after="0"/>
              <w:rPr>
                <w:sz w:val="20"/>
                <w:szCs w:val="20"/>
                <w:color w:val="auto"/>
              </w:rPr>
            </w:pPr>
            <w:r>
              <w:rPr>
                <w:rFonts w:ascii="Arial" w:cs="Arial" w:eastAsia="Arial" w:hAnsi="Arial"/>
                <w:sz w:val="15"/>
                <w:szCs w:val="15"/>
                <w:color w:val="auto"/>
              </w:rPr>
              <w:t>​</w:t>
            </w:r>
          </w:p>
        </w:tc>
        <w:tc>
          <w:tcPr>
            <w:tcW w:w="220" w:type="dxa"/>
            <w:vAlign w:val="bottom"/>
            <w:gridSpan w:val="2"/>
            <w:vMerge w:val="restart"/>
          </w:tcPr>
          <w:p>
            <w:pPr>
              <w:ind w:left="40"/>
              <w:spacing w:after="0"/>
              <w:rPr>
                <w:sz w:val="20"/>
                <w:szCs w:val="20"/>
                <w:color w:val="auto"/>
              </w:rPr>
            </w:pPr>
            <w:r>
              <w:rPr>
                <w:rFonts w:ascii="Arial" w:cs="Arial" w:eastAsia="Arial" w:hAnsi="Arial"/>
                <w:sz w:val="15"/>
                <w:szCs w:val="15"/>
                <w:color w:val="auto"/>
              </w:rPr>
              <w:t>​ ​</w:t>
            </w:r>
          </w:p>
        </w:tc>
        <w:tc>
          <w:tcPr>
            <w:tcW w:w="1020" w:type="dxa"/>
            <w:vAlign w:val="bottom"/>
            <w:tcBorders>
              <w:right w:val="single" w:sz="8" w:color="424E6A"/>
            </w:tcBorders>
            <w:gridSpan w:val="2"/>
          </w:tcPr>
          <w:p>
            <w:pPr>
              <w:jc w:val="right"/>
              <w:ind w:right="113"/>
              <w:spacing w:after="0" w:line="156" w:lineRule="exact"/>
              <w:rPr>
                <w:sz w:val="20"/>
                <w:szCs w:val="20"/>
                <w:color w:val="auto"/>
              </w:rPr>
            </w:pPr>
            <w:r>
              <w:rPr>
                <w:rFonts w:ascii="Arial" w:cs="Arial" w:eastAsia="Arial" w:hAnsi="Arial"/>
                <w:sz w:val="15"/>
                <w:szCs w:val="15"/>
                <w:color w:val="auto"/>
              </w:rPr>
              <w:t>5,410,000</w:t>
            </w:r>
            <w:r>
              <w:rPr>
                <w:rFonts w:ascii="Arial" w:cs="Arial" w:eastAsia="Arial" w:hAnsi="Arial"/>
                <w:sz w:val="18"/>
                <w:szCs w:val="18"/>
                <w:color w:val="auto"/>
                <w:vertAlign w:val="superscript"/>
              </w:rPr>
              <w:t>(4)</w:t>
            </w:r>
          </w:p>
        </w:tc>
        <w:tc>
          <w:tcPr>
            <w:tcW w:w="300" w:type="dxa"/>
            <w:vAlign w:val="bottom"/>
            <w:vMerge w:val="restart"/>
          </w:tcPr>
          <w:p>
            <w:pPr>
              <w:ind w:left="260"/>
              <w:spacing w:after="0"/>
              <w:rPr>
                <w:sz w:val="20"/>
                <w:szCs w:val="20"/>
                <w:color w:val="auto"/>
              </w:rPr>
            </w:pPr>
            <w:r>
              <w:rPr>
                <w:rFonts w:ascii="Arial" w:cs="Arial" w:eastAsia="Arial" w:hAnsi="Arial"/>
                <w:sz w:val="15"/>
                <w:szCs w:val="15"/>
                <w:color w:val="auto"/>
              </w:rPr>
              <w:t>​</w:t>
            </w:r>
          </w:p>
        </w:tc>
        <w:tc>
          <w:tcPr>
            <w:tcW w:w="1040" w:type="dxa"/>
            <w:vAlign w:val="bottom"/>
            <w:tcBorders>
              <w:right w:val="single" w:sz="8" w:color="424E6A"/>
            </w:tcBorders>
            <w:gridSpan w:val="2"/>
          </w:tcPr>
          <w:p>
            <w:pPr>
              <w:jc w:val="right"/>
              <w:ind w:right="114"/>
              <w:spacing w:after="0" w:line="156" w:lineRule="exact"/>
              <w:rPr>
                <w:sz w:val="20"/>
                <w:szCs w:val="20"/>
                <w:color w:val="auto"/>
              </w:rPr>
            </w:pPr>
            <w:r>
              <w:rPr>
                <w:rFonts w:ascii="Arial" w:cs="Arial" w:eastAsia="Arial" w:hAnsi="Arial"/>
                <w:sz w:val="15"/>
                <w:szCs w:val="15"/>
                <w:color w:val="auto"/>
              </w:rPr>
              <w:t>5,410,000</w:t>
            </w:r>
            <w:r>
              <w:rPr>
                <w:rFonts w:ascii="Arial" w:cs="Arial" w:eastAsia="Arial" w:hAnsi="Arial"/>
                <w:sz w:val="18"/>
                <w:szCs w:val="18"/>
                <w:color w:val="auto"/>
                <w:vertAlign w:val="superscript"/>
              </w:rPr>
              <w:t>(4)</w:t>
            </w:r>
          </w:p>
        </w:tc>
        <w:tc>
          <w:tcPr>
            <w:tcW w:w="240" w:type="dxa"/>
            <w:vAlign w:val="bottom"/>
            <w:vMerge w:val="restart"/>
          </w:tcPr>
          <w:p>
            <w:pPr>
              <w:ind w:left="180"/>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424E6A"/>
            </w:tcBorders>
            <w:gridSpan w:val="2"/>
          </w:tcPr>
          <w:p>
            <w:pPr>
              <w:jc w:val="right"/>
              <w:ind w:right="31"/>
              <w:spacing w:after="0" w:line="156" w:lineRule="exact"/>
              <w:rPr>
                <w:sz w:val="20"/>
                <w:szCs w:val="20"/>
                <w:color w:val="auto"/>
              </w:rPr>
            </w:pPr>
            <w:r>
              <w:rPr>
                <w:rFonts w:ascii="Arial" w:cs="Arial" w:eastAsia="Arial" w:hAnsi="Arial"/>
                <w:sz w:val="15"/>
                <w:szCs w:val="15"/>
                <w:color w:val="auto"/>
              </w:rPr>
              <w:t>5,410,000</w:t>
            </w:r>
            <w:r>
              <w:rPr>
                <w:rFonts w:ascii="Arial" w:cs="Arial" w:eastAsia="Arial" w:hAnsi="Arial"/>
                <w:sz w:val="18"/>
                <w:szCs w:val="18"/>
                <w:color w:val="auto"/>
                <w:vertAlign w:val="superscript"/>
              </w:rPr>
              <w:t>(4)</w:t>
            </w:r>
          </w:p>
        </w:tc>
        <w:tc>
          <w:tcPr>
            <w:tcW w:w="1020" w:type="dxa"/>
            <w:vAlign w:val="bottom"/>
            <w:gridSpan w:val="3"/>
          </w:tcPr>
          <w:p>
            <w:pPr>
              <w:jc w:val="right"/>
              <w:spacing w:after="0" w:line="156" w:lineRule="exact"/>
              <w:rPr>
                <w:sz w:val="20"/>
                <w:szCs w:val="20"/>
                <w:color w:val="auto"/>
              </w:rPr>
            </w:pPr>
            <w:r>
              <w:rPr>
                <w:rFonts w:ascii="Arial" w:cs="Arial" w:eastAsia="Arial" w:hAnsi="Arial"/>
                <w:sz w:val="15"/>
                <w:szCs w:val="15"/>
                <w:color w:val="auto"/>
              </w:rPr>
              <w:t>5,410,000</w:t>
            </w:r>
            <w:r>
              <w:rPr>
                <w:rFonts w:ascii="Arial" w:cs="Arial" w:eastAsia="Arial" w:hAnsi="Arial"/>
                <w:sz w:val="18"/>
                <w:szCs w:val="18"/>
                <w:color w:val="auto"/>
                <w:vertAlign w:val="superscript"/>
              </w:rPr>
              <w:t>(4)</w:t>
            </w:r>
          </w:p>
        </w:tc>
        <w:tc>
          <w:tcPr>
            <w:tcW w:w="120" w:type="dxa"/>
            <w:vAlign w:val="bottom"/>
            <w:tcBorders>
              <w:right w:val="single" w:sz="8" w:color="424E6A"/>
            </w:tcBorders>
          </w:tcPr>
          <w:p>
            <w:pPr>
              <w:spacing w:after="0"/>
              <w:rPr>
                <w:sz w:val="13"/>
                <w:szCs w:val="13"/>
                <w:color w:val="auto"/>
              </w:rPr>
            </w:pPr>
          </w:p>
        </w:tc>
        <w:tc>
          <w:tcPr>
            <w:tcW w:w="300" w:type="dxa"/>
            <w:vAlign w:val="bottom"/>
            <w:gridSpan w:val="2"/>
            <w:vMerge w:val="restart"/>
          </w:tcPr>
          <w:p>
            <w:pPr>
              <w:ind w:left="100"/>
              <w:spacing w:after="0"/>
              <w:rPr>
                <w:sz w:val="20"/>
                <w:szCs w:val="20"/>
                <w:color w:val="auto"/>
              </w:rPr>
            </w:pPr>
            <w:r>
              <w:rPr>
                <w:rFonts w:ascii="Arial" w:cs="Arial" w:eastAsia="Arial" w:hAnsi="Arial"/>
                <w:sz w:val="15"/>
                <w:szCs w:val="15"/>
                <w:color w:val="auto"/>
              </w:rPr>
              <w:t>​ ​</w:t>
            </w:r>
          </w:p>
        </w:tc>
        <w:tc>
          <w:tcPr>
            <w:tcW w:w="980" w:type="dxa"/>
            <w:vAlign w:val="bottom"/>
            <w:tcBorders>
              <w:right w:val="single" w:sz="8" w:color="424E6A"/>
            </w:tcBorders>
            <w:gridSpan w:val="2"/>
          </w:tcPr>
          <w:p>
            <w:pPr>
              <w:jc w:val="right"/>
              <w:ind w:right="77"/>
              <w:spacing w:after="0" w:line="156" w:lineRule="exact"/>
              <w:rPr>
                <w:sz w:val="20"/>
                <w:szCs w:val="20"/>
                <w:color w:val="auto"/>
              </w:rPr>
            </w:pPr>
            <w:r>
              <w:rPr>
                <w:rFonts w:ascii="Arial" w:cs="Arial" w:eastAsia="Arial" w:hAnsi="Arial"/>
                <w:sz w:val="15"/>
                <w:szCs w:val="15"/>
                <w:color w:val="auto"/>
              </w:rPr>
              <w:t>8,115,000</w:t>
            </w:r>
            <w:r>
              <w:rPr>
                <w:rFonts w:ascii="Arial" w:cs="Arial" w:eastAsia="Arial" w:hAnsi="Arial"/>
                <w:sz w:val="18"/>
                <w:szCs w:val="18"/>
                <w:color w:val="auto"/>
                <w:vertAlign w:val="superscript"/>
              </w:rPr>
              <w:t>(5)</w:t>
            </w:r>
          </w:p>
        </w:tc>
        <w:tc>
          <w:tcPr>
            <w:tcW w:w="0" w:type="dxa"/>
            <w:vAlign w:val="bottom"/>
          </w:tcPr>
          <w:p>
            <w:pPr>
              <w:spacing w:after="0"/>
              <w:rPr>
                <w:sz w:val="1"/>
                <w:szCs w:val="1"/>
                <w:color w:val="auto"/>
              </w:rPr>
            </w:pPr>
          </w:p>
        </w:tc>
      </w:tr>
      <w:tr>
        <w:trPr>
          <w:trHeight w:val="67"/>
        </w:trPr>
        <w:tc>
          <w:tcPr>
            <w:tcW w:w="140" w:type="dxa"/>
            <w:vAlign w:val="bottom"/>
            <w:tcBorders>
              <w:left w:val="single" w:sz="8" w:color="424E6A"/>
              <w:bottom w:val="single" w:sz="8" w:color="424E6A"/>
            </w:tcBorders>
            <w:vMerge w:val="continue"/>
          </w:tcPr>
          <w:p>
            <w:pPr>
              <w:spacing w:after="0"/>
              <w:rPr>
                <w:sz w:val="5"/>
                <w:szCs w:val="5"/>
                <w:color w:val="auto"/>
              </w:rPr>
            </w:pPr>
          </w:p>
        </w:tc>
        <w:tc>
          <w:tcPr>
            <w:tcW w:w="168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220" w:type="dxa"/>
            <w:vAlign w:val="bottom"/>
            <w:tcBorders>
              <w:bottom w:val="single" w:sz="8" w:color="424E6A"/>
            </w:tcBorders>
            <w:gridSpan w:val="2"/>
            <w:vMerge w:val="continue"/>
          </w:tcPr>
          <w:p>
            <w:pPr>
              <w:spacing w:after="0"/>
              <w:rPr>
                <w:sz w:val="5"/>
                <w:szCs w:val="5"/>
                <w:color w:val="auto"/>
              </w:rPr>
            </w:pPr>
          </w:p>
        </w:tc>
        <w:tc>
          <w:tcPr>
            <w:tcW w:w="720" w:type="dxa"/>
            <w:vAlign w:val="bottom"/>
            <w:tcBorders>
              <w:bottom w:val="single" w:sz="8" w:color="424E6A"/>
            </w:tcBorders>
          </w:tcPr>
          <w:p>
            <w:pPr>
              <w:spacing w:after="0"/>
              <w:rPr>
                <w:sz w:val="5"/>
                <w:szCs w:val="5"/>
                <w:color w:val="auto"/>
              </w:rPr>
            </w:pPr>
          </w:p>
        </w:tc>
        <w:tc>
          <w:tcPr>
            <w:tcW w:w="300" w:type="dxa"/>
            <w:vAlign w:val="bottom"/>
            <w:tcBorders>
              <w:bottom w:val="single" w:sz="8" w:color="424E6A"/>
              <w:right w:val="single" w:sz="8" w:color="424E6A"/>
            </w:tcBorders>
          </w:tcPr>
          <w:p>
            <w:pPr>
              <w:jc w:val="right"/>
              <w:ind w:right="113"/>
              <w:spacing w:after="0" w:line="68" w:lineRule="exact"/>
              <w:rPr>
                <w:sz w:val="20"/>
                <w:szCs w:val="20"/>
                <w:color w:val="auto"/>
              </w:rPr>
            </w:pPr>
            <w:r>
              <w:rPr>
                <w:rFonts w:ascii="Arial" w:cs="Arial" w:eastAsia="Arial" w:hAnsi="Arial"/>
                <w:sz w:val="7"/>
                <w:szCs w:val="7"/>
                <w:color w:val="auto"/>
              </w:rPr>
              <w:t>​</w:t>
            </w:r>
          </w:p>
        </w:tc>
        <w:tc>
          <w:tcPr>
            <w:tcW w:w="300" w:type="dxa"/>
            <w:vAlign w:val="bottom"/>
            <w:tcBorders>
              <w:bottom w:val="single" w:sz="8" w:color="424E6A"/>
            </w:tcBorders>
            <w:vMerge w:val="continue"/>
          </w:tcPr>
          <w:p>
            <w:pPr>
              <w:spacing w:after="0"/>
              <w:rPr>
                <w:sz w:val="5"/>
                <w:szCs w:val="5"/>
                <w:color w:val="auto"/>
              </w:rPr>
            </w:pPr>
          </w:p>
        </w:tc>
        <w:tc>
          <w:tcPr>
            <w:tcW w:w="740" w:type="dxa"/>
            <w:vAlign w:val="bottom"/>
            <w:tcBorders>
              <w:bottom w:val="single" w:sz="8" w:color="424E6A"/>
            </w:tcBorders>
          </w:tcPr>
          <w:p>
            <w:pPr>
              <w:spacing w:after="0"/>
              <w:rPr>
                <w:sz w:val="5"/>
                <w:szCs w:val="5"/>
                <w:color w:val="auto"/>
              </w:rPr>
            </w:pPr>
          </w:p>
        </w:tc>
        <w:tc>
          <w:tcPr>
            <w:tcW w:w="300" w:type="dxa"/>
            <w:vAlign w:val="bottom"/>
            <w:tcBorders>
              <w:bottom w:val="single" w:sz="8" w:color="424E6A"/>
              <w:right w:val="single" w:sz="8" w:color="424E6A"/>
            </w:tcBorders>
          </w:tcPr>
          <w:p>
            <w:pPr>
              <w:jc w:val="right"/>
              <w:ind w:right="114"/>
              <w:spacing w:after="0" w:line="68" w:lineRule="exact"/>
              <w:rPr>
                <w:sz w:val="20"/>
                <w:szCs w:val="20"/>
                <w:color w:val="auto"/>
              </w:rPr>
            </w:pPr>
            <w:r>
              <w:rPr>
                <w:rFonts w:ascii="Arial" w:cs="Arial" w:eastAsia="Arial" w:hAnsi="Arial"/>
                <w:sz w:val="7"/>
                <w:szCs w:val="7"/>
                <w:color w:val="auto"/>
              </w:rPr>
              <w:t>​</w:t>
            </w:r>
          </w:p>
        </w:tc>
        <w:tc>
          <w:tcPr>
            <w:tcW w:w="240" w:type="dxa"/>
            <w:vAlign w:val="bottom"/>
            <w:tcBorders>
              <w:bottom w:val="single" w:sz="8" w:color="424E6A"/>
            </w:tcBorders>
            <w:vMerge w:val="continue"/>
          </w:tcPr>
          <w:p>
            <w:pPr>
              <w:spacing w:after="0"/>
              <w:rPr>
                <w:sz w:val="5"/>
                <w:szCs w:val="5"/>
                <w:color w:val="auto"/>
              </w:rPr>
            </w:pPr>
          </w:p>
        </w:tc>
        <w:tc>
          <w:tcPr>
            <w:tcW w:w="70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spacing w:after="0"/>
              <w:rPr>
                <w:sz w:val="5"/>
                <w:szCs w:val="5"/>
                <w:color w:val="auto"/>
              </w:rPr>
            </w:pPr>
          </w:p>
        </w:tc>
        <w:tc>
          <w:tcPr>
            <w:tcW w:w="260" w:type="dxa"/>
            <w:vAlign w:val="bottom"/>
            <w:tcBorders>
              <w:bottom w:val="single" w:sz="8" w:color="424E6A"/>
            </w:tcBorders>
          </w:tcPr>
          <w:p>
            <w:pPr>
              <w:ind w:left="200"/>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gridSpan w:val="2"/>
          </w:tcPr>
          <w:p>
            <w:pPr>
              <w:jc w:val="right"/>
              <w:ind w:right="5"/>
              <w:spacing w:after="0" w:line="68" w:lineRule="exact"/>
              <w:rPr>
                <w:sz w:val="20"/>
                <w:szCs w:val="20"/>
                <w:color w:val="auto"/>
              </w:rPr>
            </w:pPr>
            <w:r>
              <w:rPr>
                <w:rFonts w:ascii="Arial" w:cs="Arial" w:eastAsia="Arial" w:hAnsi="Arial"/>
                <w:sz w:val="7"/>
                <w:szCs w:val="7"/>
                <w:color w:val="auto"/>
              </w:rPr>
              <w:t>​ ​</w:t>
            </w:r>
          </w:p>
        </w:tc>
        <w:tc>
          <w:tcPr>
            <w:tcW w:w="300" w:type="dxa"/>
            <w:vAlign w:val="bottom"/>
            <w:tcBorders>
              <w:bottom w:val="single" w:sz="8" w:color="424E6A"/>
            </w:tcBorders>
            <w:gridSpan w:val="2"/>
            <w:vMerge w:val="continue"/>
          </w:tcPr>
          <w:p>
            <w:pPr>
              <w:spacing w:after="0"/>
              <w:rPr>
                <w:sz w:val="5"/>
                <w:szCs w:val="5"/>
                <w:color w:val="auto"/>
              </w:rPr>
            </w:pPr>
          </w:p>
        </w:tc>
        <w:tc>
          <w:tcPr>
            <w:tcW w:w="720" w:type="dxa"/>
            <w:vAlign w:val="bottom"/>
            <w:tcBorders>
              <w:bottom w:val="single" w:sz="8" w:color="424E6A"/>
            </w:tcBorders>
          </w:tcPr>
          <w:p>
            <w:pPr>
              <w:spacing w:after="0"/>
              <w:rPr>
                <w:sz w:val="5"/>
                <w:szCs w:val="5"/>
                <w:color w:val="auto"/>
              </w:rPr>
            </w:pPr>
          </w:p>
        </w:tc>
        <w:tc>
          <w:tcPr>
            <w:tcW w:w="260" w:type="dxa"/>
            <w:vAlign w:val="bottom"/>
            <w:tcBorders>
              <w:bottom w:val="single" w:sz="8" w:color="424E6A"/>
              <w:right w:val="single" w:sz="8" w:color="424E6A"/>
            </w:tcBorders>
          </w:tcPr>
          <w:p>
            <w:pPr>
              <w:jc w:val="right"/>
              <w:ind w:right="137"/>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2"/>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5"/>
                <w:szCs w:val="15"/>
                <w:color w:val="auto"/>
              </w:rPr>
              <w:t>​</w:t>
            </w:r>
          </w:p>
        </w:tc>
        <w:tc>
          <w:tcPr>
            <w:tcW w:w="1680" w:type="dxa"/>
            <w:vAlign w:val="bottom"/>
            <w:vMerge w:val="restart"/>
          </w:tcPr>
          <w:p>
            <w:pPr>
              <w:ind w:left="60"/>
              <w:spacing w:after="0"/>
              <w:rPr>
                <w:sz w:val="20"/>
                <w:szCs w:val="20"/>
                <w:color w:val="auto"/>
              </w:rPr>
            </w:pPr>
            <w:r>
              <w:rPr>
                <w:rFonts w:ascii="Arial" w:cs="Arial" w:eastAsia="Arial" w:hAnsi="Arial"/>
                <w:sz w:val="15"/>
                <w:szCs w:val="15"/>
                <w:color w:val="auto"/>
              </w:rPr>
              <w:t>Health Benefits</w:t>
            </w:r>
          </w:p>
        </w:tc>
        <w:tc>
          <w:tcPr>
            <w:tcW w:w="240" w:type="dxa"/>
            <w:vAlign w:val="bottom"/>
            <w:tcBorders>
              <w:right w:val="single" w:sz="8" w:color="424E6A"/>
            </w:tcBorders>
            <w:vMerge w:val="restart"/>
          </w:tcPr>
          <w:p>
            <w:pPr>
              <w:ind w:left="18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4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300" w:type="dxa"/>
            <w:vAlign w:val="bottom"/>
            <w:tcBorders>
              <w:right w:val="single" w:sz="8" w:color="424E6A"/>
            </w:tcBorders>
            <w:vMerge w:val="restart"/>
          </w:tcPr>
          <w:p>
            <w:pPr>
              <w:jc w:val="right"/>
              <w:ind w:right="113"/>
              <w:spacing w:after="0"/>
              <w:rPr>
                <w:sz w:val="20"/>
                <w:szCs w:val="20"/>
                <w:color w:val="auto"/>
              </w:rPr>
            </w:pPr>
            <w:r>
              <w:rPr>
                <w:rFonts w:ascii="Arial" w:cs="Arial" w:eastAsia="Arial" w:hAnsi="Arial"/>
                <w:sz w:val="15"/>
                <w:szCs w:val="15"/>
                <w:color w:val="auto"/>
              </w:rPr>
              <w:t>​</w:t>
            </w:r>
          </w:p>
        </w:tc>
        <w:tc>
          <w:tcPr>
            <w:tcW w:w="300" w:type="dxa"/>
            <w:vAlign w:val="bottom"/>
            <w:vMerge w:val="restart"/>
          </w:tcPr>
          <w:p>
            <w:pPr>
              <w:ind w:left="260"/>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41,438</w:t>
            </w:r>
          </w:p>
        </w:tc>
        <w:tc>
          <w:tcPr>
            <w:tcW w:w="300" w:type="dxa"/>
            <w:vAlign w:val="bottom"/>
            <w:tcBorders>
              <w:right w:val="single" w:sz="8" w:color="424E6A"/>
            </w:tcBorders>
          </w:tcPr>
          <w:p>
            <w:pPr>
              <w:jc w:val="right"/>
              <w:ind w:right="114"/>
              <w:spacing w:after="0" w:line="102" w:lineRule="exact"/>
              <w:rPr>
                <w:sz w:val="20"/>
                <w:szCs w:val="20"/>
                <w:color w:val="auto"/>
              </w:rPr>
            </w:pPr>
            <w:r>
              <w:rPr>
                <w:rFonts w:ascii="Arial" w:cs="Arial" w:eastAsia="Arial" w:hAnsi="Arial"/>
                <w:sz w:val="10"/>
                <w:szCs w:val="10"/>
                <w:color w:val="auto"/>
                <w:w w:val="81"/>
              </w:rPr>
              <w:t>(6)</w:t>
            </w:r>
          </w:p>
        </w:tc>
        <w:tc>
          <w:tcPr>
            <w:tcW w:w="240" w:type="dxa"/>
            <w:vAlign w:val="bottom"/>
            <w:vMerge w:val="restart"/>
          </w:tcPr>
          <w:p>
            <w:pPr>
              <w:ind w:left="180"/>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ind w:left="240"/>
              <w:spacing w:after="0"/>
              <w:rPr>
                <w:sz w:val="20"/>
                <w:szCs w:val="20"/>
                <w:color w:val="auto"/>
              </w:rPr>
            </w:pPr>
            <w:r>
              <w:rPr>
                <w:rFonts w:ascii="Arial" w:cs="Arial" w:eastAsia="Arial" w:hAnsi="Arial"/>
                <w:sz w:val="15"/>
                <w:szCs w:val="15"/>
                <w:color w:val="auto"/>
                <w:w w:val="95"/>
              </w:rPr>
              <w:t>41,438</w:t>
            </w:r>
          </w:p>
        </w:tc>
        <w:tc>
          <w:tcPr>
            <w:tcW w:w="220" w:type="dxa"/>
            <w:vAlign w:val="bottom"/>
            <w:tcBorders>
              <w:right w:val="single" w:sz="8" w:color="424E6A"/>
            </w:tcBorders>
          </w:tcPr>
          <w:p>
            <w:pPr>
              <w:jc w:val="right"/>
              <w:ind w:right="31"/>
              <w:spacing w:after="0" w:line="102" w:lineRule="exact"/>
              <w:rPr>
                <w:sz w:val="20"/>
                <w:szCs w:val="20"/>
                <w:color w:val="auto"/>
              </w:rPr>
            </w:pPr>
            <w:r>
              <w:rPr>
                <w:rFonts w:ascii="Arial" w:cs="Arial" w:eastAsia="Arial" w:hAnsi="Arial"/>
                <w:sz w:val="10"/>
                <w:szCs w:val="10"/>
                <w:color w:val="auto"/>
                <w:w w:val="97"/>
              </w:rPr>
              <w:t>(6)</w:t>
            </w:r>
          </w:p>
        </w:tc>
        <w:tc>
          <w:tcPr>
            <w:tcW w:w="260" w:type="dxa"/>
            <w:vAlign w:val="bottom"/>
            <w:vMerge w:val="restart"/>
          </w:tcPr>
          <w:p>
            <w:pPr>
              <w:ind w:left="200"/>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41,438</w:t>
            </w:r>
          </w:p>
        </w:tc>
        <w:tc>
          <w:tcPr>
            <w:tcW w:w="120" w:type="dxa"/>
            <w:vAlign w:val="bottom"/>
          </w:tcPr>
          <w:p>
            <w:pPr>
              <w:spacing w:after="0" w:line="102" w:lineRule="exact"/>
              <w:rPr>
                <w:sz w:val="20"/>
                <w:szCs w:val="20"/>
                <w:color w:val="auto"/>
              </w:rPr>
            </w:pPr>
            <w:r>
              <w:rPr>
                <w:rFonts w:ascii="Arial" w:cs="Arial" w:eastAsia="Arial" w:hAnsi="Arial"/>
                <w:sz w:val="10"/>
                <w:szCs w:val="10"/>
                <w:color w:val="auto"/>
                <w:w w:val="81"/>
              </w:rPr>
              <w:t>(6)</w:t>
            </w:r>
          </w:p>
        </w:tc>
        <w:tc>
          <w:tcPr>
            <w:tcW w:w="120" w:type="dxa"/>
            <w:vAlign w:val="bottom"/>
            <w:tcBorders>
              <w:right w:val="single" w:sz="8" w:color="424E6A"/>
            </w:tcBorders>
          </w:tcPr>
          <w:p>
            <w:pPr>
              <w:spacing w:after="0"/>
              <w:rPr>
                <w:sz w:val="8"/>
                <w:szCs w:val="8"/>
                <w:color w:val="auto"/>
              </w:rPr>
            </w:pPr>
          </w:p>
        </w:tc>
        <w:tc>
          <w:tcPr>
            <w:tcW w:w="300" w:type="dxa"/>
            <w:vAlign w:val="bottom"/>
            <w:gridSpan w:val="2"/>
            <w:vMerge w:val="restart"/>
          </w:tcPr>
          <w:p>
            <w:pPr>
              <w:ind w:left="100"/>
              <w:spacing w:after="0"/>
              <w:rPr>
                <w:sz w:val="20"/>
                <w:szCs w:val="20"/>
                <w:color w:val="auto"/>
              </w:rPr>
            </w:pPr>
            <w:r>
              <w:rPr>
                <w:rFonts w:ascii="Arial" w:cs="Arial" w:eastAsia="Arial" w:hAnsi="Arial"/>
                <w:sz w:val="15"/>
                <w:szCs w:val="15"/>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41,438</w:t>
            </w:r>
          </w:p>
        </w:tc>
        <w:tc>
          <w:tcPr>
            <w:tcW w:w="260" w:type="dxa"/>
            <w:vAlign w:val="bottom"/>
            <w:tcBorders>
              <w:right w:val="single" w:sz="8" w:color="424E6A"/>
            </w:tcBorders>
          </w:tcPr>
          <w:p>
            <w:pPr>
              <w:jc w:val="right"/>
              <w:ind w:right="77"/>
              <w:spacing w:after="0" w:line="102" w:lineRule="exact"/>
              <w:rPr>
                <w:sz w:val="20"/>
                <w:szCs w:val="20"/>
                <w:color w:val="auto"/>
              </w:rPr>
            </w:pPr>
            <w:r>
              <w:rPr>
                <w:rFonts w:ascii="Arial" w:cs="Arial" w:eastAsia="Arial" w:hAnsi="Arial"/>
                <w:sz w:val="10"/>
                <w:szCs w:val="10"/>
                <w:color w:val="auto"/>
                <w:w w:val="81"/>
              </w:rPr>
              <w:t>(6)</w:t>
            </w:r>
          </w:p>
        </w:tc>
        <w:tc>
          <w:tcPr>
            <w:tcW w:w="0" w:type="dxa"/>
            <w:vAlign w:val="bottom"/>
          </w:tcPr>
          <w:p>
            <w:pPr>
              <w:spacing w:after="0"/>
              <w:rPr>
                <w:sz w:val="1"/>
                <w:szCs w:val="1"/>
                <w:color w:val="auto"/>
              </w:rPr>
            </w:pPr>
          </w:p>
        </w:tc>
      </w:tr>
      <w:tr>
        <w:trPr>
          <w:trHeight w:val="121"/>
        </w:trPr>
        <w:tc>
          <w:tcPr>
            <w:tcW w:w="140" w:type="dxa"/>
            <w:vAlign w:val="bottom"/>
            <w:tcBorders>
              <w:left w:val="single" w:sz="8" w:color="424E6A"/>
              <w:bottom w:val="single" w:sz="8" w:color="424E6A"/>
            </w:tcBorders>
            <w:vMerge w:val="continue"/>
          </w:tcPr>
          <w:p>
            <w:pPr>
              <w:spacing w:after="0"/>
              <w:rPr>
                <w:sz w:val="10"/>
                <w:szCs w:val="10"/>
                <w:color w:val="auto"/>
              </w:rPr>
            </w:pPr>
          </w:p>
        </w:tc>
        <w:tc>
          <w:tcPr>
            <w:tcW w:w="1680" w:type="dxa"/>
            <w:vAlign w:val="bottom"/>
            <w:tcBorders>
              <w:bottom w:val="single" w:sz="8" w:color="424E6A"/>
            </w:tcBorders>
            <w:vMerge w:val="continue"/>
          </w:tcPr>
          <w:p>
            <w:pPr>
              <w:spacing w:after="0"/>
              <w:rPr>
                <w:sz w:val="10"/>
                <w:szCs w:val="10"/>
                <w:color w:val="auto"/>
              </w:rPr>
            </w:pPr>
          </w:p>
        </w:tc>
        <w:tc>
          <w:tcPr>
            <w:tcW w:w="240" w:type="dxa"/>
            <w:vAlign w:val="bottom"/>
            <w:tcBorders>
              <w:bottom w:val="single" w:sz="8" w:color="424E6A"/>
              <w:right w:val="single" w:sz="8" w:color="424E6A"/>
            </w:tcBorders>
            <w:vMerge w:val="continue"/>
          </w:tcPr>
          <w:p>
            <w:pPr>
              <w:spacing w:after="0"/>
              <w:rPr>
                <w:sz w:val="10"/>
                <w:szCs w:val="10"/>
                <w:color w:val="auto"/>
              </w:rPr>
            </w:pPr>
          </w:p>
        </w:tc>
        <w:tc>
          <w:tcPr>
            <w:tcW w:w="80" w:type="dxa"/>
            <w:vAlign w:val="bottom"/>
            <w:tcBorders>
              <w:bottom w:val="single" w:sz="8" w:color="424E6A"/>
            </w:tcBorders>
            <w:vMerge w:val="continue"/>
          </w:tcPr>
          <w:p>
            <w:pPr>
              <w:spacing w:after="0"/>
              <w:rPr>
                <w:sz w:val="10"/>
                <w:szCs w:val="10"/>
                <w:color w:val="auto"/>
              </w:rPr>
            </w:pPr>
          </w:p>
        </w:tc>
        <w:tc>
          <w:tcPr>
            <w:tcW w:w="140" w:type="dxa"/>
            <w:vAlign w:val="bottom"/>
            <w:tcBorders>
              <w:bottom w:val="single" w:sz="8" w:color="424E6A"/>
            </w:tcBorders>
            <w:vMerge w:val="continue"/>
          </w:tcPr>
          <w:p>
            <w:pPr>
              <w:spacing w:after="0"/>
              <w:rPr>
                <w:sz w:val="10"/>
                <w:szCs w:val="10"/>
                <w:color w:val="auto"/>
              </w:rPr>
            </w:pPr>
          </w:p>
        </w:tc>
        <w:tc>
          <w:tcPr>
            <w:tcW w:w="720" w:type="dxa"/>
            <w:vAlign w:val="bottom"/>
            <w:tcBorders>
              <w:bottom w:val="single" w:sz="8" w:color="424E6A"/>
            </w:tcBorders>
            <w:vMerge w:val="continue"/>
          </w:tcPr>
          <w:p>
            <w:pPr>
              <w:spacing w:after="0"/>
              <w:rPr>
                <w:sz w:val="10"/>
                <w:szCs w:val="10"/>
                <w:color w:val="auto"/>
              </w:rPr>
            </w:pPr>
          </w:p>
        </w:tc>
        <w:tc>
          <w:tcPr>
            <w:tcW w:w="300" w:type="dxa"/>
            <w:vAlign w:val="bottom"/>
            <w:tcBorders>
              <w:bottom w:val="single" w:sz="8" w:color="424E6A"/>
              <w:right w:val="single" w:sz="8" w:color="424E6A"/>
            </w:tcBorders>
            <w:vMerge w:val="continue"/>
          </w:tcPr>
          <w:p>
            <w:pPr>
              <w:spacing w:after="0"/>
              <w:rPr>
                <w:sz w:val="10"/>
                <w:szCs w:val="10"/>
                <w:color w:val="auto"/>
              </w:rPr>
            </w:pPr>
          </w:p>
        </w:tc>
        <w:tc>
          <w:tcPr>
            <w:tcW w:w="300" w:type="dxa"/>
            <w:vAlign w:val="bottom"/>
            <w:tcBorders>
              <w:bottom w:val="single" w:sz="8" w:color="424E6A"/>
            </w:tcBorders>
            <w:vMerge w:val="continue"/>
          </w:tcPr>
          <w:p>
            <w:pPr>
              <w:spacing w:after="0"/>
              <w:rPr>
                <w:sz w:val="10"/>
                <w:szCs w:val="10"/>
                <w:color w:val="auto"/>
              </w:rPr>
            </w:pPr>
          </w:p>
        </w:tc>
        <w:tc>
          <w:tcPr>
            <w:tcW w:w="740" w:type="dxa"/>
            <w:vAlign w:val="bottom"/>
            <w:tcBorders>
              <w:bottom w:val="single" w:sz="8" w:color="424E6A"/>
            </w:tcBorders>
            <w:vMerge w:val="continue"/>
          </w:tcPr>
          <w:p>
            <w:pPr>
              <w:spacing w:after="0"/>
              <w:rPr>
                <w:sz w:val="10"/>
                <w:szCs w:val="10"/>
                <w:color w:val="auto"/>
              </w:rPr>
            </w:pPr>
          </w:p>
        </w:tc>
        <w:tc>
          <w:tcPr>
            <w:tcW w:w="300" w:type="dxa"/>
            <w:vAlign w:val="bottom"/>
            <w:tcBorders>
              <w:bottom w:val="single" w:sz="8" w:color="424E6A"/>
              <w:right w:val="single" w:sz="8" w:color="424E6A"/>
            </w:tcBorders>
          </w:tcPr>
          <w:p>
            <w:pPr>
              <w:jc w:val="right"/>
              <w:ind w:right="114"/>
              <w:spacing w:after="0" w:line="12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vMerge w:val="continue"/>
          </w:tcPr>
          <w:p>
            <w:pPr>
              <w:spacing w:after="0"/>
              <w:rPr>
                <w:sz w:val="10"/>
                <w:szCs w:val="10"/>
                <w:color w:val="auto"/>
              </w:rPr>
            </w:pPr>
          </w:p>
        </w:tc>
        <w:tc>
          <w:tcPr>
            <w:tcW w:w="700" w:type="dxa"/>
            <w:vAlign w:val="bottom"/>
            <w:tcBorders>
              <w:bottom w:val="single" w:sz="8" w:color="424E6A"/>
            </w:tcBorders>
            <w:vMerge w:val="continue"/>
          </w:tcPr>
          <w:p>
            <w:pPr>
              <w:spacing w:after="0"/>
              <w:rPr>
                <w:sz w:val="10"/>
                <w:szCs w:val="10"/>
                <w:color w:val="auto"/>
              </w:rPr>
            </w:pPr>
          </w:p>
        </w:tc>
        <w:tc>
          <w:tcPr>
            <w:tcW w:w="220" w:type="dxa"/>
            <w:vAlign w:val="bottom"/>
            <w:tcBorders>
              <w:bottom w:val="single" w:sz="8" w:color="424E6A"/>
              <w:right w:val="single" w:sz="8" w:color="424E6A"/>
            </w:tcBorders>
          </w:tcPr>
          <w:p>
            <w:pPr>
              <w:spacing w:after="0"/>
              <w:rPr>
                <w:sz w:val="10"/>
                <w:szCs w:val="10"/>
                <w:color w:val="auto"/>
              </w:rPr>
            </w:pPr>
          </w:p>
        </w:tc>
        <w:tc>
          <w:tcPr>
            <w:tcW w:w="260" w:type="dxa"/>
            <w:vAlign w:val="bottom"/>
            <w:tcBorders>
              <w:bottom w:val="single" w:sz="8" w:color="424E6A"/>
            </w:tcBorders>
            <w:vMerge w:val="continue"/>
          </w:tcPr>
          <w:p>
            <w:pPr>
              <w:spacing w:after="0"/>
              <w:rPr>
                <w:sz w:val="10"/>
                <w:szCs w:val="10"/>
                <w:color w:val="auto"/>
              </w:rPr>
            </w:pPr>
          </w:p>
        </w:tc>
        <w:tc>
          <w:tcPr>
            <w:tcW w:w="640" w:type="dxa"/>
            <w:vAlign w:val="bottom"/>
            <w:tcBorders>
              <w:bottom w:val="single" w:sz="8" w:color="424E6A"/>
            </w:tcBorders>
            <w:vMerge w:val="continue"/>
          </w:tcPr>
          <w:p>
            <w:pPr>
              <w:spacing w:after="0"/>
              <w:rPr>
                <w:sz w:val="10"/>
                <w:szCs w:val="10"/>
                <w:color w:val="auto"/>
              </w:rPr>
            </w:pPr>
          </w:p>
        </w:tc>
        <w:tc>
          <w:tcPr>
            <w:tcW w:w="240" w:type="dxa"/>
            <w:vAlign w:val="bottom"/>
            <w:tcBorders>
              <w:bottom w:val="single" w:sz="8" w:color="424E6A"/>
              <w:right w:val="single" w:sz="8" w:color="424E6A"/>
            </w:tcBorders>
            <w:gridSpan w:val="2"/>
          </w:tcPr>
          <w:p>
            <w:pPr>
              <w:jc w:val="right"/>
              <w:ind w:right="5"/>
              <w:spacing w:after="0" w:line="122" w:lineRule="exact"/>
              <w:rPr>
                <w:sz w:val="20"/>
                <w:szCs w:val="20"/>
                <w:color w:val="auto"/>
              </w:rPr>
            </w:pPr>
            <w:r>
              <w:rPr>
                <w:rFonts w:ascii="Arial" w:cs="Arial" w:eastAsia="Arial" w:hAnsi="Arial"/>
                <w:sz w:val="14"/>
                <w:szCs w:val="14"/>
                <w:color w:val="auto"/>
              </w:rPr>
              <w:t>​ ​</w:t>
            </w:r>
          </w:p>
        </w:tc>
        <w:tc>
          <w:tcPr>
            <w:tcW w:w="300" w:type="dxa"/>
            <w:vAlign w:val="bottom"/>
            <w:tcBorders>
              <w:bottom w:val="single" w:sz="8" w:color="424E6A"/>
            </w:tcBorders>
            <w:gridSpan w:val="2"/>
            <w:vMerge w:val="continue"/>
          </w:tcPr>
          <w:p>
            <w:pPr>
              <w:spacing w:after="0"/>
              <w:rPr>
                <w:sz w:val="10"/>
                <w:szCs w:val="10"/>
                <w:color w:val="auto"/>
              </w:rPr>
            </w:pPr>
          </w:p>
        </w:tc>
        <w:tc>
          <w:tcPr>
            <w:tcW w:w="720" w:type="dxa"/>
            <w:vAlign w:val="bottom"/>
            <w:tcBorders>
              <w:bottom w:val="single" w:sz="8" w:color="424E6A"/>
            </w:tcBorders>
            <w:vMerge w:val="continue"/>
          </w:tcPr>
          <w:p>
            <w:pPr>
              <w:spacing w:after="0"/>
              <w:rPr>
                <w:sz w:val="10"/>
                <w:szCs w:val="10"/>
                <w:color w:val="auto"/>
              </w:rPr>
            </w:pPr>
          </w:p>
        </w:tc>
        <w:tc>
          <w:tcPr>
            <w:tcW w:w="260" w:type="dxa"/>
            <w:vAlign w:val="bottom"/>
            <w:tcBorders>
              <w:bottom w:val="single" w:sz="8" w:color="424E6A"/>
              <w:right w:val="single" w:sz="8" w:color="424E6A"/>
            </w:tcBorders>
          </w:tcPr>
          <w:p>
            <w:pPr>
              <w:jc w:val="right"/>
              <w:ind w:right="137"/>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424E6A"/>
            </w:tcBorders>
          </w:tcPr>
          <w:p>
            <w:pPr>
              <w:ind w:left="6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424E6A"/>
              <w:right w:val="single" w:sz="8" w:color="424E6A"/>
            </w:tcBorders>
          </w:tcPr>
          <w:p>
            <w:pPr>
              <w:ind w:lef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424E6A"/>
            </w:tcBorders>
          </w:tcPr>
          <w:p>
            <w:pPr>
              <w:jc w:val="right"/>
              <w:spacing w:after="0"/>
              <w:rPr>
                <w:sz w:val="20"/>
                <w:szCs w:val="20"/>
                <w:color w:val="auto"/>
              </w:rPr>
            </w:pPr>
            <w:r>
              <w:rPr>
                <w:rFonts w:ascii="Arial" w:cs="Arial" w:eastAsia="Arial" w:hAnsi="Arial"/>
                <w:sz w:val="15"/>
                <w:szCs w:val="15"/>
                <w:color w:val="auto"/>
              </w:rPr>
              <w:t>5,410,000</w:t>
            </w:r>
          </w:p>
        </w:tc>
        <w:tc>
          <w:tcPr>
            <w:tcW w:w="300" w:type="dxa"/>
            <w:vAlign w:val="bottom"/>
            <w:tcBorders>
              <w:bottom w:val="single" w:sz="8" w:color="424E6A"/>
              <w:right w:val="single" w:sz="8" w:color="424E6A"/>
            </w:tcBorders>
          </w:tcPr>
          <w:p>
            <w:pPr>
              <w:jc w:val="right"/>
              <w:ind w:right="11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5,451,438</w:t>
            </w:r>
          </w:p>
        </w:tc>
        <w:tc>
          <w:tcPr>
            <w:tcW w:w="300" w:type="dxa"/>
            <w:vAlign w:val="bottom"/>
            <w:tcBorders>
              <w:bottom w:val="single" w:sz="8" w:color="424E6A"/>
              <w:right w:val="single" w:sz="8" w:color="424E6A"/>
            </w:tcBorders>
          </w:tcPr>
          <w:p>
            <w:pPr>
              <w:jc w:val="right"/>
              <w:ind w:right="11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5,451,438</w:t>
            </w:r>
          </w:p>
        </w:tc>
        <w:tc>
          <w:tcPr>
            <w:tcW w:w="220" w:type="dxa"/>
            <w:vAlign w:val="bottom"/>
            <w:tcBorders>
              <w:bottom w:val="single" w:sz="8" w:color="424E6A"/>
              <w:right w:val="single" w:sz="8" w:color="424E6A"/>
            </w:tcBorders>
          </w:tcPr>
          <w:p>
            <w:pPr>
              <w:spacing w:after="0"/>
              <w:rPr>
                <w:sz w:val="19"/>
                <w:szCs w:val="19"/>
                <w:color w:val="auto"/>
              </w:rPr>
            </w:pPr>
          </w:p>
        </w:tc>
        <w:tc>
          <w:tcPr>
            <w:tcW w:w="900" w:type="dxa"/>
            <w:vAlign w:val="bottom"/>
            <w:tcBorders>
              <w:bottom w:val="single" w:sz="8" w:color="424E6A"/>
            </w:tcBorders>
            <w:gridSpan w:val="2"/>
          </w:tcPr>
          <w:p>
            <w:pPr>
              <w:ind w:left="2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5,451,438</w:t>
            </w:r>
          </w:p>
        </w:tc>
        <w:tc>
          <w:tcPr>
            <w:tcW w:w="240" w:type="dxa"/>
            <w:vAlign w:val="bottom"/>
            <w:tcBorders>
              <w:bottom w:val="single" w:sz="8" w:color="424E6A"/>
              <w:right w:val="single" w:sz="8" w:color="424E6A"/>
            </w:tcBorders>
            <w:gridSpan w:val="2"/>
          </w:tcPr>
          <w:p>
            <w:pPr>
              <w:jc w:val="right"/>
              <w:ind w:right="5"/>
              <w:spacing w:after="0"/>
              <w:rPr>
                <w:sz w:val="20"/>
                <w:szCs w:val="20"/>
                <w:color w:val="auto"/>
              </w:rPr>
            </w:pPr>
            <w:r>
              <w:rPr>
                <w:rFonts w:ascii="Arial" w:cs="Arial" w:eastAsia="Arial" w:hAnsi="Arial"/>
                <w:sz w:val="15"/>
                <w:szCs w:val="15"/>
                <w:color w:val="auto"/>
              </w:rPr>
              <w:t>​ ​</w:t>
            </w:r>
          </w:p>
        </w:tc>
        <w:tc>
          <w:tcPr>
            <w:tcW w:w="300" w:type="dxa"/>
            <w:vAlign w:val="bottom"/>
            <w:tcBorders>
              <w:bottom w:val="single" w:sz="8" w:color="424E6A"/>
            </w:tcBorders>
            <w:gridSpan w:val="2"/>
          </w:tcPr>
          <w:p>
            <w:pPr>
              <w:ind w:left="100"/>
              <w:spacing w:after="0"/>
              <w:rPr>
                <w:sz w:val="20"/>
                <w:szCs w:val="20"/>
                <w:color w:val="auto"/>
              </w:rPr>
            </w:pPr>
            <w:r>
              <w:rPr>
                <w:rFonts w:ascii="Arial" w:cs="Arial" w:eastAsia="Arial" w:hAnsi="Arial"/>
                <w:sz w:val="15"/>
                <w:szCs w:val="15"/>
                <w:color w:val="auto"/>
              </w:rPr>
              <w:t>​ ​</w:t>
            </w:r>
          </w:p>
        </w:tc>
        <w:tc>
          <w:tcPr>
            <w:tcW w:w="980" w:type="dxa"/>
            <w:vAlign w:val="bottom"/>
            <w:tcBorders>
              <w:bottom w:val="single" w:sz="8" w:color="424E6A"/>
              <w:right w:val="single" w:sz="8" w:color="424E6A"/>
            </w:tcBorders>
            <w:gridSpan w:val="2"/>
          </w:tcPr>
          <w:p>
            <w:pPr>
              <w:jc w:val="right"/>
              <w:ind w:right="137"/>
              <w:spacing w:after="0" w:line="223" w:lineRule="exact"/>
              <w:rPr>
                <w:sz w:val="20"/>
                <w:szCs w:val="20"/>
                <w:color w:val="auto"/>
              </w:rPr>
            </w:pPr>
            <w:r>
              <w:rPr>
                <w:rFonts w:ascii="Arial" w:cs="Arial" w:eastAsia="Arial" w:hAnsi="Arial"/>
                <w:sz w:val="13"/>
                <w:szCs w:val="13"/>
                <w:color w:val="auto"/>
              </w:rPr>
              <w:t xml:space="preserve">8,156,438 </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36"/>
        </w:trPr>
        <w:tc>
          <w:tcPr>
            <w:tcW w:w="1820" w:type="dxa"/>
            <w:vAlign w:val="bottom"/>
            <w:tcBorders>
              <w:left w:val="single" w:sz="8" w:color="424E6A"/>
              <w:bottom w:val="single" w:sz="8" w:color="424E6A"/>
            </w:tcBorders>
            <w:gridSpan w:val="2"/>
            <w:shd w:val="clear" w:color="auto" w:fill="D9DCE1"/>
          </w:tcPr>
          <w:p>
            <w:pPr>
              <w:ind w:left="40"/>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Al Swanson</w:t>
            </w:r>
            <w:r>
              <w:rPr>
                <w:rFonts w:ascii="Arial" w:cs="Arial" w:eastAsia="Arial" w:hAnsi="Arial"/>
                <w:sz w:val="17"/>
                <w:szCs w:val="17"/>
                <w:b w:val="1"/>
                <w:bCs w:val="1"/>
                <w:color w:val="auto"/>
                <w:vertAlign w:val="superscript"/>
              </w:rPr>
              <w:t>(7)</w:t>
            </w:r>
          </w:p>
        </w:tc>
        <w:tc>
          <w:tcPr>
            <w:tcW w:w="24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424E6A"/>
            </w:tcBorders>
            <w:shd w:val="clear" w:color="auto" w:fill="D9DCE1"/>
          </w:tcPr>
          <w:p>
            <w:pPr>
              <w:spacing w:after="0"/>
              <w:rPr>
                <w:sz w:val="20"/>
                <w:szCs w:val="20"/>
                <w:color w:val="auto"/>
              </w:rPr>
            </w:pPr>
          </w:p>
        </w:tc>
        <w:tc>
          <w:tcPr>
            <w:tcW w:w="300" w:type="dxa"/>
            <w:vAlign w:val="bottom"/>
            <w:tcBorders>
              <w:bottom w:val="single" w:sz="8" w:color="424E6A"/>
              <w:right w:val="single" w:sz="8" w:color="424E6A"/>
            </w:tcBorders>
            <w:shd w:val="clear" w:color="auto" w:fill="D9DCE1"/>
          </w:tcPr>
          <w:p>
            <w:pPr>
              <w:jc w:val="right"/>
              <w:ind w:right="113"/>
              <w:spacing w:after="0"/>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424E6A"/>
            </w:tcBorders>
            <w:shd w:val="clear" w:color="auto" w:fill="D9DCE1"/>
          </w:tcPr>
          <w:p>
            <w:pPr>
              <w:ind w:left="260"/>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424E6A"/>
            </w:tcBorders>
            <w:shd w:val="clear" w:color="auto" w:fill="D9DCE1"/>
          </w:tcPr>
          <w:p>
            <w:pPr>
              <w:spacing w:after="0"/>
              <w:rPr>
                <w:sz w:val="20"/>
                <w:szCs w:val="20"/>
                <w:color w:val="auto"/>
              </w:rPr>
            </w:pPr>
          </w:p>
        </w:tc>
        <w:tc>
          <w:tcPr>
            <w:tcW w:w="300" w:type="dxa"/>
            <w:vAlign w:val="bottom"/>
            <w:tcBorders>
              <w:bottom w:val="single" w:sz="8" w:color="424E6A"/>
              <w:right w:val="single" w:sz="8" w:color="424E6A"/>
            </w:tcBorders>
            <w:shd w:val="clear" w:color="auto" w:fill="D9DCE1"/>
          </w:tcPr>
          <w:p>
            <w:pPr>
              <w:jc w:val="right"/>
              <w:ind w:right="114"/>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424E6A"/>
            </w:tcBorders>
            <w:shd w:val="clear" w:color="auto" w:fill="D9DCE1"/>
          </w:tcPr>
          <w:p>
            <w:pPr>
              <w:spacing w:after="0"/>
              <w:rPr>
                <w:sz w:val="20"/>
                <w:szCs w:val="20"/>
                <w:color w:val="auto"/>
              </w:rPr>
            </w:pPr>
          </w:p>
        </w:tc>
        <w:tc>
          <w:tcPr>
            <w:tcW w:w="220" w:type="dxa"/>
            <w:vAlign w:val="bottom"/>
            <w:tcBorders>
              <w:bottom w:val="single" w:sz="8" w:color="424E6A"/>
              <w:right w:val="single" w:sz="8" w:color="424E6A"/>
            </w:tcBorders>
            <w:shd w:val="clear" w:color="auto" w:fill="D9DCE1"/>
          </w:tcPr>
          <w:p>
            <w:pPr>
              <w:spacing w:after="0"/>
              <w:rPr>
                <w:sz w:val="20"/>
                <w:szCs w:val="20"/>
                <w:color w:val="auto"/>
              </w:rPr>
            </w:pPr>
          </w:p>
        </w:tc>
        <w:tc>
          <w:tcPr>
            <w:tcW w:w="26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24E6A"/>
            </w:tcBorders>
            <w:shd w:val="clear" w:color="auto" w:fill="D9DCE1"/>
          </w:tcPr>
          <w:p>
            <w:pPr>
              <w:spacing w:after="0"/>
              <w:rPr>
                <w:sz w:val="20"/>
                <w:szCs w:val="20"/>
                <w:color w:val="auto"/>
              </w:rPr>
            </w:pPr>
          </w:p>
        </w:tc>
        <w:tc>
          <w:tcPr>
            <w:tcW w:w="240" w:type="dxa"/>
            <w:vAlign w:val="bottom"/>
            <w:tcBorders>
              <w:bottom w:val="single" w:sz="8" w:color="424E6A"/>
              <w:right w:val="single" w:sz="8" w:color="424E6A"/>
            </w:tcBorders>
            <w:gridSpan w:val="2"/>
            <w:shd w:val="clear" w:color="auto" w:fill="D9DCE1"/>
          </w:tcPr>
          <w:p>
            <w:pPr>
              <w:jc w:val="right"/>
              <w:ind w:right="5"/>
              <w:spacing w:after="0"/>
              <w:rPr>
                <w:sz w:val="20"/>
                <w:szCs w:val="20"/>
                <w:color w:val="auto"/>
              </w:rPr>
            </w:pPr>
            <w:r>
              <w:rPr>
                <w:rFonts w:ascii="Arial" w:cs="Arial" w:eastAsia="Arial" w:hAnsi="Arial"/>
                <w:sz w:val="15"/>
                <w:szCs w:val="15"/>
                <w:b w:val="1"/>
                <w:bCs w:val="1"/>
                <w:color w:val="auto"/>
              </w:rPr>
              <w:t>​ ​</w:t>
            </w:r>
          </w:p>
        </w:tc>
        <w:tc>
          <w:tcPr>
            <w:tcW w:w="18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5"/>
                <w:szCs w:val="15"/>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424E6A"/>
            </w:tcBorders>
            <w:shd w:val="clear" w:color="auto" w:fill="D9DCE1"/>
          </w:tcPr>
          <w:p>
            <w:pPr>
              <w:spacing w:after="0"/>
              <w:rPr>
                <w:sz w:val="20"/>
                <w:szCs w:val="20"/>
                <w:color w:val="auto"/>
              </w:rPr>
            </w:pPr>
          </w:p>
        </w:tc>
        <w:tc>
          <w:tcPr>
            <w:tcW w:w="260" w:type="dxa"/>
            <w:vAlign w:val="bottom"/>
            <w:tcBorders>
              <w:bottom w:val="single" w:sz="8" w:color="424E6A"/>
              <w:right w:val="single" w:sz="8" w:color="424E6A"/>
            </w:tcBorders>
            <w:shd w:val="clear" w:color="auto" w:fill="D9DCE1"/>
          </w:tcPr>
          <w:p>
            <w:pPr>
              <w:jc w:val="right"/>
              <w:ind w:right="137"/>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02"/>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5"/>
                <w:szCs w:val="15"/>
                <w:color w:val="auto"/>
              </w:rPr>
              <w:t>​</w:t>
            </w:r>
          </w:p>
        </w:tc>
        <w:tc>
          <w:tcPr>
            <w:tcW w:w="1680" w:type="dxa"/>
            <w:vAlign w:val="bottom"/>
            <w:vMerge w:val="restart"/>
          </w:tcPr>
          <w:p>
            <w:pPr>
              <w:ind w:left="60"/>
              <w:spacing w:after="0"/>
              <w:rPr>
                <w:sz w:val="20"/>
                <w:szCs w:val="20"/>
                <w:color w:val="auto"/>
              </w:rPr>
            </w:pPr>
            <w:r>
              <w:rPr>
                <w:rFonts w:ascii="Arial" w:cs="Arial" w:eastAsia="Arial" w:hAnsi="Arial"/>
                <w:sz w:val="15"/>
                <w:szCs w:val="15"/>
                <w:color w:val="auto"/>
              </w:rPr>
              <w:t>Equity Compensation</w:t>
            </w:r>
          </w:p>
        </w:tc>
        <w:tc>
          <w:tcPr>
            <w:tcW w:w="240" w:type="dxa"/>
            <w:vAlign w:val="bottom"/>
            <w:tcBorders>
              <w:right w:val="single" w:sz="8" w:color="424E6A"/>
            </w:tcBorders>
            <w:vMerge w:val="restart"/>
          </w:tcPr>
          <w:p>
            <w:pPr>
              <w:ind w:left="18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4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3,477,785</w:t>
            </w:r>
          </w:p>
        </w:tc>
        <w:tc>
          <w:tcPr>
            <w:tcW w:w="300" w:type="dxa"/>
            <w:vAlign w:val="bottom"/>
            <w:tcBorders>
              <w:right w:val="single" w:sz="8" w:color="424E6A"/>
            </w:tcBorders>
          </w:tcPr>
          <w:p>
            <w:pPr>
              <w:jc w:val="right"/>
              <w:ind w:right="113"/>
              <w:spacing w:after="0" w:line="102" w:lineRule="exact"/>
              <w:rPr>
                <w:sz w:val="20"/>
                <w:szCs w:val="20"/>
                <w:color w:val="auto"/>
              </w:rPr>
            </w:pPr>
            <w:r>
              <w:rPr>
                <w:rFonts w:ascii="Arial" w:cs="Arial" w:eastAsia="Arial" w:hAnsi="Arial"/>
                <w:sz w:val="10"/>
                <w:szCs w:val="10"/>
                <w:color w:val="auto"/>
                <w:w w:val="81"/>
              </w:rPr>
              <w:t>(1)</w:t>
            </w:r>
          </w:p>
        </w:tc>
        <w:tc>
          <w:tcPr>
            <w:tcW w:w="1040" w:type="dxa"/>
            <w:vAlign w:val="bottom"/>
            <w:gridSpan w:val="2"/>
            <w:vMerge w:val="restart"/>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3,477,785</w:t>
            </w:r>
          </w:p>
        </w:tc>
        <w:tc>
          <w:tcPr>
            <w:tcW w:w="300" w:type="dxa"/>
            <w:vAlign w:val="bottom"/>
            <w:tcBorders>
              <w:right w:val="single" w:sz="8" w:color="424E6A"/>
            </w:tcBorders>
          </w:tcPr>
          <w:p>
            <w:pPr>
              <w:jc w:val="right"/>
              <w:ind w:right="114"/>
              <w:spacing w:after="0" w:line="102" w:lineRule="exact"/>
              <w:rPr>
                <w:sz w:val="20"/>
                <w:szCs w:val="20"/>
                <w:color w:val="auto"/>
              </w:rPr>
            </w:pPr>
            <w:r>
              <w:rPr>
                <w:rFonts w:ascii="Arial" w:cs="Arial" w:eastAsia="Arial" w:hAnsi="Arial"/>
                <w:sz w:val="10"/>
                <w:szCs w:val="10"/>
                <w:color w:val="auto"/>
                <w:w w:val="81"/>
              </w:rPr>
              <w:t>(1)</w:t>
            </w:r>
          </w:p>
        </w:tc>
        <w:tc>
          <w:tcPr>
            <w:tcW w:w="940" w:type="dxa"/>
            <w:vAlign w:val="bottom"/>
            <w:gridSpan w:val="2"/>
            <w:vMerge w:val="restart"/>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2,343,086</w:t>
            </w:r>
          </w:p>
        </w:tc>
        <w:tc>
          <w:tcPr>
            <w:tcW w:w="220" w:type="dxa"/>
            <w:vAlign w:val="bottom"/>
            <w:tcBorders>
              <w:right w:val="single" w:sz="8" w:color="424E6A"/>
            </w:tcBorders>
          </w:tcPr>
          <w:p>
            <w:pPr>
              <w:jc w:val="right"/>
              <w:ind w:right="31"/>
              <w:spacing w:after="0" w:line="102" w:lineRule="exact"/>
              <w:rPr>
                <w:sz w:val="20"/>
                <w:szCs w:val="20"/>
                <w:color w:val="auto"/>
              </w:rPr>
            </w:pPr>
            <w:r>
              <w:rPr>
                <w:rFonts w:ascii="Arial" w:cs="Arial" w:eastAsia="Arial" w:hAnsi="Arial"/>
                <w:sz w:val="10"/>
                <w:szCs w:val="10"/>
                <w:color w:val="auto"/>
                <w:w w:val="97"/>
              </w:rPr>
              <w:t>(2)</w:t>
            </w:r>
          </w:p>
        </w:tc>
        <w:tc>
          <w:tcPr>
            <w:tcW w:w="260" w:type="dxa"/>
            <w:vAlign w:val="bottom"/>
            <w:vMerge w:val="restart"/>
          </w:tcPr>
          <w:p>
            <w:pPr>
              <w:ind w:left="200"/>
              <w:spacing w:after="0"/>
              <w:rPr>
                <w:sz w:val="20"/>
                <w:szCs w:val="20"/>
                <w:color w:val="auto"/>
              </w:rPr>
            </w:pPr>
            <w:r>
              <w:rPr>
                <w:rFonts w:ascii="Arial" w:cs="Arial" w:eastAsia="Arial" w:hAnsi="Arial"/>
                <w:sz w:val="15"/>
                <w:szCs w:val="15"/>
                <w:color w:val="auto"/>
              </w:rPr>
              <w:t>​</w:t>
            </w:r>
          </w:p>
        </w:tc>
        <w:tc>
          <w:tcPr>
            <w:tcW w:w="880" w:type="dxa"/>
            <w:vAlign w:val="bottom"/>
            <w:tcBorders>
              <w:right w:val="single" w:sz="8" w:color="424E6A"/>
            </w:tcBorders>
            <w:gridSpan w:val="3"/>
            <w:vMerge w:val="restart"/>
          </w:tcPr>
          <w:p>
            <w:pPr>
              <w:jc w:val="right"/>
              <w:ind w:right="5"/>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 ​</w:t>
            </w:r>
          </w:p>
        </w:tc>
        <w:tc>
          <w:tcPr>
            <w:tcW w:w="300" w:type="dxa"/>
            <w:vAlign w:val="bottom"/>
            <w:gridSpan w:val="2"/>
            <w:vMerge w:val="restart"/>
          </w:tcPr>
          <w:p>
            <w:pPr>
              <w:ind w:left="100"/>
              <w:spacing w:after="0"/>
              <w:rPr>
                <w:sz w:val="20"/>
                <w:szCs w:val="20"/>
                <w:color w:val="auto"/>
              </w:rPr>
            </w:pPr>
            <w:r>
              <w:rPr>
                <w:rFonts w:ascii="Arial" w:cs="Arial" w:eastAsia="Arial" w:hAnsi="Arial"/>
                <w:sz w:val="15"/>
                <w:szCs w:val="15"/>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5,107,721</w:t>
            </w:r>
          </w:p>
        </w:tc>
        <w:tc>
          <w:tcPr>
            <w:tcW w:w="260" w:type="dxa"/>
            <w:vAlign w:val="bottom"/>
            <w:tcBorders>
              <w:right w:val="single" w:sz="8" w:color="424E6A"/>
            </w:tcBorders>
          </w:tcPr>
          <w:p>
            <w:pPr>
              <w:jc w:val="right"/>
              <w:ind w:right="77"/>
              <w:spacing w:after="0" w:line="102" w:lineRule="exact"/>
              <w:rPr>
                <w:sz w:val="20"/>
                <w:szCs w:val="20"/>
                <w:color w:val="auto"/>
              </w:rPr>
            </w:pPr>
            <w:r>
              <w:rPr>
                <w:rFonts w:ascii="Arial" w:cs="Arial" w:eastAsia="Arial" w:hAnsi="Arial"/>
                <w:sz w:val="10"/>
                <w:szCs w:val="10"/>
                <w:color w:val="auto"/>
                <w:w w:val="81"/>
              </w:rPr>
              <w:t>(3)</w:t>
            </w:r>
          </w:p>
        </w:tc>
        <w:tc>
          <w:tcPr>
            <w:tcW w:w="0" w:type="dxa"/>
            <w:vAlign w:val="bottom"/>
          </w:tcPr>
          <w:p>
            <w:pPr>
              <w:spacing w:after="0"/>
              <w:rPr>
                <w:sz w:val="1"/>
                <w:szCs w:val="1"/>
                <w:color w:val="auto"/>
              </w:rPr>
            </w:pPr>
          </w:p>
        </w:tc>
      </w:tr>
      <w:tr>
        <w:trPr>
          <w:trHeight w:val="121"/>
        </w:trPr>
        <w:tc>
          <w:tcPr>
            <w:tcW w:w="140" w:type="dxa"/>
            <w:vAlign w:val="bottom"/>
            <w:tcBorders>
              <w:left w:val="single" w:sz="8" w:color="424E6A"/>
              <w:bottom w:val="single" w:sz="8" w:color="424E6A"/>
            </w:tcBorders>
            <w:vMerge w:val="continue"/>
          </w:tcPr>
          <w:p>
            <w:pPr>
              <w:spacing w:after="0"/>
              <w:rPr>
                <w:sz w:val="10"/>
                <w:szCs w:val="10"/>
                <w:color w:val="auto"/>
              </w:rPr>
            </w:pPr>
          </w:p>
        </w:tc>
        <w:tc>
          <w:tcPr>
            <w:tcW w:w="1680" w:type="dxa"/>
            <w:vAlign w:val="bottom"/>
            <w:tcBorders>
              <w:bottom w:val="single" w:sz="8" w:color="424E6A"/>
            </w:tcBorders>
            <w:vMerge w:val="continue"/>
          </w:tcPr>
          <w:p>
            <w:pPr>
              <w:spacing w:after="0"/>
              <w:rPr>
                <w:sz w:val="10"/>
                <w:szCs w:val="10"/>
                <w:color w:val="auto"/>
              </w:rPr>
            </w:pPr>
          </w:p>
        </w:tc>
        <w:tc>
          <w:tcPr>
            <w:tcW w:w="240" w:type="dxa"/>
            <w:vAlign w:val="bottom"/>
            <w:tcBorders>
              <w:bottom w:val="single" w:sz="8" w:color="424E6A"/>
              <w:right w:val="single" w:sz="8" w:color="424E6A"/>
            </w:tcBorders>
            <w:vMerge w:val="continue"/>
          </w:tcPr>
          <w:p>
            <w:pPr>
              <w:spacing w:after="0"/>
              <w:rPr>
                <w:sz w:val="10"/>
                <w:szCs w:val="10"/>
                <w:color w:val="auto"/>
              </w:rPr>
            </w:pPr>
          </w:p>
        </w:tc>
        <w:tc>
          <w:tcPr>
            <w:tcW w:w="80" w:type="dxa"/>
            <w:vAlign w:val="bottom"/>
            <w:tcBorders>
              <w:bottom w:val="single" w:sz="8" w:color="424E6A"/>
            </w:tcBorders>
            <w:vMerge w:val="continue"/>
          </w:tcPr>
          <w:p>
            <w:pPr>
              <w:spacing w:after="0"/>
              <w:rPr>
                <w:sz w:val="10"/>
                <w:szCs w:val="10"/>
                <w:color w:val="auto"/>
              </w:rPr>
            </w:pPr>
          </w:p>
        </w:tc>
        <w:tc>
          <w:tcPr>
            <w:tcW w:w="140" w:type="dxa"/>
            <w:vAlign w:val="bottom"/>
            <w:tcBorders>
              <w:bottom w:val="single" w:sz="8" w:color="424E6A"/>
            </w:tcBorders>
            <w:vMerge w:val="continue"/>
          </w:tcPr>
          <w:p>
            <w:pPr>
              <w:spacing w:after="0"/>
              <w:rPr>
                <w:sz w:val="10"/>
                <w:szCs w:val="10"/>
                <w:color w:val="auto"/>
              </w:rPr>
            </w:pPr>
          </w:p>
        </w:tc>
        <w:tc>
          <w:tcPr>
            <w:tcW w:w="720" w:type="dxa"/>
            <w:vAlign w:val="bottom"/>
            <w:tcBorders>
              <w:bottom w:val="single" w:sz="8" w:color="424E6A"/>
            </w:tcBorders>
            <w:vMerge w:val="continue"/>
          </w:tcPr>
          <w:p>
            <w:pPr>
              <w:spacing w:after="0"/>
              <w:rPr>
                <w:sz w:val="10"/>
                <w:szCs w:val="10"/>
                <w:color w:val="auto"/>
              </w:rPr>
            </w:pPr>
          </w:p>
        </w:tc>
        <w:tc>
          <w:tcPr>
            <w:tcW w:w="300" w:type="dxa"/>
            <w:vAlign w:val="bottom"/>
            <w:tcBorders>
              <w:bottom w:val="single" w:sz="8" w:color="424E6A"/>
              <w:right w:val="single" w:sz="8" w:color="424E6A"/>
            </w:tcBorders>
          </w:tcPr>
          <w:p>
            <w:pPr>
              <w:jc w:val="right"/>
              <w:ind w:right="113"/>
              <w:spacing w:after="0" w:line="12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vMerge w:val="continue"/>
          </w:tcPr>
          <w:p>
            <w:pPr>
              <w:spacing w:after="0"/>
              <w:rPr>
                <w:sz w:val="10"/>
                <w:szCs w:val="10"/>
                <w:color w:val="auto"/>
              </w:rPr>
            </w:pPr>
          </w:p>
        </w:tc>
        <w:tc>
          <w:tcPr>
            <w:tcW w:w="300" w:type="dxa"/>
            <w:vAlign w:val="bottom"/>
            <w:tcBorders>
              <w:bottom w:val="single" w:sz="8" w:color="424E6A"/>
              <w:right w:val="single" w:sz="8" w:color="424E6A"/>
            </w:tcBorders>
          </w:tcPr>
          <w:p>
            <w:pPr>
              <w:jc w:val="right"/>
              <w:ind w:right="114"/>
              <w:spacing w:after="0" w:line="12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424E6A"/>
            </w:tcBorders>
            <w:gridSpan w:val="2"/>
            <w:vMerge w:val="continue"/>
          </w:tcPr>
          <w:p>
            <w:pPr>
              <w:spacing w:after="0"/>
              <w:rPr>
                <w:sz w:val="10"/>
                <w:szCs w:val="10"/>
                <w:color w:val="auto"/>
              </w:rPr>
            </w:pPr>
          </w:p>
        </w:tc>
        <w:tc>
          <w:tcPr>
            <w:tcW w:w="220" w:type="dxa"/>
            <w:vAlign w:val="bottom"/>
            <w:tcBorders>
              <w:bottom w:val="single" w:sz="8" w:color="424E6A"/>
              <w:right w:val="single" w:sz="8" w:color="424E6A"/>
            </w:tcBorders>
          </w:tcPr>
          <w:p>
            <w:pPr>
              <w:spacing w:after="0"/>
              <w:rPr>
                <w:sz w:val="10"/>
                <w:szCs w:val="10"/>
                <w:color w:val="auto"/>
              </w:rPr>
            </w:pPr>
          </w:p>
        </w:tc>
        <w:tc>
          <w:tcPr>
            <w:tcW w:w="260" w:type="dxa"/>
            <w:vAlign w:val="bottom"/>
            <w:tcBorders>
              <w:bottom w:val="single" w:sz="8" w:color="424E6A"/>
            </w:tcBorders>
            <w:vMerge w:val="continue"/>
          </w:tcPr>
          <w:p>
            <w:pPr>
              <w:spacing w:after="0"/>
              <w:rPr>
                <w:sz w:val="10"/>
                <w:szCs w:val="10"/>
                <w:color w:val="auto"/>
              </w:rPr>
            </w:pPr>
          </w:p>
        </w:tc>
        <w:tc>
          <w:tcPr>
            <w:tcW w:w="880" w:type="dxa"/>
            <w:vAlign w:val="bottom"/>
            <w:tcBorders>
              <w:bottom w:val="single" w:sz="8" w:color="424E6A"/>
              <w:right w:val="single" w:sz="8" w:color="424E6A"/>
            </w:tcBorders>
            <w:gridSpan w:val="3"/>
            <w:vMerge w:val="continue"/>
          </w:tcPr>
          <w:p>
            <w:pPr>
              <w:spacing w:after="0"/>
              <w:rPr>
                <w:sz w:val="10"/>
                <w:szCs w:val="10"/>
                <w:color w:val="auto"/>
              </w:rPr>
            </w:pPr>
          </w:p>
        </w:tc>
        <w:tc>
          <w:tcPr>
            <w:tcW w:w="300" w:type="dxa"/>
            <w:vAlign w:val="bottom"/>
            <w:tcBorders>
              <w:bottom w:val="single" w:sz="8" w:color="424E6A"/>
            </w:tcBorders>
            <w:gridSpan w:val="2"/>
            <w:vMerge w:val="continue"/>
          </w:tcPr>
          <w:p>
            <w:pPr>
              <w:spacing w:after="0"/>
              <w:rPr>
                <w:sz w:val="10"/>
                <w:szCs w:val="10"/>
                <w:color w:val="auto"/>
              </w:rPr>
            </w:pPr>
          </w:p>
        </w:tc>
        <w:tc>
          <w:tcPr>
            <w:tcW w:w="720" w:type="dxa"/>
            <w:vAlign w:val="bottom"/>
            <w:tcBorders>
              <w:bottom w:val="single" w:sz="8" w:color="424E6A"/>
            </w:tcBorders>
            <w:vMerge w:val="continue"/>
          </w:tcPr>
          <w:p>
            <w:pPr>
              <w:spacing w:after="0"/>
              <w:rPr>
                <w:sz w:val="10"/>
                <w:szCs w:val="10"/>
                <w:color w:val="auto"/>
              </w:rPr>
            </w:pPr>
          </w:p>
        </w:tc>
        <w:tc>
          <w:tcPr>
            <w:tcW w:w="260" w:type="dxa"/>
            <w:vAlign w:val="bottom"/>
            <w:tcBorders>
              <w:bottom w:val="single" w:sz="8" w:color="424E6A"/>
              <w:right w:val="single" w:sz="8" w:color="424E6A"/>
            </w:tcBorders>
          </w:tcPr>
          <w:p>
            <w:pPr>
              <w:jc w:val="right"/>
              <w:ind w:right="137"/>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424E6A"/>
            </w:tcBorders>
          </w:tcPr>
          <w:p>
            <w:pPr>
              <w:ind w:left="6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424E6A"/>
              <w:right w:val="single" w:sz="8" w:color="424E6A"/>
            </w:tcBorders>
          </w:tcPr>
          <w:p>
            <w:pPr>
              <w:ind w:lef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424E6A"/>
            </w:tcBorders>
          </w:tcPr>
          <w:p>
            <w:pPr>
              <w:jc w:val="right"/>
              <w:spacing w:after="0"/>
              <w:rPr>
                <w:sz w:val="20"/>
                <w:szCs w:val="20"/>
                <w:color w:val="auto"/>
              </w:rPr>
            </w:pPr>
            <w:r>
              <w:rPr>
                <w:rFonts w:ascii="Arial" w:cs="Arial" w:eastAsia="Arial" w:hAnsi="Arial"/>
                <w:sz w:val="15"/>
                <w:szCs w:val="15"/>
                <w:color w:val="auto"/>
              </w:rPr>
              <w:t>3,477,785</w:t>
            </w:r>
          </w:p>
        </w:tc>
        <w:tc>
          <w:tcPr>
            <w:tcW w:w="300" w:type="dxa"/>
            <w:vAlign w:val="bottom"/>
            <w:tcBorders>
              <w:bottom w:val="single" w:sz="8" w:color="424E6A"/>
              <w:right w:val="single" w:sz="8" w:color="424E6A"/>
            </w:tcBorders>
          </w:tcPr>
          <w:p>
            <w:pPr>
              <w:jc w:val="right"/>
              <w:ind w:right="11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3,477,785</w:t>
            </w:r>
          </w:p>
        </w:tc>
        <w:tc>
          <w:tcPr>
            <w:tcW w:w="300" w:type="dxa"/>
            <w:vAlign w:val="bottom"/>
            <w:tcBorders>
              <w:bottom w:val="single" w:sz="8" w:color="424E6A"/>
              <w:right w:val="single" w:sz="8" w:color="424E6A"/>
            </w:tcBorders>
          </w:tcPr>
          <w:p>
            <w:pPr>
              <w:jc w:val="right"/>
              <w:ind w:right="11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2,343,086</w:t>
            </w:r>
          </w:p>
        </w:tc>
        <w:tc>
          <w:tcPr>
            <w:tcW w:w="220" w:type="dxa"/>
            <w:vAlign w:val="bottom"/>
            <w:tcBorders>
              <w:bottom w:val="single" w:sz="8" w:color="424E6A"/>
              <w:right w:val="single" w:sz="8" w:color="424E6A"/>
            </w:tcBorders>
          </w:tcPr>
          <w:p>
            <w:pPr>
              <w:spacing w:after="0"/>
              <w:rPr>
                <w:sz w:val="19"/>
                <w:szCs w:val="19"/>
                <w:color w:val="auto"/>
              </w:rPr>
            </w:pPr>
          </w:p>
        </w:tc>
        <w:tc>
          <w:tcPr>
            <w:tcW w:w="260" w:type="dxa"/>
            <w:vAlign w:val="bottom"/>
            <w:tcBorders>
              <w:bottom w:val="single" w:sz="8" w:color="424E6A"/>
            </w:tcBorders>
          </w:tcPr>
          <w:p>
            <w:pPr>
              <w:ind w:left="20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424E6A"/>
              <w:right w:val="single" w:sz="8" w:color="424E6A"/>
            </w:tcBorders>
            <w:gridSpan w:val="3"/>
          </w:tcPr>
          <w:p>
            <w:pPr>
              <w:jc w:val="right"/>
              <w:ind w:right="5"/>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 ​</w:t>
            </w:r>
          </w:p>
        </w:tc>
        <w:tc>
          <w:tcPr>
            <w:tcW w:w="300" w:type="dxa"/>
            <w:vAlign w:val="bottom"/>
            <w:tcBorders>
              <w:bottom w:val="single" w:sz="8" w:color="424E6A"/>
            </w:tcBorders>
            <w:gridSpan w:val="2"/>
          </w:tcPr>
          <w:p>
            <w:pPr>
              <w:ind w:left="100"/>
              <w:spacing w:after="0"/>
              <w:rPr>
                <w:sz w:val="20"/>
                <w:szCs w:val="20"/>
                <w:color w:val="auto"/>
              </w:rPr>
            </w:pPr>
            <w:r>
              <w:rPr>
                <w:rFonts w:ascii="Arial" w:cs="Arial" w:eastAsia="Arial" w:hAnsi="Arial"/>
                <w:sz w:val="15"/>
                <w:szCs w:val="15"/>
                <w:color w:val="auto"/>
              </w:rPr>
              <w:t>​ ​</w:t>
            </w:r>
          </w:p>
        </w:tc>
        <w:tc>
          <w:tcPr>
            <w:tcW w:w="980" w:type="dxa"/>
            <w:vAlign w:val="bottom"/>
            <w:tcBorders>
              <w:bottom w:val="single" w:sz="8" w:color="424E6A"/>
              <w:right w:val="single" w:sz="8" w:color="424E6A"/>
            </w:tcBorders>
            <w:gridSpan w:val="2"/>
          </w:tcPr>
          <w:p>
            <w:pPr>
              <w:jc w:val="right"/>
              <w:ind w:right="137"/>
              <w:spacing w:after="0" w:line="223" w:lineRule="exact"/>
              <w:rPr>
                <w:sz w:val="20"/>
                <w:szCs w:val="20"/>
                <w:color w:val="auto"/>
              </w:rPr>
            </w:pPr>
            <w:r>
              <w:rPr>
                <w:rFonts w:ascii="Arial" w:cs="Arial" w:eastAsia="Arial" w:hAnsi="Arial"/>
                <w:sz w:val="13"/>
                <w:szCs w:val="13"/>
                <w:color w:val="auto"/>
              </w:rPr>
              <w:t xml:space="preserve">5,107,721 </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36"/>
        </w:trPr>
        <w:tc>
          <w:tcPr>
            <w:tcW w:w="1820" w:type="dxa"/>
            <w:vAlign w:val="bottom"/>
            <w:tcBorders>
              <w:left w:val="single" w:sz="8" w:color="424E6A"/>
              <w:bottom w:val="single" w:sz="8" w:color="424E6A"/>
            </w:tcBorders>
            <w:gridSpan w:val="2"/>
            <w:shd w:val="clear" w:color="auto" w:fill="D9DCE1"/>
          </w:tcPr>
          <w:p>
            <w:pPr>
              <w:ind w:left="40"/>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Richard McGee</w:t>
            </w:r>
            <w:r>
              <w:rPr>
                <w:rFonts w:ascii="Arial" w:cs="Arial" w:eastAsia="Arial" w:hAnsi="Arial"/>
                <w:sz w:val="17"/>
                <w:szCs w:val="17"/>
                <w:b w:val="1"/>
                <w:bCs w:val="1"/>
                <w:color w:val="auto"/>
                <w:vertAlign w:val="superscript"/>
              </w:rPr>
              <w:t>(7)</w:t>
            </w:r>
          </w:p>
        </w:tc>
        <w:tc>
          <w:tcPr>
            <w:tcW w:w="24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424E6A"/>
            </w:tcBorders>
            <w:shd w:val="clear" w:color="auto" w:fill="D9DCE1"/>
          </w:tcPr>
          <w:p>
            <w:pPr>
              <w:spacing w:after="0"/>
              <w:rPr>
                <w:sz w:val="20"/>
                <w:szCs w:val="20"/>
                <w:color w:val="auto"/>
              </w:rPr>
            </w:pPr>
          </w:p>
        </w:tc>
        <w:tc>
          <w:tcPr>
            <w:tcW w:w="300" w:type="dxa"/>
            <w:vAlign w:val="bottom"/>
            <w:tcBorders>
              <w:bottom w:val="single" w:sz="8" w:color="424E6A"/>
              <w:right w:val="single" w:sz="8" w:color="424E6A"/>
            </w:tcBorders>
            <w:shd w:val="clear" w:color="auto" w:fill="D9DCE1"/>
          </w:tcPr>
          <w:p>
            <w:pPr>
              <w:jc w:val="right"/>
              <w:ind w:right="113"/>
              <w:spacing w:after="0"/>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424E6A"/>
            </w:tcBorders>
            <w:shd w:val="clear" w:color="auto" w:fill="D9DCE1"/>
          </w:tcPr>
          <w:p>
            <w:pPr>
              <w:ind w:left="260"/>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424E6A"/>
            </w:tcBorders>
            <w:shd w:val="clear" w:color="auto" w:fill="D9DCE1"/>
          </w:tcPr>
          <w:p>
            <w:pPr>
              <w:spacing w:after="0"/>
              <w:rPr>
                <w:sz w:val="20"/>
                <w:szCs w:val="20"/>
                <w:color w:val="auto"/>
              </w:rPr>
            </w:pPr>
          </w:p>
        </w:tc>
        <w:tc>
          <w:tcPr>
            <w:tcW w:w="300" w:type="dxa"/>
            <w:vAlign w:val="bottom"/>
            <w:tcBorders>
              <w:bottom w:val="single" w:sz="8" w:color="424E6A"/>
              <w:right w:val="single" w:sz="8" w:color="424E6A"/>
            </w:tcBorders>
            <w:shd w:val="clear" w:color="auto" w:fill="D9DCE1"/>
          </w:tcPr>
          <w:p>
            <w:pPr>
              <w:jc w:val="right"/>
              <w:ind w:right="114"/>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424E6A"/>
            </w:tcBorders>
            <w:shd w:val="clear" w:color="auto" w:fill="D9DCE1"/>
          </w:tcPr>
          <w:p>
            <w:pPr>
              <w:spacing w:after="0"/>
              <w:rPr>
                <w:sz w:val="20"/>
                <w:szCs w:val="20"/>
                <w:color w:val="auto"/>
              </w:rPr>
            </w:pPr>
          </w:p>
        </w:tc>
        <w:tc>
          <w:tcPr>
            <w:tcW w:w="220" w:type="dxa"/>
            <w:vAlign w:val="bottom"/>
            <w:tcBorders>
              <w:bottom w:val="single" w:sz="8" w:color="424E6A"/>
              <w:right w:val="single" w:sz="8" w:color="424E6A"/>
            </w:tcBorders>
            <w:shd w:val="clear" w:color="auto" w:fill="D9DCE1"/>
          </w:tcPr>
          <w:p>
            <w:pPr>
              <w:spacing w:after="0"/>
              <w:rPr>
                <w:sz w:val="20"/>
                <w:szCs w:val="20"/>
                <w:color w:val="auto"/>
              </w:rPr>
            </w:pPr>
          </w:p>
        </w:tc>
        <w:tc>
          <w:tcPr>
            <w:tcW w:w="26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24E6A"/>
            </w:tcBorders>
            <w:shd w:val="clear" w:color="auto" w:fill="D9DCE1"/>
          </w:tcPr>
          <w:p>
            <w:pPr>
              <w:spacing w:after="0"/>
              <w:rPr>
                <w:sz w:val="20"/>
                <w:szCs w:val="20"/>
                <w:color w:val="auto"/>
              </w:rPr>
            </w:pPr>
          </w:p>
        </w:tc>
        <w:tc>
          <w:tcPr>
            <w:tcW w:w="240" w:type="dxa"/>
            <w:vAlign w:val="bottom"/>
            <w:tcBorders>
              <w:bottom w:val="single" w:sz="8" w:color="424E6A"/>
              <w:right w:val="single" w:sz="8" w:color="424E6A"/>
            </w:tcBorders>
            <w:gridSpan w:val="2"/>
            <w:shd w:val="clear" w:color="auto" w:fill="D9DCE1"/>
          </w:tcPr>
          <w:p>
            <w:pPr>
              <w:jc w:val="right"/>
              <w:ind w:right="5"/>
              <w:spacing w:after="0"/>
              <w:rPr>
                <w:sz w:val="20"/>
                <w:szCs w:val="20"/>
                <w:color w:val="auto"/>
              </w:rPr>
            </w:pPr>
            <w:r>
              <w:rPr>
                <w:rFonts w:ascii="Arial" w:cs="Arial" w:eastAsia="Arial" w:hAnsi="Arial"/>
                <w:sz w:val="15"/>
                <w:szCs w:val="15"/>
                <w:b w:val="1"/>
                <w:bCs w:val="1"/>
                <w:color w:val="auto"/>
              </w:rPr>
              <w:t>​ ​</w:t>
            </w:r>
          </w:p>
        </w:tc>
        <w:tc>
          <w:tcPr>
            <w:tcW w:w="18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5"/>
                <w:szCs w:val="15"/>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424E6A"/>
            </w:tcBorders>
            <w:shd w:val="clear" w:color="auto" w:fill="D9DCE1"/>
          </w:tcPr>
          <w:p>
            <w:pPr>
              <w:spacing w:after="0"/>
              <w:rPr>
                <w:sz w:val="20"/>
                <w:szCs w:val="20"/>
                <w:color w:val="auto"/>
              </w:rPr>
            </w:pPr>
          </w:p>
        </w:tc>
        <w:tc>
          <w:tcPr>
            <w:tcW w:w="260" w:type="dxa"/>
            <w:vAlign w:val="bottom"/>
            <w:tcBorders>
              <w:bottom w:val="single" w:sz="8" w:color="424E6A"/>
              <w:right w:val="single" w:sz="8" w:color="424E6A"/>
            </w:tcBorders>
            <w:shd w:val="clear" w:color="auto" w:fill="D9DCE1"/>
          </w:tcPr>
          <w:p>
            <w:pPr>
              <w:jc w:val="right"/>
              <w:ind w:right="137"/>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02"/>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5"/>
                <w:szCs w:val="15"/>
                <w:color w:val="auto"/>
              </w:rPr>
              <w:t>​</w:t>
            </w:r>
          </w:p>
        </w:tc>
        <w:tc>
          <w:tcPr>
            <w:tcW w:w="1680" w:type="dxa"/>
            <w:vAlign w:val="bottom"/>
            <w:vMerge w:val="restart"/>
          </w:tcPr>
          <w:p>
            <w:pPr>
              <w:ind w:left="60"/>
              <w:spacing w:after="0"/>
              <w:rPr>
                <w:sz w:val="20"/>
                <w:szCs w:val="20"/>
                <w:color w:val="auto"/>
              </w:rPr>
            </w:pPr>
            <w:r>
              <w:rPr>
                <w:rFonts w:ascii="Arial" w:cs="Arial" w:eastAsia="Arial" w:hAnsi="Arial"/>
                <w:sz w:val="15"/>
                <w:szCs w:val="15"/>
                <w:color w:val="auto"/>
              </w:rPr>
              <w:t>Equity Compensation</w:t>
            </w:r>
          </w:p>
        </w:tc>
        <w:tc>
          <w:tcPr>
            <w:tcW w:w="240" w:type="dxa"/>
            <w:vAlign w:val="bottom"/>
            <w:tcBorders>
              <w:right w:val="single" w:sz="8" w:color="424E6A"/>
            </w:tcBorders>
            <w:vMerge w:val="restart"/>
          </w:tcPr>
          <w:p>
            <w:pPr>
              <w:ind w:left="18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4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3,477,785</w:t>
            </w:r>
          </w:p>
        </w:tc>
        <w:tc>
          <w:tcPr>
            <w:tcW w:w="300" w:type="dxa"/>
            <w:vAlign w:val="bottom"/>
            <w:tcBorders>
              <w:right w:val="single" w:sz="8" w:color="424E6A"/>
            </w:tcBorders>
          </w:tcPr>
          <w:p>
            <w:pPr>
              <w:jc w:val="right"/>
              <w:ind w:right="113"/>
              <w:spacing w:after="0" w:line="102" w:lineRule="exact"/>
              <w:rPr>
                <w:sz w:val="20"/>
                <w:szCs w:val="20"/>
                <w:color w:val="auto"/>
              </w:rPr>
            </w:pPr>
            <w:r>
              <w:rPr>
                <w:rFonts w:ascii="Arial" w:cs="Arial" w:eastAsia="Arial" w:hAnsi="Arial"/>
                <w:sz w:val="10"/>
                <w:szCs w:val="10"/>
                <w:color w:val="auto"/>
                <w:w w:val="81"/>
              </w:rPr>
              <w:t>(1)</w:t>
            </w:r>
          </w:p>
        </w:tc>
        <w:tc>
          <w:tcPr>
            <w:tcW w:w="1040" w:type="dxa"/>
            <w:vAlign w:val="bottom"/>
            <w:gridSpan w:val="2"/>
            <w:vMerge w:val="restart"/>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3,477,785</w:t>
            </w:r>
          </w:p>
        </w:tc>
        <w:tc>
          <w:tcPr>
            <w:tcW w:w="300" w:type="dxa"/>
            <w:vAlign w:val="bottom"/>
            <w:tcBorders>
              <w:right w:val="single" w:sz="8" w:color="424E6A"/>
            </w:tcBorders>
          </w:tcPr>
          <w:p>
            <w:pPr>
              <w:jc w:val="right"/>
              <w:ind w:right="114"/>
              <w:spacing w:after="0" w:line="102" w:lineRule="exact"/>
              <w:rPr>
                <w:sz w:val="20"/>
                <w:szCs w:val="20"/>
                <w:color w:val="auto"/>
              </w:rPr>
            </w:pPr>
            <w:r>
              <w:rPr>
                <w:rFonts w:ascii="Arial" w:cs="Arial" w:eastAsia="Arial" w:hAnsi="Arial"/>
                <w:sz w:val="10"/>
                <w:szCs w:val="10"/>
                <w:color w:val="auto"/>
                <w:w w:val="81"/>
              </w:rPr>
              <w:t>(1)</w:t>
            </w:r>
          </w:p>
        </w:tc>
        <w:tc>
          <w:tcPr>
            <w:tcW w:w="940" w:type="dxa"/>
            <w:vAlign w:val="bottom"/>
            <w:gridSpan w:val="2"/>
            <w:vMerge w:val="restart"/>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2,343,086</w:t>
            </w:r>
          </w:p>
        </w:tc>
        <w:tc>
          <w:tcPr>
            <w:tcW w:w="220" w:type="dxa"/>
            <w:vAlign w:val="bottom"/>
            <w:tcBorders>
              <w:right w:val="single" w:sz="8" w:color="424E6A"/>
            </w:tcBorders>
          </w:tcPr>
          <w:p>
            <w:pPr>
              <w:jc w:val="right"/>
              <w:ind w:right="31"/>
              <w:spacing w:after="0" w:line="102" w:lineRule="exact"/>
              <w:rPr>
                <w:sz w:val="20"/>
                <w:szCs w:val="20"/>
                <w:color w:val="auto"/>
              </w:rPr>
            </w:pPr>
            <w:r>
              <w:rPr>
                <w:rFonts w:ascii="Arial" w:cs="Arial" w:eastAsia="Arial" w:hAnsi="Arial"/>
                <w:sz w:val="10"/>
                <w:szCs w:val="10"/>
                <w:color w:val="auto"/>
                <w:w w:val="97"/>
              </w:rPr>
              <w:t>(2)</w:t>
            </w:r>
          </w:p>
        </w:tc>
        <w:tc>
          <w:tcPr>
            <w:tcW w:w="260" w:type="dxa"/>
            <w:vAlign w:val="bottom"/>
            <w:vMerge w:val="restart"/>
          </w:tcPr>
          <w:p>
            <w:pPr>
              <w:ind w:left="200"/>
              <w:spacing w:after="0"/>
              <w:rPr>
                <w:sz w:val="20"/>
                <w:szCs w:val="20"/>
                <w:color w:val="auto"/>
              </w:rPr>
            </w:pPr>
            <w:r>
              <w:rPr>
                <w:rFonts w:ascii="Arial" w:cs="Arial" w:eastAsia="Arial" w:hAnsi="Arial"/>
                <w:sz w:val="15"/>
                <w:szCs w:val="15"/>
                <w:color w:val="auto"/>
              </w:rPr>
              <w:t>​</w:t>
            </w:r>
          </w:p>
        </w:tc>
        <w:tc>
          <w:tcPr>
            <w:tcW w:w="880" w:type="dxa"/>
            <w:vAlign w:val="bottom"/>
            <w:tcBorders>
              <w:right w:val="single" w:sz="8" w:color="424E6A"/>
            </w:tcBorders>
            <w:gridSpan w:val="3"/>
            <w:vMerge w:val="restart"/>
          </w:tcPr>
          <w:p>
            <w:pPr>
              <w:jc w:val="right"/>
              <w:ind w:right="5"/>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 ​</w:t>
            </w:r>
          </w:p>
        </w:tc>
        <w:tc>
          <w:tcPr>
            <w:tcW w:w="300" w:type="dxa"/>
            <w:vAlign w:val="bottom"/>
            <w:gridSpan w:val="2"/>
            <w:vMerge w:val="restart"/>
          </w:tcPr>
          <w:p>
            <w:pPr>
              <w:ind w:left="100"/>
              <w:spacing w:after="0"/>
              <w:rPr>
                <w:sz w:val="20"/>
                <w:szCs w:val="20"/>
                <w:color w:val="auto"/>
              </w:rPr>
            </w:pPr>
            <w:r>
              <w:rPr>
                <w:rFonts w:ascii="Arial" w:cs="Arial" w:eastAsia="Arial" w:hAnsi="Arial"/>
                <w:sz w:val="15"/>
                <w:szCs w:val="15"/>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5,107,721</w:t>
            </w:r>
          </w:p>
        </w:tc>
        <w:tc>
          <w:tcPr>
            <w:tcW w:w="260" w:type="dxa"/>
            <w:vAlign w:val="bottom"/>
            <w:tcBorders>
              <w:right w:val="single" w:sz="8" w:color="424E6A"/>
            </w:tcBorders>
          </w:tcPr>
          <w:p>
            <w:pPr>
              <w:jc w:val="right"/>
              <w:ind w:right="77"/>
              <w:spacing w:after="0" w:line="102" w:lineRule="exact"/>
              <w:rPr>
                <w:sz w:val="20"/>
                <w:szCs w:val="20"/>
                <w:color w:val="auto"/>
              </w:rPr>
            </w:pPr>
            <w:r>
              <w:rPr>
                <w:rFonts w:ascii="Arial" w:cs="Arial" w:eastAsia="Arial" w:hAnsi="Arial"/>
                <w:sz w:val="10"/>
                <w:szCs w:val="10"/>
                <w:color w:val="auto"/>
                <w:w w:val="81"/>
              </w:rPr>
              <w:t>(3)</w:t>
            </w:r>
          </w:p>
        </w:tc>
        <w:tc>
          <w:tcPr>
            <w:tcW w:w="0" w:type="dxa"/>
            <w:vAlign w:val="bottom"/>
          </w:tcPr>
          <w:p>
            <w:pPr>
              <w:spacing w:after="0"/>
              <w:rPr>
                <w:sz w:val="1"/>
                <w:szCs w:val="1"/>
                <w:color w:val="auto"/>
              </w:rPr>
            </w:pPr>
          </w:p>
        </w:tc>
      </w:tr>
      <w:tr>
        <w:trPr>
          <w:trHeight w:val="121"/>
        </w:trPr>
        <w:tc>
          <w:tcPr>
            <w:tcW w:w="140" w:type="dxa"/>
            <w:vAlign w:val="bottom"/>
            <w:tcBorders>
              <w:left w:val="single" w:sz="8" w:color="424E6A"/>
              <w:bottom w:val="single" w:sz="8" w:color="424E6A"/>
            </w:tcBorders>
            <w:vMerge w:val="continue"/>
          </w:tcPr>
          <w:p>
            <w:pPr>
              <w:spacing w:after="0"/>
              <w:rPr>
                <w:sz w:val="10"/>
                <w:szCs w:val="10"/>
                <w:color w:val="auto"/>
              </w:rPr>
            </w:pPr>
          </w:p>
        </w:tc>
        <w:tc>
          <w:tcPr>
            <w:tcW w:w="1680" w:type="dxa"/>
            <w:vAlign w:val="bottom"/>
            <w:tcBorders>
              <w:bottom w:val="single" w:sz="8" w:color="424E6A"/>
            </w:tcBorders>
            <w:vMerge w:val="continue"/>
          </w:tcPr>
          <w:p>
            <w:pPr>
              <w:spacing w:after="0"/>
              <w:rPr>
                <w:sz w:val="10"/>
                <w:szCs w:val="10"/>
                <w:color w:val="auto"/>
              </w:rPr>
            </w:pPr>
          </w:p>
        </w:tc>
        <w:tc>
          <w:tcPr>
            <w:tcW w:w="240" w:type="dxa"/>
            <w:vAlign w:val="bottom"/>
            <w:tcBorders>
              <w:bottom w:val="single" w:sz="8" w:color="424E6A"/>
              <w:right w:val="single" w:sz="8" w:color="424E6A"/>
            </w:tcBorders>
            <w:vMerge w:val="continue"/>
          </w:tcPr>
          <w:p>
            <w:pPr>
              <w:spacing w:after="0"/>
              <w:rPr>
                <w:sz w:val="10"/>
                <w:szCs w:val="10"/>
                <w:color w:val="auto"/>
              </w:rPr>
            </w:pPr>
          </w:p>
        </w:tc>
        <w:tc>
          <w:tcPr>
            <w:tcW w:w="80" w:type="dxa"/>
            <w:vAlign w:val="bottom"/>
            <w:tcBorders>
              <w:bottom w:val="single" w:sz="8" w:color="424E6A"/>
            </w:tcBorders>
            <w:vMerge w:val="continue"/>
          </w:tcPr>
          <w:p>
            <w:pPr>
              <w:spacing w:after="0"/>
              <w:rPr>
                <w:sz w:val="10"/>
                <w:szCs w:val="10"/>
                <w:color w:val="auto"/>
              </w:rPr>
            </w:pPr>
          </w:p>
        </w:tc>
        <w:tc>
          <w:tcPr>
            <w:tcW w:w="140" w:type="dxa"/>
            <w:vAlign w:val="bottom"/>
            <w:tcBorders>
              <w:bottom w:val="single" w:sz="8" w:color="424E6A"/>
            </w:tcBorders>
            <w:vMerge w:val="continue"/>
          </w:tcPr>
          <w:p>
            <w:pPr>
              <w:spacing w:after="0"/>
              <w:rPr>
                <w:sz w:val="10"/>
                <w:szCs w:val="10"/>
                <w:color w:val="auto"/>
              </w:rPr>
            </w:pPr>
          </w:p>
        </w:tc>
        <w:tc>
          <w:tcPr>
            <w:tcW w:w="720" w:type="dxa"/>
            <w:vAlign w:val="bottom"/>
            <w:tcBorders>
              <w:bottom w:val="single" w:sz="8" w:color="424E6A"/>
            </w:tcBorders>
            <w:vMerge w:val="continue"/>
          </w:tcPr>
          <w:p>
            <w:pPr>
              <w:spacing w:after="0"/>
              <w:rPr>
                <w:sz w:val="10"/>
                <w:szCs w:val="10"/>
                <w:color w:val="auto"/>
              </w:rPr>
            </w:pPr>
          </w:p>
        </w:tc>
        <w:tc>
          <w:tcPr>
            <w:tcW w:w="300" w:type="dxa"/>
            <w:vAlign w:val="bottom"/>
            <w:tcBorders>
              <w:bottom w:val="single" w:sz="8" w:color="424E6A"/>
              <w:right w:val="single" w:sz="8" w:color="424E6A"/>
            </w:tcBorders>
          </w:tcPr>
          <w:p>
            <w:pPr>
              <w:jc w:val="right"/>
              <w:ind w:right="113"/>
              <w:spacing w:after="0" w:line="12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vMerge w:val="continue"/>
          </w:tcPr>
          <w:p>
            <w:pPr>
              <w:spacing w:after="0"/>
              <w:rPr>
                <w:sz w:val="10"/>
                <w:szCs w:val="10"/>
                <w:color w:val="auto"/>
              </w:rPr>
            </w:pPr>
          </w:p>
        </w:tc>
        <w:tc>
          <w:tcPr>
            <w:tcW w:w="300" w:type="dxa"/>
            <w:vAlign w:val="bottom"/>
            <w:tcBorders>
              <w:bottom w:val="single" w:sz="8" w:color="424E6A"/>
              <w:right w:val="single" w:sz="8" w:color="424E6A"/>
            </w:tcBorders>
          </w:tcPr>
          <w:p>
            <w:pPr>
              <w:jc w:val="right"/>
              <w:ind w:right="114"/>
              <w:spacing w:after="0" w:line="12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424E6A"/>
            </w:tcBorders>
            <w:gridSpan w:val="2"/>
            <w:vMerge w:val="continue"/>
          </w:tcPr>
          <w:p>
            <w:pPr>
              <w:spacing w:after="0"/>
              <w:rPr>
                <w:sz w:val="10"/>
                <w:szCs w:val="10"/>
                <w:color w:val="auto"/>
              </w:rPr>
            </w:pPr>
          </w:p>
        </w:tc>
        <w:tc>
          <w:tcPr>
            <w:tcW w:w="220" w:type="dxa"/>
            <w:vAlign w:val="bottom"/>
            <w:tcBorders>
              <w:bottom w:val="single" w:sz="8" w:color="424E6A"/>
              <w:right w:val="single" w:sz="8" w:color="424E6A"/>
            </w:tcBorders>
          </w:tcPr>
          <w:p>
            <w:pPr>
              <w:spacing w:after="0"/>
              <w:rPr>
                <w:sz w:val="10"/>
                <w:szCs w:val="10"/>
                <w:color w:val="auto"/>
              </w:rPr>
            </w:pPr>
          </w:p>
        </w:tc>
        <w:tc>
          <w:tcPr>
            <w:tcW w:w="260" w:type="dxa"/>
            <w:vAlign w:val="bottom"/>
            <w:tcBorders>
              <w:bottom w:val="single" w:sz="8" w:color="424E6A"/>
            </w:tcBorders>
            <w:vMerge w:val="continue"/>
          </w:tcPr>
          <w:p>
            <w:pPr>
              <w:spacing w:after="0"/>
              <w:rPr>
                <w:sz w:val="10"/>
                <w:szCs w:val="10"/>
                <w:color w:val="auto"/>
              </w:rPr>
            </w:pPr>
          </w:p>
        </w:tc>
        <w:tc>
          <w:tcPr>
            <w:tcW w:w="880" w:type="dxa"/>
            <w:vAlign w:val="bottom"/>
            <w:tcBorders>
              <w:bottom w:val="single" w:sz="8" w:color="424E6A"/>
              <w:right w:val="single" w:sz="8" w:color="424E6A"/>
            </w:tcBorders>
            <w:gridSpan w:val="3"/>
            <w:vMerge w:val="continue"/>
          </w:tcPr>
          <w:p>
            <w:pPr>
              <w:spacing w:after="0"/>
              <w:rPr>
                <w:sz w:val="10"/>
                <w:szCs w:val="10"/>
                <w:color w:val="auto"/>
              </w:rPr>
            </w:pPr>
          </w:p>
        </w:tc>
        <w:tc>
          <w:tcPr>
            <w:tcW w:w="300" w:type="dxa"/>
            <w:vAlign w:val="bottom"/>
            <w:tcBorders>
              <w:bottom w:val="single" w:sz="8" w:color="424E6A"/>
            </w:tcBorders>
            <w:gridSpan w:val="2"/>
            <w:vMerge w:val="continue"/>
          </w:tcPr>
          <w:p>
            <w:pPr>
              <w:spacing w:after="0"/>
              <w:rPr>
                <w:sz w:val="10"/>
                <w:szCs w:val="10"/>
                <w:color w:val="auto"/>
              </w:rPr>
            </w:pPr>
          </w:p>
        </w:tc>
        <w:tc>
          <w:tcPr>
            <w:tcW w:w="720" w:type="dxa"/>
            <w:vAlign w:val="bottom"/>
            <w:tcBorders>
              <w:bottom w:val="single" w:sz="8" w:color="424E6A"/>
            </w:tcBorders>
            <w:vMerge w:val="continue"/>
          </w:tcPr>
          <w:p>
            <w:pPr>
              <w:spacing w:after="0"/>
              <w:rPr>
                <w:sz w:val="10"/>
                <w:szCs w:val="10"/>
                <w:color w:val="auto"/>
              </w:rPr>
            </w:pPr>
          </w:p>
        </w:tc>
        <w:tc>
          <w:tcPr>
            <w:tcW w:w="260" w:type="dxa"/>
            <w:vAlign w:val="bottom"/>
            <w:tcBorders>
              <w:bottom w:val="single" w:sz="8" w:color="424E6A"/>
              <w:right w:val="single" w:sz="8" w:color="424E6A"/>
            </w:tcBorders>
          </w:tcPr>
          <w:p>
            <w:pPr>
              <w:jc w:val="right"/>
              <w:ind w:right="137"/>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424E6A"/>
            </w:tcBorders>
          </w:tcPr>
          <w:p>
            <w:pPr>
              <w:ind w:left="6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424E6A"/>
              <w:right w:val="single" w:sz="8" w:color="424E6A"/>
            </w:tcBorders>
          </w:tcPr>
          <w:p>
            <w:pPr>
              <w:ind w:lef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424E6A"/>
            </w:tcBorders>
          </w:tcPr>
          <w:p>
            <w:pPr>
              <w:jc w:val="right"/>
              <w:spacing w:after="0"/>
              <w:rPr>
                <w:sz w:val="20"/>
                <w:szCs w:val="20"/>
                <w:color w:val="auto"/>
              </w:rPr>
            </w:pPr>
            <w:r>
              <w:rPr>
                <w:rFonts w:ascii="Arial" w:cs="Arial" w:eastAsia="Arial" w:hAnsi="Arial"/>
                <w:sz w:val="15"/>
                <w:szCs w:val="15"/>
                <w:color w:val="auto"/>
              </w:rPr>
              <w:t>3,477,785</w:t>
            </w:r>
          </w:p>
        </w:tc>
        <w:tc>
          <w:tcPr>
            <w:tcW w:w="300" w:type="dxa"/>
            <w:vAlign w:val="bottom"/>
            <w:tcBorders>
              <w:bottom w:val="single" w:sz="8" w:color="424E6A"/>
              <w:right w:val="single" w:sz="8" w:color="424E6A"/>
            </w:tcBorders>
          </w:tcPr>
          <w:p>
            <w:pPr>
              <w:jc w:val="right"/>
              <w:ind w:right="11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3,477,785</w:t>
            </w:r>
          </w:p>
        </w:tc>
        <w:tc>
          <w:tcPr>
            <w:tcW w:w="300" w:type="dxa"/>
            <w:vAlign w:val="bottom"/>
            <w:tcBorders>
              <w:bottom w:val="single" w:sz="8" w:color="424E6A"/>
              <w:right w:val="single" w:sz="8" w:color="424E6A"/>
            </w:tcBorders>
          </w:tcPr>
          <w:p>
            <w:pPr>
              <w:jc w:val="right"/>
              <w:ind w:right="11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2,343,086</w:t>
            </w:r>
          </w:p>
        </w:tc>
        <w:tc>
          <w:tcPr>
            <w:tcW w:w="220" w:type="dxa"/>
            <w:vAlign w:val="bottom"/>
            <w:tcBorders>
              <w:bottom w:val="single" w:sz="8" w:color="424E6A"/>
              <w:right w:val="single" w:sz="8" w:color="424E6A"/>
            </w:tcBorders>
          </w:tcPr>
          <w:p>
            <w:pPr>
              <w:spacing w:after="0"/>
              <w:rPr>
                <w:sz w:val="19"/>
                <w:szCs w:val="19"/>
                <w:color w:val="auto"/>
              </w:rPr>
            </w:pPr>
          </w:p>
        </w:tc>
        <w:tc>
          <w:tcPr>
            <w:tcW w:w="260" w:type="dxa"/>
            <w:vAlign w:val="bottom"/>
            <w:tcBorders>
              <w:bottom w:val="single" w:sz="8" w:color="424E6A"/>
            </w:tcBorders>
          </w:tcPr>
          <w:p>
            <w:pPr>
              <w:ind w:left="20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424E6A"/>
              <w:right w:val="single" w:sz="8" w:color="424E6A"/>
            </w:tcBorders>
            <w:gridSpan w:val="3"/>
          </w:tcPr>
          <w:p>
            <w:pPr>
              <w:jc w:val="right"/>
              <w:ind w:right="5"/>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 ​</w:t>
            </w:r>
          </w:p>
        </w:tc>
        <w:tc>
          <w:tcPr>
            <w:tcW w:w="300" w:type="dxa"/>
            <w:vAlign w:val="bottom"/>
            <w:tcBorders>
              <w:bottom w:val="single" w:sz="8" w:color="424E6A"/>
            </w:tcBorders>
            <w:gridSpan w:val="2"/>
          </w:tcPr>
          <w:p>
            <w:pPr>
              <w:ind w:left="100"/>
              <w:spacing w:after="0"/>
              <w:rPr>
                <w:sz w:val="20"/>
                <w:szCs w:val="20"/>
                <w:color w:val="auto"/>
              </w:rPr>
            </w:pPr>
            <w:r>
              <w:rPr>
                <w:rFonts w:ascii="Arial" w:cs="Arial" w:eastAsia="Arial" w:hAnsi="Arial"/>
                <w:sz w:val="15"/>
                <w:szCs w:val="15"/>
                <w:color w:val="auto"/>
              </w:rPr>
              <w:t>​ ​</w:t>
            </w:r>
          </w:p>
        </w:tc>
        <w:tc>
          <w:tcPr>
            <w:tcW w:w="980" w:type="dxa"/>
            <w:vAlign w:val="bottom"/>
            <w:tcBorders>
              <w:bottom w:val="single" w:sz="8" w:color="424E6A"/>
              <w:right w:val="single" w:sz="8" w:color="424E6A"/>
            </w:tcBorders>
            <w:gridSpan w:val="2"/>
          </w:tcPr>
          <w:p>
            <w:pPr>
              <w:jc w:val="right"/>
              <w:ind w:right="137"/>
              <w:spacing w:after="0" w:line="223" w:lineRule="exact"/>
              <w:rPr>
                <w:sz w:val="20"/>
                <w:szCs w:val="20"/>
                <w:color w:val="auto"/>
              </w:rPr>
            </w:pPr>
            <w:r>
              <w:rPr>
                <w:rFonts w:ascii="Arial" w:cs="Arial" w:eastAsia="Arial" w:hAnsi="Arial"/>
                <w:sz w:val="13"/>
                <w:szCs w:val="13"/>
                <w:color w:val="auto"/>
              </w:rPr>
              <w:t xml:space="preserve">5,107,721 </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36"/>
        </w:trPr>
        <w:tc>
          <w:tcPr>
            <w:tcW w:w="1820" w:type="dxa"/>
            <w:vAlign w:val="bottom"/>
            <w:tcBorders>
              <w:left w:val="single" w:sz="8" w:color="424E6A"/>
              <w:bottom w:val="single" w:sz="8" w:color="424E6A"/>
            </w:tcBorders>
            <w:gridSpan w:val="2"/>
            <w:shd w:val="clear" w:color="auto" w:fill="D9DCE1"/>
          </w:tcPr>
          <w:p>
            <w:pPr>
              <w:ind w:left="40"/>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Chris Chandler</w:t>
            </w:r>
            <w:r>
              <w:rPr>
                <w:rFonts w:ascii="Arial" w:cs="Arial" w:eastAsia="Arial" w:hAnsi="Arial"/>
                <w:sz w:val="17"/>
                <w:szCs w:val="17"/>
                <w:b w:val="1"/>
                <w:bCs w:val="1"/>
                <w:color w:val="auto"/>
                <w:vertAlign w:val="superscript"/>
              </w:rPr>
              <w:t>(7)</w:t>
            </w:r>
          </w:p>
        </w:tc>
        <w:tc>
          <w:tcPr>
            <w:tcW w:w="24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424E6A"/>
            </w:tcBorders>
            <w:shd w:val="clear" w:color="auto" w:fill="D9DCE1"/>
          </w:tcPr>
          <w:p>
            <w:pPr>
              <w:spacing w:after="0"/>
              <w:rPr>
                <w:sz w:val="20"/>
                <w:szCs w:val="20"/>
                <w:color w:val="auto"/>
              </w:rPr>
            </w:pPr>
          </w:p>
        </w:tc>
        <w:tc>
          <w:tcPr>
            <w:tcW w:w="300" w:type="dxa"/>
            <w:vAlign w:val="bottom"/>
            <w:tcBorders>
              <w:bottom w:val="single" w:sz="8" w:color="424E6A"/>
              <w:right w:val="single" w:sz="8" w:color="424E6A"/>
            </w:tcBorders>
            <w:shd w:val="clear" w:color="auto" w:fill="D9DCE1"/>
          </w:tcPr>
          <w:p>
            <w:pPr>
              <w:jc w:val="right"/>
              <w:ind w:right="113"/>
              <w:spacing w:after="0"/>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424E6A"/>
            </w:tcBorders>
            <w:shd w:val="clear" w:color="auto" w:fill="D9DCE1"/>
          </w:tcPr>
          <w:p>
            <w:pPr>
              <w:ind w:left="260"/>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424E6A"/>
            </w:tcBorders>
            <w:shd w:val="clear" w:color="auto" w:fill="D9DCE1"/>
          </w:tcPr>
          <w:p>
            <w:pPr>
              <w:spacing w:after="0"/>
              <w:rPr>
                <w:sz w:val="20"/>
                <w:szCs w:val="20"/>
                <w:color w:val="auto"/>
              </w:rPr>
            </w:pPr>
          </w:p>
        </w:tc>
        <w:tc>
          <w:tcPr>
            <w:tcW w:w="300" w:type="dxa"/>
            <w:vAlign w:val="bottom"/>
            <w:tcBorders>
              <w:bottom w:val="single" w:sz="8" w:color="424E6A"/>
              <w:right w:val="single" w:sz="8" w:color="424E6A"/>
            </w:tcBorders>
            <w:shd w:val="clear" w:color="auto" w:fill="D9DCE1"/>
          </w:tcPr>
          <w:p>
            <w:pPr>
              <w:jc w:val="right"/>
              <w:ind w:right="114"/>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424E6A"/>
            </w:tcBorders>
            <w:shd w:val="clear" w:color="auto" w:fill="D9DCE1"/>
          </w:tcPr>
          <w:p>
            <w:pPr>
              <w:spacing w:after="0"/>
              <w:rPr>
                <w:sz w:val="20"/>
                <w:szCs w:val="20"/>
                <w:color w:val="auto"/>
              </w:rPr>
            </w:pPr>
          </w:p>
        </w:tc>
        <w:tc>
          <w:tcPr>
            <w:tcW w:w="220" w:type="dxa"/>
            <w:vAlign w:val="bottom"/>
            <w:tcBorders>
              <w:bottom w:val="single" w:sz="8" w:color="424E6A"/>
              <w:right w:val="single" w:sz="8" w:color="424E6A"/>
            </w:tcBorders>
            <w:shd w:val="clear" w:color="auto" w:fill="D9DCE1"/>
          </w:tcPr>
          <w:p>
            <w:pPr>
              <w:spacing w:after="0"/>
              <w:rPr>
                <w:sz w:val="20"/>
                <w:szCs w:val="20"/>
                <w:color w:val="auto"/>
              </w:rPr>
            </w:pPr>
          </w:p>
        </w:tc>
        <w:tc>
          <w:tcPr>
            <w:tcW w:w="26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24E6A"/>
            </w:tcBorders>
            <w:shd w:val="clear" w:color="auto" w:fill="D9DCE1"/>
          </w:tcPr>
          <w:p>
            <w:pPr>
              <w:spacing w:after="0"/>
              <w:rPr>
                <w:sz w:val="20"/>
                <w:szCs w:val="20"/>
                <w:color w:val="auto"/>
              </w:rPr>
            </w:pPr>
          </w:p>
        </w:tc>
        <w:tc>
          <w:tcPr>
            <w:tcW w:w="240" w:type="dxa"/>
            <w:vAlign w:val="bottom"/>
            <w:tcBorders>
              <w:bottom w:val="single" w:sz="8" w:color="424E6A"/>
              <w:right w:val="single" w:sz="8" w:color="424E6A"/>
            </w:tcBorders>
            <w:gridSpan w:val="2"/>
            <w:shd w:val="clear" w:color="auto" w:fill="D9DCE1"/>
          </w:tcPr>
          <w:p>
            <w:pPr>
              <w:jc w:val="right"/>
              <w:ind w:right="5"/>
              <w:spacing w:after="0"/>
              <w:rPr>
                <w:sz w:val="20"/>
                <w:szCs w:val="20"/>
                <w:color w:val="auto"/>
              </w:rPr>
            </w:pPr>
            <w:r>
              <w:rPr>
                <w:rFonts w:ascii="Arial" w:cs="Arial" w:eastAsia="Arial" w:hAnsi="Arial"/>
                <w:sz w:val="15"/>
                <w:szCs w:val="15"/>
                <w:b w:val="1"/>
                <w:bCs w:val="1"/>
                <w:color w:val="auto"/>
              </w:rPr>
              <w:t>​ ​</w:t>
            </w:r>
          </w:p>
        </w:tc>
        <w:tc>
          <w:tcPr>
            <w:tcW w:w="18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5"/>
                <w:szCs w:val="15"/>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424E6A"/>
            </w:tcBorders>
            <w:shd w:val="clear" w:color="auto" w:fill="D9DCE1"/>
          </w:tcPr>
          <w:p>
            <w:pPr>
              <w:spacing w:after="0"/>
              <w:rPr>
                <w:sz w:val="20"/>
                <w:szCs w:val="20"/>
                <w:color w:val="auto"/>
              </w:rPr>
            </w:pPr>
          </w:p>
        </w:tc>
        <w:tc>
          <w:tcPr>
            <w:tcW w:w="260" w:type="dxa"/>
            <w:vAlign w:val="bottom"/>
            <w:tcBorders>
              <w:bottom w:val="single" w:sz="8" w:color="424E6A"/>
              <w:right w:val="single" w:sz="8" w:color="424E6A"/>
            </w:tcBorders>
            <w:shd w:val="clear" w:color="auto" w:fill="D9DCE1"/>
          </w:tcPr>
          <w:p>
            <w:pPr>
              <w:jc w:val="right"/>
              <w:ind w:right="137"/>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02"/>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5"/>
                <w:szCs w:val="15"/>
                <w:color w:val="auto"/>
              </w:rPr>
              <w:t>​</w:t>
            </w:r>
          </w:p>
        </w:tc>
        <w:tc>
          <w:tcPr>
            <w:tcW w:w="1680" w:type="dxa"/>
            <w:vAlign w:val="bottom"/>
            <w:vMerge w:val="restart"/>
          </w:tcPr>
          <w:p>
            <w:pPr>
              <w:ind w:left="60"/>
              <w:spacing w:after="0"/>
              <w:rPr>
                <w:sz w:val="20"/>
                <w:szCs w:val="20"/>
                <w:color w:val="auto"/>
              </w:rPr>
            </w:pPr>
            <w:r>
              <w:rPr>
                <w:rFonts w:ascii="Arial" w:cs="Arial" w:eastAsia="Arial" w:hAnsi="Arial"/>
                <w:sz w:val="15"/>
                <w:szCs w:val="15"/>
                <w:color w:val="auto"/>
              </w:rPr>
              <w:t>Equity Compensation</w:t>
            </w:r>
          </w:p>
        </w:tc>
        <w:tc>
          <w:tcPr>
            <w:tcW w:w="240" w:type="dxa"/>
            <w:vAlign w:val="bottom"/>
            <w:tcBorders>
              <w:right w:val="single" w:sz="8" w:color="424E6A"/>
            </w:tcBorders>
            <w:vMerge w:val="restart"/>
          </w:tcPr>
          <w:p>
            <w:pPr>
              <w:ind w:left="18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4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9,357,785</w:t>
            </w:r>
          </w:p>
        </w:tc>
        <w:tc>
          <w:tcPr>
            <w:tcW w:w="300" w:type="dxa"/>
            <w:vAlign w:val="bottom"/>
            <w:tcBorders>
              <w:right w:val="single" w:sz="8" w:color="424E6A"/>
            </w:tcBorders>
          </w:tcPr>
          <w:p>
            <w:pPr>
              <w:jc w:val="right"/>
              <w:ind w:right="113"/>
              <w:spacing w:after="0" w:line="102" w:lineRule="exact"/>
              <w:rPr>
                <w:sz w:val="20"/>
                <w:szCs w:val="20"/>
                <w:color w:val="auto"/>
              </w:rPr>
            </w:pPr>
            <w:r>
              <w:rPr>
                <w:rFonts w:ascii="Arial" w:cs="Arial" w:eastAsia="Arial" w:hAnsi="Arial"/>
                <w:sz w:val="10"/>
                <w:szCs w:val="10"/>
                <w:color w:val="auto"/>
                <w:w w:val="81"/>
              </w:rPr>
              <w:t>(1)</w:t>
            </w:r>
          </w:p>
        </w:tc>
        <w:tc>
          <w:tcPr>
            <w:tcW w:w="1040" w:type="dxa"/>
            <w:vAlign w:val="bottom"/>
            <w:gridSpan w:val="2"/>
            <w:vMerge w:val="restart"/>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9,357,785</w:t>
            </w:r>
          </w:p>
        </w:tc>
        <w:tc>
          <w:tcPr>
            <w:tcW w:w="300" w:type="dxa"/>
            <w:vAlign w:val="bottom"/>
            <w:tcBorders>
              <w:right w:val="single" w:sz="8" w:color="424E6A"/>
            </w:tcBorders>
          </w:tcPr>
          <w:p>
            <w:pPr>
              <w:jc w:val="right"/>
              <w:ind w:right="114"/>
              <w:spacing w:after="0" w:line="102" w:lineRule="exact"/>
              <w:rPr>
                <w:sz w:val="20"/>
                <w:szCs w:val="20"/>
                <w:color w:val="auto"/>
              </w:rPr>
            </w:pPr>
            <w:r>
              <w:rPr>
                <w:rFonts w:ascii="Arial" w:cs="Arial" w:eastAsia="Arial" w:hAnsi="Arial"/>
                <w:sz w:val="10"/>
                <w:szCs w:val="10"/>
                <w:color w:val="auto"/>
                <w:w w:val="81"/>
              </w:rPr>
              <w:t>(1)</w:t>
            </w:r>
          </w:p>
        </w:tc>
        <w:tc>
          <w:tcPr>
            <w:tcW w:w="940" w:type="dxa"/>
            <w:vAlign w:val="bottom"/>
            <w:gridSpan w:val="2"/>
            <w:vMerge w:val="restart"/>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5,871,086</w:t>
            </w:r>
          </w:p>
        </w:tc>
        <w:tc>
          <w:tcPr>
            <w:tcW w:w="220" w:type="dxa"/>
            <w:vAlign w:val="bottom"/>
            <w:tcBorders>
              <w:right w:val="single" w:sz="8" w:color="424E6A"/>
            </w:tcBorders>
          </w:tcPr>
          <w:p>
            <w:pPr>
              <w:jc w:val="right"/>
              <w:ind w:right="31"/>
              <w:spacing w:after="0" w:line="102" w:lineRule="exact"/>
              <w:rPr>
                <w:sz w:val="20"/>
                <w:szCs w:val="20"/>
                <w:color w:val="auto"/>
              </w:rPr>
            </w:pPr>
            <w:r>
              <w:rPr>
                <w:rFonts w:ascii="Arial" w:cs="Arial" w:eastAsia="Arial" w:hAnsi="Arial"/>
                <w:sz w:val="10"/>
                <w:szCs w:val="10"/>
                <w:color w:val="auto"/>
                <w:w w:val="97"/>
              </w:rPr>
              <w:t>(2)</w:t>
            </w:r>
          </w:p>
        </w:tc>
        <w:tc>
          <w:tcPr>
            <w:tcW w:w="260" w:type="dxa"/>
            <w:vAlign w:val="bottom"/>
            <w:vMerge w:val="restart"/>
          </w:tcPr>
          <w:p>
            <w:pPr>
              <w:ind w:left="200"/>
              <w:spacing w:after="0"/>
              <w:rPr>
                <w:sz w:val="20"/>
                <w:szCs w:val="20"/>
                <w:color w:val="auto"/>
              </w:rPr>
            </w:pPr>
            <w:r>
              <w:rPr>
                <w:rFonts w:ascii="Arial" w:cs="Arial" w:eastAsia="Arial" w:hAnsi="Arial"/>
                <w:sz w:val="15"/>
                <w:szCs w:val="15"/>
                <w:color w:val="auto"/>
              </w:rPr>
              <w:t>​</w:t>
            </w:r>
          </w:p>
        </w:tc>
        <w:tc>
          <w:tcPr>
            <w:tcW w:w="880" w:type="dxa"/>
            <w:vAlign w:val="bottom"/>
            <w:tcBorders>
              <w:right w:val="single" w:sz="8" w:color="424E6A"/>
            </w:tcBorders>
            <w:gridSpan w:val="3"/>
            <w:vMerge w:val="restart"/>
          </w:tcPr>
          <w:p>
            <w:pPr>
              <w:jc w:val="right"/>
              <w:ind w:right="5"/>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 ​</w:t>
            </w:r>
          </w:p>
        </w:tc>
        <w:tc>
          <w:tcPr>
            <w:tcW w:w="1020" w:type="dxa"/>
            <w:vAlign w:val="bottom"/>
            <w:gridSpan w:val="3"/>
            <w:vMerge w:val="restart"/>
          </w:tcPr>
          <w:p>
            <w:pPr>
              <w:ind w:left="10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11,459,297</w:t>
            </w:r>
          </w:p>
        </w:tc>
        <w:tc>
          <w:tcPr>
            <w:tcW w:w="260" w:type="dxa"/>
            <w:vAlign w:val="bottom"/>
            <w:tcBorders>
              <w:right w:val="single" w:sz="8" w:color="424E6A"/>
            </w:tcBorders>
          </w:tcPr>
          <w:p>
            <w:pPr>
              <w:jc w:val="right"/>
              <w:ind w:right="77"/>
              <w:spacing w:after="0" w:line="102" w:lineRule="exact"/>
              <w:rPr>
                <w:sz w:val="20"/>
                <w:szCs w:val="20"/>
                <w:color w:val="auto"/>
              </w:rPr>
            </w:pPr>
            <w:r>
              <w:rPr>
                <w:rFonts w:ascii="Arial" w:cs="Arial" w:eastAsia="Arial" w:hAnsi="Arial"/>
                <w:sz w:val="10"/>
                <w:szCs w:val="10"/>
                <w:color w:val="auto"/>
                <w:w w:val="81"/>
              </w:rPr>
              <w:t>(3)</w:t>
            </w:r>
          </w:p>
        </w:tc>
        <w:tc>
          <w:tcPr>
            <w:tcW w:w="0" w:type="dxa"/>
            <w:vAlign w:val="bottom"/>
          </w:tcPr>
          <w:p>
            <w:pPr>
              <w:spacing w:after="0"/>
              <w:rPr>
                <w:sz w:val="1"/>
                <w:szCs w:val="1"/>
                <w:color w:val="auto"/>
              </w:rPr>
            </w:pPr>
          </w:p>
        </w:tc>
      </w:tr>
      <w:tr>
        <w:trPr>
          <w:trHeight w:val="122"/>
        </w:trPr>
        <w:tc>
          <w:tcPr>
            <w:tcW w:w="140" w:type="dxa"/>
            <w:vAlign w:val="bottom"/>
            <w:tcBorders>
              <w:left w:val="single" w:sz="8" w:color="424E6A"/>
              <w:bottom w:val="single" w:sz="8" w:color="424E6A"/>
            </w:tcBorders>
            <w:vMerge w:val="continue"/>
          </w:tcPr>
          <w:p>
            <w:pPr>
              <w:spacing w:after="0"/>
              <w:rPr>
                <w:sz w:val="10"/>
                <w:szCs w:val="10"/>
                <w:color w:val="auto"/>
              </w:rPr>
            </w:pPr>
          </w:p>
        </w:tc>
        <w:tc>
          <w:tcPr>
            <w:tcW w:w="1680" w:type="dxa"/>
            <w:vAlign w:val="bottom"/>
            <w:tcBorders>
              <w:bottom w:val="single" w:sz="8" w:color="424E6A"/>
            </w:tcBorders>
            <w:vMerge w:val="continue"/>
          </w:tcPr>
          <w:p>
            <w:pPr>
              <w:spacing w:after="0"/>
              <w:rPr>
                <w:sz w:val="10"/>
                <w:szCs w:val="10"/>
                <w:color w:val="auto"/>
              </w:rPr>
            </w:pPr>
          </w:p>
        </w:tc>
        <w:tc>
          <w:tcPr>
            <w:tcW w:w="240" w:type="dxa"/>
            <w:vAlign w:val="bottom"/>
            <w:tcBorders>
              <w:bottom w:val="single" w:sz="8" w:color="424E6A"/>
              <w:right w:val="single" w:sz="8" w:color="424E6A"/>
            </w:tcBorders>
            <w:vMerge w:val="continue"/>
          </w:tcPr>
          <w:p>
            <w:pPr>
              <w:spacing w:after="0"/>
              <w:rPr>
                <w:sz w:val="10"/>
                <w:szCs w:val="10"/>
                <w:color w:val="auto"/>
              </w:rPr>
            </w:pPr>
          </w:p>
        </w:tc>
        <w:tc>
          <w:tcPr>
            <w:tcW w:w="80" w:type="dxa"/>
            <w:vAlign w:val="bottom"/>
            <w:tcBorders>
              <w:bottom w:val="single" w:sz="8" w:color="424E6A"/>
            </w:tcBorders>
            <w:vMerge w:val="continue"/>
          </w:tcPr>
          <w:p>
            <w:pPr>
              <w:spacing w:after="0"/>
              <w:rPr>
                <w:sz w:val="10"/>
                <w:szCs w:val="10"/>
                <w:color w:val="auto"/>
              </w:rPr>
            </w:pPr>
          </w:p>
        </w:tc>
        <w:tc>
          <w:tcPr>
            <w:tcW w:w="140" w:type="dxa"/>
            <w:vAlign w:val="bottom"/>
            <w:tcBorders>
              <w:bottom w:val="single" w:sz="8" w:color="424E6A"/>
            </w:tcBorders>
            <w:vMerge w:val="continue"/>
          </w:tcPr>
          <w:p>
            <w:pPr>
              <w:spacing w:after="0"/>
              <w:rPr>
                <w:sz w:val="10"/>
                <w:szCs w:val="10"/>
                <w:color w:val="auto"/>
              </w:rPr>
            </w:pPr>
          </w:p>
        </w:tc>
        <w:tc>
          <w:tcPr>
            <w:tcW w:w="720" w:type="dxa"/>
            <w:vAlign w:val="bottom"/>
            <w:tcBorders>
              <w:bottom w:val="single" w:sz="8" w:color="424E6A"/>
            </w:tcBorders>
            <w:vMerge w:val="continue"/>
          </w:tcPr>
          <w:p>
            <w:pPr>
              <w:spacing w:after="0"/>
              <w:rPr>
                <w:sz w:val="10"/>
                <w:szCs w:val="10"/>
                <w:color w:val="auto"/>
              </w:rPr>
            </w:pPr>
          </w:p>
        </w:tc>
        <w:tc>
          <w:tcPr>
            <w:tcW w:w="300" w:type="dxa"/>
            <w:vAlign w:val="bottom"/>
            <w:tcBorders>
              <w:bottom w:val="single" w:sz="8" w:color="424E6A"/>
              <w:right w:val="single" w:sz="8" w:color="424E6A"/>
            </w:tcBorders>
          </w:tcPr>
          <w:p>
            <w:pPr>
              <w:jc w:val="right"/>
              <w:ind w:right="113"/>
              <w:spacing w:after="0" w:line="12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vMerge w:val="continue"/>
          </w:tcPr>
          <w:p>
            <w:pPr>
              <w:spacing w:after="0"/>
              <w:rPr>
                <w:sz w:val="10"/>
                <w:szCs w:val="10"/>
                <w:color w:val="auto"/>
              </w:rPr>
            </w:pPr>
          </w:p>
        </w:tc>
        <w:tc>
          <w:tcPr>
            <w:tcW w:w="300" w:type="dxa"/>
            <w:vAlign w:val="bottom"/>
            <w:tcBorders>
              <w:bottom w:val="single" w:sz="8" w:color="424E6A"/>
              <w:right w:val="single" w:sz="8" w:color="424E6A"/>
            </w:tcBorders>
          </w:tcPr>
          <w:p>
            <w:pPr>
              <w:jc w:val="right"/>
              <w:ind w:right="114"/>
              <w:spacing w:after="0" w:line="12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424E6A"/>
            </w:tcBorders>
            <w:gridSpan w:val="2"/>
            <w:vMerge w:val="continue"/>
          </w:tcPr>
          <w:p>
            <w:pPr>
              <w:spacing w:after="0"/>
              <w:rPr>
                <w:sz w:val="10"/>
                <w:szCs w:val="10"/>
                <w:color w:val="auto"/>
              </w:rPr>
            </w:pPr>
          </w:p>
        </w:tc>
        <w:tc>
          <w:tcPr>
            <w:tcW w:w="220" w:type="dxa"/>
            <w:vAlign w:val="bottom"/>
            <w:tcBorders>
              <w:bottom w:val="single" w:sz="8" w:color="424E6A"/>
              <w:right w:val="single" w:sz="8" w:color="424E6A"/>
            </w:tcBorders>
          </w:tcPr>
          <w:p>
            <w:pPr>
              <w:spacing w:after="0"/>
              <w:rPr>
                <w:sz w:val="10"/>
                <w:szCs w:val="10"/>
                <w:color w:val="auto"/>
              </w:rPr>
            </w:pPr>
          </w:p>
        </w:tc>
        <w:tc>
          <w:tcPr>
            <w:tcW w:w="260" w:type="dxa"/>
            <w:vAlign w:val="bottom"/>
            <w:tcBorders>
              <w:bottom w:val="single" w:sz="8" w:color="424E6A"/>
            </w:tcBorders>
            <w:vMerge w:val="continue"/>
          </w:tcPr>
          <w:p>
            <w:pPr>
              <w:spacing w:after="0"/>
              <w:rPr>
                <w:sz w:val="10"/>
                <w:szCs w:val="10"/>
                <w:color w:val="auto"/>
              </w:rPr>
            </w:pPr>
          </w:p>
        </w:tc>
        <w:tc>
          <w:tcPr>
            <w:tcW w:w="880" w:type="dxa"/>
            <w:vAlign w:val="bottom"/>
            <w:tcBorders>
              <w:bottom w:val="single" w:sz="8" w:color="424E6A"/>
              <w:right w:val="single" w:sz="8" w:color="424E6A"/>
            </w:tcBorders>
            <w:gridSpan w:val="3"/>
            <w:vMerge w:val="continue"/>
          </w:tcPr>
          <w:p>
            <w:pPr>
              <w:spacing w:after="0"/>
              <w:rPr>
                <w:sz w:val="10"/>
                <w:szCs w:val="10"/>
                <w:color w:val="auto"/>
              </w:rPr>
            </w:pPr>
          </w:p>
        </w:tc>
        <w:tc>
          <w:tcPr>
            <w:tcW w:w="1020" w:type="dxa"/>
            <w:vAlign w:val="bottom"/>
            <w:tcBorders>
              <w:bottom w:val="single" w:sz="8" w:color="424E6A"/>
            </w:tcBorders>
            <w:gridSpan w:val="3"/>
            <w:vMerge w:val="continue"/>
          </w:tcPr>
          <w:p>
            <w:pPr>
              <w:spacing w:after="0"/>
              <w:rPr>
                <w:sz w:val="10"/>
                <w:szCs w:val="10"/>
                <w:color w:val="auto"/>
              </w:rPr>
            </w:pPr>
          </w:p>
        </w:tc>
        <w:tc>
          <w:tcPr>
            <w:tcW w:w="260" w:type="dxa"/>
            <w:vAlign w:val="bottom"/>
            <w:tcBorders>
              <w:bottom w:val="single" w:sz="8" w:color="424E6A"/>
              <w:right w:val="single" w:sz="8" w:color="424E6A"/>
            </w:tcBorders>
          </w:tcPr>
          <w:p>
            <w:pPr>
              <w:jc w:val="right"/>
              <w:ind w:right="137"/>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424E6A"/>
            </w:tcBorders>
          </w:tcPr>
          <w:p>
            <w:pPr>
              <w:ind w:left="6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424E6A"/>
              <w:right w:val="single" w:sz="8" w:color="424E6A"/>
            </w:tcBorders>
          </w:tcPr>
          <w:p>
            <w:pPr>
              <w:ind w:lef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424E6A"/>
            </w:tcBorders>
          </w:tcPr>
          <w:p>
            <w:pPr>
              <w:jc w:val="right"/>
              <w:spacing w:after="0"/>
              <w:rPr>
                <w:sz w:val="20"/>
                <w:szCs w:val="20"/>
                <w:color w:val="auto"/>
              </w:rPr>
            </w:pPr>
            <w:r>
              <w:rPr>
                <w:rFonts w:ascii="Arial" w:cs="Arial" w:eastAsia="Arial" w:hAnsi="Arial"/>
                <w:sz w:val="15"/>
                <w:szCs w:val="15"/>
                <w:color w:val="auto"/>
              </w:rPr>
              <w:t>9,357,785</w:t>
            </w:r>
          </w:p>
        </w:tc>
        <w:tc>
          <w:tcPr>
            <w:tcW w:w="300" w:type="dxa"/>
            <w:vAlign w:val="bottom"/>
            <w:tcBorders>
              <w:bottom w:val="single" w:sz="8" w:color="424E6A"/>
              <w:right w:val="single" w:sz="8" w:color="424E6A"/>
            </w:tcBorders>
          </w:tcPr>
          <w:p>
            <w:pPr>
              <w:jc w:val="right"/>
              <w:ind w:right="11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9,357,785</w:t>
            </w:r>
          </w:p>
        </w:tc>
        <w:tc>
          <w:tcPr>
            <w:tcW w:w="300" w:type="dxa"/>
            <w:vAlign w:val="bottom"/>
            <w:tcBorders>
              <w:bottom w:val="single" w:sz="8" w:color="424E6A"/>
              <w:right w:val="single" w:sz="8" w:color="424E6A"/>
            </w:tcBorders>
          </w:tcPr>
          <w:p>
            <w:pPr>
              <w:jc w:val="right"/>
              <w:ind w:right="11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5,871,086</w:t>
            </w:r>
          </w:p>
        </w:tc>
        <w:tc>
          <w:tcPr>
            <w:tcW w:w="220" w:type="dxa"/>
            <w:vAlign w:val="bottom"/>
            <w:tcBorders>
              <w:bottom w:val="single" w:sz="8" w:color="424E6A"/>
              <w:right w:val="single" w:sz="8" w:color="424E6A"/>
            </w:tcBorders>
          </w:tcPr>
          <w:p>
            <w:pPr>
              <w:spacing w:after="0"/>
              <w:rPr>
                <w:sz w:val="19"/>
                <w:szCs w:val="19"/>
                <w:color w:val="auto"/>
              </w:rPr>
            </w:pPr>
          </w:p>
        </w:tc>
        <w:tc>
          <w:tcPr>
            <w:tcW w:w="260" w:type="dxa"/>
            <w:vAlign w:val="bottom"/>
            <w:tcBorders>
              <w:bottom w:val="single" w:sz="8" w:color="424E6A"/>
            </w:tcBorders>
          </w:tcPr>
          <w:p>
            <w:pPr>
              <w:ind w:left="20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424E6A"/>
              <w:right w:val="single" w:sz="8" w:color="424E6A"/>
            </w:tcBorders>
            <w:gridSpan w:val="3"/>
          </w:tcPr>
          <w:p>
            <w:pPr>
              <w:jc w:val="right"/>
              <w:ind w:right="5"/>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 ​</w:t>
            </w:r>
          </w:p>
        </w:tc>
        <w:tc>
          <w:tcPr>
            <w:tcW w:w="1280" w:type="dxa"/>
            <w:vAlign w:val="bottom"/>
            <w:tcBorders>
              <w:bottom w:val="single" w:sz="8" w:color="424E6A"/>
              <w:right w:val="single" w:sz="8" w:color="424E6A"/>
            </w:tcBorders>
            <w:gridSpan w:val="4"/>
          </w:tcPr>
          <w:p>
            <w:pPr>
              <w:ind w:left="10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11,459,297 </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36"/>
        </w:trPr>
        <w:tc>
          <w:tcPr>
            <w:tcW w:w="1820" w:type="dxa"/>
            <w:vAlign w:val="bottom"/>
            <w:tcBorders>
              <w:left w:val="single" w:sz="8" w:color="424E6A"/>
              <w:bottom w:val="single" w:sz="8" w:color="424E6A"/>
            </w:tcBorders>
            <w:gridSpan w:val="2"/>
            <w:shd w:val="clear" w:color="auto" w:fill="D9DCE1"/>
          </w:tcPr>
          <w:p>
            <w:pPr>
              <w:ind w:left="40"/>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Jeremy Goebel</w:t>
            </w:r>
            <w:r>
              <w:rPr>
                <w:rFonts w:ascii="Arial" w:cs="Arial" w:eastAsia="Arial" w:hAnsi="Arial"/>
                <w:sz w:val="17"/>
                <w:szCs w:val="17"/>
                <w:b w:val="1"/>
                <w:bCs w:val="1"/>
                <w:color w:val="auto"/>
                <w:vertAlign w:val="superscript"/>
              </w:rPr>
              <w:t>(7)</w:t>
            </w:r>
          </w:p>
        </w:tc>
        <w:tc>
          <w:tcPr>
            <w:tcW w:w="24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424E6A"/>
            </w:tcBorders>
            <w:shd w:val="clear" w:color="auto" w:fill="D9DCE1"/>
          </w:tcPr>
          <w:p>
            <w:pPr>
              <w:spacing w:after="0"/>
              <w:rPr>
                <w:sz w:val="20"/>
                <w:szCs w:val="20"/>
                <w:color w:val="auto"/>
              </w:rPr>
            </w:pPr>
          </w:p>
        </w:tc>
        <w:tc>
          <w:tcPr>
            <w:tcW w:w="300" w:type="dxa"/>
            <w:vAlign w:val="bottom"/>
            <w:tcBorders>
              <w:bottom w:val="single" w:sz="8" w:color="424E6A"/>
              <w:right w:val="single" w:sz="8" w:color="424E6A"/>
            </w:tcBorders>
            <w:shd w:val="clear" w:color="auto" w:fill="D9DCE1"/>
          </w:tcPr>
          <w:p>
            <w:pPr>
              <w:jc w:val="right"/>
              <w:ind w:right="113"/>
              <w:spacing w:after="0"/>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424E6A"/>
            </w:tcBorders>
            <w:shd w:val="clear" w:color="auto" w:fill="D9DCE1"/>
          </w:tcPr>
          <w:p>
            <w:pPr>
              <w:ind w:left="260"/>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424E6A"/>
            </w:tcBorders>
            <w:shd w:val="clear" w:color="auto" w:fill="D9DCE1"/>
          </w:tcPr>
          <w:p>
            <w:pPr>
              <w:spacing w:after="0"/>
              <w:rPr>
                <w:sz w:val="20"/>
                <w:szCs w:val="20"/>
                <w:color w:val="auto"/>
              </w:rPr>
            </w:pPr>
          </w:p>
        </w:tc>
        <w:tc>
          <w:tcPr>
            <w:tcW w:w="300" w:type="dxa"/>
            <w:vAlign w:val="bottom"/>
            <w:tcBorders>
              <w:bottom w:val="single" w:sz="8" w:color="424E6A"/>
              <w:right w:val="single" w:sz="8" w:color="424E6A"/>
            </w:tcBorders>
            <w:shd w:val="clear" w:color="auto" w:fill="D9DCE1"/>
          </w:tcPr>
          <w:p>
            <w:pPr>
              <w:jc w:val="right"/>
              <w:ind w:right="114"/>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424E6A"/>
            </w:tcBorders>
            <w:shd w:val="clear" w:color="auto" w:fill="D9DCE1"/>
          </w:tcPr>
          <w:p>
            <w:pPr>
              <w:spacing w:after="0"/>
              <w:rPr>
                <w:sz w:val="20"/>
                <w:szCs w:val="20"/>
                <w:color w:val="auto"/>
              </w:rPr>
            </w:pPr>
          </w:p>
        </w:tc>
        <w:tc>
          <w:tcPr>
            <w:tcW w:w="220" w:type="dxa"/>
            <w:vAlign w:val="bottom"/>
            <w:tcBorders>
              <w:bottom w:val="single" w:sz="8" w:color="424E6A"/>
              <w:right w:val="single" w:sz="8" w:color="424E6A"/>
            </w:tcBorders>
            <w:shd w:val="clear" w:color="auto" w:fill="D9DCE1"/>
          </w:tcPr>
          <w:p>
            <w:pPr>
              <w:spacing w:after="0"/>
              <w:rPr>
                <w:sz w:val="20"/>
                <w:szCs w:val="20"/>
                <w:color w:val="auto"/>
              </w:rPr>
            </w:pPr>
          </w:p>
        </w:tc>
        <w:tc>
          <w:tcPr>
            <w:tcW w:w="26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24E6A"/>
            </w:tcBorders>
            <w:shd w:val="clear" w:color="auto" w:fill="D9DCE1"/>
          </w:tcPr>
          <w:p>
            <w:pPr>
              <w:spacing w:after="0"/>
              <w:rPr>
                <w:sz w:val="20"/>
                <w:szCs w:val="20"/>
                <w:color w:val="auto"/>
              </w:rPr>
            </w:pPr>
          </w:p>
        </w:tc>
        <w:tc>
          <w:tcPr>
            <w:tcW w:w="240" w:type="dxa"/>
            <w:vAlign w:val="bottom"/>
            <w:tcBorders>
              <w:bottom w:val="single" w:sz="8" w:color="424E6A"/>
              <w:right w:val="single" w:sz="8" w:color="424E6A"/>
            </w:tcBorders>
            <w:gridSpan w:val="2"/>
            <w:shd w:val="clear" w:color="auto" w:fill="D9DCE1"/>
          </w:tcPr>
          <w:p>
            <w:pPr>
              <w:jc w:val="right"/>
              <w:ind w:right="5"/>
              <w:spacing w:after="0"/>
              <w:rPr>
                <w:sz w:val="20"/>
                <w:szCs w:val="20"/>
                <w:color w:val="auto"/>
              </w:rPr>
            </w:pPr>
            <w:r>
              <w:rPr>
                <w:rFonts w:ascii="Arial" w:cs="Arial" w:eastAsia="Arial" w:hAnsi="Arial"/>
                <w:sz w:val="15"/>
                <w:szCs w:val="15"/>
                <w:b w:val="1"/>
                <w:bCs w:val="1"/>
                <w:color w:val="auto"/>
              </w:rPr>
              <w:t>​ ​</w:t>
            </w:r>
          </w:p>
        </w:tc>
        <w:tc>
          <w:tcPr>
            <w:tcW w:w="18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5"/>
                <w:szCs w:val="15"/>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424E6A"/>
            </w:tcBorders>
            <w:shd w:val="clear" w:color="auto" w:fill="D9DCE1"/>
          </w:tcPr>
          <w:p>
            <w:pPr>
              <w:spacing w:after="0"/>
              <w:rPr>
                <w:sz w:val="20"/>
                <w:szCs w:val="20"/>
                <w:color w:val="auto"/>
              </w:rPr>
            </w:pPr>
          </w:p>
        </w:tc>
        <w:tc>
          <w:tcPr>
            <w:tcW w:w="260" w:type="dxa"/>
            <w:vAlign w:val="bottom"/>
            <w:tcBorders>
              <w:bottom w:val="single" w:sz="8" w:color="424E6A"/>
              <w:right w:val="single" w:sz="8" w:color="424E6A"/>
            </w:tcBorders>
            <w:shd w:val="clear" w:color="auto" w:fill="D9DCE1"/>
          </w:tcPr>
          <w:p>
            <w:pPr>
              <w:jc w:val="right"/>
              <w:ind w:right="137"/>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02"/>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5"/>
                <w:szCs w:val="15"/>
                <w:color w:val="auto"/>
              </w:rPr>
              <w:t>​</w:t>
            </w:r>
          </w:p>
        </w:tc>
        <w:tc>
          <w:tcPr>
            <w:tcW w:w="1680" w:type="dxa"/>
            <w:vAlign w:val="bottom"/>
            <w:vMerge w:val="restart"/>
          </w:tcPr>
          <w:p>
            <w:pPr>
              <w:ind w:left="60"/>
              <w:spacing w:after="0"/>
              <w:rPr>
                <w:sz w:val="20"/>
                <w:szCs w:val="20"/>
                <w:color w:val="auto"/>
              </w:rPr>
            </w:pPr>
            <w:r>
              <w:rPr>
                <w:rFonts w:ascii="Arial" w:cs="Arial" w:eastAsia="Arial" w:hAnsi="Arial"/>
                <w:sz w:val="15"/>
                <w:szCs w:val="15"/>
                <w:color w:val="auto"/>
              </w:rPr>
              <w:t>Equity Compensation</w:t>
            </w:r>
          </w:p>
        </w:tc>
        <w:tc>
          <w:tcPr>
            <w:tcW w:w="240" w:type="dxa"/>
            <w:vAlign w:val="bottom"/>
            <w:tcBorders>
              <w:right w:val="single" w:sz="8" w:color="424E6A"/>
            </w:tcBorders>
            <w:vMerge w:val="restart"/>
          </w:tcPr>
          <w:p>
            <w:pPr>
              <w:ind w:left="18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14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9,710,585</w:t>
            </w:r>
          </w:p>
        </w:tc>
        <w:tc>
          <w:tcPr>
            <w:tcW w:w="300" w:type="dxa"/>
            <w:vAlign w:val="bottom"/>
            <w:tcBorders>
              <w:right w:val="single" w:sz="8" w:color="424E6A"/>
            </w:tcBorders>
          </w:tcPr>
          <w:p>
            <w:pPr>
              <w:jc w:val="right"/>
              <w:ind w:right="113"/>
              <w:spacing w:after="0" w:line="102" w:lineRule="exact"/>
              <w:rPr>
                <w:sz w:val="20"/>
                <w:szCs w:val="20"/>
                <w:color w:val="auto"/>
              </w:rPr>
            </w:pPr>
            <w:r>
              <w:rPr>
                <w:rFonts w:ascii="Arial" w:cs="Arial" w:eastAsia="Arial" w:hAnsi="Arial"/>
                <w:sz w:val="10"/>
                <w:szCs w:val="10"/>
                <w:color w:val="auto"/>
                <w:w w:val="81"/>
              </w:rPr>
              <w:t>(1)</w:t>
            </w:r>
          </w:p>
        </w:tc>
        <w:tc>
          <w:tcPr>
            <w:tcW w:w="1040" w:type="dxa"/>
            <w:vAlign w:val="bottom"/>
            <w:gridSpan w:val="2"/>
            <w:vMerge w:val="restart"/>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9,710,585</w:t>
            </w:r>
          </w:p>
        </w:tc>
        <w:tc>
          <w:tcPr>
            <w:tcW w:w="300" w:type="dxa"/>
            <w:vAlign w:val="bottom"/>
            <w:tcBorders>
              <w:right w:val="single" w:sz="8" w:color="424E6A"/>
            </w:tcBorders>
          </w:tcPr>
          <w:p>
            <w:pPr>
              <w:jc w:val="right"/>
              <w:ind w:right="114"/>
              <w:spacing w:after="0" w:line="102" w:lineRule="exact"/>
              <w:rPr>
                <w:sz w:val="20"/>
                <w:szCs w:val="20"/>
                <w:color w:val="auto"/>
              </w:rPr>
            </w:pPr>
            <w:r>
              <w:rPr>
                <w:rFonts w:ascii="Arial" w:cs="Arial" w:eastAsia="Arial" w:hAnsi="Arial"/>
                <w:sz w:val="10"/>
                <w:szCs w:val="10"/>
                <w:color w:val="auto"/>
                <w:w w:val="81"/>
              </w:rPr>
              <w:t>(1)</w:t>
            </w:r>
          </w:p>
        </w:tc>
        <w:tc>
          <w:tcPr>
            <w:tcW w:w="940" w:type="dxa"/>
            <w:vAlign w:val="bottom"/>
            <w:gridSpan w:val="2"/>
            <w:vMerge w:val="restart"/>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6,223,886</w:t>
            </w:r>
          </w:p>
        </w:tc>
        <w:tc>
          <w:tcPr>
            <w:tcW w:w="220" w:type="dxa"/>
            <w:vAlign w:val="bottom"/>
            <w:tcBorders>
              <w:right w:val="single" w:sz="8" w:color="424E6A"/>
            </w:tcBorders>
          </w:tcPr>
          <w:p>
            <w:pPr>
              <w:jc w:val="right"/>
              <w:ind w:right="31"/>
              <w:spacing w:after="0" w:line="102" w:lineRule="exact"/>
              <w:rPr>
                <w:sz w:val="20"/>
                <w:szCs w:val="20"/>
                <w:color w:val="auto"/>
              </w:rPr>
            </w:pPr>
            <w:r>
              <w:rPr>
                <w:rFonts w:ascii="Arial" w:cs="Arial" w:eastAsia="Arial" w:hAnsi="Arial"/>
                <w:sz w:val="10"/>
                <w:szCs w:val="10"/>
                <w:color w:val="auto"/>
                <w:w w:val="97"/>
              </w:rPr>
              <w:t>(2)</w:t>
            </w:r>
          </w:p>
        </w:tc>
        <w:tc>
          <w:tcPr>
            <w:tcW w:w="260" w:type="dxa"/>
            <w:vAlign w:val="bottom"/>
            <w:vMerge w:val="restart"/>
          </w:tcPr>
          <w:p>
            <w:pPr>
              <w:ind w:left="200"/>
              <w:spacing w:after="0"/>
              <w:rPr>
                <w:sz w:val="20"/>
                <w:szCs w:val="20"/>
                <w:color w:val="auto"/>
              </w:rPr>
            </w:pPr>
            <w:r>
              <w:rPr>
                <w:rFonts w:ascii="Arial" w:cs="Arial" w:eastAsia="Arial" w:hAnsi="Arial"/>
                <w:sz w:val="15"/>
                <w:szCs w:val="15"/>
                <w:color w:val="auto"/>
              </w:rPr>
              <w:t>​</w:t>
            </w:r>
          </w:p>
        </w:tc>
        <w:tc>
          <w:tcPr>
            <w:tcW w:w="880" w:type="dxa"/>
            <w:vAlign w:val="bottom"/>
            <w:tcBorders>
              <w:right w:val="single" w:sz="8" w:color="424E6A"/>
            </w:tcBorders>
            <w:gridSpan w:val="3"/>
            <w:vMerge w:val="restart"/>
          </w:tcPr>
          <w:p>
            <w:pPr>
              <w:jc w:val="right"/>
              <w:ind w:right="5"/>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 ​</w:t>
            </w:r>
          </w:p>
        </w:tc>
        <w:tc>
          <w:tcPr>
            <w:tcW w:w="1020" w:type="dxa"/>
            <w:vAlign w:val="bottom"/>
            <w:gridSpan w:val="3"/>
            <w:vMerge w:val="restart"/>
          </w:tcPr>
          <w:p>
            <w:pPr>
              <w:ind w:left="10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11,812,097</w:t>
            </w:r>
          </w:p>
        </w:tc>
        <w:tc>
          <w:tcPr>
            <w:tcW w:w="260" w:type="dxa"/>
            <w:vAlign w:val="bottom"/>
            <w:tcBorders>
              <w:right w:val="single" w:sz="8" w:color="424E6A"/>
            </w:tcBorders>
          </w:tcPr>
          <w:p>
            <w:pPr>
              <w:jc w:val="right"/>
              <w:ind w:right="77"/>
              <w:spacing w:after="0" w:line="102" w:lineRule="exact"/>
              <w:rPr>
                <w:sz w:val="20"/>
                <w:szCs w:val="20"/>
                <w:color w:val="auto"/>
              </w:rPr>
            </w:pPr>
            <w:r>
              <w:rPr>
                <w:rFonts w:ascii="Arial" w:cs="Arial" w:eastAsia="Arial" w:hAnsi="Arial"/>
                <w:sz w:val="10"/>
                <w:szCs w:val="10"/>
                <w:color w:val="auto"/>
                <w:w w:val="81"/>
              </w:rPr>
              <w:t>(3)</w:t>
            </w:r>
          </w:p>
        </w:tc>
        <w:tc>
          <w:tcPr>
            <w:tcW w:w="0" w:type="dxa"/>
            <w:vAlign w:val="bottom"/>
          </w:tcPr>
          <w:p>
            <w:pPr>
              <w:spacing w:after="0"/>
              <w:rPr>
                <w:sz w:val="1"/>
                <w:szCs w:val="1"/>
                <w:color w:val="auto"/>
              </w:rPr>
            </w:pPr>
          </w:p>
        </w:tc>
      </w:tr>
      <w:tr>
        <w:trPr>
          <w:trHeight w:val="122"/>
        </w:trPr>
        <w:tc>
          <w:tcPr>
            <w:tcW w:w="140" w:type="dxa"/>
            <w:vAlign w:val="bottom"/>
            <w:tcBorders>
              <w:left w:val="single" w:sz="8" w:color="424E6A"/>
              <w:bottom w:val="single" w:sz="8" w:color="424E6A"/>
            </w:tcBorders>
            <w:vMerge w:val="continue"/>
          </w:tcPr>
          <w:p>
            <w:pPr>
              <w:spacing w:after="0"/>
              <w:rPr>
                <w:sz w:val="10"/>
                <w:szCs w:val="10"/>
                <w:color w:val="auto"/>
              </w:rPr>
            </w:pPr>
          </w:p>
        </w:tc>
        <w:tc>
          <w:tcPr>
            <w:tcW w:w="1680" w:type="dxa"/>
            <w:vAlign w:val="bottom"/>
            <w:tcBorders>
              <w:bottom w:val="single" w:sz="8" w:color="424E6A"/>
            </w:tcBorders>
            <w:vMerge w:val="continue"/>
          </w:tcPr>
          <w:p>
            <w:pPr>
              <w:spacing w:after="0"/>
              <w:rPr>
                <w:sz w:val="10"/>
                <w:szCs w:val="10"/>
                <w:color w:val="auto"/>
              </w:rPr>
            </w:pPr>
          </w:p>
        </w:tc>
        <w:tc>
          <w:tcPr>
            <w:tcW w:w="240" w:type="dxa"/>
            <w:vAlign w:val="bottom"/>
            <w:tcBorders>
              <w:bottom w:val="single" w:sz="8" w:color="424E6A"/>
              <w:right w:val="single" w:sz="8" w:color="424E6A"/>
            </w:tcBorders>
            <w:vMerge w:val="continue"/>
          </w:tcPr>
          <w:p>
            <w:pPr>
              <w:spacing w:after="0"/>
              <w:rPr>
                <w:sz w:val="10"/>
                <w:szCs w:val="10"/>
                <w:color w:val="auto"/>
              </w:rPr>
            </w:pPr>
          </w:p>
        </w:tc>
        <w:tc>
          <w:tcPr>
            <w:tcW w:w="80" w:type="dxa"/>
            <w:vAlign w:val="bottom"/>
            <w:tcBorders>
              <w:bottom w:val="single" w:sz="8" w:color="424E6A"/>
            </w:tcBorders>
            <w:vMerge w:val="continue"/>
          </w:tcPr>
          <w:p>
            <w:pPr>
              <w:spacing w:after="0"/>
              <w:rPr>
                <w:sz w:val="10"/>
                <w:szCs w:val="10"/>
                <w:color w:val="auto"/>
              </w:rPr>
            </w:pPr>
          </w:p>
        </w:tc>
        <w:tc>
          <w:tcPr>
            <w:tcW w:w="140" w:type="dxa"/>
            <w:vAlign w:val="bottom"/>
            <w:tcBorders>
              <w:bottom w:val="single" w:sz="8" w:color="424E6A"/>
            </w:tcBorders>
            <w:vMerge w:val="continue"/>
          </w:tcPr>
          <w:p>
            <w:pPr>
              <w:spacing w:after="0"/>
              <w:rPr>
                <w:sz w:val="10"/>
                <w:szCs w:val="10"/>
                <w:color w:val="auto"/>
              </w:rPr>
            </w:pPr>
          </w:p>
        </w:tc>
        <w:tc>
          <w:tcPr>
            <w:tcW w:w="720" w:type="dxa"/>
            <w:vAlign w:val="bottom"/>
            <w:tcBorders>
              <w:bottom w:val="single" w:sz="8" w:color="424E6A"/>
            </w:tcBorders>
            <w:vMerge w:val="continue"/>
          </w:tcPr>
          <w:p>
            <w:pPr>
              <w:spacing w:after="0"/>
              <w:rPr>
                <w:sz w:val="10"/>
                <w:szCs w:val="10"/>
                <w:color w:val="auto"/>
              </w:rPr>
            </w:pPr>
          </w:p>
        </w:tc>
        <w:tc>
          <w:tcPr>
            <w:tcW w:w="300" w:type="dxa"/>
            <w:vAlign w:val="bottom"/>
            <w:tcBorders>
              <w:bottom w:val="single" w:sz="8" w:color="424E6A"/>
              <w:right w:val="single" w:sz="8" w:color="424E6A"/>
            </w:tcBorders>
          </w:tcPr>
          <w:p>
            <w:pPr>
              <w:jc w:val="right"/>
              <w:ind w:right="113"/>
              <w:spacing w:after="0" w:line="12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vMerge w:val="continue"/>
          </w:tcPr>
          <w:p>
            <w:pPr>
              <w:spacing w:after="0"/>
              <w:rPr>
                <w:sz w:val="10"/>
                <w:szCs w:val="10"/>
                <w:color w:val="auto"/>
              </w:rPr>
            </w:pPr>
          </w:p>
        </w:tc>
        <w:tc>
          <w:tcPr>
            <w:tcW w:w="300" w:type="dxa"/>
            <w:vAlign w:val="bottom"/>
            <w:tcBorders>
              <w:bottom w:val="single" w:sz="8" w:color="424E6A"/>
              <w:right w:val="single" w:sz="8" w:color="424E6A"/>
            </w:tcBorders>
          </w:tcPr>
          <w:p>
            <w:pPr>
              <w:jc w:val="right"/>
              <w:ind w:right="114"/>
              <w:spacing w:after="0" w:line="12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424E6A"/>
            </w:tcBorders>
            <w:gridSpan w:val="2"/>
            <w:vMerge w:val="continue"/>
          </w:tcPr>
          <w:p>
            <w:pPr>
              <w:spacing w:after="0"/>
              <w:rPr>
                <w:sz w:val="10"/>
                <w:szCs w:val="10"/>
                <w:color w:val="auto"/>
              </w:rPr>
            </w:pPr>
          </w:p>
        </w:tc>
        <w:tc>
          <w:tcPr>
            <w:tcW w:w="220" w:type="dxa"/>
            <w:vAlign w:val="bottom"/>
            <w:tcBorders>
              <w:bottom w:val="single" w:sz="8" w:color="424E6A"/>
              <w:right w:val="single" w:sz="8" w:color="424E6A"/>
            </w:tcBorders>
          </w:tcPr>
          <w:p>
            <w:pPr>
              <w:spacing w:after="0"/>
              <w:rPr>
                <w:sz w:val="10"/>
                <w:szCs w:val="10"/>
                <w:color w:val="auto"/>
              </w:rPr>
            </w:pPr>
          </w:p>
        </w:tc>
        <w:tc>
          <w:tcPr>
            <w:tcW w:w="260" w:type="dxa"/>
            <w:vAlign w:val="bottom"/>
            <w:tcBorders>
              <w:bottom w:val="single" w:sz="8" w:color="424E6A"/>
            </w:tcBorders>
            <w:vMerge w:val="continue"/>
          </w:tcPr>
          <w:p>
            <w:pPr>
              <w:spacing w:after="0"/>
              <w:rPr>
                <w:sz w:val="10"/>
                <w:szCs w:val="10"/>
                <w:color w:val="auto"/>
              </w:rPr>
            </w:pPr>
          </w:p>
        </w:tc>
        <w:tc>
          <w:tcPr>
            <w:tcW w:w="880" w:type="dxa"/>
            <w:vAlign w:val="bottom"/>
            <w:tcBorders>
              <w:bottom w:val="single" w:sz="8" w:color="424E6A"/>
              <w:right w:val="single" w:sz="8" w:color="424E6A"/>
            </w:tcBorders>
            <w:gridSpan w:val="3"/>
            <w:vMerge w:val="continue"/>
          </w:tcPr>
          <w:p>
            <w:pPr>
              <w:spacing w:after="0"/>
              <w:rPr>
                <w:sz w:val="10"/>
                <w:szCs w:val="10"/>
                <w:color w:val="auto"/>
              </w:rPr>
            </w:pPr>
          </w:p>
        </w:tc>
        <w:tc>
          <w:tcPr>
            <w:tcW w:w="1020" w:type="dxa"/>
            <w:vAlign w:val="bottom"/>
            <w:tcBorders>
              <w:bottom w:val="single" w:sz="8" w:color="424E6A"/>
            </w:tcBorders>
            <w:gridSpan w:val="3"/>
            <w:vMerge w:val="continue"/>
          </w:tcPr>
          <w:p>
            <w:pPr>
              <w:spacing w:after="0"/>
              <w:rPr>
                <w:sz w:val="10"/>
                <w:szCs w:val="10"/>
                <w:color w:val="auto"/>
              </w:rPr>
            </w:pPr>
          </w:p>
        </w:tc>
        <w:tc>
          <w:tcPr>
            <w:tcW w:w="260" w:type="dxa"/>
            <w:vAlign w:val="bottom"/>
            <w:tcBorders>
              <w:bottom w:val="single" w:sz="8" w:color="424E6A"/>
              <w:right w:val="single" w:sz="8" w:color="424E6A"/>
            </w:tcBorders>
          </w:tcPr>
          <w:p>
            <w:pPr>
              <w:jc w:val="right"/>
              <w:ind w:right="137"/>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424E6A"/>
            </w:tcBorders>
          </w:tcPr>
          <w:p>
            <w:pPr>
              <w:ind w:left="6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424E6A"/>
              <w:right w:val="single" w:sz="8" w:color="424E6A"/>
            </w:tcBorders>
          </w:tcPr>
          <w:p>
            <w:pPr>
              <w:ind w:lef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424E6A"/>
            </w:tcBorders>
          </w:tcPr>
          <w:p>
            <w:pPr>
              <w:jc w:val="right"/>
              <w:spacing w:after="0"/>
              <w:rPr>
                <w:sz w:val="20"/>
                <w:szCs w:val="20"/>
                <w:color w:val="auto"/>
              </w:rPr>
            </w:pPr>
            <w:r>
              <w:rPr>
                <w:rFonts w:ascii="Arial" w:cs="Arial" w:eastAsia="Arial" w:hAnsi="Arial"/>
                <w:sz w:val="15"/>
                <w:szCs w:val="15"/>
                <w:color w:val="auto"/>
              </w:rPr>
              <w:t>9,710,585</w:t>
            </w:r>
          </w:p>
        </w:tc>
        <w:tc>
          <w:tcPr>
            <w:tcW w:w="300" w:type="dxa"/>
            <w:vAlign w:val="bottom"/>
            <w:tcBorders>
              <w:bottom w:val="single" w:sz="8" w:color="424E6A"/>
              <w:right w:val="single" w:sz="8" w:color="424E6A"/>
            </w:tcBorders>
          </w:tcPr>
          <w:p>
            <w:pPr>
              <w:jc w:val="right"/>
              <w:ind w:right="11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9,710,585</w:t>
            </w:r>
          </w:p>
        </w:tc>
        <w:tc>
          <w:tcPr>
            <w:tcW w:w="300" w:type="dxa"/>
            <w:vAlign w:val="bottom"/>
            <w:tcBorders>
              <w:bottom w:val="single" w:sz="8" w:color="424E6A"/>
              <w:right w:val="single" w:sz="8" w:color="424E6A"/>
            </w:tcBorders>
          </w:tcPr>
          <w:p>
            <w:pPr>
              <w:jc w:val="right"/>
              <w:ind w:right="11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6,223,886</w:t>
            </w:r>
          </w:p>
        </w:tc>
        <w:tc>
          <w:tcPr>
            <w:tcW w:w="220" w:type="dxa"/>
            <w:vAlign w:val="bottom"/>
            <w:tcBorders>
              <w:bottom w:val="single" w:sz="8" w:color="424E6A"/>
              <w:right w:val="single" w:sz="8" w:color="424E6A"/>
            </w:tcBorders>
          </w:tcPr>
          <w:p>
            <w:pPr>
              <w:spacing w:after="0"/>
              <w:rPr>
                <w:sz w:val="19"/>
                <w:szCs w:val="19"/>
                <w:color w:val="auto"/>
              </w:rPr>
            </w:pPr>
          </w:p>
        </w:tc>
        <w:tc>
          <w:tcPr>
            <w:tcW w:w="260" w:type="dxa"/>
            <w:vAlign w:val="bottom"/>
            <w:tcBorders>
              <w:bottom w:val="single" w:sz="8" w:color="424E6A"/>
            </w:tcBorders>
          </w:tcPr>
          <w:p>
            <w:pPr>
              <w:ind w:left="20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424E6A"/>
              <w:right w:val="single" w:sz="8" w:color="424E6A"/>
            </w:tcBorders>
            <w:gridSpan w:val="3"/>
          </w:tcPr>
          <w:p>
            <w:pPr>
              <w:jc w:val="right"/>
              <w:ind w:right="5"/>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 ​</w:t>
            </w:r>
          </w:p>
        </w:tc>
        <w:tc>
          <w:tcPr>
            <w:tcW w:w="1280" w:type="dxa"/>
            <w:vAlign w:val="bottom"/>
            <w:tcBorders>
              <w:bottom w:val="single" w:sz="8" w:color="424E6A"/>
              <w:right w:val="single" w:sz="8" w:color="424E6A"/>
            </w:tcBorders>
            <w:gridSpan w:val="4"/>
          </w:tcPr>
          <w:p>
            <w:pPr>
              <w:ind w:left="10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11,812,097 </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20" w:right="519" w:hanging="360"/>
        <w:spacing w:after="0" w:line="235"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The letter evidencing the August 2018 phantom unit grant to Mr. Chiang provides that in the event of his death or disability after the second anniversary of the date of the applicable grant, all of his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5" w:lineRule="exact"/>
        <w:rPr>
          <w:rFonts w:ascii="Arial" w:cs="Arial" w:eastAsia="Arial" w:hAnsi="Arial"/>
          <w:sz w:val="27"/>
          <w:szCs w:val="27"/>
          <w:color w:val="auto"/>
          <w:vertAlign w:val="superscript"/>
        </w:rPr>
      </w:pPr>
    </w:p>
    <w:p>
      <w:pPr>
        <w:ind w:left="1620" w:right="419"/>
        <w:spacing w:after="0" w:line="266" w:lineRule="auto"/>
        <w:rPr>
          <w:rFonts w:ascii="Arial" w:cs="Arial" w:eastAsia="Arial" w:hAnsi="Arial"/>
          <w:sz w:val="27"/>
          <w:szCs w:val="27"/>
          <w:color w:val="auto"/>
          <w:vertAlign w:val="superscript"/>
        </w:rPr>
      </w:pPr>
      <w:r>
        <w:rPr>
          <w:rFonts w:ascii="Arial" w:cs="Arial" w:eastAsia="Arial" w:hAnsi="Arial"/>
          <w:sz w:val="18"/>
          <w:szCs w:val="18"/>
          <w:color w:val="auto"/>
        </w:rPr>
        <w:t>The letters evidencing the August 2019, August 2020, August 2021 and August 2022 phantom unit grants awarded to Messrs. Chiang, Swanson, McGee, Chandler and Goebel provide that in the event of their death or disability after the first anniversary of the date of the applicable grant,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ind w:left="1620" w:right="459"/>
        <w:spacing w:after="0" w:line="266" w:lineRule="auto"/>
        <w:rPr>
          <w:rFonts w:ascii="Arial" w:cs="Arial" w:eastAsia="Arial" w:hAnsi="Arial"/>
          <w:sz w:val="27"/>
          <w:szCs w:val="27"/>
          <w:color w:val="auto"/>
          <w:vertAlign w:val="superscript"/>
        </w:rPr>
      </w:pPr>
      <w:r>
        <w:rPr>
          <w:rFonts w:ascii="Arial" w:cs="Arial" w:eastAsia="Arial" w:hAnsi="Arial"/>
          <w:sz w:val="18"/>
          <w:szCs w:val="18"/>
          <w:color w:val="auto"/>
        </w:rPr>
        <w:t>The letter evidencing the December 2017 phantom unit grant awarded to Mr. Goebel provides that in the event of his death or disability, all of his then outstanding phantom units awarded under such grant will be deemed nonforfeitable and will vest on the next following distribution date (and any associated DERs shall not be forfeited but shall vest, be payable and expire according to the terms of the phantom unit grant letter).</w:t>
      </w:r>
    </w:p>
    <w:p>
      <w:pPr>
        <w:ind w:left="1620" w:right="519"/>
        <w:spacing w:after="0" w:line="276" w:lineRule="auto"/>
        <w:rPr>
          <w:rFonts w:ascii="Arial" w:cs="Arial" w:eastAsia="Arial" w:hAnsi="Arial"/>
          <w:sz w:val="27"/>
          <w:szCs w:val="27"/>
          <w:color w:val="auto"/>
          <w:vertAlign w:val="superscript"/>
        </w:rPr>
      </w:pPr>
      <w:r>
        <w:rPr>
          <w:rFonts w:ascii="Arial" w:cs="Arial" w:eastAsia="Arial" w:hAnsi="Arial"/>
          <w:sz w:val="18"/>
          <w:szCs w:val="18"/>
          <w:color w:val="auto"/>
        </w:rPr>
        <w:t>The letters evidencing the November 2019 phantom unit grants awarded to Messrs. Chandler and Goebel, as amended, provide that in the event of their death or disability after the second anniversary of the date of grant, all of their then outstanding phantom units awarded under such</w:t>
      </w: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39"/>
        <w:spacing w:after="0" w:line="255" w:lineRule="auto"/>
        <w:rPr>
          <w:sz w:val="20"/>
          <w:szCs w:val="20"/>
          <w:color w:val="auto"/>
        </w:rPr>
      </w:pPr>
      <w:r>
        <w:rPr>
          <w:rFonts w:ascii="Arial" w:cs="Arial" w:eastAsia="Arial" w:hAnsi="Arial"/>
          <w:sz w:val="18"/>
          <w:szCs w:val="18"/>
          <w:color w:val="auto"/>
        </w:rPr>
        <w:t>grants and associated DERs will be deemed nonforfeitable, and will vest on the next distribution date (assuming a TSR payout percentage of 100% with respect to the performance-based portion of the award).</w:t>
      </w:r>
    </w:p>
    <w:p>
      <w:pPr>
        <w:spacing w:after="0" w:line="2" w:lineRule="exact"/>
        <w:rPr>
          <w:sz w:val="20"/>
          <w:szCs w:val="20"/>
          <w:color w:val="auto"/>
        </w:rPr>
      </w:pPr>
    </w:p>
    <w:p>
      <w:pPr>
        <w:ind w:left="1620" w:right="879"/>
        <w:spacing w:after="0" w:line="255" w:lineRule="auto"/>
        <w:rPr>
          <w:sz w:val="20"/>
          <w:szCs w:val="20"/>
          <w:color w:val="auto"/>
        </w:rPr>
      </w:pPr>
      <w:r>
        <w:rPr>
          <w:rFonts w:ascii="Arial" w:cs="Arial" w:eastAsia="Arial" w:hAnsi="Arial"/>
          <w:sz w:val="18"/>
          <w:szCs w:val="18"/>
          <w:color w:val="auto"/>
        </w:rPr>
        <w:t>For these purposes, “disability” means a physical or mental infirmity that impairs the ability substantially to perform duties for a period of eighteen (18) months or that the general partner otherwise determines constitutes a disability.</w:t>
      </w:r>
    </w:p>
    <w:p>
      <w:pPr>
        <w:spacing w:after="0" w:line="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Assuming death or disability occurred on December 31, 2022, (A) all of the phantom units and</w:t>
      </w:r>
    </w:p>
    <w:p>
      <w:pPr>
        <w:spacing w:after="0" w:line="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associated DERs held by Messrs. Chiang, Swanson, McGee, Chandler and Goebel pursuant to</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their August 2019, August 2020 and August 2021 grant letters, all of the phantom units and</w:t>
      </w:r>
    </w:p>
    <w:p>
      <w:pPr>
        <w:ind w:left="1620"/>
        <w:spacing w:after="0" w:line="234" w:lineRule="auto"/>
        <w:rPr>
          <w:sz w:val="20"/>
          <w:szCs w:val="20"/>
          <w:color w:val="auto"/>
        </w:rPr>
      </w:pPr>
      <w:r>
        <w:rPr>
          <w:rFonts w:ascii="Arial" w:cs="Arial" w:eastAsia="Arial" w:hAnsi="Arial"/>
          <w:sz w:val="18"/>
          <w:szCs w:val="18"/>
          <w:color w:val="auto"/>
        </w:rPr>
        <w:t>associated DERs held by Mr. Chiang pursuant to his August 2018 grant letter, all of the</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phantom units and associated DERs held by Mr. Goebel pursuant to his 2017 grant letter, and all of</w:t>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phantom units and associated DERs held by Messrs. Chandler and Goebel pursuant to their</w:t>
      </w:r>
    </w:p>
    <w:p>
      <w:pPr>
        <w:ind w:left="1620"/>
        <w:spacing w:after="0" w:line="234" w:lineRule="auto"/>
        <w:rPr>
          <w:sz w:val="20"/>
          <w:szCs w:val="20"/>
          <w:color w:val="auto"/>
        </w:rPr>
      </w:pPr>
      <w:r>
        <w:rPr>
          <w:rFonts w:ascii="Arial" w:cs="Arial" w:eastAsia="Arial" w:hAnsi="Arial"/>
          <w:sz w:val="18"/>
          <w:szCs w:val="18"/>
          <w:color w:val="auto"/>
        </w:rPr>
        <w:t>November 2019 grant letters would have become nonforfeitable as of such date and would have</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vested on the February 2023 distribution date, and (B) all of the phantom units and associated</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DERs held by Messrs. Chiang, Swanson, McGee, Chandler and Goebel pursuant to their</w:t>
      </w:r>
    </w:p>
    <w:p>
      <w:pPr>
        <w:ind w:left="1620"/>
        <w:spacing w:after="0"/>
        <w:rPr>
          <w:sz w:val="20"/>
          <w:szCs w:val="20"/>
          <w:color w:val="auto"/>
        </w:rPr>
      </w:pPr>
      <w:r>
        <w:rPr>
          <w:rFonts w:ascii="Arial" w:cs="Arial" w:eastAsia="Arial" w:hAnsi="Arial"/>
          <w:sz w:val="17"/>
          <w:szCs w:val="17"/>
          <w:color w:val="auto"/>
        </w:rPr>
        <w:t>August 2022 grant letters would have been forfeited. The dollar value given is based on the market</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value of PAA’s common units on December 30, 2022 ($11.76 per unit).</w:t>
      </w:r>
    </w:p>
    <w:p>
      <w:pPr>
        <w:spacing w:after="0" w:line="59" w:lineRule="exact"/>
        <w:rPr>
          <w:sz w:val="20"/>
          <w:szCs w:val="20"/>
          <w:color w:val="auto"/>
        </w:rPr>
      </w:pPr>
    </w:p>
    <w:p>
      <w:pPr>
        <w:ind w:left="1620" w:right="499" w:hanging="360"/>
        <w:spacing w:after="0" w:line="232"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Other than as described below, pursuant to the grant letters for the currently outstanding phantom unit grants awarded to the NEOs, if GP LLC terminated their employment other than for cause (as defined in footnote 3 below), all of their unvested phantom units awarded under such grants and associated DERs shall be deemed nonforfeitable on the date of such termination and shall vest on the next following distribution date.</w:t>
      </w:r>
    </w:p>
    <w:p>
      <w:pPr>
        <w:spacing w:after="0" w:line="20" w:lineRule="exact"/>
        <w:rPr>
          <w:rFonts w:ascii="Arial" w:cs="Arial" w:eastAsia="Arial" w:hAnsi="Arial"/>
          <w:sz w:val="27"/>
          <w:szCs w:val="27"/>
          <w:color w:val="auto"/>
          <w:vertAlign w:val="superscript"/>
        </w:rPr>
      </w:pPr>
    </w:p>
    <w:p>
      <w:pPr>
        <w:ind w:left="1620" w:right="459"/>
        <w:spacing w:after="0" w:line="245" w:lineRule="auto"/>
        <w:rPr>
          <w:rFonts w:ascii="Arial" w:cs="Arial" w:eastAsia="Arial" w:hAnsi="Arial"/>
          <w:sz w:val="27"/>
          <w:szCs w:val="27"/>
          <w:color w:val="auto"/>
          <w:vertAlign w:val="superscript"/>
        </w:rPr>
      </w:pPr>
      <w:r>
        <w:rPr>
          <w:rFonts w:ascii="Arial" w:cs="Arial" w:eastAsia="Arial" w:hAnsi="Arial"/>
          <w:sz w:val="18"/>
          <w:szCs w:val="18"/>
          <w:color w:val="auto"/>
        </w:rPr>
        <w:t>The phantom units granted to Messrs. Chandler and Goebel in November 2019, as amended, provide that if their employment is terminated other than for cause (as defined in footnote 3 below), a portion of the unvested phantom units will be deemed nonforfeitable and will vest on the next following distribution date, with the size of the portion starting at 40% for a termination prior to November 21, 2022, and increasing by 20% per year thereafter such that 100% of the unvested phantom units would be deemed nonforfeitable following a termination other than for cause on or after November 21, 2024.</w:t>
      </w:r>
    </w:p>
    <w:p>
      <w:pPr>
        <w:spacing w:after="0" w:line="5" w:lineRule="exact"/>
        <w:rPr>
          <w:rFonts w:ascii="Arial" w:cs="Arial" w:eastAsia="Arial" w:hAnsi="Arial"/>
          <w:sz w:val="27"/>
          <w:szCs w:val="27"/>
          <w:color w:val="auto"/>
          <w:vertAlign w:val="superscript"/>
        </w:rPr>
      </w:pPr>
    </w:p>
    <w:p>
      <w:pPr>
        <w:ind w:left="1620" w:right="659"/>
        <w:spacing w:after="0" w:line="244" w:lineRule="auto"/>
        <w:rPr>
          <w:rFonts w:ascii="Arial" w:cs="Arial" w:eastAsia="Arial" w:hAnsi="Arial"/>
          <w:sz w:val="27"/>
          <w:szCs w:val="27"/>
          <w:color w:val="auto"/>
          <w:vertAlign w:val="superscript"/>
        </w:rPr>
      </w:pPr>
      <w:r>
        <w:rPr>
          <w:rFonts w:ascii="Arial" w:cs="Arial" w:eastAsia="Arial" w:hAnsi="Arial"/>
          <w:sz w:val="18"/>
          <w:szCs w:val="18"/>
          <w:color w:val="auto"/>
        </w:rPr>
        <w:t>The phantom units granted to Messrs. Chiang, Swanson, McGee, Chandler and Goebel in August 2020, August 2021 and August 2022 provide that if their employment is terminated other than for cause prior to the first anniversary of the applicable date of grant, all of their unvested phantom units will be forfeited as of the date of such termination. If such termination occurs after the first anniversary of the applicable date of grant, a pro rata portion of the unvested phantom units (based on the portion of the three-year vesting period that has elapsed since the grant date and assuming a payout at target for any performance-based phantom units) will be deemed nonforfeitable and will vest on the next following distribution date.</w:t>
      </w:r>
    </w:p>
    <w:p>
      <w:pPr>
        <w:spacing w:after="0" w:line="4" w:lineRule="exact"/>
        <w:rPr>
          <w:rFonts w:ascii="Arial" w:cs="Arial" w:eastAsia="Arial" w:hAnsi="Arial"/>
          <w:sz w:val="27"/>
          <w:szCs w:val="27"/>
          <w:color w:val="auto"/>
          <w:vertAlign w:val="superscript"/>
        </w:rPr>
      </w:pPr>
    </w:p>
    <w:p>
      <w:pPr>
        <w:ind w:left="1620" w:right="619"/>
        <w:spacing w:after="0" w:line="246" w:lineRule="auto"/>
        <w:rPr>
          <w:rFonts w:ascii="Arial" w:cs="Arial" w:eastAsia="Arial" w:hAnsi="Arial"/>
          <w:sz w:val="27"/>
          <w:szCs w:val="27"/>
          <w:color w:val="auto"/>
          <w:vertAlign w:val="superscript"/>
        </w:rPr>
      </w:pPr>
      <w:r>
        <w:rPr>
          <w:rFonts w:ascii="Arial" w:cs="Arial" w:eastAsia="Arial" w:hAnsi="Arial"/>
          <w:sz w:val="18"/>
          <w:szCs w:val="18"/>
          <w:color w:val="auto"/>
        </w:rPr>
        <w:t>Mr. Chiang’s August 2018 phantom unit grant provides that if his employment is terminated other than for cause (as defined in footnote 3 below) a portion of the unvested phantom units will be deemed nonforfeitable and will vest on the next following distribution date, with the size of the portion starting at 20% for a termination prior to October 1, 2019, and increasing to 40% for a termination other than for cause between October 1, 2019 and October 1, 2020, 60% for a termination other than for cause between October 1, 2020 and October 1, 2021 and 100% for a termination other than for cause on or after October 1, 2021.</w:t>
      </w:r>
    </w:p>
    <w:p>
      <w:pPr>
        <w:spacing w:after="0" w:line="13" w:lineRule="exact"/>
        <w:rPr>
          <w:rFonts w:ascii="Arial" w:cs="Arial" w:eastAsia="Arial" w:hAnsi="Arial"/>
          <w:sz w:val="27"/>
          <w:szCs w:val="27"/>
          <w:color w:val="auto"/>
          <w:vertAlign w:val="superscript"/>
        </w:rPr>
      </w:pPr>
    </w:p>
    <w:p>
      <w:pPr>
        <w:ind w:left="1620"/>
        <w:spacing w:after="0"/>
        <w:rPr>
          <w:rFonts w:ascii="Arial" w:cs="Arial" w:eastAsia="Arial" w:hAnsi="Arial"/>
          <w:sz w:val="27"/>
          <w:szCs w:val="27"/>
          <w:color w:val="auto"/>
          <w:vertAlign w:val="superscript"/>
        </w:rPr>
      </w:pPr>
      <w:r>
        <w:rPr>
          <w:rFonts w:ascii="Arial" w:cs="Arial" w:eastAsia="Arial" w:hAnsi="Arial"/>
          <w:sz w:val="18"/>
          <w:szCs w:val="18"/>
          <w:color w:val="auto"/>
        </w:rPr>
        <w:t>Assuming our Named Executive Officers were terminated without cause on December 31, 2022,</w:t>
      </w:r>
    </w:p>
    <w:p>
      <w:pPr>
        <w:spacing w:after="0" w:line="13" w:lineRule="exact"/>
        <w:rPr>
          <w:rFonts w:ascii="Arial" w:cs="Arial" w:eastAsia="Arial" w:hAnsi="Arial"/>
          <w:sz w:val="27"/>
          <w:szCs w:val="27"/>
          <w:color w:val="auto"/>
          <w:vertAlign w:val="superscript"/>
        </w:rPr>
      </w:pPr>
    </w:p>
    <w:p>
      <w:pPr>
        <w:ind w:left="1620" w:right="439"/>
        <w:spacing w:after="0" w:line="241" w:lineRule="auto"/>
        <w:tabs>
          <w:tab w:leader="none" w:pos="182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of the phantom units covered by the August 2019 phantom unit grants held by Messrs. Chiang, Swanson, McGee, Chandler and Goebel, approximately 79% of the phantom units covered by the August 2020 phantom unit grants held by Messrs. Chiang, Swanson, McGee, Chandler and Goebel, all of the phantom units covered by the December 2017 phantom unit grant held by Mr. Goebel, 46% of the phantom units covered by the August 2021 phantom unit grants held by Messrs. Chiang, Swanson, McGee, Chandler and Goebel, 60% of the phantom units covered by the November 2019 phantom unit grants held by Messrs. Chandler and Goebel and 100% of the phantom units covered by the August 2018 phantom unit grant held by Mr. Chiang would have vested on the February 2023 distribution date, and (ii) all remaining phantom units held by our Named</w:t>
      </w: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79"/>
        <w:spacing w:after="0" w:line="268" w:lineRule="auto"/>
        <w:rPr>
          <w:sz w:val="20"/>
          <w:szCs w:val="20"/>
          <w:color w:val="auto"/>
        </w:rPr>
      </w:pPr>
      <w:r>
        <w:rPr>
          <w:rFonts w:ascii="Arial" w:cs="Arial" w:eastAsia="Arial" w:hAnsi="Arial"/>
          <w:sz w:val="18"/>
          <w:szCs w:val="18"/>
          <w:color w:val="auto"/>
        </w:rPr>
        <w:t>Executive Officers would have become automatically forfeited as of such date of termination. The dollar value given is based on the market value of PAA’s common units on December 30, 2022 ($11.76 per unit).</w:t>
      </w:r>
    </w:p>
    <w:p>
      <w:pPr>
        <w:spacing w:after="0" w:line="36" w:lineRule="exact"/>
        <w:rPr>
          <w:sz w:val="20"/>
          <w:szCs w:val="20"/>
          <w:color w:val="auto"/>
        </w:rPr>
      </w:pPr>
    </w:p>
    <w:p>
      <w:pPr>
        <w:ind w:left="1620" w:right="459" w:hanging="360"/>
        <w:spacing w:after="0"/>
        <w:tabs>
          <w:tab w:leader="none" w:pos="162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The letters evidencing phantom unit grants awarded to the Named Executive Officers provide that in the event of a change in status (as defined below), all of the then outstanding phantom units awarded under such grants and associated DERs will be deemed nonforfeitable, and such phantom units will vest in full (i.e., the phantom units will become payable in the form of one common unit per phantom unit) upon the next following distribution date. Assuming that a change in status occurred on December 31, 2022, all outstanding phantom units awarded under such grants and the associated DERs would have become nonforfeitable as of December 31, 2022, and such phantom units would vest on the February 2023 distribution date. The dollar value given is based on the market value of PAA’s common units on December 30, 2022 ($11.76 per unit).</w:t>
      </w:r>
    </w:p>
    <w:p>
      <w:pPr>
        <w:spacing w:after="0" w:line="4" w:lineRule="exact"/>
        <w:rPr>
          <w:rFonts w:ascii="Arial" w:cs="Arial" w:eastAsia="Arial" w:hAnsi="Arial"/>
          <w:sz w:val="27"/>
          <w:szCs w:val="27"/>
          <w:color w:val="auto"/>
          <w:vertAlign w:val="superscript"/>
        </w:rPr>
      </w:pPr>
    </w:p>
    <w:p>
      <w:pPr>
        <w:ind w:left="1620" w:right="419"/>
        <w:spacing w:after="0" w:line="254" w:lineRule="auto"/>
        <w:rPr>
          <w:rFonts w:ascii="Arial" w:cs="Arial" w:eastAsia="Arial" w:hAnsi="Arial"/>
          <w:sz w:val="27"/>
          <w:szCs w:val="27"/>
          <w:color w:val="auto"/>
          <w:vertAlign w:val="superscript"/>
        </w:rPr>
      </w:pPr>
      <w:r>
        <w:rPr>
          <w:rFonts w:ascii="Arial" w:cs="Arial" w:eastAsia="Arial" w:hAnsi="Arial"/>
          <w:sz w:val="18"/>
          <w:szCs w:val="18"/>
          <w:color w:val="auto"/>
        </w:rPr>
        <w:t>The phrase “change in status” means, with respect to a Named Executive Officer, (A) during the period (“protected period”) beginning two and a half months prior to and ending one year following a change of control (as defined below), the termination of employment by GP LLC other than a termination for cause (as defined below), (B) during the protected period,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applicable grant letter by GP LLC, or (C) the termination of employment as a result of retirement on terms and timing that are approved by the CEO (or the Board in the case of the CEO).</w:t>
      </w:r>
    </w:p>
    <w:p>
      <w:pPr>
        <w:spacing w:after="0" w:line="10" w:lineRule="exact"/>
        <w:rPr>
          <w:sz w:val="20"/>
          <w:szCs w:val="20"/>
          <w:color w:val="auto"/>
        </w:rPr>
      </w:pPr>
    </w:p>
    <w:p>
      <w:pPr>
        <w:ind w:left="1620" w:right="499"/>
        <w:spacing w:after="0" w:line="252" w:lineRule="auto"/>
        <w:rPr>
          <w:sz w:val="20"/>
          <w:szCs w:val="20"/>
          <w:color w:val="auto"/>
        </w:rPr>
      </w:pPr>
      <w:r>
        <w:rPr>
          <w:rFonts w:ascii="Arial" w:cs="Arial" w:eastAsia="Arial" w:hAnsi="Arial"/>
          <w:sz w:val="18"/>
          <w:szCs w:val="18"/>
          <w:color w:val="auto"/>
        </w:rPr>
        <w:t xml:space="preserve">The phrase “change of control” is defined in phantom unit grants awarded in 2017 to mean, and is deemed to have occurred upon the occurrence of, one or more of the following events: (i) the Persons who owned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8"/>
          <w:szCs w:val="18"/>
          <w:i w:val="1"/>
          <w:iCs w:val="1"/>
          <w:color w:val="auto"/>
        </w:rPr>
        <w:t>and</w:t>
      </w:r>
      <w:r>
        <w:rPr>
          <w:rFonts w:ascii="Arial" w:cs="Arial" w:eastAsia="Arial" w:hAnsi="Arial"/>
          <w:sz w:val="18"/>
          <w:szCs w:val="18"/>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spacing w:after="0" w:line="19" w:lineRule="exact"/>
        <w:rPr>
          <w:sz w:val="20"/>
          <w:szCs w:val="20"/>
          <w:color w:val="auto"/>
        </w:rPr>
      </w:pPr>
    </w:p>
    <w:p>
      <w:pPr>
        <w:ind w:left="1620" w:right="479"/>
        <w:spacing w:after="0" w:line="252" w:lineRule="auto"/>
        <w:rPr>
          <w:sz w:val="20"/>
          <w:szCs w:val="20"/>
          <w:color w:val="auto"/>
        </w:rPr>
      </w:pPr>
      <w:r>
        <w:rPr>
          <w:rFonts w:ascii="Arial" w:cs="Arial" w:eastAsia="Arial" w:hAnsi="Arial"/>
          <w:sz w:val="18"/>
          <w:szCs w:val="18"/>
          <w:color w:val="auto"/>
        </w:rPr>
        <w:t>The phrase “change of control” is defined in the outstanding phantom unit grants awarded in 2018, 2019, 2020, 2021, 2022 to mean, and is deemed to have occurred upon the occurrence of, one or more of the following events: (i) any Person (other than PAGP and any affiliate of PAGP that is controlled by PAGP) becomes the beneficial owner, directly or indirectly (in one transaction or a series of related transactions and whether by merger or otherwise), of 50% or more of the membership interest in PAGP GP; (ii) any Person (other than PAGP GP, PAGP or any affiliate of PAGP that is controlled by PAGP) acquires (in one transaction or a series of related transactions and whether by merger or otherwise) direct or indirect control of the general partner interest of PAGP; (iii) PAGP ceases to retain direct or indirect control (in one transaction or a series of related transactions and whether by merger or otherwise) of the general partner of PAA; or (iv) the consummation of a reorganization, merger or consolidation with, or any direct or indirect sale, lease, exchange or other transfer (in one transaction or a series of related transactions) of all or substantially all of the assets of PAA to, one or more Persons (other than PAGP or any affiliates of PAGP that are controlled by PAGP). As used in this definition, “Person” shall include any “partnership, limited partnership, syndicate or other group” constituting a “person” within the meaning of such terms pursuant to Sections 13(d) and 14(d) of the Securities Exchange Act of 1934, as amended (the “Exchange Act”).</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59"/>
        <w:spacing w:after="0" w:line="245" w:lineRule="auto"/>
        <w:rPr>
          <w:sz w:val="20"/>
          <w:szCs w:val="20"/>
          <w:color w:val="auto"/>
        </w:rPr>
      </w:pPr>
      <w:r>
        <w:rPr>
          <w:rFonts w:ascii="Arial" w:cs="Arial" w:eastAsia="Arial" w:hAnsi="Arial"/>
          <w:sz w:val="18"/>
          <w:szCs w:val="18"/>
          <w:color w:val="auto"/>
        </w:rPr>
        <w:t>“Cause” is defined in the 2017, 2018, 2019, 2020, 2021 and 2022 phantom unit grant agreements as (i) failure to perform the duties and responsibilities of a position at an acceptable level as reasonably determined in good faith by the CEO of GP LLC (or by the Board in the case of the CEO), (ii) the conviction of or guilty plea to the committing of an act or acts constituting a felony under the laws of the United States or any state thereof (or Canada or any province thereof) or any misdemeanor involving moral turpitude, or (iii) violation of GP LLC’s Code of Business Conduct (unless waived in accordance with the terms thereof), in the case of clauses (i) and (iii) with the specific failure or violation described in writing.</w:t>
      </w:r>
    </w:p>
    <w:p>
      <w:pPr>
        <w:spacing w:after="0" w:line="38" w:lineRule="exact"/>
        <w:rPr>
          <w:sz w:val="20"/>
          <w:szCs w:val="20"/>
          <w:color w:val="auto"/>
        </w:rPr>
      </w:pPr>
    </w:p>
    <w:p>
      <w:pPr>
        <w:jc w:val="both"/>
        <w:ind w:left="1620" w:right="479" w:hanging="360"/>
        <w:spacing w:after="0" w:line="218" w:lineRule="auto"/>
        <w:tabs>
          <w:tab w:leader="none" w:pos="1620" w:val="left"/>
        </w:tabs>
        <w:numPr>
          <w:ilvl w:val="0"/>
          <w:numId w:val="64"/>
        </w:numPr>
        <w:rPr>
          <w:rFonts w:ascii="Arial" w:cs="Arial" w:eastAsia="Arial" w:hAnsi="Arial"/>
          <w:sz w:val="26"/>
          <w:szCs w:val="26"/>
          <w:color w:val="auto"/>
          <w:vertAlign w:val="superscript"/>
        </w:rPr>
      </w:pPr>
      <w:r>
        <w:rPr>
          <w:rFonts w:ascii="Arial" w:cs="Arial" w:eastAsia="Arial" w:hAnsi="Arial"/>
          <w:sz w:val="17"/>
          <w:szCs w:val="17"/>
          <w:color w:val="auto"/>
        </w:rPr>
        <w:t>Mr. Pefanis’ employment agreement provides that if (i) his employment is terminated as a result of his death, (ii) he terminates his employment (a) because of a disability (as defined in Section 409A</w:t>
      </w:r>
    </w:p>
    <w:p>
      <w:pPr>
        <w:spacing w:after="0" w:line="1" w:lineRule="exact"/>
        <w:rPr>
          <w:sz w:val="20"/>
          <w:szCs w:val="20"/>
          <w:color w:val="auto"/>
        </w:rPr>
      </w:pPr>
    </w:p>
    <w:p>
      <w:pPr>
        <w:ind w:left="1620" w:right="559"/>
        <w:spacing w:after="0" w:line="265" w:lineRule="auto"/>
        <w:rPr>
          <w:sz w:val="20"/>
          <w:szCs w:val="20"/>
          <w:color w:val="auto"/>
        </w:rPr>
      </w:pPr>
      <w:r>
        <w:rPr>
          <w:rFonts w:ascii="Arial" w:cs="Arial" w:eastAsia="Arial" w:hAnsi="Arial"/>
          <w:sz w:val="17"/>
          <w:szCs w:val="17"/>
          <w:color w:val="auto"/>
        </w:rPr>
        <w:t>of the Code) or (b) for good reason (as defined below), or (iii) GP LLC terminates his employment without cause (as defined below), he is entitled to a lump-sum amount equal to the product of (1) the sum of his (a) highest annual base salary paid prior to his date of termination and</w:t>
      </w:r>
    </w:p>
    <w:p>
      <w:pPr>
        <w:ind w:left="1620" w:right="499"/>
        <w:spacing w:after="0" w:line="254" w:lineRule="auto"/>
        <w:tabs>
          <w:tab w:leader="none" w:pos="18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highest annual bonus paid or payable for any of the three years prior to the date of termination, and (2) the lesser of (i) two or (ii) the number of days remaining in the term of his employment agreement divided by 360. The amount provided in the table assumes a termination date of December 31, 2022 with two years remaining on the term of his agreement, and also assumes a highest annual base salary of $600,000 and highest annual bonus of $2,105,000.</w:t>
      </w:r>
    </w:p>
    <w:p>
      <w:pPr>
        <w:spacing w:after="0" w:line="7" w:lineRule="exact"/>
        <w:rPr>
          <w:sz w:val="20"/>
          <w:szCs w:val="20"/>
          <w:color w:val="auto"/>
        </w:rPr>
      </w:pPr>
    </w:p>
    <w:p>
      <w:pPr>
        <w:ind w:left="1620" w:right="439"/>
        <w:spacing w:after="0" w:line="256" w:lineRule="auto"/>
        <w:rPr>
          <w:sz w:val="20"/>
          <w:szCs w:val="20"/>
          <w:color w:val="auto"/>
        </w:rPr>
      </w:pPr>
      <w:r>
        <w:rPr>
          <w:rFonts w:ascii="Arial" w:cs="Arial" w:eastAsia="Arial" w:hAnsi="Arial"/>
          <w:sz w:val="17"/>
          <w:szCs w:val="17"/>
          <w:color w:val="auto"/>
        </w:rPr>
        <w:t>Mr. Pefanis’ employment agreement defines “cause” as (i) willfully engaging in gross misconduct, or (ii) conviction of a felony involving moral turpitude. Notwithstanding, no act, or failure to act, on his part is “willful” unless done, or omitted to be done, not in good faith and without reasonable belief that such act or omission was in the best interest of GP LLC or otherwise likely to result in no material injury to GP LLC. However, Mr. Pefanis will not be deemed to have been terminated for cause unless and until there is delivered to him a copy of a resolution of the Board at a meeting held for that purpose (after reasonable notice and an opportunity to be heard), finding that</w:t>
      </w:r>
    </w:p>
    <w:p>
      <w:pPr>
        <w:spacing w:after="0" w:line="3" w:lineRule="exact"/>
        <w:rPr>
          <w:sz w:val="20"/>
          <w:szCs w:val="20"/>
          <w:color w:val="auto"/>
        </w:rPr>
      </w:pPr>
    </w:p>
    <w:p>
      <w:pPr>
        <w:ind w:left="1620" w:right="519"/>
        <w:spacing w:after="0" w:line="245" w:lineRule="auto"/>
        <w:rPr>
          <w:sz w:val="20"/>
          <w:szCs w:val="20"/>
          <w:color w:val="auto"/>
        </w:rPr>
      </w:pPr>
      <w:r>
        <w:rPr>
          <w:rFonts w:ascii="Arial" w:cs="Arial" w:eastAsia="Arial" w:hAnsi="Arial"/>
          <w:sz w:val="18"/>
          <w:szCs w:val="18"/>
          <w:color w:val="auto"/>
        </w:rPr>
        <w:t>Mr. Pefanis was guilty of the conduct described above, and specifying the basis for that finding. If Mr. Pefanis were terminated for cause, GP LLC would be obligated to pay base salary through the date of termination, with no other payment obligations triggered by the termination under the employment agreement or other employment arrangement.</w:t>
      </w:r>
    </w:p>
    <w:p>
      <w:pPr>
        <w:spacing w:after="0" w:line="1" w:lineRule="exact"/>
        <w:rPr>
          <w:sz w:val="20"/>
          <w:szCs w:val="20"/>
          <w:color w:val="auto"/>
        </w:rPr>
      </w:pPr>
    </w:p>
    <w:p>
      <w:pPr>
        <w:ind w:left="1620" w:right="459"/>
        <w:spacing w:after="0" w:line="269" w:lineRule="auto"/>
        <w:rPr>
          <w:sz w:val="20"/>
          <w:szCs w:val="20"/>
          <w:color w:val="auto"/>
        </w:rPr>
      </w:pPr>
      <w:r>
        <w:rPr>
          <w:rFonts w:ascii="Arial" w:cs="Arial" w:eastAsia="Arial" w:hAnsi="Arial"/>
          <w:sz w:val="17"/>
          <w:szCs w:val="17"/>
          <w:color w:val="auto"/>
        </w:rPr>
        <w:t>Mr. Pefanis’ employment agreement defines “good reason” as the occurrence of any of the following circumstances: (i) removal by GP LLC from, or failure to re-elect him to, the position to which Mr. Pefanis was appointed pursuant to his employment agreement, except in connection with his termination for cause (as defined above); (ii) (a) a reduction in his rate of base salary (other than in connection with across-the-board salary reductions for all executive officers of GP LLC) to an amount which is less than 85% of his current base salary, (b) a material reduction in his fringe benefits, or (c) any other material failure by GP LLC to comply with its obligations under the employment agreement to pay his annual salary and bonus, reimburse his business expenses, provide for his participation in certain employee benefit plans and arrangements, furnish him with suitable office space and support staff, or allow him no less than 15 business days of paid vacation annually; or (ii) the failure of GP LLC to obtain the express assumption of the employment agreement by a successor entity (whether direct or indirect, by purchase, merger, consolidation or otherwise) to all or substantially all of the business and/or assets of GP LLC.</w:t>
      </w:r>
    </w:p>
    <w:p>
      <w:pPr>
        <w:spacing w:after="0" w:line="41" w:lineRule="exact"/>
        <w:rPr>
          <w:sz w:val="20"/>
          <w:szCs w:val="20"/>
          <w:color w:val="auto"/>
        </w:rPr>
      </w:pPr>
    </w:p>
    <w:p>
      <w:pPr>
        <w:ind w:left="1620" w:right="559" w:hanging="360"/>
        <w:spacing w:after="0" w:line="237" w:lineRule="auto"/>
        <w:tabs>
          <w:tab w:leader="none" w:pos="1620" w:val="left"/>
        </w:tabs>
        <w:numPr>
          <w:ilvl w:val="0"/>
          <w:numId w:val="66"/>
        </w:numPr>
        <w:rPr>
          <w:rFonts w:ascii="Arial" w:cs="Arial" w:eastAsia="Arial" w:hAnsi="Arial"/>
          <w:sz w:val="27"/>
          <w:szCs w:val="27"/>
          <w:color w:val="auto"/>
          <w:vertAlign w:val="superscript"/>
        </w:rPr>
      </w:pPr>
      <w:r>
        <w:rPr>
          <w:rFonts w:ascii="Arial" w:cs="Arial" w:eastAsia="Arial" w:hAnsi="Arial"/>
          <w:sz w:val="18"/>
          <w:szCs w:val="18"/>
          <w:color w:val="auto"/>
        </w:rPr>
        <w:t>Pursuant to his employment agreement, if Mr. Pefanis terminates his employment with GP LLC within three months of a Change in Control (as defined below), he is entitled to a lump-sum payment in an amount equal to the product of (i) three and (ii) the sum of (a) his highest annual base salary previously paid to him and (b) his highest annual bonus paid or payable for any of the three years prior to the date of such termination. The amount provided in the table assumes a Change in Control and termination date of December 31, 2022, and also assumes a highest annual base salary of $600,000 and highest annual bonus of $2,105,000.</w:t>
      </w:r>
    </w:p>
    <w:p>
      <w:pPr>
        <w:spacing w:after="0" w:line="6" w:lineRule="exact"/>
        <w:rPr>
          <w:rFonts w:ascii="Arial" w:cs="Arial" w:eastAsia="Arial" w:hAnsi="Arial"/>
          <w:sz w:val="27"/>
          <w:szCs w:val="27"/>
          <w:color w:val="auto"/>
          <w:vertAlign w:val="superscript"/>
        </w:rPr>
      </w:pPr>
    </w:p>
    <w:p>
      <w:pPr>
        <w:ind w:left="1620" w:right="559"/>
        <w:spacing w:after="0" w:line="257" w:lineRule="auto"/>
        <w:rPr>
          <w:rFonts w:ascii="Arial" w:cs="Arial" w:eastAsia="Arial" w:hAnsi="Arial"/>
          <w:sz w:val="27"/>
          <w:szCs w:val="27"/>
          <w:color w:val="auto"/>
          <w:vertAlign w:val="superscript"/>
        </w:rPr>
      </w:pPr>
      <w:r>
        <w:rPr>
          <w:rFonts w:ascii="Arial" w:cs="Arial" w:eastAsia="Arial" w:hAnsi="Arial"/>
          <w:sz w:val="18"/>
          <w:szCs w:val="18"/>
          <w:color w:val="auto"/>
        </w:rPr>
        <w:t>In conjunction with events occurring in 2005, 2010 and 2013, Mr. Pefanis executed various agreements waiving his right to terminate his employment and receive separation benefits under his employment agreement. In connection with such waivers, the definition of “Change in Control” in Mr. Pefanis’ employment agreement was modified to mean, and will be deemed to occur upon, one or more of the following events: (i) any person (other than PAGP or its wholly owned subsidiaries),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39"/>
        <w:spacing w:after="0" w:line="242" w:lineRule="auto"/>
        <w:rPr>
          <w:sz w:val="20"/>
          <w:szCs w:val="20"/>
          <w:color w:val="auto"/>
        </w:rPr>
      </w:pPr>
      <w:r>
        <w:rPr>
          <w:rFonts w:ascii="Arial" w:cs="Arial" w:eastAsia="Arial" w:hAnsi="Arial"/>
          <w:sz w:val="18"/>
          <w:szCs w:val="18"/>
          <w:color w:val="auto"/>
        </w:rPr>
        <w:t>including any partnership, limited partnership, syndicate or other group deemed a “person” for purposes of Section 13(d) or 14(d) of the Exchange Act becomes the beneficial owner, directly or indirectly, of 50% or more of the membership interest in GP LLC or 50% or more of the outstanding limited partnership interest of PAGP; (ii)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PAGP GP; (iii) PAGP ceases to beneficially own, directly or indirectly, more than 50% of the membership interest in GP LLC; (iv) the “Owner Affiliates”, as defined in the 2013 waiver agreement, cease to beneficially own, directly or indirectly, more than 50% of the membership interest in PAGP GP; or (v) 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49" w:lineRule="exact"/>
        <w:rPr>
          <w:sz w:val="20"/>
          <w:szCs w:val="20"/>
          <w:color w:val="auto"/>
        </w:rPr>
      </w:pPr>
    </w:p>
    <w:p>
      <w:pPr>
        <w:ind w:left="1620" w:right="419" w:hanging="360"/>
        <w:spacing w:after="0" w:line="238" w:lineRule="auto"/>
        <w:tabs>
          <w:tab w:leader="none" w:pos="1620" w:val="left"/>
        </w:tabs>
        <w:numPr>
          <w:ilvl w:val="0"/>
          <w:numId w:val="67"/>
        </w:numPr>
        <w:rPr>
          <w:rFonts w:ascii="Arial" w:cs="Arial" w:eastAsia="Arial" w:hAnsi="Arial"/>
          <w:sz w:val="27"/>
          <w:szCs w:val="27"/>
          <w:color w:val="auto"/>
          <w:vertAlign w:val="superscript"/>
        </w:rPr>
      </w:pPr>
      <w:r>
        <w:rPr>
          <w:rFonts w:ascii="Arial" w:cs="Arial" w:eastAsia="Arial" w:hAnsi="Arial"/>
          <w:sz w:val="18"/>
          <w:szCs w:val="18"/>
          <w:color w:val="auto"/>
        </w:rPr>
        <w:t>Pursuant to his employment agreement, if Mr. Pefanis is terminated other than (i) for cause (as defined in footnote 4 above), (ii) by reason of death or (iii) by resignation (unless such resignation is due to a disability or for good reason (each as defined in footnote 4 above)), then he is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2022 with two years remaining on the term of his agreement.</w:t>
      </w:r>
    </w:p>
    <w:p>
      <w:pPr>
        <w:spacing w:after="0" w:line="50" w:lineRule="exact"/>
        <w:rPr>
          <w:rFonts w:ascii="Arial" w:cs="Arial" w:eastAsia="Arial" w:hAnsi="Arial"/>
          <w:sz w:val="27"/>
          <w:szCs w:val="27"/>
          <w:color w:val="auto"/>
          <w:vertAlign w:val="superscript"/>
        </w:rPr>
      </w:pPr>
    </w:p>
    <w:p>
      <w:pPr>
        <w:jc w:val="both"/>
        <w:ind w:left="1620" w:right="519" w:hanging="360"/>
        <w:spacing w:after="0" w:line="222" w:lineRule="auto"/>
        <w:tabs>
          <w:tab w:leader="none" w:pos="1620" w:val="left"/>
        </w:tabs>
        <w:numPr>
          <w:ilvl w:val="0"/>
          <w:numId w:val="67"/>
        </w:numPr>
        <w:rPr>
          <w:rFonts w:ascii="Arial" w:cs="Arial" w:eastAsia="Arial" w:hAnsi="Arial"/>
          <w:sz w:val="27"/>
          <w:szCs w:val="27"/>
          <w:color w:val="auto"/>
          <w:vertAlign w:val="superscript"/>
        </w:rPr>
      </w:pPr>
      <w:r>
        <w:rPr>
          <w:rFonts w:ascii="Arial" w:cs="Arial" w:eastAsia="Arial" w:hAnsi="Arial"/>
          <w:sz w:val="18"/>
          <w:szCs w:val="18"/>
          <w:color w:val="auto"/>
        </w:rPr>
        <w:t>If Messrs. Chiang, Pefanis, Swanson, McGee, Chandler or Goebel were terminated for cause, GP LLC would be obligated to pay base salary through the date of termination, with no other payment obligation triggered by the termination under any employment arrangement.</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Mr. Chiang has agreed to maintain the confidentiality of certain information and not to solicit</w:t>
      </w:r>
    </w:p>
    <w:p>
      <w:pPr>
        <w:spacing w:after="0" w:line="27" w:lineRule="exact"/>
        <w:rPr>
          <w:sz w:val="20"/>
          <w:szCs w:val="20"/>
          <w:color w:val="auto"/>
        </w:rPr>
      </w:pPr>
    </w:p>
    <w:p>
      <w:pPr>
        <w:ind w:left="1260" w:right="659"/>
        <w:spacing w:after="0" w:line="242" w:lineRule="auto"/>
        <w:rPr>
          <w:sz w:val="20"/>
          <w:szCs w:val="20"/>
          <w:color w:val="auto"/>
        </w:rPr>
      </w:pPr>
      <w:r>
        <w:rPr>
          <w:rFonts w:ascii="Arial" w:cs="Arial" w:eastAsia="Arial" w:hAnsi="Arial"/>
          <w:sz w:val="18"/>
          <w:szCs w:val="18"/>
          <w:color w:val="auto"/>
        </w:rPr>
        <w:t>customers, assets and employees for two years following termination of his employment. Mr. Pefanis has agreed to maintain the confidentiality of PAA information for a period of one year following the termination of his employment. Messrs. McGee and Chandler have each agreed to maintain the confidentiality of certain information and not to solicit customers for a period of two years after termination of their employment.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Ratio Disclosure</w:t>
      </w:r>
    </w:p>
    <w:p>
      <w:pPr>
        <w:spacing w:after="0" w:line="15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Willie Chiang, our CEO during 2022:</w:t>
      </w:r>
    </w:p>
    <w:p>
      <w:pPr>
        <w:spacing w:after="0" w:line="62" w:lineRule="exact"/>
        <w:rPr>
          <w:sz w:val="20"/>
          <w:szCs w:val="20"/>
          <w:color w:val="auto"/>
        </w:rPr>
      </w:pPr>
    </w:p>
    <w:p>
      <w:pPr>
        <w:ind w:left="1800" w:hanging="180"/>
        <w:spacing w:after="0"/>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annual total compensation for Mr. Chiang for 2022 was approximately $8,296,000.</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annual total compensation for the median employee for 2022 was approximately $126,000.</w:t>
      </w:r>
    </w:p>
    <w:p>
      <w:pPr>
        <w:spacing w:after="0" w:line="103" w:lineRule="exact"/>
        <w:rPr>
          <w:rFonts w:ascii="Arial" w:cs="Arial" w:eastAsia="Arial" w:hAnsi="Arial"/>
          <w:sz w:val="18"/>
          <w:szCs w:val="18"/>
          <w:color w:val="auto"/>
        </w:rPr>
      </w:pPr>
    </w:p>
    <w:p>
      <w:pPr>
        <w:ind w:left="1800" w:right="759" w:hanging="180"/>
        <w:spacing w:after="0" w:line="287"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ratio of Mr. Chiang’s pay to the pay of our median employee for 2022 was approximately 65.8 to 1.</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PAA’s median employee was identified as of December 31, 2022 using the following methodology:</w:t>
      </w:r>
    </w:p>
    <w:p>
      <w:pPr>
        <w:spacing w:after="0" w:line="117" w:lineRule="exact"/>
        <w:rPr>
          <w:sz w:val="20"/>
          <w:szCs w:val="20"/>
          <w:color w:val="auto"/>
        </w:rPr>
      </w:pPr>
    </w:p>
    <w:p>
      <w:pPr>
        <w:ind w:left="1800" w:right="1079" w:hanging="180"/>
        <w:spacing w:after="0" w:line="28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list was prepared of all individuals, excluding the CEO, who were employed by PAA on December 31, 2022. We included all U.S. and Canadian employees.</w:t>
      </w:r>
    </w:p>
    <w:p>
      <w:pPr>
        <w:spacing w:after="0" w:line="44" w:lineRule="exact"/>
        <w:rPr>
          <w:rFonts w:ascii="Arial" w:cs="Arial" w:eastAsia="Arial" w:hAnsi="Arial"/>
          <w:sz w:val="18"/>
          <w:szCs w:val="18"/>
          <w:color w:val="auto"/>
        </w:rPr>
      </w:pPr>
    </w:p>
    <w:p>
      <w:pPr>
        <w:ind w:left="1800" w:right="499" w:hanging="180"/>
        <w:spacing w:after="0" w:line="291" w:lineRule="auto"/>
        <w:tabs>
          <w:tab w:leader="none" w:pos="18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Basic wage data for each U.S. employee was extracted from Form W-2 information provided to the Internal Revenue Service for calendar year 2022. Basic wage data for each Canadian employee was extracted from Form T4 information provided to the Canada Revenue Agency for</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1220"/>
        <w:spacing w:after="0" w:line="287" w:lineRule="auto"/>
        <w:rPr>
          <w:sz w:val="20"/>
          <w:szCs w:val="20"/>
          <w:color w:val="auto"/>
        </w:rPr>
      </w:pPr>
      <w:r>
        <w:rPr>
          <w:rFonts w:ascii="Arial" w:cs="Arial" w:eastAsia="Arial" w:hAnsi="Arial"/>
          <w:sz w:val="18"/>
          <w:szCs w:val="18"/>
          <w:color w:val="auto"/>
        </w:rPr>
        <w:t>calendar year 2022 and converted to U.S. dollars. This information was then sorted and the median employee was identified.</w:t>
      </w:r>
    </w:p>
    <w:p>
      <w:pPr>
        <w:spacing w:after="0" w:line="85" w:lineRule="exact"/>
        <w:rPr>
          <w:sz w:val="20"/>
          <w:szCs w:val="20"/>
          <w:color w:val="auto"/>
        </w:rPr>
      </w:pPr>
    </w:p>
    <w:p>
      <w:pPr>
        <w:ind w:left="1260" w:right="880" w:firstLine="360"/>
        <w:spacing w:after="0" w:line="268" w:lineRule="auto"/>
        <w:rPr>
          <w:sz w:val="20"/>
          <w:szCs w:val="20"/>
          <w:color w:val="auto"/>
        </w:rPr>
      </w:pPr>
      <w:r>
        <w:rPr>
          <w:rFonts w:ascii="Arial" w:cs="Arial" w:eastAsia="Arial" w:hAnsi="Arial"/>
          <w:sz w:val="18"/>
          <w:szCs w:val="18"/>
          <w:color w:val="auto"/>
        </w:rPr>
        <w:t>The median employee’s annual total compensation for 2022 was determined using the same methodology we used for determining the annual total compensation for the Named Executive Officers as set forth in the 2022 Summary Compensation Table.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Versus Performance</w:t>
      </w:r>
    </w:p>
    <w:p>
      <w:pPr>
        <w:spacing w:after="0" w:line="158" w:lineRule="exact"/>
        <w:rPr>
          <w:sz w:val="20"/>
          <w:szCs w:val="20"/>
          <w:color w:val="auto"/>
        </w:rPr>
      </w:pPr>
    </w:p>
    <w:p>
      <w:pPr>
        <w:ind w:left="1260" w:right="780" w:firstLine="360"/>
        <w:spacing w:after="0" w:line="253" w:lineRule="auto"/>
        <w:rPr>
          <w:sz w:val="20"/>
          <w:szCs w:val="20"/>
          <w:color w:val="auto"/>
        </w:rPr>
      </w:pPr>
      <w:r>
        <w:rPr>
          <w:rFonts w:ascii="Arial" w:cs="Arial" w:eastAsia="Arial" w:hAnsi="Arial"/>
          <w:sz w:val="18"/>
          <w:szCs w:val="18"/>
          <w:color w:val="auto"/>
        </w:rPr>
        <w:t>As required by Item 402(v) of Regulation S-K, we are providing the following information about the relationship between executive compensation actually paid (“CAP”) and PAA’s financial performance for the periods presented. The CAP dollar amounts shown in the table below have been calculated in accordance with SEC rules; however, meaningful amounts included as CAP (e.g., approximately two-thirds of CAP for our PEO in 2022) do not represent compensation actually paid or earned during the applicable years. This is due to the fact that CAP includes, in addition to base salary, bonus, the value of equity awards that vested during the year and DERs (“realized value”), the value of outstanding equity awards that could potentially vest in future years (“potentially realizable future value”). With respect to our principal executive officer (“PEO”) for 2022, ~34.5% of the ~$14.5 million of CAP (or ~$5 million) represents the “realized value” of amounts actually paid to or earned by our PEO and ~65.5% (or ~$9.5 million) represents “future potentially realizable value” of outstanding equity awards. With respect to our other NEOs (“Non-PEO NEOs”) for 2022, ~43% of the ~$8.1 million of average CAP (or ~$3.5 million) represents the “realized value” of amounts actually paid to or earned by our non-PEO NEOs and ~57% (or ~$4.6 million) represents “future potentially realizable value” of outstanding equity awards.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Tabular Disclosure of Compensation Actually Paid versus Performance</w:t>
      </w:r>
    </w:p>
    <w:p>
      <w:pPr>
        <w:spacing w:after="0" w:line="142" w:lineRule="exact"/>
        <w:rPr>
          <w:sz w:val="20"/>
          <w:szCs w:val="20"/>
          <w:color w:val="auto"/>
        </w:rPr>
      </w:pPr>
    </w:p>
    <w:p>
      <w:pPr>
        <w:ind w:left="1260" w:right="1040" w:firstLine="360"/>
        <w:spacing w:after="0" w:line="259" w:lineRule="auto"/>
        <w:rPr>
          <w:sz w:val="20"/>
          <w:szCs w:val="20"/>
          <w:color w:val="auto"/>
        </w:rPr>
      </w:pPr>
      <w:r>
        <w:rPr>
          <w:rFonts w:ascii="Arial" w:cs="Arial" w:eastAsia="Arial" w:hAnsi="Arial"/>
          <w:sz w:val="18"/>
          <w:szCs w:val="18"/>
          <w:color w:val="auto"/>
        </w:rPr>
        <w:t>The following table discloses information on CAP to our PEO and, on average, to our Non-PEO NEOs during the specified years alongside TSR, net income, and the Company-selected measure of Adjusted EBITDA Attributable to PAA. Adjusted EBITDA Attributable to PAA was identified by the Company as the most important financial performance measure used to link CAP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6483350</wp:posOffset>
            </wp:positionH>
            <wp:positionV relativeFrom="paragraph">
              <wp:posOffset>125730</wp:posOffset>
            </wp:positionV>
            <wp:extent cx="82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125730</wp:posOffset>
            </wp:positionV>
            <wp:extent cx="34290" cy="8058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805815"/>
                    </a:xfrm>
                    <a:prstGeom prst="rect">
                      <a:avLst/>
                    </a:prstGeom>
                    <a:noFill/>
                  </pic:spPr>
                </pic:pic>
              </a:graphicData>
            </a:graphic>
          </wp:anchor>
        </w:drawing>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70"/>
        </w:trPr>
        <w:tc>
          <w:tcPr>
            <w:tcW w:w="20" w:type="dxa"/>
            <w:vAlign w:val="bottom"/>
            <w:tcBorders>
              <w:top w:val="single" w:sz="8" w:color="424E6A"/>
            </w:tcBorders>
          </w:tcPr>
          <w:p>
            <w:pPr>
              <w:spacing w:after="0"/>
              <w:rPr>
                <w:sz w:val="23"/>
                <w:szCs w:val="23"/>
                <w:color w:val="auto"/>
              </w:rPr>
            </w:pPr>
          </w:p>
        </w:tc>
        <w:tc>
          <w:tcPr>
            <w:tcW w:w="500" w:type="dxa"/>
            <w:vAlign w:val="bottom"/>
            <w:tcBorders>
              <w:top w:val="single" w:sz="8" w:color="424E6A"/>
            </w:tcBorders>
            <w:shd w:val="clear" w:color="auto" w:fill="424E6A"/>
          </w:tcPr>
          <w:p>
            <w:pPr>
              <w:spacing w:after="0"/>
              <w:rPr>
                <w:sz w:val="23"/>
                <w:szCs w:val="23"/>
                <w:color w:val="auto"/>
              </w:rPr>
            </w:pPr>
          </w:p>
        </w:tc>
        <w:tc>
          <w:tcPr>
            <w:tcW w:w="1260" w:type="dxa"/>
            <w:vAlign w:val="bottom"/>
            <w:tcBorders>
              <w:top w:val="single" w:sz="8" w:color="424E6A"/>
            </w:tcBorders>
            <w:shd w:val="clear" w:color="auto" w:fill="424E6A"/>
          </w:tcPr>
          <w:p>
            <w:pPr>
              <w:spacing w:after="0"/>
              <w:rPr>
                <w:sz w:val="23"/>
                <w:szCs w:val="23"/>
                <w:color w:val="auto"/>
              </w:rPr>
            </w:pPr>
          </w:p>
        </w:tc>
        <w:tc>
          <w:tcPr>
            <w:tcW w:w="360" w:type="dxa"/>
            <w:vAlign w:val="bottom"/>
            <w:tcBorders>
              <w:top w:val="single" w:sz="8" w:color="424E6A"/>
            </w:tcBorders>
            <w:shd w:val="clear" w:color="auto" w:fill="424E6A"/>
          </w:tcPr>
          <w:p>
            <w:pPr>
              <w:spacing w:after="0"/>
              <w:rPr>
                <w:sz w:val="23"/>
                <w:szCs w:val="23"/>
                <w:color w:val="auto"/>
              </w:rPr>
            </w:pPr>
          </w:p>
        </w:tc>
        <w:tc>
          <w:tcPr>
            <w:tcW w:w="1060" w:type="dxa"/>
            <w:vAlign w:val="bottom"/>
            <w:tcBorders>
              <w:top w:val="single" w:sz="8" w:color="424E6A"/>
            </w:tcBorders>
            <w:shd w:val="clear" w:color="auto" w:fill="424E6A"/>
          </w:tcPr>
          <w:p>
            <w:pPr>
              <w:spacing w:after="0"/>
              <w:rPr>
                <w:sz w:val="23"/>
                <w:szCs w:val="23"/>
                <w:color w:val="auto"/>
              </w:rPr>
            </w:pPr>
          </w:p>
        </w:tc>
        <w:tc>
          <w:tcPr>
            <w:tcW w:w="1040" w:type="dxa"/>
            <w:vAlign w:val="bottom"/>
            <w:tcBorders>
              <w:top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Average</w:t>
            </w:r>
          </w:p>
        </w:tc>
        <w:tc>
          <w:tcPr>
            <w:tcW w:w="1220" w:type="dxa"/>
            <w:vAlign w:val="bottom"/>
            <w:tcBorders>
              <w:top w:val="single" w:sz="8" w:color="424E6A"/>
            </w:tcBorders>
            <w:shd w:val="clear" w:color="auto" w:fill="424E6A"/>
          </w:tcPr>
          <w:p>
            <w:pPr>
              <w:spacing w:after="0"/>
              <w:rPr>
                <w:sz w:val="23"/>
                <w:szCs w:val="23"/>
                <w:color w:val="auto"/>
              </w:rPr>
            </w:pPr>
          </w:p>
        </w:tc>
        <w:tc>
          <w:tcPr>
            <w:tcW w:w="100" w:type="dxa"/>
            <w:vAlign w:val="bottom"/>
            <w:tcBorders>
              <w:top w:val="single" w:sz="8" w:color="424E6A"/>
            </w:tcBorders>
            <w:shd w:val="clear" w:color="auto" w:fill="424E6A"/>
          </w:tcPr>
          <w:p>
            <w:pPr>
              <w:spacing w:after="0"/>
              <w:rPr>
                <w:sz w:val="23"/>
                <w:szCs w:val="23"/>
                <w:color w:val="auto"/>
              </w:rPr>
            </w:pPr>
          </w:p>
        </w:tc>
        <w:tc>
          <w:tcPr>
            <w:tcW w:w="80" w:type="dxa"/>
            <w:vAlign w:val="bottom"/>
            <w:tcBorders>
              <w:top w:val="single" w:sz="8" w:color="424E6A"/>
            </w:tcBorders>
            <w:shd w:val="clear" w:color="auto" w:fill="424E6A"/>
          </w:tcPr>
          <w:p>
            <w:pPr>
              <w:spacing w:after="0"/>
              <w:rPr>
                <w:sz w:val="23"/>
                <w:szCs w:val="23"/>
                <w:color w:val="auto"/>
              </w:rPr>
            </w:pPr>
          </w:p>
        </w:tc>
        <w:tc>
          <w:tcPr>
            <w:tcW w:w="1560" w:type="dxa"/>
            <w:vAlign w:val="bottom"/>
            <w:tcBorders>
              <w:top w:val="single" w:sz="8" w:color="424E6A"/>
            </w:tcBorders>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Value of Initial Fixed</w:t>
            </w:r>
          </w:p>
        </w:tc>
        <w:tc>
          <w:tcPr>
            <w:tcW w:w="140" w:type="dxa"/>
            <w:vAlign w:val="bottom"/>
            <w:tcBorders>
              <w:top w:val="single" w:sz="8" w:color="424E6A"/>
            </w:tcBorders>
            <w:shd w:val="clear" w:color="auto" w:fill="424E6A"/>
          </w:tcPr>
          <w:p>
            <w:pPr>
              <w:spacing w:after="0"/>
              <w:rPr>
                <w:sz w:val="23"/>
                <w:szCs w:val="23"/>
                <w:color w:val="auto"/>
              </w:rPr>
            </w:pPr>
          </w:p>
        </w:tc>
        <w:tc>
          <w:tcPr>
            <w:tcW w:w="80" w:type="dxa"/>
            <w:vAlign w:val="bottom"/>
            <w:tcBorders>
              <w:top w:val="single" w:sz="8" w:color="424E6A"/>
            </w:tcBorders>
            <w:shd w:val="clear" w:color="auto" w:fill="424E6A"/>
          </w:tcPr>
          <w:p>
            <w:pPr>
              <w:spacing w:after="0"/>
              <w:rPr>
                <w:sz w:val="23"/>
                <w:szCs w:val="23"/>
                <w:color w:val="auto"/>
              </w:rPr>
            </w:pPr>
          </w:p>
        </w:tc>
        <w:tc>
          <w:tcPr>
            <w:tcW w:w="1080" w:type="dxa"/>
            <w:vAlign w:val="bottom"/>
            <w:tcBorders>
              <w:top w:val="single" w:sz="8" w:color="424E6A"/>
            </w:tcBorders>
            <w:shd w:val="clear" w:color="auto" w:fill="424E6A"/>
          </w:tcPr>
          <w:p>
            <w:pPr>
              <w:spacing w:after="0"/>
              <w:rPr>
                <w:sz w:val="23"/>
                <w:szCs w:val="23"/>
                <w:color w:val="auto"/>
              </w:rPr>
            </w:pPr>
          </w:p>
        </w:tc>
        <w:tc>
          <w:tcPr>
            <w:tcW w:w="1220" w:type="dxa"/>
            <w:vAlign w:val="bottom"/>
            <w:tcBorders>
              <w:top w:val="single" w:sz="8" w:color="424E6A"/>
            </w:tcBorders>
            <w:shd w:val="clear" w:color="auto" w:fill="424E6A"/>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 w:type="dxa"/>
            <w:vAlign w:val="bottom"/>
            <w:shd w:val="clear" w:color="auto" w:fill="424E6A"/>
          </w:tcPr>
          <w:p>
            <w:pPr>
              <w:spacing w:after="0"/>
              <w:rPr>
                <w:sz w:val="14"/>
                <w:szCs w:val="14"/>
                <w:color w:val="auto"/>
              </w:rPr>
            </w:pPr>
          </w:p>
        </w:tc>
        <w:tc>
          <w:tcPr>
            <w:tcW w:w="1260" w:type="dxa"/>
            <w:vAlign w:val="bottom"/>
            <w:shd w:val="clear" w:color="auto" w:fill="424E6A"/>
          </w:tcPr>
          <w:p>
            <w:pPr>
              <w:spacing w:after="0"/>
              <w:rPr>
                <w:sz w:val="14"/>
                <w:szCs w:val="14"/>
                <w:color w:val="auto"/>
              </w:rPr>
            </w:pPr>
          </w:p>
        </w:tc>
        <w:tc>
          <w:tcPr>
            <w:tcW w:w="360" w:type="dxa"/>
            <w:vAlign w:val="bottom"/>
            <w:shd w:val="clear" w:color="auto" w:fill="424E6A"/>
          </w:tcPr>
          <w:p>
            <w:pPr>
              <w:spacing w:after="0"/>
              <w:rPr>
                <w:sz w:val="14"/>
                <w:szCs w:val="14"/>
                <w:color w:val="auto"/>
              </w:rPr>
            </w:pPr>
          </w:p>
        </w:tc>
        <w:tc>
          <w:tcPr>
            <w:tcW w:w="106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Summary</w:t>
            </w:r>
          </w:p>
        </w:tc>
        <w:tc>
          <w:tcPr>
            <w:tcW w:w="1220" w:type="dxa"/>
            <w:vAlign w:val="bottom"/>
            <w:vMerge w:val="restart"/>
            <w:shd w:val="clear" w:color="auto" w:fill="424E6A"/>
          </w:tcPr>
          <w:p>
            <w:pPr>
              <w:jc w:val="center"/>
              <w:ind w:left="70"/>
              <w:spacing w:after="0"/>
              <w:rPr>
                <w:sz w:val="20"/>
                <w:szCs w:val="20"/>
                <w:color w:val="auto"/>
              </w:rPr>
            </w:pPr>
            <w:r>
              <w:rPr>
                <w:rFonts w:ascii="Arial" w:cs="Arial" w:eastAsia="Arial" w:hAnsi="Arial"/>
                <w:sz w:val="14"/>
                <w:szCs w:val="14"/>
                <w:b w:val="1"/>
                <w:bCs w:val="1"/>
                <w:color w:val="FFFFFF"/>
              </w:rPr>
              <w:t>Average</w:t>
            </w:r>
          </w:p>
        </w:tc>
        <w:tc>
          <w:tcPr>
            <w:tcW w:w="100" w:type="dxa"/>
            <w:vAlign w:val="bottom"/>
            <w:shd w:val="clear" w:color="auto" w:fill="424E6A"/>
          </w:tcPr>
          <w:p>
            <w:pPr>
              <w:spacing w:after="0"/>
              <w:rPr>
                <w:sz w:val="14"/>
                <w:szCs w:val="14"/>
                <w:color w:val="auto"/>
              </w:rPr>
            </w:pPr>
          </w:p>
        </w:tc>
        <w:tc>
          <w:tcPr>
            <w:tcW w:w="80" w:type="dxa"/>
            <w:vAlign w:val="bottom"/>
            <w:vMerge w:val="restart"/>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56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$100 Investment</w:t>
            </w:r>
          </w:p>
        </w:tc>
        <w:tc>
          <w:tcPr>
            <w:tcW w:w="140" w:type="dxa"/>
            <w:vAlign w:val="bottom"/>
            <w:vMerge w:val="restart"/>
            <w:shd w:val="clear" w:color="auto" w:fill="424E6A"/>
          </w:tcPr>
          <w:p>
            <w:pPr>
              <w:ind w:left="100"/>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424E6A"/>
          </w:tcPr>
          <w:p>
            <w:pPr>
              <w:spacing w:after="0"/>
              <w:rPr>
                <w:sz w:val="14"/>
                <w:szCs w:val="14"/>
                <w:color w:val="auto"/>
              </w:rPr>
            </w:pPr>
          </w:p>
        </w:tc>
        <w:tc>
          <w:tcPr>
            <w:tcW w:w="1080" w:type="dxa"/>
            <w:vAlign w:val="bottom"/>
            <w:shd w:val="clear" w:color="auto" w:fill="424E6A"/>
          </w:tcPr>
          <w:p>
            <w:pPr>
              <w:spacing w:after="0"/>
              <w:rPr>
                <w:sz w:val="14"/>
                <w:szCs w:val="14"/>
                <w:color w:val="auto"/>
              </w:rPr>
            </w:pPr>
          </w:p>
        </w:tc>
        <w:tc>
          <w:tcPr>
            <w:tcW w:w="1220" w:type="dxa"/>
            <w:vAlign w:val="bottom"/>
            <w:shd w:val="clear" w:color="auto" w:fill="424E6A"/>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0" w:type="dxa"/>
            <w:vAlign w:val="bottom"/>
            <w:shd w:val="clear" w:color="auto" w:fill="424E6A"/>
          </w:tcPr>
          <w:p>
            <w:pPr>
              <w:spacing w:after="0"/>
              <w:rPr>
                <w:sz w:val="13"/>
                <w:szCs w:val="13"/>
                <w:color w:val="auto"/>
              </w:rPr>
            </w:pPr>
          </w:p>
        </w:tc>
        <w:tc>
          <w:tcPr>
            <w:tcW w:w="1260" w:type="dxa"/>
            <w:vAlign w:val="bottom"/>
            <w:shd w:val="clear" w:color="auto" w:fill="424E6A"/>
          </w:tcPr>
          <w:p>
            <w:pPr>
              <w:spacing w:after="0"/>
              <w:rPr>
                <w:sz w:val="13"/>
                <w:szCs w:val="13"/>
                <w:color w:val="auto"/>
              </w:rPr>
            </w:pPr>
          </w:p>
        </w:tc>
        <w:tc>
          <w:tcPr>
            <w:tcW w:w="360" w:type="dxa"/>
            <w:vAlign w:val="bottom"/>
            <w:shd w:val="clear" w:color="auto" w:fill="424E6A"/>
          </w:tcPr>
          <w:p>
            <w:pPr>
              <w:spacing w:after="0"/>
              <w:rPr>
                <w:sz w:val="13"/>
                <w:szCs w:val="13"/>
                <w:color w:val="auto"/>
              </w:rPr>
            </w:pPr>
          </w:p>
        </w:tc>
        <w:tc>
          <w:tcPr>
            <w:tcW w:w="1060" w:type="dxa"/>
            <w:vAlign w:val="bottom"/>
            <w:shd w:val="clear" w:color="auto" w:fill="424E6A"/>
          </w:tcPr>
          <w:p>
            <w:pPr>
              <w:spacing w:after="0"/>
              <w:rPr>
                <w:sz w:val="13"/>
                <w:szCs w:val="13"/>
                <w:color w:val="auto"/>
              </w:rPr>
            </w:pPr>
          </w:p>
        </w:tc>
        <w:tc>
          <w:tcPr>
            <w:tcW w:w="1040" w:type="dxa"/>
            <w:vAlign w:val="bottom"/>
            <w:shd w:val="clear" w:color="auto" w:fill="424E6A"/>
          </w:tcPr>
          <w:p>
            <w:pPr>
              <w:jc w:val="center"/>
              <w:spacing w:after="0" w:line="153" w:lineRule="exact"/>
              <w:rPr>
                <w:sz w:val="20"/>
                <w:szCs w:val="20"/>
                <w:color w:val="auto"/>
              </w:rPr>
            </w:pPr>
            <w:r>
              <w:rPr>
                <w:rFonts w:ascii="Arial" w:cs="Arial" w:eastAsia="Arial" w:hAnsi="Arial"/>
                <w:sz w:val="14"/>
                <w:szCs w:val="14"/>
                <w:b w:val="1"/>
                <w:bCs w:val="1"/>
                <w:color w:val="FFFFFF"/>
              </w:rPr>
              <w:t>Compensation</w:t>
            </w:r>
          </w:p>
        </w:tc>
        <w:tc>
          <w:tcPr>
            <w:tcW w:w="1220" w:type="dxa"/>
            <w:vAlign w:val="bottom"/>
            <w:vMerge w:val="continue"/>
            <w:shd w:val="clear" w:color="auto" w:fill="424E6A"/>
          </w:tcPr>
          <w:p>
            <w:pPr>
              <w:spacing w:after="0"/>
              <w:rPr>
                <w:sz w:val="13"/>
                <w:szCs w:val="13"/>
                <w:color w:val="auto"/>
              </w:rPr>
            </w:pPr>
          </w:p>
        </w:tc>
        <w:tc>
          <w:tcPr>
            <w:tcW w:w="100" w:type="dxa"/>
            <w:vAlign w:val="bottom"/>
            <w:shd w:val="clear" w:color="auto" w:fill="424E6A"/>
          </w:tcPr>
          <w:p>
            <w:pPr>
              <w:spacing w:after="0"/>
              <w:rPr>
                <w:sz w:val="13"/>
                <w:szCs w:val="13"/>
                <w:color w:val="auto"/>
              </w:rPr>
            </w:pPr>
          </w:p>
        </w:tc>
        <w:tc>
          <w:tcPr>
            <w:tcW w:w="80" w:type="dxa"/>
            <w:vAlign w:val="bottom"/>
            <w:vMerge w:val="continue"/>
            <w:shd w:val="clear" w:color="auto" w:fill="424E6A"/>
          </w:tcPr>
          <w:p>
            <w:pPr>
              <w:spacing w:after="0"/>
              <w:rPr>
                <w:sz w:val="13"/>
                <w:szCs w:val="13"/>
                <w:color w:val="auto"/>
              </w:rPr>
            </w:pPr>
          </w:p>
        </w:tc>
        <w:tc>
          <w:tcPr>
            <w:tcW w:w="1560" w:type="dxa"/>
            <w:vAlign w:val="bottom"/>
            <w:gridSpan w:val="3"/>
            <w:shd w:val="clear" w:color="auto" w:fill="424E6A"/>
          </w:tcPr>
          <w:p>
            <w:pPr>
              <w:jc w:val="center"/>
              <w:spacing w:after="0" w:line="153" w:lineRule="exact"/>
              <w:rPr>
                <w:sz w:val="20"/>
                <w:szCs w:val="20"/>
                <w:color w:val="auto"/>
              </w:rPr>
            </w:pPr>
            <w:r>
              <w:rPr>
                <w:rFonts w:ascii="Arial" w:cs="Arial" w:eastAsia="Arial" w:hAnsi="Arial"/>
                <w:sz w:val="14"/>
                <w:szCs w:val="14"/>
                <w:b w:val="1"/>
                <w:bCs w:val="1"/>
                <w:color w:val="FFFFFF"/>
              </w:rPr>
              <w:t>Based On:</w:t>
            </w:r>
          </w:p>
        </w:tc>
        <w:tc>
          <w:tcPr>
            <w:tcW w:w="140" w:type="dxa"/>
            <w:vAlign w:val="bottom"/>
            <w:vMerge w:val="continue"/>
            <w:shd w:val="clear" w:color="auto" w:fill="424E6A"/>
          </w:tcPr>
          <w:p>
            <w:pPr>
              <w:spacing w:after="0"/>
              <w:rPr>
                <w:sz w:val="13"/>
                <w:szCs w:val="13"/>
                <w:color w:val="auto"/>
              </w:rPr>
            </w:pPr>
          </w:p>
        </w:tc>
        <w:tc>
          <w:tcPr>
            <w:tcW w:w="80" w:type="dxa"/>
            <w:vAlign w:val="bottom"/>
            <w:shd w:val="clear" w:color="auto" w:fill="424E6A"/>
          </w:tcPr>
          <w:p>
            <w:pPr>
              <w:spacing w:after="0"/>
              <w:rPr>
                <w:sz w:val="13"/>
                <w:szCs w:val="13"/>
                <w:color w:val="auto"/>
              </w:rPr>
            </w:pPr>
          </w:p>
        </w:tc>
        <w:tc>
          <w:tcPr>
            <w:tcW w:w="1080" w:type="dxa"/>
            <w:vAlign w:val="bottom"/>
            <w:shd w:val="clear" w:color="auto" w:fill="424E6A"/>
          </w:tcPr>
          <w:p>
            <w:pPr>
              <w:spacing w:after="0"/>
              <w:rPr>
                <w:sz w:val="13"/>
                <w:szCs w:val="13"/>
                <w:color w:val="auto"/>
              </w:rPr>
            </w:pPr>
          </w:p>
        </w:tc>
        <w:tc>
          <w:tcPr>
            <w:tcW w:w="1220" w:type="dxa"/>
            <w:vAlign w:val="bottom"/>
            <w:shd w:val="clear" w:color="auto" w:fill="424E6A"/>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 w:type="dxa"/>
            <w:vAlign w:val="bottom"/>
            <w:shd w:val="clear" w:color="auto" w:fill="424E6A"/>
          </w:tcPr>
          <w:p>
            <w:pPr>
              <w:spacing w:after="0"/>
              <w:rPr>
                <w:sz w:val="12"/>
                <w:szCs w:val="12"/>
                <w:color w:val="auto"/>
              </w:rPr>
            </w:pPr>
          </w:p>
        </w:tc>
        <w:tc>
          <w:tcPr>
            <w:tcW w:w="1260" w:type="dxa"/>
            <w:vAlign w:val="bottom"/>
            <w:shd w:val="clear" w:color="auto" w:fill="424E6A"/>
          </w:tcPr>
          <w:p>
            <w:pPr>
              <w:jc w:val="center"/>
              <w:ind w:left="102"/>
              <w:spacing w:after="0" w:line="148" w:lineRule="exact"/>
              <w:rPr>
                <w:sz w:val="20"/>
                <w:szCs w:val="20"/>
                <w:color w:val="auto"/>
              </w:rPr>
            </w:pPr>
            <w:r>
              <w:rPr>
                <w:rFonts w:ascii="Arial" w:cs="Arial" w:eastAsia="Arial" w:hAnsi="Arial"/>
                <w:sz w:val="14"/>
                <w:szCs w:val="14"/>
                <w:b w:val="1"/>
                <w:bCs w:val="1"/>
                <w:color w:val="FFFFFF"/>
              </w:rPr>
              <w:t>Summary</w:t>
            </w:r>
          </w:p>
        </w:tc>
        <w:tc>
          <w:tcPr>
            <w:tcW w:w="360" w:type="dxa"/>
            <w:vAlign w:val="bottom"/>
            <w:shd w:val="clear" w:color="auto" w:fill="424E6A"/>
          </w:tcPr>
          <w:p>
            <w:pPr>
              <w:spacing w:after="0"/>
              <w:rPr>
                <w:sz w:val="12"/>
                <w:szCs w:val="12"/>
                <w:color w:val="auto"/>
              </w:rPr>
            </w:pPr>
          </w:p>
        </w:tc>
        <w:tc>
          <w:tcPr>
            <w:tcW w:w="1060" w:type="dxa"/>
            <w:vAlign w:val="bottom"/>
            <w:shd w:val="clear" w:color="auto" w:fill="424E6A"/>
          </w:tcPr>
          <w:p>
            <w:pPr>
              <w:spacing w:after="0"/>
              <w:rPr>
                <w:sz w:val="12"/>
                <w:szCs w:val="12"/>
                <w:color w:val="auto"/>
              </w:rPr>
            </w:pPr>
          </w:p>
        </w:tc>
        <w:tc>
          <w:tcPr>
            <w:tcW w:w="1040" w:type="dxa"/>
            <w:vAlign w:val="bottom"/>
            <w:shd w:val="clear" w:color="auto" w:fill="424E6A"/>
          </w:tcPr>
          <w:p>
            <w:pPr>
              <w:jc w:val="center"/>
              <w:spacing w:after="0" w:line="148" w:lineRule="exact"/>
              <w:rPr>
                <w:sz w:val="20"/>
                <w:szCs w:val="20"/>
                <w:color w:val="auto"/>
              </w:rPr>
            </w:pPr>
            <w:r>
              <w:rPr>
                <w:rFonts w:ascii="Arial" w:cs="Arial" w:eastAsia="Arial" w:hAnsi="Arial"/>
                <w:sz w:val="14"/>
                <w:szCs w:val="14"/>
                <w:b w:val="1"/>
                <w:bCs w:val="1"/>
                <w:color w:val="FFFFFF"/>
                <w:w w:val="98"/>
              </w:rPr>
              <w:t>Table</w:t>
            </w:r>
          </w:p>
        </w:tc>
        <w:tc>
          <w:tcPr>
            <w:tcW w:w="1220" w:type="dxa"/>
            <w:vAlign w:val="bottom"/>
            <w:shd w:val="clear" w:color="auto" w:fill="424E6A"/>
          </w:tcPr>
          <w:p>
            <w:pPr>
              <w:jc w:val="center"/>
              <w:ind w:left="70"/>
              <w:spacing w:after="0" w:line="148" w:lineRule="exact"/>
              <w:rPr>
                <w:sz w:val="20"/>
                <w:szCs w:val="20"/>
                <w:color w:val="auto"/>
              </w:rPr>
            </w:pPr>
            <w:r>
              <w:rPr>
                <w:rFonts w:ascii="Arial" w:cs="Arial" w:eastAsia="Arial" w:hAnsi="Arial"/>
                <w:sz w:val="14"/>
                <w:szCs w:val="14"/>
                <w:b w:val="1"/>
                <w:bCs w:val="1"/>
                <w:color w:val="FFFFFF"/>
              </w:rPr>
              <w:t>Compensation</w:t>
            </w:r>
          </w:p>
        </w:tc>
        <w:tc>
          <w:tcPr>
            <w:tcW w:w="100" w:type="dxa"/>
            <w:vAlign w:val="bottom"/>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680" w:type="dxa"/>
            <w:vAlign w:val="bottom"/>
            <w:shd w:val="clear" w:color="auto" w:fill="424E6A"/>
          </w:tcPr>
          <w:p>
            <w:pPr>
              <w:spacing w:after="0"/>
              <w:rPr>
                <w:sz w:val="12"/>
                <w:szCs w:val="12"/>
                <w:color w:val="auto"/>
              </w:rPr>
            </w:pPr>
          </w:p>
        </w:tc>
        <w:tc>
          <w:tcPr>
            <w:tcW w:w="380" w:type="dxa"/>
            <w:vAlign w:val="bottom"/>
            <w:shd w:val="clear" w:color="auto" w:fill="424E6A"/>
          </w:tcPr>
          <w:p>
            <w:pPr>
              <w:spacing w:after="0"/>
              <w:rPr>
                <w:sz w:val="12"/>
                <w:szCs w:val="12"/>
                <w:color w:val="auto"/>
              </w:rPr>
            </w:pPr>
          </w:p>
        </w:tc>
        <w:tc>
          <w:tcPr>
            <w:tcW w:w="500" w:type="dxa"/>
            <w:vAlign w:val="bottom"/>
            <w:shd w:val="clear" w:color="auto" w:fill="424E6A"/>
          </w:tcPr>
          <w:p>
            <w:pPr>
              <w:spacing w:after="0"/>
              <w:rPr>
                <w:sz w:val="12"/>
                <w:szCs w:val="12"/>
                <w:color w:val="auto"/>
              </w:rPr>
            </w:pPr>
          </w:p>
        </w:tc>
        <w:tc>
          <w:tcPr>
            <w:tcW w:w="140" w:type="dxa"/>
            <w:vAlign w:val="bottom"/>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1080" w:type="dxa"/>
            <w:vAlign w:val="bottom"/>
            <w:shd w:val="clear" w:color="auto" w:fill="424E6A"/>
          </w:tcPr>
          <w:p>
            <w:pPr>
              <w:spacing w:after="0"/>
              <w:rPr>
                <w:sz w:val="12"/>
                <w:szCs w:val="12"/>
                <w:color w:val="auto"/>
              </w:rPr>
            </w:pPr>
          </w:p>
        </w:tc>
        <w:tc>
          <w:tcPr>
            <w:tcW w:w="1220" w:type="dxa"/>
            <w:vAlign w:val="bottom"/>
            <w:shd w:val="clear" w:color="auto" w:fill="424E6A"/>
          </w:tcPr>
          <w:p>
            <w:pPr>
              <w:jc w:val="center"/>
              <w:ind w:left="24"/>
              <w:spacing w:after="0" w:line="148" w:lineRule="exact"/>
              <w:rPr>
                <w:sz w:val="20"/>
                <w:szCs w:val="20"/>
                <w:color w:val="auto"/>
              </w:rPr>
            </w:pPr>
            <w:r>
              <w:rPr>
                <w:rFonts w:ascii="Arial" w:cs="Arial" w:eastAsia="Arial" w:hAnsi="Arial"/>
                <w:sz w:val="14"/>
                <w:szCs w:val="14"/>
                <w:b w:val="1"/>
                <w:bCs w:val="1"/>
                <w:color w:val="FFFFFF"/>
              </w:rPr>
              <w:t>Adjusted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 w:type="dxa"/>
            <w:vAlign w:val="bottom"/>
            <w:shd w:val="clear" w:color="auto" w:fill="424E6A"/>
          </w:tcPr>
          <w:p>
            <w:pPr>
              <w:spacing w:after="0"/>
              <w:rPr>
                <w:sz w:val="14"/>
                <w:szCs w:val="14"/>
                <w:color w:val="auto"/>
              </w:rPr>
            </w:pPr>
          </w:p>
        </w:tc>
        <w:tc>
          <w:tcPr>
            <w:tcW w:w="1260" w:type="dxa"/>
            <w:vAlign w:val="bottom"/>
            <w:shd w:val="clear" w:color="auto" w:fill="424E6A"/>
          </w:tcPr>
          <w:p>
            <w:pPr>
              <w:jc w:val="center"/>
              <w:ind w:left="102"/>
              <w:spacing w:after="0"/>
              <w:rPr>
                <w:sz w:val="20"/>
                <w:szCs w:val="20"/>
                <w:color w:val="auto"/>
              </w:rPr>
            </w:pPr>
            <w:r>
              <w:rPr>
                <w:rFonts w:ascii="Arial" w:cs="Arial" w:eastAsia="Arial" w:hAnsi="Arial"/>
                <w:sz w:val="14"/>
                <w:szCs w:val="14"/>
                <w:b w:val="1"/>
                <w:bCs w:val="1"/>
                <w:color w:val="FFFFFF"/>
              </w:rPr>
              <w:t>Compensation</w:t>
            </w:r>
          </w:p>
        </w:tc>
        <w:tc>
          <w:tcPr>
            <w:tcW w:w="14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Compensation</w:t>
            </w: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Total for</w:t>
            </w:r>
          </w:p>
        </w:tc>
        <w:tc>
          <w:tcPr>
            <w:tcW w:w="1220" w:type="dxa"/>
            <w:vAlign w:val="bottom"/>
            <w:shd w:val="clear" w:color="auto" w:fill="424E6A"/>
          </w:tcPr>
          <w:p>
            <w:pPr>
              <w:jc w:val="center"/>
              <w:ind w:left="70"/>
              <w:spacing w:after="0"/>
              <w:rPr>
                <w:sz w:val="20"/>
                <w:szCs w:val="20"/>
                <w:color w:val="auto"/>
              </w:rPr>
            </w:pPr>
            <w:r>
              <w:rPr>
                <w:rFonts w:ascii="Arial" w:cs="Arial" w:eastAsia="Arial" w:hAnsi="Arial"/>
                <w:sz w:val="14"/>
                <w:szCs w:val="14"/>
                <w:b w:val="1"/>
                <w:bCs w:val="1"/>
                <w:color w:val="FFFFFF"/>
              </w:rPr>
              <w:t>Actually</w:t>
            </w:r>
          </w:p>
        </w:tc>
        <w:tc>
          <w:tcPr>
            <w:tcW w:w="100" w:type="dxa"/>
            <w:vAlign w:val="bottom"/>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680" w:type="dxa"/>
            <w:vAlign w:val="bottom"/>
            <w:shd w:val="clear" w:color="auto" w:fill="424E6A"/>
          </w:tcPr>
          <w:p>
            <w:pPr>
              <w:spacing w:after="0"/>
              <w:rPr>
                <w:sz w:val="14"/>
                <w:szCs w:val="14"/>
                <w:color w:val="auto"/>
              </w:rPr>
            </w:pPr>
          </w:p>
        </w:tc>
        <w:tc>
          <w:tcPr>
            <w:tcW w:w="380" w:type="dxa"/>
            <w:vAlign w:val="bottom"/>
            <w:shd w:val="clear" w:color="auto" w:fill="424E6A"/>
          </w:tcPr>
          <w:p>
            <w:pPr>
              <w:spacing w:after="0"/>
              <w:rPr>
                <w:sz w:val="14"/>
                <w:szCs w:val="14"/>
                <w:color w:val="auto"/>
              </w:rPr>
            </w:pPr>
          </w:p>
        </w:tc>
        <w:tc>
          <w:tcPr>
            <w:tcW w:w="500" w:type="dxa"/>
            <w:vAlign w:val="bottom"/>
            <w:shd w:val="clear" w:color="auto" w:fill="424E6A"/>
          </w:tcPr>
          <w:p>
            <w:pPr>
              <w:jc w:val="center"/>
              <w:ind w:right="53"/>
              <w:spacing w:after="0"/>
              <w:rPr>
                <w:sz w:val="20"/>
                <w:szCs w:val="20"/>
                <w:color w:val="auto"/>
              </w:rPr>
            </w:pPr>
            <w:r>
              <w:rPr>
                <w:rFonts w:ascii="Arial" w:cs="Arial" w:eastAsia="Arial" w:hAnsi="Arial"/>
                <w:sz w:val="14"/>
                <w:szCs w:val="14"/>
                <w:b w:val="1"/>
                <w:bCs w:val="1"/>
                <w:color w:val="FFFFFF"/>
                <w:w w:val="98"/>
              </w:rPr>
              <w:t>Peer</w:t>
            </w:r>
          </w:p>
        </w:tc>
        <w:tc>
          <w:tcPr>
            <w:tcW w:w="140" w:type="dxa"/>
            <w:vAlign w:val="bottom"/>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80" w:type="dxa"/>
            <w:vAlign w:val="bottom"/>
            <w:shd w:val="clear" w:color="auto" w:fill="424E6A"/>
          </w:tcPr>
          <w:p>
            <w:pPr>
              <w:spacing w:after="0"/>
              <w:rPr>
                <w:sz w:val="14"/>
                <w:szCs w:val="14"/>
                <w:color w:val="auto"/>
              </w:rPr>
            </w:pPr>
          </w:p>
        </w:tc>
        <w:tc>
          <w:tcPr>
            <w:tcW w:w="1220" w:type="dxa"/>
            <w:vAlign w:val="bottom"/>
            <w:shd w:val="clear" w:color="auto" w:fill="424E6A"/>
          </w:tcPr>
          <w:p>
            <w:pPr>
              <w:jc w:val="center"/>
              <w:ind w:left="24"/>
              <w:spacing w:after="0"/>
              <w:rPr>
                <w:sz w:val="20"/>
                <w:szCs w:val="20"/>
                <w:color w:val="auto"/>
              </w:rPr>
            </w:pPr>
            <w:r>
              <w:rPr>
                <w:rFonts w:ascii="Arial" w:cs="Arial" w:eastAsia="Arial" w:hAnsi="Arial"/>
                <w:sz w:val="14"/>
                <w:szCs w:val="14"/>
                <w:b w:val="1"/>
                <w:bCs w:val="1"/>
                <w:color w:val="FFFFFF"/>
                <w:w w:val="99"/>
              </w:rPr>
              <w:t>EBITDA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 w:type="dxa"/>
            <w:vAlign w:val="bottom"/>
            <w:shd w:val="clear" w:color="auto" w:fill="424E6A"/>
          </w:tcPr>
          <w:p>
            <w:pPr>
              <w:spacing w:after="0"/>
              <w:rPr>
                <w:sz w:val="14"/>
                <w:szCs w:val="14"/>
                <w:color w:val="auto"/>
              </w:rPr>
            </w:pPr>
          </w:p>
        </w:tc>
        <w:tc>
          <w:tcPr>
            <w:tcW w:w="1260" w:type="dxa"/>
            <w:vAlign w:val="bottom"/>
            <w:shd w:val="clear" w:color="auto" w:fill="424E6A"/>
          </w:tcPr>
          <w:p>
            <w:pPr>
              <w:jc w:val="center"/>
              <w:ind w:left="102"/>
              <w:spacing w:after="0"/>
              <w:rPr>
                <w:sz w:val="20"/>
                <w:szCs w:val="20"/>
                <w:color w:val="auto"/>
              </w:rPr>
            </w:pPr>
            <w:r>
              <w:rPr>
                <w:rFonts w:ascii="Arial" w:cs="Arial" w:eastAsia="Arial" w:hAnsi="Arial"/>
                <w:sz w:val="14"/>
                <w:szCs w:val="14"/>
                <w:b w:val="1"/>
                <w:bCs w:val="1"/>
                <w:color w:val="FFFFFF"/>
                <w:w w:val="97"/>
              </w:rPr>
              <w:t>Table Total</w:t>
            </w:r>
          </w:p>
        </w:tc>
        <w:tc>
          <w:tcPr>
            <w:tcW w:w="360" w:type="dxa"/>
            <w:vAlign w:val="bottom"/>
            <w:shd w:val="clear" w:color="auto" w:fill="424E6A"/>
          </w:tcPr>
          <w:p>
            <w:pPr>
              <w:spacing w:after="0"/>
              <w:rPr>
                <w:sz w:val="14"/>
                <w:szCs w:val="14"/>
                <w:color w:val="auto"/>
              </w:rPr>
            </w:pPr>
          </w:p>
        </w:tc>
        <w:tc>
          <w:tcPr>
            <w:tcW w:w="1060" w:type="dxa"/>
            <w:vAlign w:val="bottom"/>
            <w:shd w:val="clear" w:color="auto" w:fill="424E6A"/>
          </w:tcPr>
          <w:p>
            <w:pPr>
              <w:jc w:val="center"/>
              <w:ind w:right="337"/>
              <w:spacing w:after="0"/>
              <w:rPr>
                <w:sz w:val="20"/>
                <w:szCs w:val="20"/>
                <w:color w:val="auto"/>
              </w:rPr>
            </w:pPr>
            <w:r>
              <w:rPr>
                <w:rFonts w:ascii="Arial" w:cs="Arial" w:eastAsia="Arial" w:hAnsi="Arial"/>
                <w:sz w:val="14"/>
                <w:szCs w:val="14"/>
                <w:b w:val="1"/>
                <w:bCs w:val="1"/>
                <w:color w:val="FFFFFF"/>
              </w:rPr>
              <w:t>Actually</w:t>
            </w: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Non-PEO</w:t>
            </w:r>
          </w:p>
        </w:tc>
        <w:tc>
          <w:tcPr>
            <w:tcW w:w="1220" w:type="dxa"/>
            <w:vAlign w:val="bottom"/>
            <w:shd w:val="clear" w:color="auto" w:fill="424E6A"/>
          </w:tcPr>
          <w:p>
            <w:pPr>
              <w:jc w:val="center"/>
              <w:ind w:left="70"/>
              <w:spacing w:after="0"/>
              <w:rPr>
                <w:sz w:val="20"/>
                <w:szCs w:val="20"/>
                <w:color w:val="auto"/>
              </w:rPr>
            </w:pPr>
            <w:r>
              <w:rPr>
                <w:rFonts w:ascii="Arial" w:cs="Arial" w:eastAsia="Arial" w:hAnsi="Arial"/>
                <w:sz w:val="14"/>
                <w:szCs w:val="14"/>
                <w:b w:val="1"/>
                <w:bCs w:val="1"/>
                <w:color w:val="FFFFFF"/>
              </w:rPr>
              <w:t>Paid to Non-</w:t>
            </w:r>
          </w:p>
        </w:tc>
        <w:tc>
          <w:tcPr>
            <w:tcW w:w="100" w:type="dxa"/>
            <w:vAlign w:val="bottom"/>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680" w:type="dxa"/>
            <w:vAlign w:val="bottom"/>
            <w:shd w:val="clear" w:color="auto" w:fill="424E6A"/>
          </w:tcPr>
          <w:p>
            <w:pPr>
              <w:jc w:val="right"/>
              <w:spacing w:after="0"/>
              <w:rPr>
                <w:sz w:val="20"/>
                <w:szCs w:val="20"/>
                <w:color w:val="auto"/>
              </w:rPr>
            </w:pPr>
            <w:r>
              <w:rPr>
                <w:rFonts w:ascii="Arial" w:cs="Arial" w:eastAsia="Arial" w:hAnsi="Arial"/>
                <w:sz w:val="14"/>
                <w:szCs w:val="14"/>
                <w:b w:val="1"/>
                <w:bCs w:val="1"/>
                <w:color w:val="FFFFFF"/>
              </w:rPr>
              <w:t>Company</w:t>
            </w:r>
          </w:p>
        </w:tc>
        <w:tc>
          <w:tcPr>
            <w:tcW w:w="880" w:type="dxa"/>
            <w:vAlign w:val="bottom"/>
            <w:gridSpan w:val="2"/>
            <w:shd w:val="clear" w:color="auto" w:fill="424E6A"/>
          </w:tcPr>
          <w:p>
            <w:pPr>
              <w:jc w:val="center"/>
              <w:ind w:left="178"/>
              <w:spacing w:after="0"/>
              <w:rPr>
                <w:sz w:val="20"/>
                <w:szCs w:val="20"/>
                <w:color w:val="auto"/>
              </w:rPr>
            </w:pPr>
            <w:r>
              <w:rPr>
                <w:rFonts w:ascii="Arial" w:cs="Arial" w:eastAsia="Arial" w:hAnsi="Arial"/>
                <w:sz w:val="14"/>
                <w:szCs w:val="14"/>
                <w:b w:val="1"/>
                <w:bCs w:val="1"/>
                <w:color w:val="FFFFFF"/>
                <w:w w:val="99"/>
              </w:rPr>
              <w:t>Group</w:t>
            </w:r>
          </w:p>
        </w:tc>
        <w:tc>
          <w:tcPr>
            <w:tcW w:w="140" w:type="dxa"/>
            <w:vAlign w:val="bottom"/>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Net Income/​</w:t>
            </w:r>
          </w:p>
        </w:tc>
        <w:tc>
          <w:tcPr>
            <w:tcW w:w="1220" w:type="dxa"/>
            <w:vAlign w:val="bottom"/>
            <w:shd w:val="clear" w:color="auto" w:fill="424E6A"/>
          </w:tcPr>
          <w:p>
            <w:pPr>
              <w:jc w:val="center"/>
              <w:ind w:left="24"/>
              <w:spacing w:after="0"/>
              <w:rPr>
                <w:sz w:val="20"/>
                <w:szCs w:val="20"/>
                <w:color w:val="auto"/>
              </w:rPr>
            </w:pPr>
            <w:r>
              <w:rPr>
                <w:rFonts w:ascii="Arial" w:cs="Arial" w:eastAsia="Arial" w:hAnsi="Arial"/>
                <w:sz w:val="14"/>
                <w:szCs w:val="14"/>
                <w:b w:val="1"/>
                <w:bCs w:val="1"/>
                <w:color w:val="FFFFFF"/>
              </w:rPr>
              <w:t>Attributable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424E6A"/>
            </w:tcBorders>
          </w:tcPr>
          <w:p>
            <w:pPr>
              <w:spacing w:after="0"/>
              <w:rPr>
                <w:sz w:val="17"/>
                <w:szCs w:val="17"/>
                <w:color w:val="auto"/>
              </w:rPr>
            </w:pPr>
          </w:p>
        </w:tc>
        <w:tc>
          <w:tcPr>
            <w:tcW w:w="500" w:type="dxa"/>
            <w:vAlign w:val="bottom"/>
            <w:tcBorders>
              <w:bottom w:val="single" w:sz="8" w:color="424E6A"/>
            </w:tcBorders>
            <w:shd w:val="clear" w:color="auto" w:fill="424E6A"/>
          </w:tcPr>
          <w:p>
            <w:pPr>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Year</w:t>
            </w:r>
          </w:p>
        </w:tc>
        <w:tc>
          <w:tcPr>
            <w:tcW w:w="1260" w:type="dxa"/>
            <w:vAlign w:val="bottom"/>
            <w:tcBorders>
              <w:bottom w:val="single" w:sz="8" w:color="424E6A"/>
            </w:tcBorders>
            <w:shd w:val="clear" w:color="auto" w:fill="424E6A"/>
          </w:tcPr>
          <w:p>
            <w:pPr>
              <w:ind w:left="8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for PEO</w:t>
            </w:r>
            <w:r>
              <w:rPr>
                <w:rFonts w:ascii="Arial" w:cs="Arial" w:eastAsia="Arial" w:hAnsi="Arial"/>
                <w:sz w:val="14"/>
                <w:szCs w:val="14"/>
                <w:b w:val="1"/>
                <w:bCs w:val="1"/>
                <w:color w:val="FFFFFF"/>
                <w:vertAlign w:val="superscript"/>
              </w:rPr>
              <w:t>(1)</w:t>
            </w:r>
          </w:p>
        </w:tc>
        <w:tc>
          <w:tcPr>
            <w:tcW w:w="1420" w:type="dxa"/>
            <w:vAlign w:val="bottom"/>
            <w:tcBorders>
              <w:bottom w:val="single" w:sz="8" w:color="424E6A"/>
            </w:tcBorders>
            <w:gridSpan w:val="2"/>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Paid to PEO</w:t>
            </w:r>
            <w:r>
              <w:rPr>
                <w:rFonts w:ascii="Arial" w:cs="Arial" w:eastAsia="Arial" w:hAnsi="Arial"/>
                <w:sz w:val="14"/>
                <w:szCs w:val="14"/>
                <w:b w:val="1"/>
                <w:bCs w:val="1"/>
                <w:color w:val="FFFFFF"/>
                <w:vertAlign w:val="superscript"/>
              </w:rPr>
              <w:t>(2)</w:t>
            </w:r>
            <w:r>
              <w:rPr>
                <w:rFonts w:ascii="Arial" w:cs="Arial" w:eastAsia="Arial" w:hAnsi="Arial"/>
                <w:sz w:val="12"/>
                <w:szCs w:val="12"/>
                <w:b w:val="1"/>
                <w:bCs w:val="1"/>
                <w:color w:val="FFFFFF"/>
              </w:rPr>
              <w:t xml:space="preserve">  </w:t>
            </w:r>
            <w:r>
              <w:rPr>
                <w:rFonts w:ascii="Arial" w:cs="Arial" w:eastAsia="Arial" w:hAnsi="Arial"/>
                <w:sz w:val="22"/>
                <w:szCs w:val="22"/>
                <w:b w:val="1"/>
                <w:bCs w:val="1"/>
                <w:color w:val="FFFFFF"/>
                <w:vertAlign w:val="subscript"/>
              </w:rPr>
              <w:t>​ ​</w:t>
            </w:r>
          </w:p>
        </w:tc>
        <w:tc>
          <w:tcPr>
            <w:tcW w:w="1040" w:type="dxa"/>
            <w:vAlign w:val="bottom"/>
            <w:tcBorders>
              <w:bottom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6"/>
              </w:rPr>
              <w:t>NEOs</w:t>
            </w:r>
            <w:r>
              <w:rPr>
                <w:rFonts w:ascii="Arial" w:cs="Arial" w:eastAsia="Arial" w:hAnsi="Arial"/>
                <w:sz w:val="17"/>
                <w:szCs w:val="17"/>
                <w:b w:val="1"/>
                <w:bCs w:val="1"/>
                <w:color w:val="FFFFFF"/>
                <w:w w:val="96"/>
                <w:vertAlign w:val="superscript"/>
              </w:rPr>
              <w:t>(1)</w:t>
            </w:r>
          </w:p>
        </w:tc>
        <w:tc>
          <w:tcPr>
            <w:tcW w:w="1220" w:type="dxa"/>
            <w:vAlign w:val="bottom"/>
            <w:tcBorders>
              <w:bottom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PEO NEOs</w:t>
            </w:r>
            <w:r>
              <w:rPr>
                <w:rFonts w:ascii="Arial" w:cs="Arial" w:eastAsia="Arial" w:hAnsi="Arial"/>
                <w:sz w:val="14"/>
                <w:szCs w:val="14"/>
                <w:b w:val="1"/>
                <w:bCs w:val="1"/>
                <w:color w:val="FFFFFF"/>
                <w:vertAlign w:val="superscript"/>
              </w:rPr>
              <w:t>(2)</w:t>
            </w:r>
          </w:p>
        </w:tc>
        <w:tc>
          <w:tcPr>
            <w:tcW w:w="100" w:type="dxa"/>
            <w:vAlign w:val="bottom"/>
            <w:tcBorders>
              <w:bottom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424E6A"/>
            </w:tcBorders>
            <w:shd w:val="clear" w:color="auto" w:fill="424E6A"/>
          </w:tcPr>
          <w:p>
            <w:pPr>
              <w:jc w:val="right"/>
              <w:ind w:right="54"/>
              <w:spacing w:after="0" w:line="199" w:lineRule="exact"/>
              <w:rPr>
                <w:sz w:val="20"/>
                <w:szCs w:val="20"/>
                <w:color w:val="auto"/>
              </w:rPr>
            </w:pPr>
            <w:r>
              <w:rPr>
                <w:rFonts w:ascii="Arial" w:cs="Arial" w:eastAsia="Arial" w:hAnsi="Arial"/>
                <w:sz w:val="22"/>
                <w:szCs w:val="22"/>
                <w:b w:val="1"/>
                <w:bCs w:val="1"/>
                <w:color w:val="FFFFFF"/>
                <w:vertAlign w:val="subscript"/>
              </w:rPr>
              <w:t>TSR</w:t>
            </w:r>
            <w:r>
              <w:rPr>
                <w:rFonts w:ascii="Arial" w:cs="Arial" w:eastAsia="Arial" w:hAnsi="Arial"/>
                <w:sz w:val="8"/>
                <w:szCs w:val="8"/>
                <w:b w:val="1"/>
                <w:bCs w:val="1"/>
                <w:color w:val="FFFFFF"/>
              </w:rPr>
              <w:t>(3)</w:t>
            </w:r>
          </w:p>
        </w:tc>
        <w:tc>
          <w:tcPr>
            <w:tcW w:w="380" w:type="dxa"/>
            <w:vAlign w:val="bottom"/>
            <w:tcBorders>
              <w:bottom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 ​</w:t>
            </w:r>
          </w:p>
        </w:tc>
        <w:tc>
          <w:tcPr>
            <w:tcW w:w="500" w:type="dxa"/>
            <w:vAlign w:val="bottom"/>
            <w:tcBorders>
              <w:bottom w:val="single" w:sz="8" w:color="424E6A"/>
            </w:tcBorders>
            <w:shd w:val="clear" w:color="auto" w:fill="424E6A"/>
          </w:tcPr>
          <w:p>
            <w:pPr>
              <w:jc w:val="center"/>
              <w:ind w:right="13"/>
              <w:spacing w:after="0" w:line="199" w:lineRule="exact"/>
              <w:rPr>
                <w:sz w:val="20"/>
                <w:szCs w:val="20"/>
                <w:color w:val="auto"/>
              </w:rPr>
            </w:pPr>
            <w:r>
              <w:rPr>
                <w:rFonts w:ascii="Arial" w:cs="Arial" w:eastAsia="Arial" w:hAnsi="Arial"/>
                <w:sz w:val="22"/>
                <w:szCs w:val="22"/>
                <w:b w:val="1"/>
                <w:bCs w:val="1"/>
                <w:color w:val="FFFFFF"/>
                <w:w w:val="97"/>
                <w:vertAlign w:val="subscript"/>
              </w:rPr>
              <w:t>TSR</w:t>
            </w:r>
            <w:r>
              <w:rPr>
                <w:rFonts w:ascii="Arial" w:cs="Arial" w:eastAsia="Arial" w:hAnsi="Arial"/>
                <w:sz w:val="8"/>
                <w:szCs w:val="8"/>
                <w:b w:val="1"/>
                <w:bCs w:val="1"/>
                <w:color w:val="FFFFFF"/>
                <w:w w:val="97"/>
              </w:rPr>
              <w:t>(3)</w:t>
            </w:r>
          </w:p>
        </w:tc>
        <w:tc>
          <w:tcPr>
            <w:tcW w:w="140" w:type="dxa"/>
            <w:vAlign w:val="bottom"/>
            <w:tcBorders>
              <w:bottom w:val="single" w:sz="8" w:color="424E6A"/>
            </w:tcBorders>
            <w:shd w:val="clear" w:color="auto" w:fill="424E6A"/>
          </w:tcPr>
          <w:p>
            <w:pPr>
              <w:ind w:left="10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(Loss)</w:t>
            </w:r>
          </w:p>
        </w:tc>
        <w:tc>
          <w:tcPr>
            <w:tcW w:w="1220" w:type="dxa"/>
            <w:vAlign w:val="bottom"/>
            <w:tcBorders>
              <w:bottom w:val="single" w:sz="8" w:color="424E6A"/>
            </w:tcBorders>
            <w:shd w:val="clear" w:color="auto" w:fill="424E6A"/>
          </w:tcPr>
          <w:p>
            <w:pPr>
              <w:jc w:val="center"/>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to PAA    </w:t>
            </w:r>
            <w:r>
              <w:rPr>
                <w:rFonts w:ascii="Arial" w:cs="Arial" w:eastAsia="Arial" w:hAnsi="Arial"/>
                <w:sz w:val="22"/>
                <w:szCs w:val="22"/>
                <w:b w:val="1"/>
                <w:bCs w:val="1"/>
                <w:color w:val="FFFFFF"/>
                <w:vertAlign w:val="subscript"/>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424E6A"/>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​2022</w:t>
            </w:r>
          </w:p>
        </w:tc>
        <w:tc>
          <w:tcPr>
            <w:tcW w:w="5800" w:type="dxa"/>
            <w:vAlign w:val="bottom"/>
            <w:gridSpan w:val="8"/>
          </w:tcPr>
          <w:p>
            <w:pPr>
              <w:jc w:val="right"/>
              <w:spacing w:after="0"/>
              <w:rPr>
                <w:sz w:val="20"/>
                <w:szCs w:val="20"/>
                <w:color w:val="auto"/>
              </w:rPr>
            </w:pPr>
            <w:r>
              <w:rPr>
                <w:rFonts w:ascii="Arial" w:cs="Arial" w:eastAsia="Arial" w:hAnsi="Arial"/>
                <w:sz w:val="18"/>
                <w:szCs w:val="18"/>
                <w:color w:val="auto"/>
              </w:rPr>
              <w:t>​ ​ ​$8,296,140 ​​ ​​$14,459,710​​ ​ ​$4,387,570 ​​ ​ ​$8,142,198 ​​ ​ ​$ 81.51</w:t>
            </w:r>
          </w:p>
        </w:tc>
        <w:tc>
          <w:tcPr>
            <w:tcW w:w="2180" w:type="dxa"/>
            <w:vAlign w:val="bottom"/>
            <w:gridSpan w:val="5"/>
          </w:tcPr>
          <w:p>
            <w:pPr>
              <w:ind w:left="20"/>
              <w:spacing w:after="0"/>
              <w:rPr>
                <w:sz w:val="20"/>
                <w:szCs w:val="20"/>
                <w:color w:val="auto"/>
              </w:rPr>
            </w:pPr>
            <w:r>
              <w:rPr>
                <w:rFonts w:ascii="Arial" w:cs="Arial" w:eastAsia="Arial" w:hAnsi="Arial"/>
                <w:sz w:val="18"/>
                <w:szCs w:val="18"/>
                <w:color w:val="auto"/>
              </w:rPr>
              <w:t>​​ ​​$128.92​​ ​ $1.23 billion</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 ​$2.51 billion ​</w:t>
            </w:r>
          </w:p>
        </w:tc>
        <w:tc>
          <w:tcPr>
            <w:tcW w:w="0" w:type="dxa"/>
            <w:vAlign w:val="bottom"/>
          </w:tcPr>
          <w:p>
            <w:pPr>
              <w:spacing w:after="0"/>
              <w:rPr>
                <w:sz w:val="1"/>
                <w:szCs w:val="1"/>
                <w:color w:val="auto"/>
              </w:rPr>
            </w:pPr>
          </w:p>
        </w:tc>
      </w:tr>
      <w:tr>
        <w:trPr>
          <w:trHeight w:val="256"/>
        </w:trPr>
        <w:tc>
          <w:tcPr>
            <w:tcW w:w="20" w:type="dxa"/>
            <w:vAlign w:val="bottom"/>
            <w:shd w:val="clear" w:color="auto" w:fill="424E6A"/>
          </w:tcPr>
          <w:p>
            <w:pPr>
              <w:spacing w:after="0"/>
              <w:rPr>
                <w:sz w:val="22"/>
                <w:szCs w:val="22"/>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lightGray"/>
              </w:rPr>
              <w:t>2021</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highlight w:val="lightGray"/>
              </w:rPr>
              <w:t>​ ​ ​$4,392,210 ​​ ​​$</w:t>
            </w:r>
          </w:p>
        </w:tc>
        <w:tc>
          <w:tcPr>
            <w:tcW w:w="4180" w:type="dxa"/>
            <w:vAlign w:val="bottom"/>
            <w:gridSpan w:val="6"/>
          </w:tcPr>
          <w:p>
            <w:pPr>
              <w:jc w:val="right"/>
              <w:spacing w:after="0"/>
              <w:rPr>
                <w:sz w:val="20"/>
                <w:szCs w:val="20"/>
                <w:color w:val="auto"/>
              </w:rPr>
            </w:pPr>
            <w:r>
              <w:rPr>
                <w:rFonts w:ascii="Arial" w:cs="Arial" w:eastAsia="Arial" w:hAnsi="Arial"/>
                <w:sz w:val="18"/>
                <w:szCs w:val="18"/>
                <w:color w:val="auto"/>
                <w:highlight w:val="lightGray"/>
              </w:rPr>
              <w:t>4,792,883​​ ​ ​$2,147,374 ​​ ​ ​$2,385,698 ​​ ​ ​$ 60.08</w:t>
            </w:r>
          </w:p>
        </w:tc>
        <w:tc>
          <w:tcPr>
            <w:tcW w:w="2180" w:type="dxa"/>
            <w:vAlign w:val="bottom"/>
            <w:gridSpan w:val="5"/>
          </w:tcPr>
          <w:p>
            <w:pPr>
              <w:ind w:left="20"/>
              <w:spacing w:after="0"/>
              <w:rPr>
                <w:sz w:val="20"/>
                <w:szCs w:val="20"/>
                <w:color w:val="auto"/>
              </w:rPr>
            </w:pPr>
            <w:r>
              <w:rPr>
                <w:rFonts w:ascii="Arial" w:cs="Arial" w:eastAsia="Arial" w:hAnsi="Arial"/>
                <w:sz w:val="18"/>
                <w:szCs w:val="18"/>
                <w:color w:val="auto"/>
                <w:highlight w:val="lightGray"/>
              </w:rPr>
              <w:t>​​ ​​$106.08​​ ​ $648 million</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highlight w:val="lightGray"/>
              </w:rPr>
              <w:t xml:space="preserve">​ ​$2.20 billion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0" w:type="dxa"/>
            <w:vAlign w:val="bottom"/>
            <w:shd w:val="clear" w:color="auto" w:fill="424E6A"/>
          </w:tcPr>
          <w:p>
            <w:pPr>
              <w:spacing w:after="0"/>
              <w:rPr>
                <w:sz w:val="24"/>
                <w:szCs w:val="24"/>
                <w:color w:val="auto"/>
              </w:rPr>
            </w:pPr>
          </w:p>
        </w:tc>
        <w:tc>
          <w:tcPr>
            <w:tcW w:w="500" w:type="dxa"/>
            <w:vAlign w:val="bottom"/>
          </w:tcPr>
          <w:p>
            <w:pPr>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2020</w:t>
            </w:r>
          </w:p>
        </w:tc>
        <w:tc>
          <w:tcPr>
            <w:tcW w:w="1620" w:type="dxa"/>
            <w:vAlign w:val="bottom"/>
            <w:gridSpan w:val="2"/>
          </w:tcPr>
          <w:p>
            <w:pPr>
              <w:ind w:left="80"/>
              <w:spacing w:after="0" w:line="297" w:lineRule="exact"/>
              <w:rPr>
                <w:sz w:val="20"/>
                <w:szCs w:val="20"/>
                <w:color w:val="auto"/>
              </w:rPr>
            </w:pPr>
            <w:r>
              <w:rPr>
                <w:rFonts w:ascii="Arial" w:cs="Arial" w:eastAsia="Arial" w:hAnsi="Arial"/>
                <w:sz w:val="34"/>
                <w:szCs w:val="34"/>
                <w:color w:val="auto"/>
                <w:vertAlign w:val="subscript"/>
              </w:rPr>
              <w:t>​ ​ ​</w:t>
            </w:r>
            <w:r>
              <w:rPr>
                <w:rFonts w:ascii="Arial" w:cs="Arial" w:eastAsia="Arial" w:hAnsi="Arial"/>
                <w:sz w:val="18"/>
                <w:szCs w:val="18"/>
                <w:color w:val="auto"/>
              </w:rPr>
              <w:t xml:space="preserve">$4,290,241 </w:t>
            </w:r>
            <w:r>
              <w:rPr>
                <w:rFonts w:ascii="Arial" w:cs="Arial" w:eastAsia="Arial" w:hAnsi="Arial"/>
                <w:sz w:val="34"/>
                <w:szCs w:val="34"/>
                <w:color w:val="auto"/>
                <w:vertAlign w:val="subscript"/>
              </w:rPr>
              <w:t>​​ ​​</w:t>
            </w:r>
            <w:r>
              <w:rPr>
                <w:rFonts w:ascii="Arial" w:cs="Arial" w:eastAsia="Arial" w:hAnsi="Arial"/>
                <w:sz w:val="18"/>
                <w:szCs w:val="18"/>
                <w:color w:val="auto"/>
              </w:rPr>
              <w:t>$</w:t>
            </w:r>
          </w:p>
        </w:tc>
        <w:tc>
          <w:tcPr>
            <w:tcW w:w="4180" w:type="dxa"/>
            <w:vAlign w:val="bottom"/>
            <w:gridSpan w:val="6"/>
          </w:tcPr>
          <w:p>
            <w:pPr>
              <w:jc w:val="right"/>
              <w:spacing w:after="0" w:line="297" w:lineRule="exact"/>
              <w:rPr>
                <w:sz w:val="20"/>
                <w:szCs w:val="20"/>
                <w:color w:val="auto"/>
              </w:rPr>
            </w:pPr>
            <w:r>
              <w:rPr>
                <w:rFonts w:ascii="Arial" w:cs="Arial" w:eastAsia="Arial" w:hAnsi="Arial"/>
                <w:sz w:val="18"/>
                <w:szCs w:val="18"/>
                <w:color w:val="auto"/>
              </w:rPr>
              <w:t>2,401,749</w:t>
            </w:r>
            <w:r>
              <w:rPr>
                <w:rFonts w:ascii="Arial" w:cs="Arial" w:eastAsia="Arial" w:hAnsi="Arial"/>
                <w:sz w:val="34"/>
                <w:szCs w:val="34"/>
                <w:color w:val="auto"/>
                <w:vertAlign w:val="subscript"/>
              </w:rPr>
              <w:t>​​ ​ ​</w:t>
            </w:r>
            <w:r>
              <w:rPr>
                <w:rFonts w:ascii="Arial" w:cs="Arial" w:eastAsia="Arial" w:hAnsi="Arial"/>
                <w:sz w:val="18"/>
                <w:szCs w:val="18"/>
                <w:color w:val="auto"/>
              </w:rPr>
              <w:t xml:space="preserve">$1,957,177 </w:t>
            </w:r>
            <w:r>
              <w:rPr>
                <w:rFonts w:ascii="Arial" w:cs="Arial" w:eastAsia="Arial" w:hAnsi="Arial"/>
                <w:sz w:val="34"/>
                <w:szCs w:val="34"/>
                <w:color w:val="auto"/>
                <w:vertAlign w:val="subscript"/>
              </w:rPr>
              <w:t>​​ ​ ​</w:t>
            </w:r>
            <w:r>
              <w:rPr>
                <w:rFonts w:ascii="Arial" w:cs="Arial" w:eastAsia="Arial" w:hAnsi="Arial"/>
                <w:sz w:val="18"/>
                <w:szCs w:val="18"/>
                <w:color w:val="auto"/>
              </w:rPr>
              <w:t xml:space="preserve">$  429,822 </w:t>
            </w:r>
            <w:r>
              <w:rPr>
                <w:rFonts w:ascii="Arial" w:cs="Arial" w:eastAsia="Arial" w:hAnsi="Arial"/>
                <w:sz w:val="34"/>
                <w:szCs w:val="34"/>
                <w:color w:val="auto"/>
                <w:vertAlign w:val="subscript"/>
              </w:rPr>
              <w:t>​​ ​ ​</w:t>
            </w:r>
            <w:r>
              <w:rPr>
                <w:rFonts w:ascii="Arial" w:cs="Arial" w:eastAsia="Arial" w:hAnsi="Arial"/>
                <w:sz w:val="18"/>
                <w:szCs w:val="18"/>
                <w:color w:val="auto"/>
              </w:rPr>
              <w:t>$ 49.18</w:t>
            </w:r>
          </w:p>
        </w:tc>
        <w:tc>
          <w:tcPr>
            <w:tcW w:w="380" w:type="dxa"/>
            <w:vAlign w:val="bottom"/>
          </w:tcPr>
          <w:p>
            <w:pPr>
              <w:ind w:left="20"/>
              <w:spacing w:after="0" w:line="297" w:lineRule="exact"/>
              <w:rPr>
                <w:sz w:val="20"/>
                <w:szCs w:val="20"/>
                <w:color w:val="auto"/>
              </w:rPr>
            </w:pPr>
            <w:r>
              <w:rPr>
                <w:rFonts w:ascii="Arial" w:cs="Arial" w:eastAsia="Arial" w:hAnsi="Arial"/>
                <w:sz w:val="18"/>
                <w:szCs w:val="18"/>
                <w:color w:val="auto"/>
              </w:rPr>
              <w:t>​​ ​​</w:t>
            </w:r>
            <w:r>
              <w:rPr>
                <w:rFonts w:ascii="Arial" w:cs="Arial" w:eastAsia="Arial" w:hAnsi="Arial"/>
                <w:sz w:val="34"/>
                <w:szCs w:val="34"/>
                <w:color w:val="auto"/>
                <w:vertAlign w:val="superscript"/>
              </w:rPr>
              <w:t>$</w:t>
            </w:r>
          </w:p>
        </w:tc>
        <w:tc>
          <w:tcPr>
            <w:tcW w:w="3040" w:type="dxa"/>
            <w:vAlign w:val="bottom"/>
            <w:gridSpan w:val="6"/>
          </w:tcPr>
          <w:p>
            <w:pPr>
              <w:ind w:left="100"/>
              <w:spacing w:after="0" w:line="297" w:lineRule="exact"/>
              <w:rPr>
                <w:sz w:val="20"/>
                <w:szCs w:val="20"/>
                <w:color w:val="auto"/>
              </w:rPr>
            </w:pPr>
            <w:r>
              <w:rPr>
                <w:rFonts w:ascii="Arial" w:cs="Arial" w:eastAsia="Arial" w:hAnsi="Arial"/>
                <w:sz w:val="18"/>
                <w:szCs w:val="18"/>
                <w:color w:val="auto"/>
              </w:rPr>
              <w:t>76.94</w:t>
            </w:r>
            <w:r>
              <w:rPr>
                <w:rFonts w:ascii="Arial" w:cs="Arial" w:eastAsia="Arial" w:hAnsi="Arial"/>
                <w:sz w:val="34"/>
                <w:szCs w:val="34"/>
                <w:color w:val="auto"/>
                <w:vertAlign w:val="subscript"/>
              </w:rPr>
              <w:t>​​ ​</w:t>
            </w:r>
            <w:r>
              <w:rPr>
                <w:rFonts w:ascii="Arial" w:cs="Arial" w:eastAsia="Arial" w:hAnsi="Arial"/>
                <w:sz w:val="18"/>
                <w:szCs w:val="18"/>
                <w:color w:val="auto"/>
              </w:rPr>
              <w:t xml:space="preserve">$(2.58 billion) </w:t>
            </w:r>
            <w:r>
              <w:rPr>
                <w:rFonts w:ascii="Arial" w:cs="Arial" w:eastAsia="Arial" w:hAnsi="Arial"/>
                <w:sz w:val="34"/>
                <w:szCs w:val="34"/>
                <w:color w:val="auto"/>
                <w:vertAlign w:val="subscript"/>
              </w:rPr>
              <w:t>​ ​</w:t>
            </w:r>
            <w:r>
              <w:rPr>
                <w:rFonts w:ascii="Arial" w:cs="Arial" w:eastAsia="Arial" w:hAnsi="Arial"/>
                <w:sz w:val="18"/>
                <w:szCs w:val="18"/>
                <w:color w:val="auto"/>
              </w:rPr>
              <w:t xml:space="preserve">$2.55 billion </w:t>
            </w:r>
            <w:r>
              <w:rPr>
                <w:rFonts w:ascii="Arial" w:cs="Arial" w:eastAsia="Arial" w:hAnsi="Arial"/>
                <w:sz w:val="34"/>
                <w:szCs w:val="34"/>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shd w:val="clear" w:color="auto" w:fill="424E6A"/>
          </w:tcPr>
          <w:p>
            <w:pPr>
              <w:spacing w:after="0" w:line="20" w:lineRule="exact"/>
              <w:rPr>
                <w:sz w:val="1"/>
                <w:szCs w:val="1"/>
                <w:color w:val="auto"/>
              </w:rPr>
            </w:pPr>
          </w:p>
        </w:tc>
        <w:tc>
          <w:tcPr>
            <w:tcW w:w="500" w:type="dxa"/>
            <w:vAlign w:val="bottom"/>
            <w:shd w:val="clear" w:color="auto" w:fill="424E6A"/>
          </w:tcPr>
          <w:p>
            <w:pPr>
              <w:spacing w:after="0" w:line="20" w:lineRule="exact"/>
              <w:rPr>
                <w:sz w:val="1"/>
                <w:szCs w:val="1"/>
                <w:color w:val="auto"/>
              </w:rPr>
            </w:pPr>
          </w:p>
        </w:tc>
        <w:tc>
          <w:tcPr>
            <w:tcW w:w="1260" w:type="dxa"/>
            <w:vAlign w:val="bottom"/>
            <w:shd w:val="clear" w:color="auto" w:fill="424E6A"/>
          </w:tcPr>
          <w:p>
            <w:pPr>
              <w:spacing w:after="0" w:line="20" w:lineRule="exact"/>
              <w:rPr>
                <w:sz w:val="1"/>
                <w:szCs w:val="1"/>
                <w:color w:val="auto"/>
              </w:rPr>
            </w:pPr>
          </w:p>
        </w:tc>
        <w:tc>
          <w:tcPr>
            <w:tcW w:w="360" w:type="dxa"/>
            <w:vAlign w:val="bottom"/>
            <w:shd w:val="clear" w:color="auto" w:fill="424E6A"/>
          </w:tcPr>
          <w:p>
            <w:pPr>
              <w:spacing w:after="0" w:line="20" w:lineRule="exact"/>
              <w:rPr>
                <w:sz w:val="1"/>
                <w:szCs w:val="1"/>
                <w:color w:val="auto"/>
              </w:rPr>
            </w:pPr>
          </w:p>
        </w:tc>
        <w:tc>
          <w:tcPr>
            <w:tcW w:w="1060" w:type="dxa"/>
            <w:vAlign w:val="bottom"/>
            <w:shd w:val="clear" w:color="auto" w:fill="424E6A"/>
          </w:tcPr>
          <w:p>
            <w:pPr>
              <w:spacing w:after="0" w:line="20" w:lineRule="exact"/>
              <w:rPr>
                <w:sz w:val="1"/>
                <w:szCs w:val="1"/>
                <w:color w:val="auto"/>
              </w:rPr>
            </w:pPr>
          </w:p>
        </w:tc>
        <w:tc>
          <w:tcPr>
            <w:tcW w:w="1040" w:type="dxa"/>
            <w:vAlign w:val="bottom"/>
            <w:shd w:val="clear" w:color="auto" w:fill="424E6A"/>
          </w:tcPr>
          <w:p>
            <w:pPr>
              <w:spacing w:after="0" w:line="20" w:lineRule="exact"/>
              <w:rPr>
                <w:sz w:val="1"/>
                <w:szCs w:val="1"/>
                <w:color w:val="auto"/>
              </w:rPr>
            </w:pPr>
          </w:p>
        </w:tc>
        <w:tc>
          <w:tcPr>
            <w:tcW w:w="1220" w:type="dxa"/>
            <w:vAlign w:val="bottom"/>
            <w:shd w:val="clear" w:color="auto" w:fill="424E6A"/>
          </w:tcPr>
          <w:p>
            <w:pPr>
              <w:spacing w:after="0" w:line="20" w:lineRule="exact"/>
              <w:rPr>
                <w:sz w:val="1"/>
                <w:szCs w:val="1"/>
                <w:color w:val="auto"/>
              </w:rPr>
            </w:pPr>
          </w:p>
        </w:tc>
        <w:tc>
          <w:tcPr>
            <w:tcW w:w="100" w:type="dxa"/>
            <w:vAlign w:val="bottom"/>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680" w:type="dxa"/>
            <w:vAlign w:val="bottom"/>
            <w:shd w:val="clear" w:color="auto" w:fill="424E6A"/>
          </w:tcPr>
          <w:p>
            <w:pPr>
              <w:spacing w:after="0" w:line="20" w:lineRule="exact"/>
              <w:rPr>
                <w:sz w:val="1"/>
                <w:szCs w:val="1"/>
                <w:color w:val="auto"/>
              </w:rPr>
            </w:pPr>
          </w:p>
        </w:tc>
        <w:tc>
          <w:tcPr>
            <w:tcW w:w="380" w:type="dxa"/>
            <w:vAlign w:val="bottom"/>
            <w:shd w:val="clear" w:color="auto" w:fill="424E6A"/>
          </w:tcPr>
          <w:p>
            <w:pPr>
              <w:spacing w:after="0" w:line="20" w:lineRule="exact"/>
              <w:rPr>
                <w:sz w:val="1"/>
                <w:szCs w:val="1"/>
                <w:color w:val="auto"/>
              </w:rPr>
            </w:pPr>
          </w:p>
        </w:tc>
        <w:tc>
          <w:tcPr>
            <w:tcW w:w="500" w:type="dxa"/>
            <w:vAlign w:val="bottom"/>
            <w:shd w:val="clear" w:color="auto" w:fill="424E6A"/>
          </w:tcPr>
          <w:p>
            <w:pPr>
              <w:spacing w:after="0" w:line="20" w:lineRule="exact"/>
              <w:rPr>
                <w:sz w:val="1"/>
                <w:szCs w:val="1"/>
                <w:color w:val="auto"/>
              </w:rPr>
            </w:pPr>
          </w:p>
        </w:tc>
        <w:tc>
          <w:tcPr>
            <w:tcW w:w="140" w:type="dxa"/>
            <w:vAlign w:val="bottom"/>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1080" w:type="dxa"/>
            <w:vAlign w:val="bottom"/>
            <w:shd w:val="clear" w:color="auto" w:fill="424E6A"/>
          </w:tcPr>
          <w:p>
            <w:pPr>
              <w:spacing w:after="0" w:line="20" w:lineRule="exact"/>
              <w:rPr>
                <w:sz w:val="1"/>
                <w:szCs w:val="1"/>
                <w:color w:val="auto"/>
              </w:rPr>
            </w:pPr>
          </w:p>
        </w:tc>
        <w:tc>
          <w:tcPr>
            <w:tcW w:w="1220" w:type="dxa"/>
            <w:vAlign w:val="bottom"/>
            <w:shd w:val="clear" w:color="auto" w:fill="424E6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6483350</wp:posOffset>
            </wp:positionH>
            <wp:positionV relativeFrom="paragraph">
              <wp:posOffset>-522605</wp:posOffset>
            </wp:positionV>
            <wp:extent cx="8255" cy="523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523240"/>
                    </a:xfrm>
                    <a:prstGeom prst="rect">
                      <a:avLst/>
                    </a:prstGeom>
                    <a:noFill/>
                  </pic:spPr>
                </pic:pic>
              </a:graphicData>
            </a:graphic>
          </wp:anchor>
        </w:drawing>
      </w:r>
    </w:p>
    <w:p>
      <w:pPr>
        <w:spacing w:after="0" w:line="177" w:lineRule="exact"/>
        <w:rPr>
          <w:sz w:val="20"/>
          <w:szCs w:val="20"/>
          <w:color w:val="auto"/>
        </w:rPr>
      </w:pPr>
    </w:p>
    <w:p>
      <w:pPr>
        <w:ind w:left="1620" w:right="1220" w:hanging="360"/>
        <w:spacing w:after="0" w:line="210" w:lineRule="auto"/>
        <w:tabs>
          <w:tab w:leader="none" w:pos="1620" w:val="left"/>
        </w:tabs>
        <w:numPr>
          <w:ilvl w:val="0"/>
          <w:numId w:val="70"/>
        </w:numPr>
        <w:rPr>
          <w:rFonts w:ascii="Arial" w:cs="Arial" w:eastAsia="Arial" w:hAnsi="Arial"/>
          <w:sz w:val="27"/>
          <w:szCs w:val="27"/>
          <w:color w:val="auto"/>
          <w:vertAlign w:val="superscript"/>
        </w:rPr>
      </w:pPr>
      <w:r>
        <w:rPr>
          <w:rFonts w:ascii="Arial" w:cs="Arial" w:eastAsia="Arial" w:hAnsi="Arial"/>
          <w:sz w:val="18"/>
          <w:szCs w:val="18"/>
          <w:color w:val="auto"/>
        </w:rPr>
        <w:t>For each of the years presented, our PEO is Willie Chiang and our Non-PEO NEOs are Harry Pefanis, Al Swanson, Richard McGee, Chris Chandler and Jeremy Goebel.</w:t>
      </w:r>
    </w:p>
    <w:p>
      <w:pPr>
        <w:spacing w:after="0" w:line="73" w:lineRule="exact"/>
        <w:rPr>
          <w:rFonts w:ascii="Arial" w:cs="Arial" w:eastAsia="Arial" w:hAnsi="Arial"/>
          <w:sz w:val="27"/>
          <w:szCs w:val="27"/>
          <w:color w:val="auto"/>
          <w:vertAlign w:val="superscript"/>
        </w:rPr>
      </w:pPr>
    </w:p>
    <w:p>
      <w:pPr>
        <w:ind w:left="1620" w:right="920" w:hanging="360"/>
        <w:spacing w:after="0" w:line="232" w:lineRule="auto"/>
        <w:tabs>
          <w:tab w:leader="none" w:pos="1620" w:val="left"/>
        </w:tabs>
        <w:numPr>
          <w:ilvl w:val="0"/>
          <w:numId w:val="70"/>
        </w:numPr>
        <w:rPr>
          <w:rFonts w:ascii="Arial" w:cs="Arial" w:eastAsia="Arial" w:hAnsi="Arial"/>
          <w:sz w:val="27"/>
          <w:szCs w:val="27"/>
          <w:color w:val="auto"/>
          <w:vertAlign w:val="superscript"/>
        </w:rPr>
      </w:pPr>
      <w:r>
        <w:rPr>
          <w:rFonts w:ascii="Arial" w:cs="Arial" w:eastAsia="Arial" w:hAnsi="Arial"/>
          <w:sz w:val="18"/>
          <w:szCs w:val="18"/>
          <w:color w:val="auto"/>
        </w:rPr>
        <w:t>The dollar amounts shown in these columns reflect CAP as calculated in accordance with SEC rules. As required, the dollar amounts include (among other items) values for unvested equity compensation that may or may not be realized in future periods, and as such, the dollar amounts shown do not necessarily represent the actual amount of compensation earned or paid during the applicable years.</w:t>
      </w:r>
    </w:p>
    <w:p>
      <w:pPr>
        <w:spacing w:after="0" w:line="74" w:lineRule="exact"/>
        <w:rPr>
          <w:rFonts w:ascii="Arial" w:cs="Arial" w:eastAsia="Arial" w:hAnsi="Arial"/>
          <w:sz w:val="27"/>
          <w:szCs w:val="27"/>
          <w:color w:val="auto"/>
          <w:vertAlign w:val="superscript"/>
        </w:rPr>
      </w:pPr>
    </w:p>
    <w:p>
      <w:pPr>
        <w:ind w:left="1620" w:right="940" w:hanging="360"/>
        <w:spacing w:after="0" w:line="228" w:lineRule="auto"/>
        <w:tabs>
          <w:tab w:leader="none" w:pos="1620" w:val="left"/>
        </w:tabs>
        <w:numPr>
          <w:ilvl w:val="0"/>
          <w:numId w:val="70"/>
        </w:numPr>
        <w:rPr>
          <w:rFonts w:ascii="Arial" w:cs="Arial" w:eastAsia="Arial" w:hAnsi="Arial"/>
          <w:sz w:val="27"/>
          <w:szCs w:val="27"/>
          <w:color w:val="auto"/>
          <w:vertAlign w:val="superscript"/>
        </w:rPr>
      </w:pPr>
      <w:r>
        <w:rPr>
          <w:rFonts w:ascii="Arial" w:cs="Arial" w:eastAsia="Arial" w:hAnsi="Arial"/>
          <w:sz w:val="18"/>
          <w:szCs w:val="18"/>
          <w:color w:val="auto"/>
        </w:rPr>
        <w:t>TSR figures assume an initial investment of $100 in PAA on December 31, 2019. The peer group referenced for purposes of the TSR comparison is the group of companies included in the Alerian Midstream Energy Index, which is the same index used for purposes of Item 201(e) of Regulation S-K.</w:t>
      </w:r>
    </w:p>
    <w:p>
      <w:pPr>
        <w:spacing w:after="0" w:line="37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99" w:firstLine="360"/>
        <w:spacing w:after="0" w:line="287" w:lineRule="auto"/>
        <w:rPr>
          <w:sz w:val="20"/>
          <w:szCs w:val="20"/>
          <w:color w:val="auto"/>
        </w:rPr>
      </w:pPr>
      <w:r>
        <w:rPr>
          <w:rFonts w:ascii="Arial" w:cs="Arial" w:eastAsia="Arial" w:hAnsi="Arial"/>
          <w:sz w:val="18"/>
          <w:szCs w:val="18"/>
          <w:color w:val="auto"/>
        </w:rPr>
        <w:t>The adjustments made to the Summary Compensation Table (“SCT”) amounts to determine CAP are shown in the tables below:</w:t>
      </w:r>
    </w:p>
    <w:p>
      <w:pPr>
        <w:spacing w:after="0" w:line="5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PEO — Reconciliation of SCT Total to CAP Total</w:t>
      </w:r>
      <w:r>
        <w:rPr>
          <w:rFonts w:ascii="Arial" w:cs="Arial" w:eastAsia="Arial" w:hAnsi="Arial"/>
          <w:sz w:val="26"/>
          <w:szCs w:val="26"/>
          <w:u w:val="single" w:color="auto"/>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100965</wp:posOffset>
            </wp:positionV>
            <wp:extent cx="34290" cy="4972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97205"/>
                    </a:xfrm>
                    <a:prstGeom prst="rect">
                      <a:avLst/>
                    </a:prstGeom>
                    <a:noFill/>
                  </pic:spPr>
                </pic:pic>
              </a:graphicData>
            </a:graphic>
          </wp:anchor>
        </w:drawing>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247"/>
        </w:trPr>
        <w:tc>
          <w:tcPr>
            <w:tcW w:w="20" w:type="dxa"/>
            <w:vAlign w:val="bottom"/>
            <w:tcBorders>
              <w:top w:val="single" w:sz="8" w:color="424E6A"/>
            </w:tcBorders>
          </w:tcPr>
          <w:p>
            <w:pPr>
              <w:spacing w:after="0"/>
              <w:rPr>
                <w:sz w:val="21"/>
                <w:szCs w:val="21"/>
                <w:color w:val="auto"/>
              </w:rPr>
            </w:pPr>
          </w:p>
        </w:tc>
        <w:tc>
          <w:tcPr>
            <w:tcW w:w="1060" w:type="dxa"/>
            <w:vAlign w:val="bottom"/>
            <w:tcBorders>
              <w:top w:val="single" w:sz="8" w:color="424E6A"/>
            </w:tcBorders>
            <w:shd w:val="clear" w:color="auto" w:fill="424E6A"/>
          </w:tcPr>
          <w:p>
            <w:pPr>
              <w:spacing w:after="0"/>
              <w:rPr>
                <w:sz w:val="21"/>
                <w:szCs w:val="21"/>
                <w:color w:val="auto"/>
              </w:rPr>
            </w:pPr>
          </w:p>
        </w:tc>
        <w:tc>
          <w:tcPr>
            <w:tcW w:w="700" w:type="dxa"/>
            <w:vAlign w:val="bottom"/>
            <w:tcBorders>
              <w:top w:val="single" w:sz="8" w:color="424E6A"/>
              <w:right w:val="single" w:sz="8" w:color="424E6A"/>
            </w:tcBorders>
            <w:shd w:val="clear" w:color="auto" w:fill="424E6A"/>
          </w:tcPr>
          <w:p>
            <w:pPr>
              <w:spacing w:after="0"/>
              <w:rPr>
                <w:sz w:val="21"/>
                <w:szCs w:val="21"/>
                <w:color w:val="auto"/>
              </w:rPr>
            </w:pPr>
          </w:p>
        </w:tc>
        <w:tc>
          <w:tcPr>
            <w:tcW w:w="1040" w:type="dxa"/>
            <w:vAlign w:val="bottom"/>
            <w:tcBorders>
              <w:top w:val="single" w:sz="8" w:color="424E6A"/>
            </w:tcBorders>
            <w:shd w:val="clear" w:color="auto" w:fill="424E6A"/>
          </w:tcPr>
          <w:p>
            <w:pPr>
              <w:spacing w:after="0"/>
              <w:rPr>
                <w:sz w:val="21"/>
                <w:szCs w:val="21"/>
                <w:color w:val="auto"/>
              </w:rPr>
            </w:pPr>
          </w:p>
        </w:tc>
        <w:tc>
          <w:tcPr>
            <w:tcW w:w="80" w:type="dxa"/>
            <w:vAlign w:val="bottom"/>
            <w:tcBorders>
              <w:top w:val="single" w:sz="8" w:color="424E6A"/>
              <w:right w:val="single" w:sz="8" w:color="424E6A"/>
            </w:tcBorders>
            <w:shd w:val="clear" w:color="auto" w:fill="424E6A"/>
          </w:tcPr>
          <w:p>
            <w:pPr>
              <w:spacing w:after="0"/>
              <w:rPr>
                <w:sz w:val="21"/>
                <w:szCs w:val="21"/>
                <w:color w:val="auto"/>
              </w:rPr>
            </w:pPr>
          </w:p>
        </w:tc>
        <w:tc>
          <w:tcPr>
            <w:tcW w:w="400" w:type="dxa"/>
            <w:vAlign w:val="bottom"/>
            <w:tcBorders>
              <w:top w:val="single" w:sz="8" w:color="424E6A"/>
              <w:right w:val="single" w:sz="8" w:color="424E6A"/>
            </w:tcBorders>
            <w:shd w:val="clear" w:color="auto" w:fill="424E6A"/>
          </w:tcPr>
          <w:p>
            <w:pPr>
              <w:spacing w:after="0"/>
              <w:rPr>
                <w:sz w:val="21"/>
                <w:szCs w:val="21"/>
                <w:color w:val="auto"/>
              </w:rPr>
            </w:pPr>
          </w:p>
        </w:tc>
        <w:tc>
          <w:tcPr>
            <w:tcW w:w="100" w:type="dxa"/>
            <w:vAlign w:val="bottom"/>
            <w:tcBorders>
              <w:top w:val="single" w:sz="8" w:color="424E6A"/>
            </w:tcBorders>
            <w:shd w:val="clear" w:color="auto" w:fill="424E6A"/>
          </w:tcPr>
          <w:p>
            <w:pPr>
              <w:spacing w:after="0"/>
              <w:rPr>
                <w:sz w:val="21"/>
                <w:szCs w:val="21"/>
                <w:color w:val="auto"/>
              </w:rPr>
            </w:pPr>
          </w:p>
        </w:tc>
        <w:tc>
          <w:tcPr>
            <w:tcW w:w="1120" w:type="dxa"/>
            <w:vAlign w:val="bottom"/>
            <w:tcBorders>
              <w:top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Grant Date Fair</w:t>
            </w:r>
          </w:p>
        </w:tc>
        <w:tc>
          <w:tcPr>
            <w:tcW w:w="140" w:type="dxa"/>
            <w:vAlign w:val="bottom"/>
            <w:tcBorders>
              <w:top w:val="single" w:sz="8" w:color="424E6A"/>
              <w:right w:val="single" w:sz="8" w:color="424E6A"/>
            </w:tcBorders>
            <w:shd w:val="clear" w:color="auto" w:fill="424E6A"/>
          </w:tcPr>
          <w:p>
            <w:pPr>
              <w:spacing w:after="0"/>
              <w:rPr>
                <w:sz w:val="21"/>
                <w:szCs w:val="21"/>
                <w:color w:val="auto"/>
              </w:rPr>
            </w:pPr>
          </w:p>
        </w:tc>
        <w:tc>
          <w:tcPr>
            <w:tcW w:w="320" w:type="dxa"/>
            <w:vAlign w:val="bottom"/>
            <w:tcBorders>
              <w:top w:val="single" w:sz="8" w:color="424E6A"/>
              <w:right w:val="single" w:sz="8" w:color="424E6A"/>
            </w:tcBorders>
            <w:shd w:val="clear" w:color="auto" w:fill="424E6A"/>
          </w:tcPr>
          <w:p>
            <w:pPr>
              <w:spacing w:after="0"/>
              <w:rPr>
                <w:sz w:val="21"/>
                <w:szCs w:val="21"/>
                <w:color w:val="auto"/>
              </w:rPr>
            </w:pPr>
          </w:p>
        </w:tc>
        <w:tc>
          <w:tcPr>
            <w:tcW w:w="80" w:type="dxa"/>
            <w:vAlign w:val="bottom"/>
            <w:tcBorders>
              <w:top w:val="single" w:sz="8" w:color="424E6A"/>
            </w:tcBorders>
            <w:shd w:val="clear" w:color="auto" w:fill="424E6A"/>
          </w:tcPr>
          <w:p>
            <w:pPr>
              <w:spacing w:after="0"/>
              <w:rPr>
                <w:sz w:val="21"/>
                <w:szCs w:val="21"/>
                <w:color w:val="auto"/>
              </w:rPr>
            </w:pPr>
          </w:p>
        </w:tc>
        <w:tc>
          <w:tcPr>
            <w:tcW w:w="340" w:type="dxa"/>
            <w:vAlign w:val="bottom"/>
            <w:tcBorders>
              <w:top w:val="single" w:sz="8" w:color="424E6A"/>
            </w:tcBorders>
            <w:shd w:val="clear" w:color="auto" w:fill="424E6A"/>
          </w:tcPr>
          <w:p>
            <w:pPr>
              <w:spacing w:after="0"/>
              <w:rPr>
                <w:sz w:val="21"/>
                <w:szCs w:val="21"/>
                <w:color w:val="auto"/>
              </w:rPr>
            </w:pPr>
          </w:p>
        </w:tc>
        <w:tc>
          <w:tcPr>
            <w:tcW w:w="1020" w:type="dxa"/>
            <w:vAlign w:val="bottom"/>
            <w:tcBorders>
              <w:top w:val="single" w:sz="8" w:color="424E6A"/>
            </w:tcBorders>
            <w:shd w:val="clear" w:color="auto" w:fill="424E6A"/>
          </w:tcPr>
          <w:p>
            <w:pPr>
              <w:spacing w:after="0"/>
              <w:rPr>
                <w:sz w:val="21"/>
                <w:szCs w:val="21"/>
                <w:color w:val="auto"/>
              </w:rPr>
            </w:pPr>
          </w:p>
        </w:tc>
        <w:tc>
          <w:tcPr>
            <w:tcW w:w="140" w:type="dxa"/>
            <w:vAlign w:val="bottom"/>
            <w:tcBorders>
              <w:top w:val="single" w:sz="8" w:color="424E6A"/>
              <w:right w:val="single" w:sz="8" w:color="424E6A"/>
            </w:tcBorders>
            <w:shd w:val="clear" w:color="auto" w:fill="424E6A"/>
          </w:tcPr>
          <w:p>
            <w:pPr>
              <w:spacing w:after="0"/>
              <w:rPr>
                <w:sz w:val="21"/>
                <w:szCs w:val="21"/>
                <w:color w:val="auto"/>
              </w:rPr>
            </w:pPr>
          </w:p>
        </w:tc>
        <w:tc>
          <w:tcPr>
            <w:tcW w:w="300" w:type="dxa"/>
            <w:vAlign w:val="bottom"/>
            <w:tcBorders>
              <w:top w:val="single" w:sz="8" w:color="424E6A"/>
              <w:right w:val="single" w:sz="8" w:color="424E6A"/>
            </w:tcBorders>
            <w:shd w:val="clear" w:color="auto" w:fill="424E6A"/>
          </w:tcPr>
          <w:p>
            <w:pPr>
              <w:spacing w:after="0"/>
              <w:rPr>
                <w:sz w:val="21"/>
                <w:szCs w:val="21"/>
                <w:color w:val="auto"/>
              </w:rPr>
            </w:pPr>
          </w:p>
        </w:tc>
        <w:tc>
          <w:tcPr>
            <w:tcW w:w="240" w:type="dxa"/>
            <w:vAlign w:val="bottom"/>
            <w:tcBorders>
              <w:top w:val="single" w:sz="8" w:color="424E6A"/>
            </w:tcBorders>
            <w:shd w:val="clear" w:color="auto" w:fill="424E6A"/>
          </w:tcPr>
          <w:p>
            <w:pPr>
              <w:spacing w:after="0"/>
              <w:rPr>
                <w:sz w:val="21"/>
                <w:szCs w:val="21"/>
                <w:color w:val="auto"/>
              </w:rPr>
            </w:pPr>
          </w:p>
        </w:tc>
        <w:tc>
          <w:tcPr>
            <w:tcW w:w="1120" w:type="dxa"/>
            <w:vAlign w:val="bottom"/>
            <w:tcBorders>
              <w:top w:val="single" w:sz="8" w:color="424E6A"/>
              <w:right w:val="single" w:sz="8" w:color="424E6A"/>
            </w:tcBorders>
            <w:shd w:val="clear" w:color="auto" w:fill="424E6A"/>
          </w:tcPr>
          <w:p>
            <w:pPr>
              <w:spacing w:after="0"/>
              <w:rPr>
                <w:sz w:val="21"/>
                <w:szCs w:val="21"/>
                <w:color w:val="auto"/>
              </w:rPr>
            </w:pPr>
          </w:p>
        </w:tc>
      </w:tr>
      <w:tr>
        <w:trPr>
          <w:trHeight w:val="162"/>
        </w:trPr>
        <w:tc>
          <w:tcPr>
            <w:tcW w:w="20" w:type="dxa"/>
            <w:vAlign w:val="bottom"/>
          </w:tcPr>
          <w:p>
            <w:pPr>
              <w:spacing w:after="0"/>
              <w:rPr>
                <w:sz w:val="14"/>
                <w:szCs w:val="14"/>
                <w:color w:val="auto"/>
              </w:rPr>
            </w:pPr>
          </w:p>
        </w:tc>
        <w:tc>
          <w:tcPr>
            <w:tcW w:w="1060" w:type="dxa"/>
            <w:vAlign w:val="bottom"/>
            <w:shd w:val="clear" w:color="auto" w:fill="424E6A"/>
          </w:tcPr>
          <w:p>
            <w:pPr>
              <w:spacing w:after="0"/>
              <w:rPr>
                <w:sz w:val="14"/>
                <w:szCs w:val="14"/>
                <w:color w:val="auto"/>
              </w:rPr>
            </w:pPr>
          </w:p>
        </w:tc>
        <w:tc>
          <w:tcPr>
            <w:tcW w:w="700" w:type="dxa"/>
            <w:vAlign w:val="bottom"/>
            <w:tcBorders>
              <w:right w:val="single" w:sz="8" w:color="424E6A"/>
            </w:tcBorders>
            <w:shd w:val="clear" w:color="auto" w:fill="424E6A"/>
          </w:tcPr>
          <w:p>
            <w:pPr>
              <w:spacing w:after="0"/>
              <w:rPr>
                <w:sz w:val="14"/>
                <w:szCs w:val="14"/>
                <w:color w:val="auto"/>
              </w:rPr>
            </w:pPr>
          </w:p>
        </w:tc>
        <w:tc>
          <w:tcPr>
            <w:tcW w:w="1040" w:type="dxa"/>
            <w:vAlign w:val="bottom"/>
            <w:shd w:val="clear" w:color="auto" w:fill="424E6A"/>
          </w:tcPr>
          <w:p>
            <w:pPr>
              <w:spacing w:after="0"/>
              <w:rPr>
                <w:sz w:val="14"/>
                <w:szCs w:val="14"/>
                <w:color w:val="auto"/>
              </w:rPr>
            </w:pPr>
          </w:p>
        </w:tc>
        <w:tc>
          <w:tcPr>
            <w:tcW w:w="8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1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of Awards</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3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 of Equity</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060" w:type="dxa"/>
            <w:vAlign w:val="bottom"/>
            <w:shd w:val="clear" w:color="auto" w:fill="424E6A"/>
          </w:tcPr>
          <w:p>
            <w:pPr>
              <w:spacing w:after="0"/>
              <w:rPr>
                <w:sz w:val="14"/>
                <w:szCs w:val="14"/>
                <w:color w:val="auto"/>
              </w:rPr>
            </w:pPr>
          </w:p>
        </w:tc>
        <w:tc>
          <w:tcPr>
            <w:tcW w:w="700" w:type="dxa"/>
            <w:vAlign w:val="bottom"/>
            <w:tcBorders>
              <w:right w:val="single" w:sz="8" w:color="424E6A"/>
            </w:tcBorders>
            <w:shd w:val="clear" w:color="auto" w:fill="424E6A"/>
          </w:tcPr>
          <w:p>
            <w:pPr>
              <w:spacing w:after="0"/>
              <w:rPr>
                <w:sz w:val="14"/>
                <w:szCs w:val="14"/>
                <w:color w:val="auto"/>
              </w:rPr>
            </w:pPr>
          </w:p>
        </w:tc>
        <w:tc>
          <w:tcPr>
            <w:tcW w:w="1040" w:type="dxa"/>
            <w:vAlign w:val="bottom"/>
            <w:shd w:val="clear" w:color="auto" w:fill="424E6A"/>
          </w:tcPr>
          <w:p>
            <w:pPr>
              <w:spacing w:after="0"/>
              <w:rPr>
                <w:sz w:val="14"/>
                <w:szCs w:val="14"/>
                <w:color w:val="auto"/>
              </w:rPr>
            </w:pPr>
          </w:p>
        </w:tc>
        <w:tc>
          <w:tcPr>
            <w:tcW w:w="8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1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Granted During</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3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Calculated Using</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spacing w:after="0"/>
              <w:rPr>
                <w:sz w:val="14"/>
                <w:szCs w:val="14"/>
                <w:color w:val="auto"/>
              </w:rPr>
            </w:pPr>
          </w:p>
        </w:tc>
      </w:tr>
      <w:tr>
        <w:trPr>
          <w:trHeight w:val="198"/>
        </w:trPr>
        <w:tc>
          <w:tcPr>
            <w:tcW w:w="20" w:type="dxa"/>
            <w:vAlign w:val="bottom"/>
            <w:tcBorders>
              <w:bottom w:val="single" w:sz="8" w:color="424E6A"/>
            </w:tcBorders>
          </w:tcPr>
          <w:p>
            <w:pPr>
              <w:spacing w:after="0"/>
              <w:rPr>
                <w:sz w:val="17"/>
                <w:szCs w:val="17"/>
                <w:color w:val="auto"/>
              </w:rPr>
            </w:pPr>
          </w:p>
        </w:tc>
        <w:tc>
          <w:tcPr>
            <w:tcW w:w="1060" w:type="dxa"/>
            <w:vAlign w:val="bottom"/>
            <w:tcBorders>
              <w:bottom w:val="single" w:sz="8" w:color="424E6A"/>
            </w:tcBorders>
            <w:shd w:val="clear" w:color="auto" w:fill="424E6A"/>
          </w:tcPr>
          <w:p>
            <w:pPr>
              <w:ind w:left="2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Year</w:t>
            </w:r>
          </w:p>
        </w:tc>
        <w:tc>
          <w:tcPr>
            <w:tcW w:w="1740" w:type="dxa"/>
            <w:vAlign w:val="bottom"/>
            <w:tcBorders>
              <w:bottom w:val="single" w:sz="8" w:color="424E6A"/>
            </w:tcBorders>
            <w:gridSpan w:val="2"/>
            <w:shd w:val="clear" w:color="auto" w:fill="424E6A"/>
          </w:tcPr>
          <w:p>
            <w:pPr>
              <w:ind w:left="62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SCT Total</w:t>
            </w:r>
          </w:p>
        </w:tc>
        <w:tc>
          <w:tcPr>
            <w:tcW w:w="580" w:type="dxa"/>
            <w:vAlign w:val="bottom"/>
            <w:tcBorders>
              <w:bottom w:val="single" w:sz="8" w:color="424E6A"/>
            </w:tcBorders>
            <w:gridSpan w:val="3"/>
            <w:shd w:val="clear" w:color="auto" w:fill="424E6A"/>
          </w:tcPr>
          <w:p>
            <w:pPr>
              <w:ind w:left="20"/>
              <w:spacing w:after="0"/>
              <w:rPr>
                <w:sz w:val="20"/>
                <w:szCs w:val="20"/>
                <w:color w:val="auto"/>
              </w:rPr>
            </w:pPr>
            <w:r>
              <w:rPr>
                <w:rFonts w:ascii="Arial" w:cs="Arial" w:eastAsia="Arial" w:hAnsi="Arial"/>
                <w:sz w:val="14"/>
                <w:szCs w:val="14"/>
                <w:b w:val="1"/>
                <w:bCs w:val="1"/>
                <w:color w:val="FFFFFF"/>
              </w:rPr>
              <w:t>​ ​   ​ ​</w:t>
            </w:r>
          </w:p>
        </w:tc>
        <w:tc>
          <w:tcPr>
            <w:tcW w:w="1120" w:type="dxa"/>
            <w:vAlign w:val="bottom"/>
            <w:tcBorders>
              <w:bottom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7"/>
              </w:rPr>
              <w:t>the Year</w:t>
            </w:r>
          </w:p>
        </w:tc>
        <w:tc>
          <w:tcPr>
            <w:tcW w:w="540" w:type="dxa"/>
            <w:vAlign w:val="bottom"/>
            <w:tcBorders>
              <w:bottom w:val="single" w:sz="8" w:color="424E6A"/>
            </w:tcBorders>
            <w:gridSpan w:val="3"/>
            <w:shd w:val="clear" w:color="auto" w:fill="424E6A"/>
          </w:tcPr>
          <w:p>
            <w:pPr>
              <w:jc w:val="right"/>
              <w:spacing w:after="0"/>
              <w:rPr>
                <w:sz w:val="20"/>
                <w:szCs w:val="20"/>
                <w:color w:val="auto"/>
              </w:rPr>
            </w:pPr>
            <w:r>
              <w:rPr>
                <w:rFonts w:ascii="Arial" w:cs="Arial" w:eastAsia="Arial" w:hAnsi="Arial"/>
                <w:sz w:val="14"/>
                <w:szCs w:val="14"/>
                <w:b w:val="1"/>
                <w:bCs w:val="1"/>
                <w:color w:val="FFFFFF"/>
              </w:rPr>
              <w:t>​ ​  ​ ​</w:t>
            </w:r>
          </w:p>
        </w:tc>
        <w:tc>
          <w:tcPr>
            <w:tcW w:w="1360" w:type="dxa"/>
            <w:vAlign w:val="bottom"/>
            <w:tcBorders>
              <w:bottom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SEC Methodology</w:t>
            </w:r>
          </w:p>
        </w:tc>
        <w:tc>
          <w:tcPr>
            <w:tcW w:w="680" w:type="dxa"/>
            <w:vAlign w:val="bottom"/>
            <w:tcBorders>
              <w:bottom w:val="single" w:sz="8" w:color="424E6A"/>
            </w:tcBorders>
            <w:gridSpan w:val="3"/>
            <w:shd w:val="clear" w:color="auto" w:fill="424E6A"/>
          </w:tcPr>
          <w:p>
            <w:pPr>
              <w:jc w:val="center"/>
              <w:ind w:right="23"/>
              <w:spacing w:after="0"/>
              <w:rPr>
                <w:sz w:val="20"/>
                <w:szCs w:val="20"/>
                <w:color w:val="auto"/>
              </w:rPr>
            </w:pPr>
            <w:r>
              <w:rPr>
                <w:rFonts w:ascii="Arial" w:cs="Arial" w:eastAsia="Arial" w:hAnsi="Arial"/>
                <w:sz w:val="14"/>
                <w:szCs w:val="14"/>
                <w:b w:val="1"/>
                <w:bCs w:val="1"/>
                <w:color w:val="FFFFFF"/>
              </w:rPr>
              <w:t>​ ​  ​ ​</w:t>
            </w:r>
          </w:p>
        </w:tc>
        <w:tc>
          <w:tcPr>
            <w:tcW w:w="1120" w:type="dxa"/>
            <w:vAlign w:val="bottom"/>
            <w:tcBorders>
              <w:bottom w:val="single" w:sz="8" w:color="424E6A"/>
              <w:right w:val="single" w:sz="8" w:color="424E6A"/>
            </w:tcBorders>
            <w:shd w:val="clear" w:color="auto" w:fill="424E6A"/>
          </w:tcPr>
          <w:p>
            <w:pPr>
              <w:jc w:val="right"/>
              <w:ind w:right="336"/>
              <w:spacing w:after="0"/>
              <w:rPr>
                <w:sz w:val="20"/>
                <w:szCs w:val="20"/>
                <w:color w:val="auto"/>
              </w:rPr>
            </w:pPr>
            <w:r>
              <w:rPr>
                <w:rFonts w:ascii="Arial" w:cs="Arial" w:eastAsia="Arial" w:hAnsi="Arial"/>
                <w:sz w:val="14"/>
                <w:szCs w:val="14"/>
                <w:b w:val="1"/>
                <w:bCs w:val="1"/>
                <w:color w:val="FFFFFF"/>
              </w:rPr>
              <w:t>CAP Total</w:t>
            </w:r>
          </w:p>
        </w:tc>
      </w:tr>
      <w:tr>
        <w:trPr>
          <w:trHeight w:val="250"/>
        </w:trPr>
        <w:tc>
          <w:tcPr>
            <w:tcW w:w="20" w:type="dxa"/>
            <w:vAlign w:val="bottom"/>
            <w:tcBorders>
              <w:bottom w:val="single" w:sz="8" w:color="424E6A"/>
            </w:tcBorders>
            <w:shd w:val="clear" w:color="auto" w:fill="424E6A"/>
          </w:tcPr>
          <w:p>
            <w:pPr>
              <w:spacing w:after="0"/>
              <w:rPr>
                <w:sz w:val="21"/>
                <w:szCs w:val="21"/>
                <w:color w:val="auto"/>
              </w:rPr>
            </w:pPr>
          </w:p>
        </w:tc>
        <w:tc>
          <w:tcPr>
            <w:tcW w:w="1060" w:type="dxa"/>
            <w:vAlign w:val="bottom"/>
            <w:tcBorders>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2022</w:t>
            </w:r>
          </w:p>
        </w:tc>
        <w:tc>
          <w:tcPr>
            <w:tcW w:w="700" w:type="dxa"/>
            <w:vAlign w:val="bottom"/>
            <w:tcBorders>
              <w:bottom w:val="single" w:sz="8" w:color="424E6A"/>
              <w:right w:val="single" w:sz="8" w:color="424E6A"/>
            </w:tcBorders>
          </w:tcPr>
          <w:p>
            <w:pPr>
              <w:ind w:left="6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$8,296,140</w:t>
            </w:r>
          </w:p>
        </w:tc>
        <w:tc>
          <w:tcPr>
            <w:tcW w:w="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$3,927,000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424E6A"/>
            </w:tcBorders>
            <w:gridSpan w:val="2"/>
          </w:tcPr>
          <w:p>
            <w:pPr>
              <w:jc w:val="right"/>
              <w:ind w:right="7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$10,090,570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360" w:type="dxa"/>
            <w:vAlign w:val="bottom"/>
            <w:tcBorders>
              <w:bottom w:val="single" w:sz="8" w:color="424E6A"/>
              <w:right w:val="single" w:sz="8" w:color="424E6A"/>
            </w:tcBorders>
            <w:gridSpan w:val="2"/>
          </w:tcPr>
          <w:p>
            <w:pPr>
              <w:jc w:val="right"/>
              <w:ind w:right="156"/>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$14,459,710</w:t>
            </w:r>
          </w:p>
        </w:tc>
      </w:tr>
      <w:tr>
        <w:trPr>
          <w:trHeight w:val="250"/>
        </w:trPr>
        <w:tc>
          <w:tcPr>
            <w:tcW w:w="20" w:type="dxa"/>
            <w:vAlign w:val="bottom"/>
            <w:tcBorders>
              <w:bottom w:val="single" w:sz="8" w:color="424E6A"/>
            </w:tcBorders>
            <w:shd w:val="clear" w:color="auto" w:fill="424E6A"/>
          </w:tcPr>
          <w:p>
            <w:pPr>
              <w:spacing w:after="0"/>
              <w:rPr>
                <w:sz w:val="21"/>
                <w:szCs w:val="21"/>
                <w:color w:val="auto"/>
              </w:rPr>
            </w:pPr>
          </w:p>
        </w:tc>
        <w:tc>
          <w:tcPr>
            <w:tcW w:w="1060" w:type="dxa"/>
            <w:vAlign w:val="bottom"/>
            <w:tcBorders>
              <w:bottom w:val="single" w:sz="8" w:color="424E6A"/>
            </w:tcBorders>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2021</w:t>
            </w:r>
          </w:p>
        </w:tc>
        <w:tc>
          <w:tcPr>
            <w:tcW w:w="700" w:type="dxa"/>
            <w:vAlign w:val="bottom"/>
            <w:tcBorders>
              <w:bottom w:val="single" w:sz="8" w:color="424E6A"/>
              <w:right w:val="single" w:sz="8" w:color="424E6A"/>
            </w:tcBorders>
            <w:shd w:val="clear" w:color="auto" w:fill="D9DCE1"/>
          </w:tcPr>
          <w:p>
            <w:pPr>
              <w:ind w:left="6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$4,392,210</w:t>
            </w:r>
          </w:p>
        </w:tc>
        <w:tc>
          <w:tcPr>
            <w:tcW w:w="8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highlight w:val="lightGray"/>
              </w:rPr>
              <w:t>​</w:t>
            </w:r>
          </w:p>
        </w:tc>
        <w:tc>
          <w:tcPr>
            <w:tcW w:w="400" w:type="dxa"/>
            <w:vAlign w:val="bottom"/>
            <w:tcBorders>
              <w:bottom w:val="single" w:sz="8" w:color="424E6A"/>
              <w:right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$2,053,850</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shd w:val="clear" w:color="auto" w:fill="D9DCE1"/>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020" w:type="dxa"/>
            <w:vAlign w:val="bottom"/>
            <w:tcBorders>
              <w:bottom w:val="single" w:sz="8" w:color="424E6A"/>
            </w:tcBorders>
            <w:shd w:val="clear" w:color="auto" w:fill="D9DCE1"/>
          </w:tcPr>
          <w:p>
            <w:pPr>
              <w:jc w:val="right"/>
              <w:ind w:right="70"/>
              <w:spacing w:after="0"/>
              <w:rPr>
                <w:sz w:val="20"/>
                <w:szCs w:val="20"/>
                <w:color w:val="auto"/>
              </w:rPr>
            </w:pPr>
            <w:r>
              <w:rPr>
                <w:rFonts w:ascii="Arial" w:cs="Arial" w:eastAsia="Arial" w:hAnsi="Arial"/>
                <w:sz w:val="18"/>
                <w:szCs w:val="18"/>
                <w:color w:val="auto"/>
              </w:rPr>
              <w:t>2,454,523</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shd w:val="clear" w:color="auto" w:fill="D9DCE1"/>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40" w:type="dxa"/>
            <w:vAlign w:val="bottom"/>
            <w:tcBorders>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120" w:type="dxa"/>
            <w:vAlign w:val="bottom"/>
            <w:tcBorders>
              <w:bottom w:val="single" w:sz="8" w:color="424E6A"/>
              <w:right w:val="single" w:sz="8" w:color="424E6A"/>
            </w:tcBorders>
            <w:shd w:val="clear" w:color="auto" w:fill="D9DCE1"/>
          </w:tcPr>
          <w:p>
            <w:pPr>
              <w:jc w:val="right"/>
              <w:ind w:right="156"/>
              <w:spacing w:after="0"/>
              <w:rPr>
                <w:sz w:val="20"/>
                <w:szCs w:val="20"/>
                <w:color w:val="auto"/>
              </w:rPr>
            </w:pPr>
            <w:r>
              <w:rPr>
                <w:rFonts w:ascii="Arial" w:cs="Arial" w:eastAsia="Arial" w:hAnsi="Arial"/>
                <w:sz w:val="18"/>
                <w:szCs w:val="18"/>
                <w:color w:val="auto"/>
              </w:rPr>
              <w:t>4,792,883</w:t>
            </w:r>
          </w:p>
        </w:tc>
      </w:tr>
      <w:tr>
        <w:trPr>
          <w:trHeight w:val="250"/>
        </w:trPr>
        <w:tc>
          <w:tcPr>
            <w:tcW w:w="20" w:type="dxa"/>
            <w:vAlign w:val="bottom"/>
            <w:tcBorders>
              <w:bottom w:val="single" w:sz="8" w:color="424E6A"/>
            </w:tcBorders>
            <w:shd w:val="clear" w:color="auto" w:fill="424E6A"/>
          </w:tcPr>
          <w:p>
            <w:pPr>
              <w:spacing w:after="0"/>
              <w:rPr>
                <w:sz w:val="21"/>
                <w:szCs w:val="21"/>
                <w:color w:val="auto"/>
              </w:rPr>
            </w:pPr>
          </w:p>
        </w:tc>
        <w:tc>
          <w:tcPr>
            <w:tcW w:w="1060" w:type="dxa"/>
            <w:vAlign w:val="bottom"/>
            <w:tcBorders>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2020</w:t>
            </w:r>
          </w:p>
        </w:tc>
        <w:tc>
          <w:tcPr>
            <w:tcW w:w="700" w:type="dxa"/>
            <w:vAlign w:val="bottom"/>
            <w:tcBorders>
              <w:bottom w:val="single" w:sz="8" w:color="424E6A"/>
              <w:right w:val="single" w:sz="8" w:color="424E6A"/>
            </w:tcBorders>
          </w:tcPr>
          <w:p>
            <w:pPr>
              <w:ind w:left="6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$4,290,241</w:t>
            </w:r>
          </w:p>
        </w:tc>
        <w:tc>
          <w:tcPr>
            <w:tcW w:w="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$2,247,181</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020" w:type="dxa"/>
            <w:vAlign w:val="bottom"/>
            <w:tcBorders>
              <w:bottom w:val="single" w:sz="8" w:color="424E6A"/>
            </w:tcBorders>
          </w:tcPr>
          <w:p>
            <w:pPr>
              <w:jc w:val="right"/>
              <w:ind w:right="70"/>
              <w:spacing w:after="0"/>
              <w:rPr>
                <w:sz w:val="20"/>
                <w:szCs w:val="20"/>
                <w:color w:val="auto"/>
              </w:rPr>
            </w:pPr>
            <w:r>
              <w:rPr>
                <w:rFonts w:ascii="Arial" w:cs="Arial" w:eastAsia="Arial" w:hAnsi="Arial"/>
                <w:sz w:val="18"/>
                <w:szCs w:val="18"/>
                <w:color w:val="auto"/>
              </w:rPr>
              <w:t>358,689</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4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120" w:type="dxa"/>
            <w:vAlign w:val="bottom"/>
            <w:tcBorders>
              <w:bottom w:val="single" w:sz="8" w:color="424E6A"/>
              <w:right w:val="single" w:sz="8" w:color="424E6A"/>
            </w:tcBorders>
          </w:tcPr>
          <w:p>
            <w:pPr>
              <w:jc w:val="right"/>
              <w:ind w:right="156"/>
              <w:spacing w:after="0"/>
              <w:rPr>
                <w:sz w:val="20"/>
                <w:szCs w:val="20"/>
                <w:color w:val="auto"/>
              </w:rPr>
            </w:pPr>
            <w:r>
              <w:rPr>
                <w:rFonts w:ascii="Arial" w:cs="Arial" w:eastAsia="Arial" w:hAnsi="Arial"/>
                <w:sz w:val="18"/>
                <w:szCs w:val="18"/>
                <w:color w:val="auto"/>
              </w:rPr>
              <w:t>2,401,749</w:t>
            </w:r>
          </w:p>
        </w:tc>
      </w:tr>
    </w:tbl>
    <w:p>
      <w:pPr>
        <w:spacing w:after="0" w:line="157" w:lineRule="exact"/>
        <w:rPr>
          <w:sz w:val="20"/>
          <w:szCs w:val="20"/>
          <w:color w:val="auto"/>
        </w:rPr>
      </w:pPr>
    </w:p>
    <w:p>
      <w:pPr>
        <w:ind w:left="1620" w:right="459" w:hanging="360"/>
        <w:spacing w:after="0" w:line="232" w:lineRule="auto"/>
        <w:tabs>
          <w:tab w:leader="none" w:pos="1620" w:val="left"/>
        </w:tabs>
        <w:numPr>
          <w:ilvl w:val="0"/>
          <w:numId w:val="71"/>
        </w:numPr>
        <w:rPr>
          <w:rFonts w:ascii="Arial" w:cs="Arial" w:eastAsia="Arial" w:hAnsi="Arial"/>
          <w:sz w:val="27"/>
          <w:szCs w:val="27"/>
          <w:color w:val="auto"/>
          <w:vertAlign w:val="superscript"/>
        </w:rPr>
      </w:pPr>
      <w:r>
        <w:rPr>
          <w:rFonts w:ascii="Arial" w:cs="Arial" w:eastAsia="Arial" w:hAnsi="Arial"/>
          <w:sz w:val="18"/>
          <w:szCs w:val="18"/>
          <w:color w:val="auto"/>
        </w:rPr>
        <w:t>As shown in the table, the CAP totals represent the SCT totals for the applicable year, but adjusted as required by SEC rules to replace the grant date fair value of awards granted during the applicable year with the fair value of current and prior year equity awards that are outstanding, vested or forfeited during the applicable year. Our NEOs do not participate in a defined benefit plan; therefore, no adjustment for pension benefits is included.</w:t>
      </w:r>
    </w:p>
    <w:p>
      <w:pPr>
        <w:spacing w:after="0" w:line="128" w:lineRule="exact"/>
        <w:rPr>
          <w:rFonts w:ascii="Arial" w:cs="Arial" w:eastAsia="Arial" w:hAnsi="Arial"/>
          <w:sz w:val="27"/>
          <w:szCs w:val="27"/>
          <w:color w:val="auto"/>
          <w:vertAlign w:val="superscript"/>
        </w:rPr>
      </w:pPr>
    </w:p>
    <w:p>
      <w:pPr>
        <w:ind w:left="1620"/>
        <w:spacing w:after="0"/>
        <w:rPr>
          <w:rFonts w:ascii="Arial" w:cs="Arial" w:eastAsia="Arial" w:hAnsi="Arial"/>
          <w:sz w:val="27"/>
          <w:szCs w:val="27"/>
          <w:color w:val="auto"/>
          <w:vertAlign w:val="superscript"/>
        </w:rPr>
      </w:pPr>
      <w:r>
        <w:rPr>
          <w:rFonts w:ascii="Arial" w:cs="Arial" w:eastAsia="Arial" w:hAnsi="Arial"/>
          <w:sz w:val="18"/>
          <w:szCs w:val="18"/>
          <w:color w:val="auto"/>
        </w:rPr>
        <w:t>The specific calculations for the PEO for the relevant years are shown in the table below:</w:t>
      </w:r>
    </w:p>
    <w:p>
      <w:pPr>
        <w:spacing w:after="0" w:line="12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PEO — CAP Fair Value of Equity Calculation</w:t>
      </w:r>
      <w:r>
        <w:rPr>
          <w:rFonts w:ascii="Arial" w:cs="Arial" w:eastAsia="Arial" w:hAnsi="Arial"/>
          <w:sz w:val="26"/>
          <w:szCs w:val="26"/>
          <w:u w:val="single" w:color="auto"/>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100965</wp:posOffset>
            </wp:positionV>
            <wp:extent cx="34290" cy="8058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805815"/>
                    </a:xfrm>
                    <a:prstGeom prst="rect">
                      <a:avLst/>
                    </a:prstGeom>
                    <a:noFill/>
                  </pic:spPr>
                </pic:pic>
              </a:graphicData>
            </a:graphic>
          </wp:anchor>
        </w:drawing>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247"/>
        </w:trPr>
        <w:tc>
          <w:tcPr>
            <w:tcW w:w="20" w:type="dxa"/>
            <w:vAlign w:val="bottom"/>
            <w:tcBorders>
              <w:top w:val="single" w:sz="8" w:color="424E6A"/>
            </w:tcBorders>
          </w:tcPr>
          <w:p>
            <w:pPr>
              <w:spacing w:after="0"/>
              <w:rPr>
                <w:sz w:val="21"/>
                <w:szCs w:val="21"/>
                <w:color w:val="auto"/>
              </w:rPr>
            </w:pPr>
          </w:p>
        </w:tc>
        <w:tc>
          <w:tcPr>
            <w:tcW w:w="920" w:type="dxa"/>
            <w:vAlign w:val="bottom"/>
            <w:tcBorders>
              <w:top w:val="single" w:sz="8" w:color="424E6A"/>
              <w:right w:val="single" w:sz="8" w:color="424E6A"/>
            </w:tcBorders>
            <w:shd w:val="clear" w:color="auto" w:fill="424E6A"/>
          </w:tcPr>
          <w:p>
            <w:pPr>
              <w:spacing w:after="0"/>
              <w:rPr>
                <w:sz w:val="21"/>
                <w:szCs w:val="21"/>
                <w:color w:val="auto"/>
              </w:rPr>
            </w:pPr>
          </w:p>
        </w:tc>
        <w:tc>
          <w:tcPr>
            <w:tcW w:w="100" w:type="dxa"/>
            <w:vAlign w:val="bottom"/>
            <w:tcBorders>
              <w:top w:val="single" w:sz="8" w:color="424E6A"/>
            </w:tcBorders>
            <w:shd w:val="clear" w:color="auto" w:fill="424E6A"/>
          </w:tcPr>
          <w:p>
            <w:pPr>
              <w:spacing w:after="0"/>
              <w:rPr>
                <w:sz w:val="21"/>
                <w:szCs w:val="21"/>
                <w:color w:val="auto"/>
              </w:rPr>
            </w:pPr>
          </w:p>
        </w:tc>
        <w:tc>
          <w:tcPr>
            <w:tcW w:w="940" w:type="dxa"/>
            <w:vAlign w:val="bottom"/>
            <w:tcBorders>
              <w:top w:val="single" w:sz="8" w:color="424E6A"/>
            </w:tcBorders>
            <w:shd w:val="clear" w:color="auto" w:fill="424E6A"/>
          </w:tcPr>
          <w:p>
            <w:pPr>
              <w:spacing w:after="0"/>
              <w:rPr>
                <w:sz w:val="21"/>
                <w:szCs w:val="21"/>
                <w:color w:val="auto"/>
              </w:rPr>
            </w:pPr>
          </w:p>
        </w:tc>
        <w:tc>
          <w:tcPr>
            <w:tcW w:w="100" w:type="dxa"/>
            <w:vAlign w:val="bottom"/>
            <w:tcBorders>
              <w:top w:val="single" w:sz="8" w:color="424E6A"/>
              <w:right w:val="single" w:sz="8" w:color="424E6A"/>
            </w:tcBorders>
            <w:shd w:val="clear" w:color="auto" w:fill="424E6A"/>
          </w:tcPr>
          <w:p>
            <w:pPr>
              <w:spacing w:after="0"/>
              <w:rPr>
                <w:sz w:val="21"/>
                <w:szCs w:val="21"/>
                <w:color w:val="auto"/>
              </w:rPr>
            </w:pPr>
          </w:p>
        </w:tc>
        <w:tc>
          <w:tcPr>
            <w:tcW w:w="300" w:type="dxa"/>
            <w:vAlign w:val="bottom"/>
            <w:tcBorders>
              <w:top w:val="single" w:sz="8" w:color="424E6A"/>
              <w:right w:val="single" w:sz="8" w:color="424E6A"/>
            </w:tcBorders>
            <w:shd w:val="clear" w:color="auto" w:fill="424E6A"/>
          </w:tcPr>
          <w:p>
            <w:pPr>
              <w:spacing w:after="0"/>
              <w:rPr>
                <w:sz w:val="21"/>
                <w:szCs w:val="21"/>
                <w:color w:val="auto"/>
              </w:rPr>
            </w:pPr>
          </w:p>
        </w:tc>
        <w:tc>
          <w:tcPr>
            <w:tcW w:w="80" w:type="dxa"/>
            <w:vAlign w:val="bottom"/>
            <w:tcBorders>
              <w:top w:val="single" w:sz="8" w:color="424E6A"/>
            </w:tcBorders>
            <w:shd w:val="clear" w:color="auto" w:fill="424E6A"/>
          </w:tcPr>
          <w:p>
            <w:pPr>
              <w:spacing w:after="0"/>
              <w:rPr>
                <w:sz w:val="21"/>
                <w:szCs w:val="21"/>
                <w:color w:val="auto"/>
              </w:rPr>
            </w:pPr>
          </w:p>
        </w:tc>
        <w:tc>
          <w:tcPr>
            <w:tcW w:w="220" w:type="dxa"/>
            <w:vAlign w:val="bottom"/>
            <w:tcBorders>
              <w:top w:val="single" w:sz="8" w:color="424E6A"/>
            </w:tcBorders>
            <w:shd w:val="clear" w:color="auto" w:fill="424E6A"/>
          </w:tcPr>
          <w:p>
            <w:pPr>
              <w:spacing w:after="0"/>
              <w:rPr>
                <w:sz w:val="21"/>
                <w:szCs w:val="21"/>
                <w:color w:val="auto"/>
              </w:rPr>
            </w:pPr>
          </w:p>
        </w:tc>
        <w:tc>
          <w:tcPr>
            <w:tcW w:w="840" w:type="dxa"/>
            <w:vAlign w:val="bottom"/>
            <w:tcBorders>
              <w:top w:val="single" w:sz="8" w:color="424E6A"/>
            </w:tcBorders>
            <w:shd w:val="clear" w:color="auto" w:fill="424E6A"/>
          </w:tcPr>
          <w:p>
            <w:pPr>
              <w:spacing w:after="0"/>
              <w:rPr>
                <w:sz w:val="21"/>
                <w:szCs w:val="21"/>
                <w:color w:val="auto"/>
              </w:rPr>
            </w:pPr>
          </w:p>
        </w:tc>
        <w:tc>
          <w:tcPr>
            <w:tcW w:w="120" w:type="dxa"/>
            <w:vAlign w:val="bottom"/>
            <w:tcBorders>
              <w:top w:val="single" w:sz="8" w:color="424E6A"/>
              <w:right w:val="single" w:sz="8" w:color="424E6A"/>
            </w:tcBorders>
            <w:shd w:val="clear" w:color="auto" w:fill="424E6A"/>
          </w:tcPr>
          <w:p>
            <w:pPr>
              <w:spacing w:after="0"/>
              <w:rPr>
                <w:sz w:val="21"/>
                <w:szCs w:val="21"/>
                <w:color w:val="auto"/>
              </w:rPr>
            </w:pPr>
          </w:p>
        </w:tc>
        <w:tc>
          <w:tcPr>
            <w:tcW w:w="300" w:type="dxa"/>
            <w:vAlign w:val="bottom"/>
            <w:tcBorders>
              <w:top w:val="single" w:sz="8" w:color="424E6A"/>
              <w:right w:val="single" w:sz="8" w:color="424E6A"/>
            </w:tcBorders>
            <w:shd w:val="clear" w:color="auto" w:fill="424E6A"/>
          </w:tcPr>
          <w:p>
            <w:pPr>
              <w:spacing w:after="0"/>
              <w:rPr>
                <w:sz w:val="21"/>
                <w:szCs w:val="21"/>
                <w:color w:val="auto"/>
              </w:rPr>
            </w:pPr>
          </w:p>
        </w:tc>
        <w:tc>
          <w:tcPr>
            <w:tcW w:w="100" w:type="dxa"/>
            <w:vAlign w:val="bottom"/>
            <w:tcBorders>
              <w:top w:val="single" w:sz="8" w:color="424E6A"/>
            </w:tcBorders>
            <w:shd w:val="clear" w:color="auto" w:fill="424E6A"/>
          </w:tcPr>
          <w:p>
            <w:pPr>
              <w:spacing w:after="0"/>
              <w:rPr>
                <w:sz w:val="21"/>
                <w:szCs w:val="21"/>
                <w:color w:val="auto"/>
              </w:rPr>
            </w:pPr>
          </w:p>
        </w:tc>
        <w:tc>
          <w:tcPr>
            <w:tcW w:w="1020" w:type="dxa"/>
            <w:vAlign w:val="bottom"/>
            <w:tcBorders>
              <w:top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40" w:type="dxa"/>
            <w:vAlign w:val="bottom"/>
            <w:tcBorders>
              <w:top w:val="single" w:sz="8" w:color="424E6A"/>
              <w:right w:val="single" w:sz="8" w:color="424E6A"/>
            </w:tcBorders>
            <w:shd w:val="clear" w:color="auto" w:fill="424E6A"/>
          </w:tcPr>
          <w:p>
            <w:pPr>
              <w:spacing w:after="0"/>
              <w:rPr>
                <w:sz w:val="21"/>
                <w:szCs w:val="21"/>
                <w:color w:val="auto"/>
              </w:rPr>
            </w:pPr>
          </w:p>
        </w:tc>
        <w:tc>
          <w:tcPr>
            <w:tcW w:w="300" w:type="dxa"/>
            <w:vAlign w:val="bottom"/>
            <w:tcBorders>
              <w:top w:val="single" w:sz="8" w:color="424E6A"/>
              <w:right w:val="single" w:sz="8" w:color="424E6A"/>
            </w:tcBorders>
            <w:shd w:val="clear" w:color="auto" w:fill="424E6A"/>
          </w:tcPr>
          <w:p>
            <w:pPr>
              <w:spacing w:after="0"/>
              <w:rPr>
                <w:sz w:val="21"/>
                <w:szCs w:val="21"/>
                <w:color w:val="auto"/>
              </w:rPr>
            </w:pPr>
          </w:p>
        </w:tc>
        <w:tc>
          <w:tcPr>
            <w:tcW w:w="240" w:type="dxa"/>
            <w:vAlign w:val="bottom"/>
            <w:tcBorders>
              <w:top w:val="single" w:sz="8" w:color="424E6A"/>
            </w:tcBorders>
            <w:shd w:val="clear" w:color="auto" w:fill="424E6A"/>
          </w:tcPr>
          <w:p>
            <w:pPr>
              <w:spacing w:after="0"/>
              <w:rPr>
                <w:sz w:val="21"/>
                <w:szCs w:val="21"/>
                <w:color w:val="auto"/>
              </w:rPr>
            </w:pPr>
          </w:p>
        </w:tc>
        <w:tc>
          <w:tcPr>
            <w:tcW w:w="820" w:type="dxa"/>
            <w:vAlign w:val="bottom"/>
            <w:tcBorders>
              <w:top w:val="single" w:sz="8" w:color="424E6A"/>
              <w:right w:val="single" w:sz="8" w:color="424E6A"/>
            </w:tcBorders>
            <w:shd w:val="clear" w:color="auto" w:fill="424E6A"/>
          </w:tcPr>
          <w:p>
            <w:pPr>
              <w:spacing w:after="0"/>
              <w:rPr>
                <w:sz w:val="21"/>
                <w:szCs w:val="21"/>
                <w:color w:val="auto"/>
              </w:rPr>
            </w:pPr>
          </w:p>
        </w:tc>
        <w:tc>
          <w:tcPr>
            <w:tcW w:w="160" w:type="dxa"/>
            <w:vAlign w:val="bottom"/>
            <w:tcBorders>
              <w:top w:val="single" w:sz="8" w:color="424E6A"/>
            </w:tcBorders>
            <w:shd w:val="clear" w:color="auto" w:fill="424E6A"/>
          </w:tcPr>
          <w:p>
            <w:pPr>
              <w:spacing w:after="0"/>
              <w:rPr>
                <w:sz w:val="21"/>
                <w:szCs w:val="21"/>
                <w:color w:val="auto"/>
              </w:rPr>
            </w:pPr>
          </w:p>
        </w:tc>
        <w:tc>
          <w:tcPr>
            <w:tcW w:w="140" w:type="dxa"/>
            <w:vAlign w:val="bottom"/>
            <w:tcBorders>
              <w:top w:val="single" w:sz="8" w:color="424E6A"/>
              <w:right w:val="single" w:sz="8" w:color="424E6A"/>
            </w:tcBorders>
            <w:shd w:val="clear" w:color="auto" w:fill="424E6A"/>
          </w:tcPr>
          <w:p>
            <w:pPr>
              <w:spacing w:after="0"/>
              <w:rPr>
                <w:sz w:val="21"/>
                <w:szCs w:val="21"/>
                <w:color w:val="auto"/>
              </w:rPr>
            </w:pPr>
          </w:p>
        </w:tc>
        <w:tc>
          <w:tcPr>
            <w:tcW w:w="240" w:type="dxa"/>
            <w:vAlign w:val="bottom"/>
            <w:tcBorders>
              <w:top w:val="single" w:sz="8" w:color="424E6A"/>
            </w:tcBorders>
            <w:shd w:val="clear" w:color="auto" w:fill="424E6A"/>
          </w:tcPr>
          <w:p>
            <w:pPr>
              <w:spacing w:after="0"/>
              <w:rPr>
                <w:sz w:val="21"/>
                <w:szCs w:val="21"/>
                <w:color w:val="auto"/>
              </w:rPr>
            </w:pPr>
          </w:p>
        </w:tc>
        <w:tc>
          <w:tcPr>
            <w:tcW w:w="1120" w:type="dxa"/>
            <w:vAlign w:val="bottom"/>
            <w:tcBorders>
              <w:top w:val="single" w:sz="8" w:color="424E6A"/>
              <w:right w:val="single" w:sz="8" w:color="424E6A"/>
            </w:tcBorders>
            <w:shd w:val="clear" w:color="auto" w:fill="424E6A"/>
          </w:tcPr>
          <w:p>
            <w:pPr>
              <w:spacing w:after="0"/>
              <w:rPr>
                <w:sz w:val="21"/>
                <w:szCs w:val="21"/>
                <w:color w:val="auto"/>
              </w:rPr>
            </w:pPr>
          </w:p>
        </w:tc>
      </w:tr>
      <w:tr>
        <w:trPr>
          <w:trHeight w:val="162"/>
        </w:trPr>
        <w:tc>
          <w:tcPr>
            <w:tcW w:w="20" w:type="dxa"/>
            <w:vAlign w:val="bottom"/>
          </w:tcPr>
          <w:p>
            <w:pPr>
              <w:spacing w:after="0"/>
              <w:rPr>
                <w:sz w:val="14"/>
                <w:szCs w:val="14"/>
                <w:color w:val="auto"/>
              </w:rPr>
            </w:pPr>
          </w:p>
        </w:tc>
        <w:tc>
          <w:tcPr>
            <w:tcW w:w="92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40" w:type="dxa"/>
            <w:vAlign w:val="bottom"/>
            <w:shd w:val="clear" w:color="auto" w:fill="424E6A"/>
          </w:tcPr>
          <w:p>
            <w:pPr>
              <w:jc w:val="center"/>
              <w:ind w:right="8"/>
              <w:spacing w:after="0"/>
              <w:rPr>
                <w:sz w:val="20"/>
                <w:szCs w:val="20"/>
                <w:color w:val="auto"/>
              </w:rPr>
            </w:pPr>
            <w:r>
              <w:rPr>
                <w:rFonts w:ascii="Arial" w:cs="Arial" w:eastAsia="Arial" w:hAnsi="Arial"/>
                <w:sz w:val="14"/>
                <w:szCs w:val="14"/>
                <w:b w:val="1"/>
                <w:bCs w:val="1"/>
                <w:color w:val="FFFFFF"/>
              </w:rPr>
              <w:t>YE Fair</w:t>
            </w:r>
          </w:p>
        </w:tc>
        <w:tc>
          <w:tcPr>
            <w:tcW w:w="10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92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40" w:type="dxa"/>
            <w:vAlign w:val="bottom"/>
            <w:shd w:val="clear" w:color="auto" w:fill="424E6A"/>
          </w:tcPr>
          <w:p>
            <w:pPr>
              <w:jc w:val="center"/>
              <w:ind w:right="8"/>
              <w:spacing w:after="0"/>
              <w:rPr>
                <w:sz w:val="20"/>
                <w:szCs w:val="20"/>
                <w:color w:val="auto"/>
              </w:rPr>
            </w:pPr>
            <w:r>
              <w:rPr>
                <w:rFonts w:ascii="Arial" w:cs="Arial" w:eastAsia="Arial" w:hAnsi="Arial"/>
                <w:sz w:val="14"/>
                <w:szCs w:val="14"/>
                <w:b w:val="1"/>
                <w:bCs w:val="1"/>
                <w:color w:val="FFFFFF"/>
                <w:w w:val="99"/>
              </w:rPr>
              <w:t>Value of</w:t>
            </w:r>
          </w:p>
        </w:tc>
        <w:tc>
          <w:tcPr>
            <w:tcW w:w="10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 YE</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Vesting Date</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8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92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40" w:type="dxa"/>
            <w:vAlign w:val="bottom"/>
            <w:shd w:val="clear" w:color="auto" w:fill="424E6A"/>
          </w:tcPr>
          <w:p>
            <w:pPr>
              <w:jc w:val="center"/>
              <w:ind w:right="8"/>
              <w:spacing w:after="0"/>
              <w:rPr>
                <w:sz w:val="20"/>
                <w:szCs w:val="20"/>
                <w:color w:val="auto"/>
              </w:rPr>
            </w:pPr>
            <w:r>
              <w:rPr>
                <w:rFonts w:ascii="Arial" w:cs="Arial" w:eastAsia="Arial" w:hAnsi="Arial"/>
                <w:sz w:val="14"/>
                <w:szCs w:val="14"/>
                <w:b w:val="1"/>
                <w:bCs w:val="1"/>
                <w:color w:val="FFFFFF"/>
              </w:rPr>
              <w:t>Current Year</w:t>
            </w:r>
          </w:p>
        </w:tc>
        <w:tc>
          <w:tcPr>
            <w:tcW w:w="10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220" w:type="dxa"/>
            <w:vAlign w:val="bottom"/>
            <w:gridSpan w:val="3"/>
            <w:shd w:val="clear" w:color="auto" w:fill="424E6A"/>
          </w:tcPr>
          <w:p>
            <w:pPr>
              <w:jc w:val="center"/>
              <w:ind w:right="143"/>
              <w:spacing w:after="0"/>
              <w:rPr>
                <w:sz w:val="20"/>
                <w:szCs w:val="20"/>
                <w:color w:val="auto"/>
              </w:rPr>
            </w:pPr>
            <w:r>
              <w:rPr>
                <w:rFonts w:ascii="Arial" w:cs="Arial" w:eastAsia="Arial" w:hAnsi="Arial"/>
                <w:sz w:val="14"/>
                <w:szCs w:val="14"/>
                <w:b w:val="1"/>
                <w:bCs w:val="1"/>
                <w:color w:val="FFFFFF"/>
              </w:rPr>
              <w:t>Fair Value</w:t>
            </w:r>
          </w:p>
        </w:tc>
        <w:tc>
          <w:tcPr>
            <w:tcW w:w="140" w:type="dxa"/>
            <w:vAlign w:val="bottom"/>
            <w:tcBorders>
              <w:right w:val="single" w:sz="8" w:color="424E6A"/>
            </w:tcBorders>
            <w:shd w:val="clear" w:color="auto" w:fill="424E6A"/>
          </w:tcPr>
          <w:p>
            <w:pPr>
              <w:spacing w:after="0"/>
              <w:rPr>
                <w:sz w:val="14"/>
                <w:szCs w:val="14"/>
                <w:color w:val="auto"/>
              </w:rPr>
            </w:pPr>
          </w:p>
        </w:tc>
        <w:tc>
          <w:tcPr>
            <w:tcW w:w="1360" w:type="dxa"/>
            <w:vAlign w:val="bottom"/>
            <w:tcBorders>
              <w:right w:val="single" w:sz="8" w:color="424E6A"/>
            </w:tcBorders>
            <w:gridSpan w:val="2"/>
            <w:shd w:val="clear" w:color="auto" w:fill="424E6A"/>
          </w:tcPr>
          <w:p>
            <w:pPr>
              <w:jc w:val="center"/>
              <w:ind w:right="101"/>
              <w:spacing w:after="0"/>
              <w:rPr>
                <w:sz w:val="20"/>
                <w:szCs w:val="20"/>
                <w:color w:val="auto"/>
              </w:rPr>
            </w:pPr>
            <w:r>
              <w:rPr>
                <w:rFonts w:ascii="Arial" w:cs="Arial" w:eastAsia="Arial" w:hAnsi="Arial"/>
                <w:sz w:val="14"/>
                <w:szCs w:val="14"/>
                <w:b w:val="1"/>
                <w:bCs w:val="1"/>
                <w:color w:val="FFFFFF"/>
              </w:rPr>
              <w:t>Fair Value of</w:t>
            </w:r>
          </w:p>
        </w:tc>
      </w:tr>
      <w:tr>
        <w:trPr>
          <w:trHeight w:val="162"/>
        </w:trPr>
        <w:tc>
          <w:tcPr>
            <w:tcW w:w="20" w:type="dxa"/>
            <w:vAlign w:val="bottom"/>
          </w:tcPr>
          <w:p>
            <w:pPr>
              <w:spacing w:after="0"/>
              <w:rPr>
                <w:sz w:val="14"/>
                <w:szCs w:val="14"/>
                <w:color w:val="auto"/>
              </w:rPr>
            </w:pPr>
          </w:p>
        </w:tc>
        <w:tc>
          <w:tcPr>
            <w:tcW w:w="92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40" w:type="dxa"/>
            <w:vAlign w:val="bottom"/>
            <w:shd w:val="clear" w:color="auto" w:fill="424E6A"/>
          </w:tcPr>
          <w:p>
            <w:pPr>
              <w:jc w:val="center"/>
              <w:ind w:right="8"/>
              <w:spacing w:after="0"/>
              <w:rPr>
                <w:sz w:val="20"/>
                <w:szCs w:val="20"/>
                <w:color w:val="auto"/>
              </w:rPr>
            </w:pPr>
            <w:r>
              <w:rPr>
                <w:rFonts w:ascii="Arial" w:cs="Arial" w:eastAsia="Arial" w:hAnsi="Arial"/>
                <w:sz w:val="14"/>
                <w:szCs w:val="14"/>
                <w:b w:val="1"/>
                <w:bCs w:val="1"/>
                <w:color w:val="FFFFFF"/>
                <w:w w:val="98"/>
              </w:rPr>
              <w:t>Awards</w:t>
            </w:r>
          </w:p>
        </w:tc>
        <w:tc>
          <w:tcPr>
            <w:tcW w:w="10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40" w:type="dxa"/>
            <w:vAlign w:val="bottom"/>
            <w:shd w:val="clear" w:color="auto" w:fill="424E6A"/>
          </w:tcPr>
          <w:p>
            <w:pPr>
              <w:jc w:val="center"/>
              <w:ind w:right="166"/>
              <w:spacing w:after="0"/>
              <w:rPr>
                <w:sz w:val="20"/>
                <w:szCs w:val="20"/>
                <w:color w:val="auto"/>
              </w:rPr>
            </w:pPr>
            <w:r>
              <w:rPr>
                <w:rFonts w:ascii="Arial" w:cs="Arial" w:eastAsia="Arial" w:hAnsi="Arial"/>
                <w:sz w:val="14"/>
                <w:szCs w:val="14"/>
                <w:b w:val="1"/>
                <w:bCs w:val="1"/>
                <w:color w:val="FFFFFF"/>
              </w:rPr>
              <w:t>Awards</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Awards that</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220" w:type="dxa"/>
            <w:vAlign w:val="bottom"/>
            <w:gridSpan w:val="3"/>
            <w:shd w:val="clear" w:color="auto" w:fill="424E6A"/>
          </w:tcPr>
          <w:p>
            <w:pPr>
              <w:jc w:val="center"/>
              <w:ind w:right="143"/>
              <w:spacing w:after="0"/>
              <w:rPr>
                <w:sz w:val="20"/>
                <w:szCs w:val="20"/>
                <w:color w:val="auto"/>
              </w:rPr>
            </w:pPr>
            <w:r>
              <w:rPr>
                <w:rFonts w:ascii="Arial" w:cs="Arial" w:eastAsia="Arial" w:hAnsi="Arial"/>
                <w:sz w:val="14"/>
                <w:szCs w:val="14"/>
                <w:b w:val="1"/>
                <w:bCs w:val="1"/>
                <w:color w:val="FFFFFF"/>
              </w:rPr>
              <w:t>of DERs</w:t>
            </w:r>
          </w:p>
        </w:tc>
        <w:tc>
          <w:tcPr>
            <w:tcW w:w="14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jc w:val="center"/>
              <w:ind w:right="341"/>
              <w:spacing w:after="0"/>
              <w:rPr>
                <w:sz w:val="20"/>
                <w:szCs w:val="20"/>
                <w:color w:val="auto"/>
              </w:rPr>
            </w:pPr>
            <w:r>
              <w:rPr>
                <w:rFonts w:ascii="Arial" w:cs="Arial" w:eastAsia="Arial" w:hAnsi="Arial"/>
                <w:sz w:val="14"/>
                <w:szCs w:val="14"/>
                <w:b w:val="1"/>
                <w:bCs w:val="1"/>
                <w:color w:val="FFFFFF"/>
              </w:rPr>
              <w:t>Equity for</w:t>
            </w:r>
          </w:p>
        </w:tc>
      </w:tr>
      <w:tr>
        <w:trPr>
          <w:trHeight w:val="162"/>
        </w:trPr>
        <w:tc>
          <w:tcPr>
            <w:tcW w:w="20" w:type="dxa"/>
            <w:vAlign w:val="bottom"/>
          </w:tcPr>
          <w:p>
            <w:pPr>
              <w:spacing w:after="0"/>
              <w:rPr>
                <w:sz w:val="14"/>
                <w:szCs w:val="14"/>
                <w:color w:val="auto"/>
              </w:rPr>
            </w:pPr>
          </w:p>
        </w:tc>
        <w:tc>
          <w:tcPr>
            <w:tcW w:w="92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w:t>
            </w:r>
          </w:p>
        </w:tc>
        <w:tc>
          <w:tcPr>
            <w:tcW w:w="10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 at</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Vested During</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220" w:type="dxa"/>
            <w:vAlign w:val="bottom"/>
            <w:gridSpan w:val="3"/>
            <w:shd w:val="clear" w:color="auto" w:fill="424E6A"/>
          </w:tcPr>
          <w:p>
            <w:pPr>
              <w:jc w:val="center"/>
              <w:ind w:right="143"/>
              <w:spacing w:after="0"/>
              <w:rPr>
                <w:sz w:val="20"/>
                <w:szCs w:val="20"/>
                <w:color w:val="auto"/>
              </w:rPr>
            </w:pPr>
            <w:r>
              <w:rPr>
                <w:rFonts w:ascii="Arial" w:cs="Arial" w:eastAsia="Arial" w:hAnsi="Arial"/>
                <w:sz w:val="14"/>
                <w:szCs w:val="14"/>
                <w:b w:val="1"/>
                <w:bCs w:val="1"/>
                <w:color w:val="FFFFFF"/>
              </w:rPr>
              <w:t>Paid During</w:t>
            </w:r>
          </w:p>
        </w:tc>
        <w:tc>
          <w:tcPr>
            <w:tcW w:w="14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jc w:val="center"/>
              <w:ind w:right="341"/>
              <w:spacing w:after="0"/>
              <w:rPr>
                <w:sz w:val="20"/>
                <w:szCs w:val="20"/>
                <w:color w:val="auto"/>
              </w:rPr>
            </w:pPr>
            <w:r>
              <w:rPr>
                <w:rFonts w:ascii="Arial" w:cs="Arial" w:eastAsia="Arial" w:hAnsi="Arial"/>
                <w:sz w:val="14"/>
                <w:szCs w:val="14"/>
                <w:b w:val="1"/>
                <w:bCs w:val="1"/>
                <w:color w:val="FFFFFF"/>
              </w:rPr>
              <w:t>CAP</w:t>
            </w:r>
          </w:p>
        </w:tc>
      </w:tr>
      <w:tr>
        <w:trPr>
          <w:trHeight w:val="198"/>
        </w:trPr>
        <w:tc>
          <w:tcPr>
            <w:tcW w:w="20" w:type="dxa"/>
            <w:vAlign w:val="bottom"/>
            <w:tcBorders>
              <w:bottom w:val="single" w:sz="8" w:color="424E6A"/>
            </w:tcBorders>
          </w:tcPr>
          <w:p>
            <w:pPr>
              <w:spacing w:after="0"/>
              <w:rPr>
                <w:sz w:val="17"/>
                <w:szCs w:val="17"/>
                <w:color w:val="auto"/>
              </w:rPr>
            </w:pPr>
          </w:p>
        </w:tc>
        <w:tc>
          <w:tcPr>
            <w:tcW w:w="920" w:type="dxa"/>
            <w:vAlign w:val="bottom"/>
            <w:tcBorders>
              <w:bottom w:val="single" w:sz="8" w:color="424E6A"/>
              <w:right w:val="single" w:sz="8" w:color="424E6A"/>
            </w:tcBorders>
            <w:shd w:val="clear" w:color="auto" w:fill="424E6A"/>
          </w:tcPr>
          <w:p>
            <w:pPr>
              <w:ind w:left="2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Year</w:t>
            </w:r>
          </w:p>
        </w:tc>
        <w:tc>
          <w:tcPr>
            <w:tcW w:w="100" w:type="dxa"/>
            <w:vAlign w:val="bottom"/>
            <w:tcBorders>
              <w:bottom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940" w:type="dxa"/>
            <w:vAlign w:val="bottom"/>
            <w:tcBorders>
              <w:bottom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at YE</w:t>
            </w:r>
          </w:p>
        </w:tc>
        <w:tc>
          <w:tcPr>
            <w:tcW w:w="480" w:type="dxa"/>
            <w:vAlign w:val="bottom"/>
            <w:tcBorders>
              <w:bottom w:val="single" w:sz="8" w:color="424E6A"/>
            </w:tcBorders>
            <w:gridSpan w:val="3"/>
            <w:shd w:val="clear" w:color="auto" w:fill="424E6A"/>
          </w:tcPr>
          <w:p>
            <w:pPr>
              <w:ind w:left="20"/>
              <w:spacing w:after="0"/>
              <w:rPr>
                <w:sz w:val="20"/>
                <w:szCs w:val="20"/>
                <w:color w:val="auto"/>
              </w:rPr>
            </w:pPr>
            <w:r>
              <w:rPr>
                <w:rFonts w:ascii="Arial" w:cs="Arial" w:eastAsia="Arial" w:hAnsi="Arial"/>
                <w:sz w:val="14"/>
                <w:szCs w:val="14"/>
                <w:b w:val="1"/>
                <w:bCs w:val="1"/>
                <w:color w:val="FFFFFF"/>
              </w:rPr>
              <w:t>​ ​  ​ ​</w:t>
            </w:r>
          </w:p>
        </w:tc>
        <w:tc>
          <w:tcPr>
            <w:tcW w:w="220" w:type="dxa"/>
            <w:vAlign w:val="bottom"/>
            <w:tcBorders>
              <w:bottom w:val="single" w:sz="8" w:color="424E6A"/>
            </w:tcBorders>
            <w:shd w:val="clear" w:color="auto" w:fill="424E6A"/>
          </w:tcPr>
          <w:p>
            <w:pPr>
              <w:spacing w:after="0"/>
              <w:rPr>
                <w:sz w:val="17"/>
                <w:szCs w:val="17"/>
                <w:color w:val="auto"/>
              </w:rPr>
            </w:pPr>
          </w:p>
        </w:tc>
        <w:tc>
          <w:tcPr>
            <w:tcW w:w="840" w:type="dxa"/>
            <w:vAlign w:val="bottom"/>
            <w:tcBorders>
              <w:bottom w:val="single" w:sz="8" w:color="424E6A"/>
            </w:tcBorders>
            <w:shd w:val="clear" w:color="auto" w:fill="424E6A"/>
          </w:tcPr>
          <w:p>
            <w:pPr>
              <w:jc w:val="center"/>
              <w:ind w:right="126"/>
              <w:spacing w:after="0"/>
              <w:rPr>
                <w:sz w:val="20"/>
                <w:szCs w:val="20"/>
                <w:color w:val="auto"/>
              </w:rPr>
            </w:pPr>
            <w:r>
              <w:rPr>
                <w:rFonts w:ascii="Arial" w:cs="Arial" w:eastAsia="Arial" w:hAnsi="Arial"/>
                <w:sz w:val="14"/>
                <w:szCs w:val="14"/>
                <w:b w:val="1"/>
                <w:bCs w:val="1"/>
                <w:color w:val="FFFFFF"/>
              </w:rPr>
              <w:t>YE</w:t>
            </w:r>
          </w:p>
        </w:tc>
        <w:tc>
          <w:tcPr>
            <w:tcW w:w="520" w:type="dxa"/>
            <w:vAlign w:val="bottom"/>
            <w:tcBorders>
              <w:bottom w:val="single" w:sz="8" w:color="424E6A"/>
            </w:tcBorders>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1020" w:type="dxa"/>
            <w:vAlign w:val="bottom"/>
            <w:tcBorders>
              <w:bottom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the Year</w:t>
            </w:r>
          </w:p>
        </w:tc>
        <w:tc>
          <w:tcPr>
            <w:tcW w:w="680" w:type="dxa"/>
            <w:vAlign w:val="bottom"/>
            <w:tcBorders>
              <w:bottom w:val="single" w:sz="8" w:color="424E6A"/>
            </w:tcBorders>
            <w:gridSpan w:val="3"/>
            <w:shd w:val="clear" w:color="auto" w:fill="424E6A"/>
          </w:tcPr>
          <w:p>
            <w:pPr>
              <w:jc w:val="center"/>
              <w:ind w:right="26"/>
              <w:spacing w:after="0"/>
              <w:rPr>
                <w:sz w:val="20"/>
                <w:szCs w:val="20"/>
                <w:color w:val="auto"/>
              </w:rPr>
            </w:pPr>
            <w:r>
              <w:rPr>
                <w:rFonts w:ascii="Arial" w:cs="Arial" w:eastAsia="Arial" w:hAnsi="Arial"/>
                <w:sz w:val="14"/>
                <w:szCs w:val="14"/>
                <w:b w:val="1"/>
                <w:bCs w:val="1"/>
                <w:color w:val="FFFFFF"/>
              </w:rPr>
              <w:t>​ ​  ​ ​</w:t>
            </w:r>
          </w:p>
        </w:tc>
        <w:tc>
          <w:tcPr>
            <w:tcW w:w="980" w:type="dxa"/>
            <w:vAlign w:val="bottom"/>
            <w:tcBorders>
              <w:bottom w:val="single" w:sz="8" w:color="424E6A"/>
            </w:tcBorders>
            <w:gridSpan w:val="2"/>
            <w:shd w:val="clear" w:color="auto" w:fill="424E6A"/>
          </w:tcPr>
          <w:p>
            <w:pPr>
              <w:spacing w:after="0" w:line="199" w:lineRule="exact"/>
              <w:rPr>
                <w:sz w:val="20"/>
                <w:szCs w:val="20"/>
                <w:color w:val="auto"/>
              </w:rPr>
            </w:pPr>
            <w:r>
              <w:rPr>
                <w:rFonts w:ascii="Arial" w:cs="Arial" w:eastAsia="Arial" w:hAnsi="Arial"/>
                <w:sz w:val="12"/>
                <w:szCs w:val="12"/>
                <w:b w:val="1"/>
                <w:bCs w:val="1"/>
                <w:color w:val="FFFFFF"/>
              </w:rPr>
              <w:t xml:space="preserve">the Year   </w:t>
            </w:r>
            <w:r>
              <w:rPr>
                <w:rFonts w:ascii="Arial" w:cs="Arial" w:eastAsia="Arial" w:hAnsi="Arial"/>
                <w:sz w:val="22"/>
                <w:szCs w:val="22"/>
                <w:b w:val="1"/>
                <w:bCs w:val="1"/>
                <w:color w:val="FFFFFF"/>
                <w:vertAlign w:val="subscript"/>
              </w:rPr>
              <w:t>​ ​</w:t>
            </w:r>
          </w:p>
        </w:tc>
        <w:tc>
          <w:tcPr>
            <w:tcW w:w="380" w:type="dxa"/>
            <w:vAlign w:val="bottom"/>
            <w:tcBorders>
              <w:bottom w:val="single" w:sz="8" w:color="424E6A"/>
            </w:tcBorders>
            <w:gridSpan w:val="2"/>
            <w:shd w:val="clear" w:color="auto" w:fill="424E6A"/>
          </w:tcPr>
          <w:p>
            <w:pPr>
              <w:ind w:left="80"/>
              <w:spacing w:after="0"/>
              <w:rPr>
                <w:sz w:val="20"/>
                <w:szCs w:val="20"/>
                <w:color w:val="auto"/>
              </w:rPr>
            </w:pPr>
            <w:r>
              <w:rPr>
                <w:rFonts w:ascii="Arial" w:cs="Arial" w:eastAsia="Arial" w:hAnsi="Arial"/>
                <w:sz w:val="14"/>
                <w:szCs w:val="14"/>
                <w:b w:val="1"/>
                <w:bCs w:val="1"/>
                <w:color w:val="FFFFFF"/>
              </w:rPr>
              <w:t>​ ​</w:t>
            </w:r>
          </w:p>
        </w:tc>
        <w:tc>
          <w:tcPr>
            <w:tcW w:w="1120" w:type="dxa"/>
            <w:vAlign w:val="bottom"/>
            <w:tcBorders>
              <w:bottom w:val="single" w:sz="8" w:color="424E6A"/>
              <w:right w:val="single" w:sz="8" w:color="424E6A"/>
            </w:tcBorders>
            <w:shd w:val="clear" w:color="auto" w:fill="424E6A"/>
          </w:tcPr>
          <w:p>
            <w:pPr>
              <w:jc w:val="center"/>
              <w:ind w:right="301"/>
              <w:spacing w:after="0"/>
              <w:rPr>
                <w:sz w:val="20"/>
                <w:szCs w:val="20"/>
                <w:color w:val="auto"/>
              </w:rPr>
            </w:pPr>
            <w:r>
              <w:rPr>
                <w:rFonts w:ascii="Arial" w:cs="Arial" w:eastAsia="Arial" w:hAnsi="Arial"/>
                <w:sz w:val="14"/>
                <w:szCs w:val="14"/>
                <w:b w:val="1"/>
                <w:bCs w:val="1"/>
                <w:color w:val="FFFFFF"/>
              </w:rPr>
              <w:t>Purposes</w:t>
            </w:r>
          </w:p>
        </w:tc>
      </w:tr>
      <w:tr>
        <w:trPr>
          <w:trHeight w:val="250"/>
        </w:trPr>
        <w:tc>
          <w:tcPr>
            <w:tcW w:w="20" w:type="dxa"/>
            <w:vAlign w:val="bottom"/>
            <w:tcBorders>
              <w:bottom w:val="single" w:sz="8" w:color="424E6A"/>
            </w:tcBorders>
            <w:shd w:val="clear" w:color="auto" w:fill="424E6A"/>
          </w:tcPr>
          <w:p>
            <w:pPr>
              <w:spacing w:after="0"/>
              <w:rPr>
                <w:sz w:val="21"/>
                <w:szCs w:val="21"/>
                <w:color w:val="auto"/>
              </w:rPr>
            </w:pPr>
          </w:p>
        </w:tc>
        <w:tc>
          <w:tcPr>
            <w:tcW w:w="920" w:type="dxa"/>
            <w:vAlign w:val="bottom"/>
            <w:tcBorders>
              <w:bottom w:val="single" w:sz="8" w:color="424E6A"/>
              <w:right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2022</w:t>
            </w:r>
          </w:p>
        </w:tc>
        <w:tc>
          <w:tcPr>
            <w:tcW w:w="1040" w:type="dxa"/>
            <w:vAlign w:val="bottom"/>
            <w:tcBorders>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$4,812,192</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260" w:type="dxa"/>
            <w:vAlign w:val="bottom"/>
            <w:tcBorders>
              <w:bottom w:val="single" w:sz="8" w:color="424E6A"/>
              <w:right w:val="single" w:sz="8" w:color="424E6A"/>
            </w:tcBorders>
            <w:gridSpan w:val="4"/>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$4,659,293 </w:t>
            </w:r>
            <w:r>
              <w:rPr>
                <w:rFonts w:ascii="Arial" w:cs="Arial" w:eastAsia="Arial" w:hAnsi="Arial"/>
                <w:sz w:val="28"/>
                <w:szCs w:val="28"/>
                <w:color w:val="auto"/>
                <w:vertAlign w:val="subscript"/>
              </w:rPr>
              <w:t>​​</w:t>
            </w:r>
          </w:p>
        </w:tc>
        <w:tc>
          <w:tcPr>
            <w:tcW w:w="30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24E6A"/>
            </w:tcBorders>
          </w:tcPr>
          <w:p>
            <w:pPr>
              <w:jc w:val="right"/>
              <w:ind w:right="27"/>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$ 219,804</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4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820" w:type="dxa"/>
            <w:vAlign w:val="bottom"/>
            <w:tcBorders>
              <w:bottom w:val="single" w:sz="8" w:color="424E6A"/>
              <w:right w:val="single" w:sz="8" w:color="424E6A"/>
            </w:tcBorders>
          </w:tcPr>
          <w:p>
            <w:pPr>
              <w:spacing w:after="0" w:line="250" w:lineRule="exact"/>
              <w:rPr>
                <w:sz w:val="20"/>
                <w:szCs w:val="20"/>
                <w:color w:val="auto"/>
              </w:rPr>
            </w:pPr>
            <w:r>
              <w:rPr>
                <w:rFonts w:ascii="Arial" w:cs="Arial" w:eastAsia="Arial" w:hAnsi="Arial"/>
                <w:sz w:val="15"/>
                <w:szCs w:val="15"/>
                <w:color w:val="auto"/>
              </w:rPr>
              <w:t xml:space="preserve">399,281 </w:t>
            </w:r>
            <w:r>
              <w:rPr>
                <w:rFonts w:ascii="Arial" w:cs="Arial" w:eastAsia="Arial" w:hAnsi="Arial"/>
                <w:sz w:val="28"/>
                <w:szCs w:val="28"/>
                <w:color w:val="auto"/>
                <w:vertAlign w:val="subscript"/>
              </w:rPr>
              <w:t>​​</w:t>
            </w:r>
          </w:p>
        </w:tc>
        <w:tc>
          <w:tcPr>
            <w:tcW w:w="300" w:type="dxa"/>
            <w:vAlign w:val="bottom"/>
            <w:tcBorders>
              <w:bottom w:val="single" w:sz="8" w:color="424E6A"/>
              <w:right w:val="single" w:sz="8" w:color="424E6A"/>
            </w:tcBorders>
            <w:gridSpan w:val="2"/>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360" w:type="dxa"/>
            <w:vAlign w:val="bottom"/>
            <w:tcBorders>
              <w:bottom w:val="single" w:sz="8" w:color="424E6A"/>
              <w:right w:val="single" w:sz="8" w:color="424E6A"/>
            </w:tcBorders>
            <w:gridSpan w:val="2"/>
          </w:tcPr>
          <w:p>
            <w:pPr>
              <w:jc w:val="right"/>
              <w:ind w:right="16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$10,090,570</w:t>
            </w:r>
          </w:p>
        </w:tc>
      </w:tr>
      <w:tr>
        <w:trPr>
          <w:trHeight w:val="250"/>
        </w:trPr>
        <w:tc>
          <w:tcPr>
            <w:tcW w:w="20" w:type="dxa"/>
            <w:vAlign w:val="bottom"/>
            <w:tcBorders>
              <w:bottom w:val="single" w:sz="8" w:color="424E6A"/>
            </w:tcBorders>
            <w:shd w:val="clear" w:color="auto" w:fill="424E6A"/>
          </w:tcPr>
          <w:p>
            <w:pPr>
              <w:spacing w:after="0"/>
              <w:rPr>
                <w:sz w:val="21"/>
                <w:szCs w:val="21"/>
                <w:color w:val="auto"/>
              </w:rPr>
            </w:pPr>
          </w:p>
        </w:tc>
        <w:tc>
          <w:tcPr>
            <w:tcW w:w="920" w:type="dxa"/>
            <w:vAlign w:val="bottom"/>
            <w:tcBorders>
              <w:bottom w:val="single" w:sz="8" w:color="424E6A"/>
              <w:right w:val="single" w:sz="8" w:color="424E6A"/>
            </w:tcBorders>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2021</w:t>
            </w:r>
          </w:p>
        </w:tc>
        <w:tc>
          <w:tcPr>
            <w:tcW w:w="1040" w:type="dxa"/>
            <w:vAlign w:val="bottom"/>
            <w:tcBorders>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$1,579,277</w:t>
            </w:r>
          </w:p>
        </w:tc>
        <w:tc>
          <w:tcPr>
            <w:tcW w:w="10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highlight w:val="lightGray"/>
              </w:rPr>
              <w:t>​</w:t>
            </w:r>
          </w:p>
        </w:tc>
        <w:tc>
          <w:tcPr>
            <w:tcW w:w="300" w:type="dxa"/>
            <w:vAlign w:val="bottom"/>
            <w:tcBorders>
              <w:bottom w:val="single" w:sz="8" w:color="424E6A"/>
              <w:right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300" w:type="dxa"/>
            <w:vAlign w:val="bottom"/>
            <w:tcBorders>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960" w:type="dxa"/>
            <w:vAlign w:val="bottom"/>
            <w:tcBorders>
              <w:bottom w:val="single" w:sz="8" w:color="424E6A"/>
              <w:right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15"/>
                <w:szCs w:val="15"/>
                <w:color w:val="auto"/>
              </w:rPr>
              <w:t xml:space="preserve">524,435 </w:t>
            </w:r>
            <w:r>
              <w:rPr>
                <w:rFonts w:ascii="Arial" w:cs="Arial" w:eastAsia="Arial" w:hAnsi="Arial"/>
                <w:sz w:val="28"/>
                <w:szCs w:val="28"/>
                <w:color w:val="auto"/>
                <w:vertAlign w:val="subscript"/>
              </w:rPr>
              <w:t>​​</w:t>
            </w:r>
          </w:p>
        </w:tc>
        <w:tc>
          <w:tcPr>
            <w:tcW w:w="300" w:type="dxa"/>
            <w:vAlign w:val="bottom"/>
            <w:tcBorders>
              <w:bottom w:val="single" w:sz="8" w:color="424E6A"/>
              <w:right w:val="single" w:sz="8" w:color="424E6A"/>
            </w:tcBorders>
            <w:shd w:val="clear" w:color="auto" w:fill="D9DCE1"/>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24E6A"/>
            </w:tcBorders>
            <w:shd w:val="clear" w:color="auto" w:fill="D9DCE1"/>
          </w:tcPr>
          <w:p>
            <w:pPr>
              <w:jc w:val="right"/>
              <w:ind w:right="27"/>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94,025</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shd w:val="clear" w:color="auto" w:fill="D9DCE1"/>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40" w:type="dxa"/>
            <w:vAlign w:val="bottom"/>
            <w:tcBorders>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820" w:type="dxa"/>
            <w:vAlign w:val="bottom"/>
            <w:tcBorders>
              <w:bottom w:val="single" w:sz="8" w:color="424E6A"/>
              <w:right w:val="single" w:sz="8" w:color="424E6A"/>
            </w:tcBorders>
            <w:shd w:val="clear" w:color="auto" w:fill="D9DCE1"/>
          </w:tcPr>
          <w:p>
            <w:pPr>
              <w:spacing w:after="0" w:line="250" w:lineRule="exact"/>
              <w:rPr>
                <w:sz w:val="20"/>
                <w:szCs w:val="20"/>
                <w:color w:val="auto"/>
              </w:rPr>
            </w:pPr>
            <w:r>
              <w:rPr>
                <w:rFonts w:ascii="Arial" w:cs="Arial" w:eastAsia="Arial" w:hAnsi="Arial"/>
                <w:sz w:val="15"/>
                <w:szCs w:val="15"/>
                <w:color w:val="auto"/>
              </w:rPr>
              <w:t xml:space="preserve">256,786 </w:t>
            </w:r>
            <w:r>
              <w:rPr>
                <w:rFonts w:ascii="Arial" w:cs="Arial" w:eastAsia="Arial" w:hAnsi="Arial"/>
                <w:sz w:val="28"/>
                <w:szCs w:val="28"/>
                <w:color w:val="auto"/>
                <w:vertAlign w:val="subscript"/>
              </w:rPr>
              <w:t>​​</w:t>
            </w:r>
          </w:p>
        </w:tc>
        <w:tc>
          <w:tcPr>
            <w:tcW w:w="300" w:type="dxa"/>
            <w:vAlign w:val="bottom"/>
            <w:tcBorders>
              <w:bottom w:val="single" w:sz="8" w:color="424E6A"/>
              <w:right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40" w:type="dxa"/>
            <w:vAlign w:val="bottom"/>
            <w:tcBorders>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120" w:type="dxa"/>
            <w:vAlign w:val="bottom"/>
            <w:tcBorders>
              <w:bottom w:val="single" w:sz="8" w:color="424E6A"/>
              <w:right w:val="single" w:sz="8" w:color="424E6A"/>
            </w:tcBorders>
            <w:shd w:val="clear" w:color="auto" w:fill="D9DCE1"/>
          </w:tcPr>
          <w:p>
            <w:pPr>
              <w:jc w:val="right"/>
              <w:ind w:right="161"/>
              <w:spacing w:after="0"/>
              <w:rPr>
                <w:sz w:val="20"/>
                <w:szCs w:val="20"/>
                <w:color w:val="auto"/>
              </w:rPr>
            </w:pPr>
            <w:r>
              <w:rPr>
                <w:rFonts w:ascii="Arial" w:cs="Arial" w:eastAsia="Arial" w:hAnsi="Arial"/>
                <w:sz w:val="18"/>
                <w:szCs w:val="18"/>
                <w:color w:val="auto"/>
              </w:rPr>
              <w:t>2,454,523</w:t>
            </w:r>
          </w:p>
        </w:tc>
      </w:tr>
      <w:tr>
        <w:trPr>
          <w:trHeight w:val="250"/>
        </w:trPr>
        <w:tc>
          <w:tcPr>
            <w:tcW w:w="20" w:type="dxa"/>
            <w:vAlign w:val="bottom"/>
            <w:tcBorders>
              <w:bottom w:val="single" w:sz="8" w:color="424E6A"/>
            </w:tcBorders>
            <w:shd w:val="clear" w:color="auto" w:fill="424E6A"/>
          </w:tcPr>
          <w:p>
            <w:pPr>
              <w:spacing w:after="0"/>
              <w:rPr>
                <w:sz w:val="21"/>
                <w:szCs w:val="21"/>
                <w:color w:val="auto"/>
              </w:rPr>
            </w:pPr>
          </w:p>
        </w:tc>
        <w:tc>
          <w:tcPr>
            <w:tcW w:w="920" w:type="dxa"/>
            <w:vAlign w:val="bottom"/>
            <w:tcBorders>
              <w:bottom w:val="single" w:sz="8" w:color="424E6A"/>
              <w:right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2020</w:t>
            </w:r>
          </w:p>
        </w:tc>
        <w:tc>
          <w:tcPr>
            <w:tcW w:w="1040" w:type="dxa"/>
            <w:vAlign w:val="bottom"/>
            <w:tcBorders>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$1,742,482</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300" w:type="dxa"/>
            <w:vAlign w:val="bottom"/>
            <w:tcBorders>
              <w:bottom w:val="single" w:sz="8" w:color="424E6A"/>
            </w:tcBorders>
            <w:gridSpan w:val="2"/>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960" w:type="dxa"/>
            <w:vAlign w:val="bottom"/>
            <w:tcBorders>
              <w:bottom w:val="single" w:sz="8" w:color="424E6A"/>
              <w:right w:val="single" w:sz="8" w:color="424E6A"/>
            </w:tcBorders>
            <w:gridSpan w:val="2"/>
          </w:tcPr>
          <w:p>
            <w:pPr>
              <w:jc w:val="right"/>
              <w:spacing w:after="0" w:line="250" w:lineRule="exact"/>
              <w:rPr>
                <w:sz w:val="20"/>
                <w:szCs w:val="20"/>
                <w:color w:val="auto"/>
              </w:rPr>
            </w:pPr>
            <w:r>
              <w:rPr>
                <w:rFonts w:ascii="Arial" w:cs="Arial" w:eastAsia="Arial" w:hAnsi="Arial"/>
                <w:sz w:val="15"/>
                <w:szCs w:val="15"/>
                <w:color w:val="auto"/>
              </w:rPr>
              <w:t>(987,727)</w:t>
            </w:r>
            <w:r>
              <w:rPr>
                <w:rFonts w:ascii="Arial" w:cs="Arial" w:eastAsia="Arial" w:hAnsi="Arial"/>
                <w:sz w:val="28"/>
                <w:szCs w:val="28"/>
                <w:color w:val="auto"/>
                <w:vertAlign w:val="subscript"/>
              </w:rPr>
              <w:t>​​</w:t>
            </w:r>
          </w:p>
        </w:tc>
        <w:tc>
          <w:tcPr>
            <w:tcW w:w="30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$(661,670) </w:t>
            </w:r>
            <w:r>
              <w:rPr>
                <w:rFonts w:ascii="Arial" w:cs="Arial" w:eastAsia="Arial" w:hAnsi="Arial"/>
                <w:sz w:val="28"/>
                <w:szCs w:val="28"/>
                <w:color w:val="auto"/>
                <w:vertAlign w:val="subscript"/>
              </w:rPr>
              <w:t>​​</w:t>
            </w:r>
          </w:p>
        </w:tc>
        <w:tc>
          <w:tcPr>
            <w:tcW w:w="30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4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820" w:type="dxa"/>
            <w:vAlign w:val="bottom"/>
            <w:tcBorders>
              <w:bottom w:val="single" w:sz="8" w:color="424E6A"/>
              <w:right w:val="single" w:sz="8" w:color="424E6A"/>
            </w:tcBorders>
          </w:tcPr>
          <w:p>
            <w:pPr>
              <w:spacing w:after="0" w:line="250" w:lineRule="exact"/>
              <w:rPr>
                <w:sz w:val="20"/>
                <w:szCs w:val="20"/>
                <w:color w:val="auto"/>
              </w:rPr>
            </w:pPr>
            <w:r>
              <w:rPr>
                <w:rFonts w:ascii="Arial" w:cs="Arial" w:eastAsia="Arial" w:hAnsi="Arial"/>
                <w:sz w:val="15"/>
                <w:szCs w:val="15"/>
                <w:color w:val="auto"/>
              </w:rPr>
              <w:t xml:space="preserve">265,604 </w:t>
            </w:r>
            <w:r>
              <w:rPr>
                <w:rFonts w:ascii="Arial" w:cs="Arial" w:eastAsia="Arial" w:hAnsi="Arial"/>
                <w:sz w:val="28"/>
                <w:szCs w:val="28"/>
                <w:color w:val="auto"/>
                <w:vertAlign w:val="subscript"/>
              </w:rPr>
              <w:t>​​</w:t>
            </w:r>
          </w:p>
        </w:tc>
        <w:tc>
          <w:tcPr>
            <w:tcW w:w="300" w:type="dxa"/>
            <w:vAlign w:val="bottom"/>
            <w:tcBorders>
              <w:bottom w:val="single" w:sz="8" w:color="424E6A"/>
              <w:right w:val="single" w:sz="8" w:color="424E6A"/>
            </w:tcBorders>
            <w:gridSpan w:val="2"/>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4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120" w:type="dxa"/>
            <w:vAlign w:val="bottom"/>
            <w:tcBorders>
              <w:bottom w:val="single" w:sz="8" w:color="424E6A"/>
              <w:right w:val="single" w:sz="8" w:color="424E6A"/>
            </w:tcBorders>
          </w:tcPr>
          <w:p>
            <w:pPr>
              <w:jc w:val="right"/>
              <w:ind w:right="161"/>
              <w:spacing w:after="0"/>
              <w:rPr>
                <w:sz w:val="20"/>
                <w:szCs w:val="20"/>
                <w:color w:val="auto"/>
              </w:rPr>
            </w:pPr>
            <w:r>
              <w:rPr>
                <w:rFonts w:ascii="Arial" w:cs="Arial" w:eastAsia="Arial" w:hAnsi="Arial"/>
                <w:sz w:val="18"/>
                <w:szCs w:val="18"/>
                <w:color w:val="auto"/>
              </w:rPr>
              <w:t>358,689</w:t>
            </w:r>
          </w:p>
        </w:tc>
      </w:tr>
    </w:tbl>
    <w:p>
      <w:pPr>
        <w:spacing w:after="0" w:line="157" w:lineRule="exact"/>
        <w:rPr>
          <w:sz w:val="20"/>
          <w:szCs w:val="20"/>
          <w:color w:val="auto"/>
        </w:rPr>
      </w:pPr>
    </w:p>
    <w:p>
      <w:pPr>
        <w:ind w:left="1620" w:right="619" w:hanging="360"/>
        <w:spacing w:after="0" w:line="210" w:lineRule="auto"/>
        <w:tabs>
          <w:tab w:leader="none" w:pos="1620" w:val="left"/>
        </w:tabs>
        <w:numPr>
          <w:ilvl w:val="0"/>
          <w:numId w:val="72"/>
        </w:numPr>
        <w:rPr>
          <w:rFonts w:ascii="Arial" w:cs="Arial" w:eastAsia="Arial" w:hAnsi="Arial"/>
          <w:sz w:val="27"/>
          <w:szCs w:val="27"/>
          <w:color w:val="auto"/>
          <w:vertAlign w:val="superscript"/>
        </w:rPr>
      </w:pPr>
      <w:r>
        <w:rPr>
          <w:rFonts w:ascii="Arial" w:cs="Arial" w:eastAsia="Arial" w:hAnsi="Arial"/>
          <w:sz w:val="18"/>
          <w:szCs w:val="18"/>
          <w:color w:val="auto"/>
        </w:rPr>
        <w:t>We did not issue equity awards during the applicable fiscal years that vested in the year of grant. Additionally, no equity awards were forfeited during any of the applicable years.</w:t>
      </w:r>
    </w:p>
    <w:p>
      <w:pPr>
        <w:spacing w:after="0" w:line="9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Non-PEO NEOs (Average) — Reconciliation of SCT Total to CAP Total</w:t>
      </w:r>
      <w:r>
        <w:rPr>
          <w:rFonts w:ascii="Arial" w:cs="Arial" w:eastAsia="Arial" w:hAnsi="Arial"/>
          <w:sz w:val="26"/>
          <w:szCs w:val="26"/>
          <w:u w:val="single" w:color="auto"/>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100965</wp:posOffset>
            </wp:positionV>
            <wp:extent cx="34290" cy="4972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97205"/>
                    </a:xfrm>
                    <a:prstGeom prst="rect">
                      <a:avLst/>
                    </a:prstGeom>
                    <a:noFill/>
                  </pic:spPr>
                </pic:pic>
              </a:graphicData>
            </a:graphic>
          </wp:anchor>
        </w:drawing>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247"/>
        </w:trPr>
        <w:tc>
          <w:tcPr>
            <w:tcW w:w="20" w:type="dxa"/>
            <w:vAlign w:val="bottom"/>
            <w:tcBorders>
              <w:top w:val="single" w:sz="8" w:color="424E6A"/>
            </w:tcBorders>
          </w:tcPr>
          <w:p>
            <w:pPr>
              <w:spacing w:after="0"/>
              <w:rPr>
                <w:sz w:val="21"/>
                <w:szCs w:val="21"/>
                <w:color w:val="auto"/>
              </w:rPr>
            </w:pPr>
          </w:p>
        </w:tc>
        <w:tc>
          <w:tcPr>
            <w:tcW w:w="1100" w:type="dxa"/>
            <w:vAlign w:val="bottom"/>
            <w:tcBorders>
              <w:top w:val="single" w:sz="8" w:color="424E6A"/>
            </w:tcBorders>
            <w:shd w:val="clear" w:color="auto" w:fill="424E6A"/>
          </w:tcPr>
          <w:p>
            <w:pPr>
              <w:spacing w:after="0"/>
              <w:rPr>
                <w:sz w:val="21"/>
                <w:szCs w:val="21"/>
                <w:color w:val="auto"/>
              </w:rPr>
            </w:pPr>
          </w:p>
        </w:tc>
        <w:tc>
          <w:tcPr>
            <w:tcW w:w="740" w:type="dxa"/>
            <w:vAlign w:val="bottom"/>
            <w:tcBorders>
              <w:top w:val="single" w:sz="8" w:color="424E6A"/>
              <w:right w:val="single" w:sz="8" w:color="424E6A"/>
            </w:tcBorders>
            <w:shd w:val="clear" w:color="auto" w:fill="424E6A"/>
          </w:tcPr>
          <w:p>
            <w:pPr>
              <w:spacing w:after="0"/>
              <w:rPr>
                <w:sz w:val="21"/>
                <w:szCs w:val="21"/>
                <w:color w:val="auto"/>
              </w:rPr>
            </w:pPr>
          </w:p>
        </w:tc>
        <w:tc>
          <w:tcPr>
            <w:tcW w:w="1060" w:type="dxa"/>
            <w:vAlign w:val="bottom"/>
            <w:tcBorders>
              <w:top w:val="single" w:sz="8" w:color="424E6A"/>
            </w:tcBorders>
            <w:shd w:val="clear" w:color="auto" w:fill="424E6A"/>
          </w:tcPr>
          <w:p>
            <w:pPr>
              <w:spacing w:after="0"/>
              <w:rPr>
                <w:sz w:val="21"/>
                <w:szCs w:val="21"/>
                <w:color w:val="auto"/>
              </w:rPr>
            </w:pPr>
          </w:p>
        </w:tc>
        <w:tc>
          <w:tcPr>
            <w:tcW w:w="80" w:type="dxa"/>
            <w:vAlign w:val="bottom"/>
            <w:tcBorders>
              <w:top w:val="single" w:sz="8" w:color="424E6A"/>
              <w:right w:val="single" w:sz="8" w:color="424E6A"/>
            </w:tcBorders>
            <w:shd w:val="clear" w:color="auto" w:fill="424E6A"/>
          </w:tcPr>
          <w:p>
            <w:pPr>
              <w:spacing w:after="0"/>
              <w:rPr>
                <w:sz w:val="21"/>
                <w:szCs w:val="21"/>
                <w:color w:val="auto"/>
              </w:rPr>
            </w:pPr>
          </w:p>
        </w:tc>
        <w:tc>
          <w:tcPr>
            <w:tcW w:w="400" w:type="dxa"/>
            <w:vAlign w:val="bottom"/>
            <w:tcBorders>
              <w:top w:val="single" w:sz="8" w:color="424E6A"/>
              <w:right w:val="single" w:sz="8" w:color="424E6A"/>
            </w:tcBorders>
            <w:shd w:val="clear" w:color="auto" w:fill="424E6A"/>
          </w:tcPr>
          <w:p>
            <w:pPr>
              <w:spacing w:after="0"/>
              <w:rPr>
                <w:sz w:val="21"/>
                <w:szCs w:val="21"/>
                <w:color w:val="auto"/>
              </w:rPr>
            </w:pPr>
          </w:p>
        </w:tc>
        <w:tc>
          <w:tcPr>
            <w:tcW w:w="80" w:type="dxa"/>
            <w:vAlign w:val="bottom"/>
            <w:tcBorders>
              <w:top w:val="single" w:sz="8" w:color="424E6A"/>
            </w:tcBorders>
            <w:shd w:val="clear" w:color="auto" w:fill="424E6A"/>
          </w:tcPr>
          <w:p>
            <w:pPr>
              <w:spacing w:after="0"/>
              <w:rPr>
                <w:sz w:val="21"/>
                <w:szCs w:val="21"/>
                <w:color w:val="auto"/>
              </w:rPr>
            </w:pPr>
          </w:p>
        </w:tc>
        <w:tc>
          <w:tcPr>
            <w:tcW w:w="1140" w:type="dxa"/>
            <w:vAlign w:val="bottom"/>
            <w:tcBorders>
              <w:top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Grant Date Fair</w:t>
            </w:r>
          </w:p>
        </w:tc>
        <w:tc>
          <w:tcPr>
            <w:tcW w:w="140" w:type="dxa"/>
            <w:vAlign w:val="bottom"/>
            <w:tcBorders>
              <w:top w:val="single" w:sz="8" w:color="424E6A"/>
              <w:right w:val="single" w:sz="8" w:color="424E6A"/>
            </w:tcBorders>
            <w:shd w:val="clear" w:color="auto" w:fill="424E6A"/>
          </w:tcPr>
          <w:p>
            <w:pPr>
              <w:spacing w:after="0"/>
              <w:rPr>
                <w:sz w:val="21"/>
                <w:szCs w:val="21"/>
                <w:color w:val="auto"/>
              </w:rPr>
            </w:pPr>
          </w:p>
        </w:tc>
        <w:tc>
          <w:tcPr>
            <w:tcW w:w="300" w:type="dxa"/>
            <w:vAlign w:val="bottom"/>
            <w:tcBorders>
              <w:top w:val="single" w:sz="8" w:color="424E6A"/>
              <w:right w:val="single" w:sz="8" w:color="424E6A"/>
            </w:tcBorders>
            <w:shd w:val="clear" w:color="auto" w:fill="424E6A"/>
          </w:tcPr>
          <w:p>
            <w:pPr>
              <w:spacing w:after="0"/>
              <w:rPr>
                <w:sz w:val="21"/>
                <w:szCs w:val="21"/>
                <w:color w:val="auto"/>
              </w:rPr>
            </w:pPr>
          </w:p>
        </w:tc>
        <w:tc>
          <w:tcPr>
            <w:tcW w:w="100" w:type="dxa"/>
            <w:vAlign w:val="bottom"/>
            <w:tcBorders>
              <w:top w:val="single" w:sz="8" w:color="424E6A"/>
            </w:tcBorders>
            <w:shd w:val="clear" w:color="auto" w:fill="424E6A"/>
          </w:tcPr>
          <w:p>
            <w:pPr>
              <w:spacing w:after="0"/>
              <w:rPr>
                <w:sz w:val="21"/>
                <w:szCs w:val="21"/>
                <w:color w:val="auto"/>
              </w:rPr>
            </w:pPr>
          </w:p>
        </w:tc>
        <w:tc>
          <w:tcPr>
            <w:tcW w:w="380" w:type="dxa"/>
            <w:vAlign w:val="bottom"/>
            <w:tcBorders>
              <w:top w:val="single" w:sz="8" w:color="424E6A"/>
            </w:tcBorders>
            <w:shd w:val="clear" w:color="auto" w:fill="424E6A"/>
          </w:tcPr>
          <w:p>
            <w:pPr>
              <w:spacing w:after="0"/>
              <w:rPr>
                <w:sz w:val="21"/>
                <w:szCs w:val="21"/>
                <w:color w:val="auto"/>
              </w:rPr>
            </w:pPr>
          </w:p>
        </w:tc>
        <w:tc>
          <w:tcPr>
            <w:tcW w:w="980" w:type="dxa"/>
            <w:vAlign w:val="bottom"/>
            <w:tcBorders>
              <w:top w:val="single" w:sz="8" w:color="424E6A"/>
            </w:tcBorders>
            <w:shd w:val="clear" w:color="auto" w:fill="424E6A"/>
          </w:tcPr>
          <w:p>
            <w:pPr>
              <w:spacing w:after="0"/>
              <w:rPr>
                <w:sz w:val="21"/>
                <w:szCs w:val="21"/>
                <w:color w:val="auto"/>
              </w:rPr>
            </w:pPr>
          </w:p>
        </w:tc>
        <w:tc>
          <w:tcPr>
            <w:tcW w:w="120" w:type="dxa"/>
            <w:vAlign w:val="bottom"/>
            <w:tcBorders>
              <w:top w:val="single" w:sz="8" w:color="424E6A"/>
              <w:right w:val="single" w:sz="8" w:color="424E6A"/>
            </w:tcBorders>
            <w:shd w:val="clear" w:color="auto" w:fill="424E6A"/>
          </w:tcPr>
          <w:p>
            <w:pPr>
              <w:spacing w:after="0"/>
              <w:rPr>
                <w:sz w:val="21"/>
                <w:szCs w:val="21"/>
                <w:color w:val="auto"/>
              </w:rPr>
            </w:pPr>
          </w:p>
        </w:tc>
        <w:tc>
          <w:tcPr>
            <w:tcW w:w="320" w:type="dxa"/>
            <w:vAlign w:val="bottom"/>
            <w:tcBorders>
              <w:top w:val="single" w:sz="8" w:color="424E6A"/>
              <w:right w:val="single" w:sz="8" w:color="424E6A"/>
            </w:tcBorders>
            <w:shd w:val="clear" w:color="auto" w:fill="424E6A"/>
          </w:tcPr>
          <w:p>
            <w:pPr>
              <w:spacing w:after="0"/>
              <w:rPr>
                <w:sz w:val="21"/>
                <w:szCs w:val="21"/>
                <w:color w:val="auto"/>
              </w:rPr>
            </w:pPr>
          </w:p>
        </w:tc>
        <w:tc>
          <w:tcPr>
            <w:tcW w:w="220" w:type="dxa"/>
            <w:vAlign w:val="bottom"/>
            <w:tcBorders>
              <w:top w:val="single" w:sz="8" w:color="424E6A"/>
            </w:tcBorders>
            <w:shd w:val="clear" w:color="auto" w:fill="424E6A"/>
          </w:tcPr>
          <w:p>
            <w:pPr>
              <w:spacing w:after="0"/>
              <w:rPr>
                <w:sz w:val="21"/>
                <w:szCs w:val="21"/>
                <w:color w:val="auto"/>
              </w:rPr>
            </w:pPr>
          </w:p>
        </w:tc>
        <w:tc>
          <w:tcPr>
            <w:tcW w:w="1040" w:type="dxa"/>
            <w:vAlign w:val="bottom"/>
            <w:tcBorders>
              <w:top w:val="single" w:sz="8" w:color="424E6A"/>
              <w:right w:val="single" w:sz="8" w:color="424E6A"/>
            </w:tcBorders>
            <w:shd w:val="clear" w:color="auto" w:fill="424E6A"/>
          </w:tcPr>
          <w:p>
            <w:pPr>
              <w:spacing w:after="0"/>
              <w:rPr>
                <w:sz w:val="21"/>
                <w:szCs w:val="21"/>
                <w:color w:val="auto"/>
              </w:rPr>
            </w:pPr>
          </w:p>
        </w:tc>
      </w:tr>
      <w:tr>
        <w:trPr>
          <w:trHeight w:val="162"/>
        </w:trPr>
        <w:tc>
          <w:tcPr>
            <w:tcW w:w="20" w:type="dxa"/>
            <w:vAlign w:val="bottom"/>
          </w:tcPr>
          <w:p>
            <w:pPr>
              <w:spacing w:after="0"/>
              <w:rPr>
                <w:sz w:val="14"/>
                <w:szCs w:val="14"/>
                <w:color w:val="auto"/>
              </w:rPr>
            </w:pPr>
          </w:p>
        </w:tc>
        <w:tc>
          <w:tcPr>
            <w:tcW w:w="1100" w:type="dxa"/>
            <w:vAlign w:val="bottom"/>
            <w:shd w:val="clear" w:color="auto" w:fill="424E6A"/>
          </w:tcPr>
          <w:p>
            <w:pPr>
              <w:spacing w:after="0"/>
              <w:rPr>
                <w:sz w:val="14"/>
                <w:szCs w:val="14"/>
                <w:color w:val="auto"/>
              </w:rPr>
            </w:pPr>
          </w:p>
        </w:tc>
        <w:tc>
          <w:tcPr>
            <w:tcW w:w="740" w:type="dxa"/>
            <w:vAlign w:val="bottom"/>
            <w:tcBorders>
              <w:right w:val="single" w:sz="8" w:color="424E6A"/>
            </w:tcBorders>
            <w:shd w:val="clear" w:color="auto" w:fill="424E6A"/>
          </w:tcPr>
          <w:p>
            <w:pPr>
              <w:spacing w:after="0"/>
              <w:rPr>
                <w:sz w:val="14"/>
                <w:szCs w:val="14"/>
                <w:color w:val="auto"/>
              </w:rPr>
            </w:pPr>
          </w:p>
        </w:tc>
        <w:tc>
          <w:tcPr>
            <w:tcW w:w="1060" w:type="dxa"/>
            <w:vAlign w:val="bottom"/>
            <w:shd w:val="clear" w:color="auto" w:fill="424E6A"/>
          </w:tcPr>
          <w:p>
            <w:pPr>
              <w:spacing w:after="0"/>
              <w:rPr>
                <w:sz w:val="14"/>
                <w:szCs w:val="14"/>
                <w:color w:val="auto"/>
              </w:rPr>
            </w:pPr>
          </w:p>
        </w:tc>
        <w:tc>
          <w:tcPr>
            <w:tcW w:w="8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Value of Awards</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3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 of Equity</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1040" w:type="dxa"/>
            <w:vAlign w:val="bottom"/>
            <w:tcBorders>
              <w:right w:val="single" w:sz="8" w:color="424E6A"/>
            </w:tcBorders>
            <w:shd w:val="clear" w:color="auto" w:fill="424E6A"/>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100" w:type="dxa"/>
            <w:vAlign w:val="bottom"/>
            <w:shd w:val="clear" w:color="auto" w:fill="424E6A"/>
          </w:tcPr>
          <w:p>
            <w:pPr>
              <w:spacing w:after="0"/>
              <w:rPr>
                <w:sz w:val="14"/>
                <w:szCs w:val="14"/>
                <w:color w:val="auto"/>
              </w:rPr>
            </w:pPr>
          </w:p>
        </w:tc>
        <w:tc>
          <w:tcPr>
            <w:tcW w:w="740" w:type="dxa"/>
            <w:vAlign w:val="bottom"/>
            <w:tcBorders>
              <w:right w:val="single" w:sz="8" w:color="424E6A"/>
            </w:tcBorders>
            <w:shd w:val="clear" w:color="auto" w:fill="424E6A"/>
          </w:tcPr>
          <w:p>
            <w:pPr>
              <w:spacing w:after="0"/>
              <w:rPr>
                <w:sz w:val="14"/>
                <w:szCs w:val="14"/>
                <w:color w:val="auto"/>
              </w:rPr>
            </w:pPr>
          </w:p>
        </w:tc>
        <w:tc>
          <w:tcPr>
            <w:tcW w:w="1060" w:type="dxa"/>
            <w:vAlign w:val="bottom"/>
            <w:shd w:val="clear" w:color="auto" w:fill="424E6A"/>
          </w:tcPr>
          <w:p>
            <w:pPr>
              <w:spacing w:after="0"/>
              <w:rPr>
                <w:sz w:val="14"/>
                <w:szCs w:val="14"/>
                <w:color w:val="auto"/>
              </w:rPr>
            </w:pPr>
          </w:p>
        </w:tc>
        <w:tc>
          <w:tcPr>
            <w:tcW w:w="8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Granted During</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3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Calculated Using</w:t>
            </w:r>
          </w:p>
        </w:tc>
        <w:tc>
          <w:tcPr>
            <w:tcW w:w="12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1040" w:type="dxa"/>
            <w:vAlign w:val="bottom"/>
            <w:tcBorders>
              <w:right w:val="single" w:sz="8" w:color="424E6A"/>
            </w:tcBorders>
            <w:shd w:val="clear" w:color="auto" w:fill="424E6A"/>
          </w:tcPr>
          <w:p>
            <w:pPr>
              <w:spacing w:after="0"/>
              <w:rPr>
                <w:sz w:val="14"/>
                <w:szCs w:val="14"/>
                <w:color w:val="auto"/>
              </w:rPr>
            </w:pPr>
          </w:p>
        </w:tc>
      </w:tr>
      <w:tr>
        <w:trPr>
          <w:trHeight w:val="198"/>
        </w:trPr>
        <w:tc>
          <w:tcPr>
            <w:tcW w:w="20" w:type="dxa"/>
            <w:vAlign w:val="bottom"/>
            <w:tcBorders>
              <w:bottom w:val="single" w:sz="8" w:color="424E6A"/>
            </w:tcBorders>
          </w:tcPr>
          <w:p>
            <w:pPr>
              <w:spacing w:after="0"/>
              <w:rPr>
                <w:sz w:val="17"/>
                <w:szCs w:val="17"/>
                <w:color w:val="auto"/>
              </w:rPr>
            </w:pPr>
          </w:p>
        </w:tc>
        <w:tc>
          <w:tcPr>
            <w:tcW w:w="1100" w:type="dxa"/>
            <w:vAlign w:val="bottom"/>
            <w:tcBorders>
              <w:bottom w:val="single" w:sz="8" w:color="424E6A"/>
            </w:tcBorders>
            <w:shd w:val="clear" w:color="auto" w:fill="424E6A"/>
          </w:tcPr>
          <w:p>
            <w:pPr>
              <w:ind w:left="2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Year</w:t>
            </w:r>
          </w:p>
        </w:tc>
        <w:tc>
          <w:tcPr>
            <w:tcW w:w="1800" w:type="dxa"/>
            <w:vAlign w:val="bottom"/>
            <w:tcBorders>
              <w:bottom w:val="single" w:sz="8" w:color="424E6A"/>
            </w:tcBorders>
            <w:gridSpan w:val="2"/>
            <w:shd w:val="clear" w:color="auto" w:fill="424E6A"/>
          </w:tcPr>
          <w:p>
            <w:pPr>
              <w:ind w:left="68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SCT Total</w:t>
            </w:r>
          </w:p>
        </w:tc>
        <w:tc>
          <w:tcPr>
            <w:tcW w:w="560" w:type="dxa"/>
            <w:vAlign w:val="bottom"/>
            <w:tcBorders>
              <w:bottom w:val="single" w:sz="8" w:color="424E6A"/>
            </w:tcBorders>
            <w:gridSpan w:val="3"/>
            <w:shd w:val="clear" w:color="auto" w:fill="424E6A"/>
          </w:tcPr>
          <w:p>
            <w:pPr>
              <w:jc w:val="right"/>
              <w:spacing w:after="0"/>
              <w:rPr>
                <w:sz w:val="20"/>
                <w:szCs w:val="20"/>
                <w:color w:val="auto"/>
              </w:rPr>
            </w:pPr>
            <w:r>
              <w:rPr>
                <w:rFonts w:ascii="Arial" w:cs="Arial" w:eastAsia="Arial" w:hAnsi="Arial"/>
                <w:sz w:val="14"/>
                <w:szCs w:val="14"/>
                <w:b w:val="1"/>
                <w:bCs w:val="1"/>
                <w:color w:val="FFFFFF"/>
              </w:rPr>
              <w:t>​ ​   ​ ​</w:t>
            </w:r>
          </w:p>
        </w:tc>
        <w:tc>
          <w:tcPr>
            <w:tcW w:w="260" w:type="dxa"/>
            <w:vAlign w:val="bottom"/>
            <w:tcBorders>
              <w:bottom w:val="single" w:sz="8" w:color="424E6A"/>
            </w:tcBorders>
            <w:shd w:val="clear" w:color="auto" w:fill="424E6A"/>
          </w:tcPr>
          <w:p>
            <w:pPr>
              <w:spacing w:after="0"/>
              <w:rPr>
                <w:sz w:val="17"/>
                <w:szCs w:val="17"/>
                <w:color w:val="auto"/>
              </w:rPr>
            </w:pPr>
          </w:p>
        </w:tc>
        <w:tc>
          <w:tcPr>
            <w:tcW w:w="880" w:type="dxa"/>
            <w:vAlign w:val="bottom"/>
            <w:tcBorders>
              <w:bottom w:val="single" w:sz="8" w:color="424E6A"/>
            </w:tcBorders>
            <w:shd w:val="clear" w:color="auto" w:fill="424E6A"/>
          </w:tcPr>
          <w:p>
            <w:pPr>
              <w:jc w:val="center"/>
              <w:ind w:right="156"/>
              <w:spacing w:after="0"/>
              <w:rPr>
                <w:sz w:val="20"/>
                <w:szCs w:val="20"/>
                <w:color w:val="auto"/>
              </w:rPr>
            </w:pPr>
            <w:r>
              <w:rPr>
                <w:rFonts w:ascii="Arial" w:cs="Arial" w:eastAsia="Arial" w:hAnsi="Arial"/>
                <w:sz w:val="14"/>
                <w:szCs w:val="14"/>
                <w:b w:val="1"/>
                <w:bCs w:val="1"/>
                <w:color w:val="FFFFFF"/>
              </w:rPr>
              <w:t>the Year</w:t>
            </w:r>
          </w:p>
        </w:tc>
        <w:tc>
          <w:tcPr>
            <w:tcW w:w="540" w:type="dxa"/>
            <w:vAlign w:val="bottom"/>
            <w:tcBorders>
              <w:bottom w:val="single" w:sz="8" w:color="424E6A"/>
            </w:tcBorders>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1360" w:type="dxa"/>
            <w:vAlign w:val="bottom"/>
            <w:tcBorders>
              <w:bottom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SEC Methodology</w:t>
            </w:r>
          </w:p>
        </w:tc>
        <w:tc>
          <w:tcPr>
            <w:tcW w:w="660" w:type="dxa"/>
            <w:vAlign w:val="bottom"/>
            <w:tcBorders>
              <w:bottom w:val="single" w:sz="8" w:color="424E6A"/>
            </w:tcBorders>
            <w:gridSpan w:val="3"/>
            <w:shd w:val="clear" w:color="auto" w:fill="424E6A"/>
          </w:tcPr>
          <w:p>
            <w:pPr>
              <w:jc w:val="center"/>
              <w:ind w:right="3"/>
              <w:spacing w:after="0"/>
              <w:rPr>
                <w:sz w:val="20"/>
                <w:szCs w:val="20"/>
                <w:color w:val="auto"/>
              </w:rPr>
            </w:pPr>
            <w:r>
              <w:rPr>
                <w:rFonts w:ascii="Arial" w:cs="Arial" w:eastAsia="Arial" w:hAnsi="Arial"/>
                <w:sz w:val="14"/>
                <w:szCs w:val="14"/>
                <w:b w:val="1"/>
                <w:bCs w:val="1"/>
                <w:color w:val="FFFFFF"/>
              </w:rPr>
              <w:t>​ ​  ​ ​</w:t>
            </w:r>
          </w:p>
        </w:tc>
        <w:tc>
          <w:tcPr>
            <w:tcW w:w="1040" w:type="dxa"/>
            <w:vAlign w:val="bottom"/>
            <w:tcBorders>
              <w:bottom w:val="single" w:sz="8" w:color="424E6A"/>
              <w:right w:val="single" w:sz="8" w:color="424E6A"/>
            </w:tcBorders>
            <w:shd w:val="clear" w:color="auto" w:fill="424E6A"/>
          </w:tcPr>
          <w:p>
            <w:pPr>
              <w:jc w:val="right"/>
              <w:ind w:right="279"/>
              <w:spacing w:after="0"/>
              <w:rPr>
                <w:sz w:val="20"/>
                <w:szCs w:val="20"/>
                <w:color w:val="auto"/>
              </w:rPr>
            </w:pPr>
            <w:r>
              <w:rPr>
                <w:rFonts w:ascii="Arial" w:cs="Arial" w:eastAsia="Arial" w:hAnsi="Arial"/>
                <w:sz w:val="14"/>
                <w:szCs w:val="14"/>
                <w:b w:val="1"/>
                <w:bCs w:val="1"/>
                <w:color w:val="FFFFFF"/>
                <w:w w:val="98"/>
              </w:rPr>
              <w:t>CAP Total</w:t>
            </w:r>
          </w:p>
        </w:tc>
      </w:tr>
      <w:tr>
        <w:trPr>
          <w:trHeight w:val="250"/>
        </w:trPr>
        <w:tc>
          <w:tcPr>
            <w:tcW w:w="20" w:type="dxa"/>
            <w:vAlign w:val="bottom"/>
            <w:tcBorders>
              <w:bottom w:val="single" w:sz="8" w:color="424E6A"/>
            </w:tcBorders>
            <w:shd w:val="clear" w:color="auto" w:fill="424E6A"/>
          </w:tcPr>
          <w:p>
            <w:pPr>
              <w:spacing w:after="0"/>
              <w:rPr>
                <w:sz w:val="21"/>
                <w:szCs w:val="21"/>
                <w:color w:val="auto"/>
              </w:rPr>
            </w:pPr>
          </w:p>
        </w:tc>
        <w:tc>
          <w:tcPr>
            <w:tcW w:w="1100" w:type="dxa"/>
            <w:vAlign w:val="bottom"/>
            <w:tcBorders>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2022</w:t>
            </w:r>
          </w:p>
        </w:tc>
        <w:tc>
          <w:tcPr>
            <w:tcW w:w="740" w:type="dxa"/>
            <w:vAlign w:val="bottom"/>
            <w:tcBorders>
              <w:bottom w:val="single" w:sz="8" w:color="424E6A"/>
              <w:right w:val="single" w:sz="8" w:color="424E6A"/>
            </w:tcBorders>
          </w:tcPr>
          <w:p>
            <w:pPr>
              <w:ind w:left="6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$4,387,570</w:t>
            </w:r>
          </w:p>
        </w:tc>
        <w:tc>
          <w:tcPr>
            <w:tcW w:w="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tcBorders>
            <w:gridSpan w:val="2"/>
          </w:tcPr>
          <w:p>
            <w:pPr>
              <w:jc w:val="right"/>
              <w:ind w:right="16"/>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$1,132,761</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424E6A"/>
            </w:tcBorders>
            <w:gridSpan w:val="2"/>
          </w:tcPr>
          <w:p>
            <w:pPr>
              <w:jc w:val="right"/>
              <w:ind w:right="13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$4,887,389</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260" w:type="dxa"/>
            <w:vAlign w:val="bottom"/>
            <w:tcBorders>
              <w:bottom w:val="single" w:sz="8" w:color="424E6A"/>
              <w:right w:val="single" w:sz="8" w:color="424E6A"/>
            </w:tcBorders>
            <w:gridSpan w:val="2"/>
          </w:tcPr>
          <w:p>
            <w:pPr>
              <w:jc w:val="right"/>
              <w:ind w:right="15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$8,142,198</w:t>
            </w:r>
          </w:p>
        </w:tc>
      </w:tr>
      <w:tr>
        <w:trPr>
          <w:trHeight w:val="250"/>
        </w:trPr>
        <w:tc>
          <w:tcPr>
            <w:tcW w:w="20" w:type="dxa"/>
            <w:vAlign w:val="bottom"/>
            <w:tcBorders>
              <w:bottom w:val="single" w:sz="8" w:color="424E6A"/>
            </w:tcBorders>
            <w:shd w:val="clear" w:color="auto" w:fill="424E6A"/>
          </w:tcPr>
          <w:p>
            <w:pPr>
              <w:spacing w:after="0"/>
              <w:rPr>
                <w:sz w:val="21"/>
                <w:szCs w:val="21"/>
                <w:color w:val="auto"/>
              </w:rPr>
            </w:pPr>
          </w:p>
        </w:tc>
        <w:tc>
          <w:tcPr>
            <w:tcW w:w="1100" w:type="dxa"/>
            <w:vAlign w:val="bottom"/>
            <w:tcBorders>
              <w:bottom w:val="single" w:sz="8" w:color="424E6A"/>
            </w:tcBorders>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2021</w:t>
            </w:r>
          </w:p>
        </w:tc>
        <w:tc>
          <w:tcPr>
            <w:tcW w:w="740" w:type="dxa"/>
            <w:vAlign w:val="bottom"/>
            <w:tcBorders>
              <w:bottom w:val="single" w:sz="8" w:color="424E6A"/>
              <w:right w:val="single" w:sz="8" w:color="424E6A"/>
            </w:tcBorders>
            <w:shd w:val="clear" w:color="auto" w:fill="D9DCE1"/>
          </w:tcPr>
          <w:p>
            <w:pPr>
              <w:ind w:left="6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shd w:val="clear" w:color="auto" w:fill="D9DCE1"/>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$2,147,374</w:t>
            </w:r>
          </w:p>
        </w:tc>
        <w:tc>
          <w:tcPr>
            <w:tcW w:w="8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highlight w:val="lightGray"/>
              </w:rPr>
              <w:t>​</w:t>
            </w:r>
          </w:p>
        </w:tc>
        <w:tc>
          <w:tcPr>
            <w:tcW w:w="400" w:type="dxa"/>
            <w:vAlign w:val="bottom"/>
            <w:tcBorders>
              <w:bottom w:val="single" w:sz="8" w:color="424E6A"/>
              <w:right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tcBorders>
            <w:shd w:val="clear" w:color="auto" w:fill="D9DCE1"/>
          </w:tcPr>
          <w:p>
            <w:pPr>
              <w:ind w:left="1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80" w:type="dxa"/>
            <w:vAlign w:val="bottom"/>
            <w:tcBorders>
              <w:bottom w:val="single" w:sz="8" w:color="424E6A"/>
            </w:tcBorders>
            <w:shd w:val="clear" w:color="auto" w:fill="D9DCE1"/>
          </w:tcPr>
          <w:p>
            <w:pPr>
              <w:jc w:val="right"/>
              <w:ind w:right="16"/>
              <w:spacing w:after="0"/>
              <w:rPr>
                <w:sz w:val="20"/>
                <w:szCs w:val="20"/>
                <w:color w:val="auto"/>
              </w:rPr>
            </w:pPr>
            <w:r>
              <w:rPr>
                <w:rFonts w:ascii="Arial" w:cs="Arial" w:eastAsia="Arial" w:hAnsi="Arial"/>
                <w:sz w:val="18"/>
                <w:szCs w:val="18"/>
                <w:color w:val="auto"/>
              </w:rPr>
              <w:t>657,014</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shd w:val="clear" w:color="auto" w:fill="D9DCE1"/>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424E6A"/>
            </w:tcBorders>
            <w:shd w:val="clear" w:color="auto" w:fill="D9DCE1"/>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980" w:type="dxa"/>
            <w:vAlign w:val="bottom"/>
            <w:tcBorders>
              <w:bottom w:val="single" w:sz="8" w:color="424E6A"/>
            </w:tcBorders>
            <w:shd w:val="clear" w:color="auto" w:fill="D9DCE1"/>
          </w:tcPr>
          <w:p>
            <w:pPr>
              <w:jc w:val="right"/>
              <w:ind w:right="130"/>
              <w:spacing w:after="0"/>
              <w:rPr>
                <w:sz w:val="20"/>
                <w:szCs w:val="20"/>
                <w:color w:val="auto"/>
              </w:rPr>
            </w:pPr>
            <w:r>
              <w:rPr>
                <w:rFonts w:ascii="Arial" w:cs="Arial" w:eastAsia="Arial" w:hAnsi="Arial"/>
                <w:sz w:val="18"/>
                <w:szCs w:val="18"/>
                <w:color w:val="auto"/>
              </w:rPr>
              <w:t>895,338</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shd w:val="clear" w:color="auto" w:fill="D9DCE1"/>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260" w:type="dxa"/>
            <w:vAlign w:val="bottom"/>
            <w:tcBorders>
              <w:bottom w:val="single" w:sz="8" w:color="424E6A"/>
              <w:right w:val="single" w:sz="8" w:color="424E6A"/>
            </w:tcBorders>
            <w:gridSpan w:val="2"/>
            <w:shd w:val="clear" w:color="auto" w:fill="D9DCE1"/>
          </w:tcPr>
          <w:p>
            <w:pPr>
              <w:jc w:val="right"/>
              <w:ind w:right="15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$2,385,698</w:t>
            </w:r>
          </w:p>
        </w:tc>
      </w:tr>
      <w:tr>
        <w:trPr>
          <w:trHeight w:val="250"/>
        </w:trPr>
        <w:tc>
          <w:tcPr>
            <w:tcW w:w="20" w:type="dxa"/>
            <w:vAlign w:val="bottom"/>
            <w:tcBorders>
              <w:bottom w:val="single" w:sz="8" w:color="424E6A"/>
            </w:tcBorders>
            <w:shd w:val="clear" w:color="auto" w:fill="424E6A"/>
          </w:tcPr>
          <w:p>
            <w:pPr>
              <w:spacing w:after="0"/>
              <w:rPr>
                <w:sz w:val="21"/>
                <w:szCs w:val="21"/>
                <w:color w:val="auto"/>
              </w:rPr>
            </w:pPr>
          </w:p>
        </w:tc>
        <w:tc>
          <w:tcPr>
            <w:tcW w:w="1100" w:type="dxa"/>
            <w:vAlign w:val="bottom"/>
            <w:tcBorders>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2020</w:t>
            </w:r>
          </w:p>
        </w:tc>
        <w:tc>
          <w:tcPr>
            <w:tcW w:w="740" w:type="dxa"/>
            <w:vAlign w:val="bottom"/>
            <w:tcBorders>
              <w:bottom w:val="single" w:sz="8" w:color="424E6A"/>
              <w:right w:val="single" w:sz="8" w:color="424E6A"/>
            </w:tcBorders>
          </w:tcPr>
          <w:p>
            <w:pPr>
              <w:ind w:left="6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$1,957,177</w:t>
            </w:r>
          </w:p>
        </w:tc>
        <w:tc>
          <w:tcPr>
            <w:tcW w:w="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tcBorders>
          </w:tcPr>
          <w:p>
            <w:pPr>
              <w:ind w:left="1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80" w:type="dxa"/>
            <w:vAlign w:val="bottom"/>
            <w:tcBorders>
              <w:bottom w:val="single" w:sz="8" w:color="424E6A"/>
            </w:tcBorders>
          </w:tcPr>
          <w:p>
            <w:pPr>
              <w:jc w:val="right"/>
              <w:ind w:right="16"/>
              <w:spacing w:after="0"/>
              <w:rPr>
                <w:sz w:val="20"/>
                <w:szCs w:val="20"/>
                <w:color w:val="auto"/>
              </w:rPr>
            </w:pPr>
            <w:r>
              <w:rPr>
                <w:rFonts w:ascii="Arial" w:cs="Arial" w:eastAsia="Arial" w:hAnsi="Arial"/>
                <w:sz w:val="18"/>
                <w:szCs w:val="18"/>
                <w:color w:val="auto"/>
              </w:rPr>
              <w:t>719,117</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424E6A"/>
            </w:tcBorders>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980" w:type="dxa"/>
            <w:vAlign w:val="bottom"/>
            <w:tcBorders>
              <w:bottom w:val="single" w:sz="8" w:color="424E6A"/>
            </w:tcBorders>
          </w:tcPr>
          <w:p>
            <w:pPr>
              <w:jc w:val="right"/>
              <w:ind w:right="70"/>
              <w:spacing w:after="0"/>
              <w:rPr>
                <w:sz w:val="20"/>
                <w:szCs w:val="20"/>
                <w:color w:val="auto"/>
              </w:rPr>
            </w:pPr>
            <w:r>
              <w:rPr>
                <w:rFonts w:ascii="Arial" w:cs="Arial" w:eastAsia="Arial" w:hAnsi="Arial"/>
                <w:sz w:val="18"/>
                <w:szCs w:val="18"/>
                <w:color w:val="auto"/>
              </w:rPr>
              <w:t>(808,238)</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2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040" w:type="dxa"/>
            <w:vAlign w:val="bottom"/>
            <w:tcBorders>
              <w:bottom w:val="single" w:sz="8" w:color="424E6A"/>
              <w:right w:val="single" w:sz="8" w:color="424E6A"/>
            </w:tcBorders>
          </w:tcPr>
          <w:p>
            <w:pPr>
              <w:jc w:val="right"/>
              <w:ind w:right="159"/>
              <w:spacing w:after="0"/>
              <w:rPr>
                <w:sz w:val="20"/>
                <w:szCs w:val="20"/>
                <w:color w:val="auto"/>
              </w:rPr>
            </w:pPr>
            <w:r>
              <w:rPr>
                <w:rFonts w:ascii="Arial" w:cs="Arial" w:eastAsia="Arial" w:hAnsi="Arial"/>
                <w:sz w:val="18"/>
                <w:szCs w:val="18"/>
                <w:color w:val="auto"/>
              </w:rPr>
              <w:t>429,822</w:t>
            </w:r>
          </w:p>
        </w:tc>
      </w:tr>
    </w:tbl>
    <w:p>
      <w:pPr>
        <w:spacing w:after="0" w:line="157" w:lineRule="exact"/>
        <w:rPr>
          <w:sz w:val="20"/>
          <w:szCs w:val="20"/>
          <w:color w:val="auto"/>
        </w:rPr>
      </w:pPr>
    </w:p>
    <w:p>
      <w:pPr>
        <w:ind w:left="1620" w:right="459" w:hanging="360"/>
        <w:spacing w:after="0" w:line="210" w:lineRule="auto"/>
        <w:tabs>
          <w:tab w:leader="none" w:pos="1620" w:val="left"/>
        </w:tabs>
        <w:numPr>
          <w:ilvl w:val="0"/>
          <w:numId w:val="73"/>
        </w:numPr>
        <w:rPr>
          <w:rFonts w:ascii="Arial" w:cs="Arial" w:eastAsia="Arial" w:hAnsi="Arial"/>
          <w:sz w:val="27"/>
          <w:szCs w:val="27"/>
          <w:color w:val="auto"/>
          <w:vertAlign w:val="superscript"/>
        </w:rPr>
      </w:pPr>
      <w:r>
        <w:rPr>
          <w:rFonts w:ascii="Arial" w:cs="Arial" w:eastAsia="Arial" w:hAnsi="Arial"/>
          <w:sz w:val="18"/>
          <w:szCs w:val="18"/>
          <w:color w:val="auto"/>
        </w:rPr>
        <w:t>The CAP total figures were calculated using the same methodology described in footnote (a) to the “PEO — Reconciliation of SCT Total to CAP Total” table shown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899" w:firstLine="360"/>
        <w:spacing w:after="0" w:line="287" w:lineRule="auto"/>
        <w:rPr>
          <w:sz w:val="20"/>
          <w:szCs w:val="20"/>
          <w:color w:val="auto"/>
        </w:rPr>
      </w:pPr>
      <w:r>
        <w:rPr>
          <w:rFonts w:ascii="Arial" w:cs="Arial" w:eastAsia="Arial" w:hAnsi="Arial"/>
          <w:sz w:val="18"/>
          <w:szCs w:val="18"/>
          <w:color w:val="auto"/>
        </w:rPr>
        <w:t>The specific calculations for the Non-PEO NEOs for the relevant years are shown in the table below:</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Non-PEO NEOs (Average) — CAP Fair Value of Equity Calculation</w:t>
      </w:r>
      <w:r>
        <w:rPr>
          <w:rFonts w:ascii="Arial" w:cs="Arial" w:eastAsia="Arial" w:hAnsi="Arial"/>
          <w:sz w:val="26"/>
          <w:szCs w:val="26"/>
          <w:u w:val="single" w:color="auto"/>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100965</wp:posOffset>
            </wp:positionV>
            <wp:extent cx="34290" cy="8058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805815"/>
                    </a:xfrm>
                    <a:prstGeom prst="rect">
                      <a:avLst/>
                    </a:prstGeom>
                    <a:noFill/>
                  </pic:spPr>
                </pic:pic>
              </a:graphicData>
            </a:graphic>
          </wp:anchor>
        </w:drawing>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247"/>
        </w:trPr>
        <w:tc>
          <w:tcPr>
            <w:tcW w:w="20" w:type="dxa"/>
            <w:vAlign w:val="bottom"/>
            <w:tcBorders>
              <w:top w:val="single" w:sz="8" w:color="424E6A"/>
            </w:tcBorders>
          </w:tcPr>
          <w:p>
            <w:pPr>
              <w:spacing w:after="0"/>
              <w:rPr>
                <w:sz w:val="21"/>
                <w:szCs w:val="21"/>
                <w:color w:val="auto"/>
              </w:rPr>
            </w:pPr>
          </w:p>
        </w:tc>
        <w:tc>
          <w:tcPr>
            <w:tcW w:w="680" w:type="dxa"/>
            <w:vAlign w:val="bottom"/>
            <w:tcBorders>
              <w:top w:val="single" w:sz="8" w:color="424E6A"/>
            </w:tcBorders>
            <w:shd w:val="clear" w:color="auto" w:fill="424E6A"/>
          </w:tcPr>
          <w:p>
            <w:pPr>
              <w:spacing w:after="0"/>
              <w:rPr>
                <w:sz w:val="21"/>
                <w:szCs w:val="21"/>
                <w:color w:val="auto"/>
              </w:rPr>
            </w:pPr>
          </w:p>
        </w:tc>
        <w:tc>
          <w:tcPr>
            <w:tcW w:w="340" w:type="dxa"/>
            <w:vAlign w:val="bottom"/>
            <w:tcBorders>
              <w:top w:val="single" w:sz="8" w:color="424E6A"/>
              <w:right w:val="single" w:sz="8" w:color="424E6A"/>
            </w:tcBorders>
            <w:shd w:val="clear" w:color="auto" w:fill="424E6A"/>
          </w:tcPr>
          <w:p>
            <w:pPr>
              <w:spacing w:after="0"/>
              <w:rPr>
                <w:sz w:val="21"/>
                <w:szCs w:val="21"/>
                <w:color w:val="auto"/>
              </w:rPr>
            </w:pPr>
          </w:p>
        </w:tc>
        <w:tc>
          <w:tcPr>
            <w:tcW w:w="220" w:type="dxa"/>
            <w:vAlign w:val="bottom"/>
            <w:tcBorders>
              <w:top w:val="single" w:sz="8" w:color="424E6A"/>
            </w:tcBorders>
            <w:shd w:val="clear" w:color="auto" w:fill="424E6A"/>
          </w:tcPr>
          <w:p>
            <w:pPr>
              <w:spacing w:after="0"/>
              <w:rPr>
                <w:sz w:val="21"/>
                <w:szCs w:val="21"/>
                <w:color w:val="auto"/>
              </w:rPr>
            </w:pPr>
          </w:p>
        </w:tc>
        <w:tc>
          <w:tcPr>
            <w:tcW w:w="820" w:type="dxa"/>
            <w:vAlign w:val="bottom"/>
            <w:tcBorders>
              <w:top w:val="single" w:sz="8" w:color="424E6A"/>
            </w:tcBorders>
            <w:shd w:val="clear" w:color="auto" w:fill="424E6A"/>
          </w:tcPr>
          <w:p>
            <w:pPr>
              <w:spacing w:after="0"/>
              <w:rPr>
                <w:sz w:val="21"/>
                <w:szCs w:val="21"/>
                <w:color w:val="auto"/>
              </w:rPr>
            </w:pPr>
          </w:p>
        </w:tc>
        <w:tc>
          <w:tcPr>
            <w:tcW w:w="80" w:type="dxa"/>
            <w:vAlign w:val="bottom"/>
            <w:tcBorders>
              <w:top w:val="single" w:sz="8" w:color="424E6A"/>
              <w:right w:val="single" w:sz="8" w:color="424E6A"/>
            </w:tcBorders>
            <w:shd w:val="clear" w:color="auto" w:fill="424E6A"/>
          </w:tcPr>
          <w:p>
            <w:pPr>
              <w:spacing w:after="0"/>
              <w:rPr>
                <w:sz w:val="21"/>
                <w:szCs w:val="21"/>
                <w:color w:val="auto"/>
              </w:rPr>
            </w:pPr>
          </w:p>
        </w:tc>
        <w:tc>
          <w:tcPr>
            <w:tcW w:w="320" w:type="dxa"/>
            <w:vAlign w:val="bottom"/>
            <w:tcBorders>
              <w:top w:val="single" w:sz="8" w:color="424E6A"/>
              <w:right w:val="single" w:sz="8" w:color="424E6A"/>
            </w:tcBorders>
            <w:shd w:val="clear" w:color="auto" w:fill="424E6A"/>
          </w:tcPr>
          <w:p>
            <w:pPr>
              <w:spacing w:after="0"/>
              <w:rPr>
                <w:sz w:val="21"/>
                <w:szCs w:val="21"/>
                <w:color w:val="auto"/>
              </w:rPr>
            </w:pPr>
          </w:p>
        </w:tc>
        <w:tc>
          <w:tcPr>
            <w:tcW w:w="80" w:type="dxa"/>
            <w:vAlign w:val="bottom"/>
            <w:tcBorders>
              <w:top w:val="single" w:sz="8" w:color="424E6A"/>
            </w:tcBorders>
            <w:shd w:val="clear" w:color="auto" w:fill="424E6A"/>
          </w:tcPr>
          <w:p>
            <w:pPr>
              <w:spacing w:after="0"/>
              <w:rPr>
                <w:sz w:val="21"/>
                <w:szCs w:val="21"/>
                <w:color w:val="auto"/>
              </w:rPr>
            </w:pPr>
          </w:p>
        </w:tc>
        <w:tc>
          <w:tcPr>
            <w:tcW w:w="1060" w:type="dxa"/>
            <w:vAlign w:val="bottom"/>
            <w:tcBorders>
              <w:top w:val="single" w:sz="8" w:color="424E6A"/>
            </w:tcBorders>
            <w:shd w:val="clear" w:color="auto" w:fill="424E6A"/>
          </w:tcPr>
          <w:p>
            <w:pPr>
              <w:spacing w:after="0"/>
              <w:rPr>
                <w:sz w:val="21"/>
                <w:szCs w:val="21"/>
                <w:color w:val="auto"/>
              </w:rPr>
            </w:pPr>
          </w:p>
        </w:tc>
        <w:tc>
          <w:tcPr>
            <w:tcW w:w="120" w:type="dxa"/>
            <w:vAlign w:val="bottom"/>
            <w:tcBorders>
              <w:top w:val="single" w:sz="8" w:color="424E6A"/>
              <w:right w:val="single" w:sz="8" w:color="424E6A"/>
            </w:tcBorders>
            <w:shd w:val="clear" w:color="auto" w:fill="424E6A"/>
          </w:tcPr>
          <w:p>
            <w:pPr>
              <w:spacing w:after="0"/>
              <w:rPr>
                <w:sz w:val="21"/>
                <w:szCs w:val="21"/>
                <w:color w:val="auto"/>
              </w:rPr>
            </w:pPr>
          </w:p>
        </w:tc>
        <w:tc>
          <w:tcPr>
            <w:tcW w:w="300" w:type="dxa"/>
            <w:vAlign w:val="bottom"/>
            <w:tcBorders>
              <w:top w:val="single" w:sz="8" w:color="424E6A"/>
              <w:right w:val="single" w:sz="8" w:color="424E6A"/>
            </w:tcBorders>
            <w:shd w:val="clear" w:color="auto" w:fill="424E6A"/>
          </w:tcPr>
          <w:p>
            <w:pPr>
              <w:spacing w:after="0"/>
              <w:rPr>
                <w:sz w:val="21"/>
                <w:szCs w:val="21"/>
                <w:color w:val="auto"/>
              </w:rPr>
            </w:pPr>
          </w:p>
        </w:tc>
        <w:tc>
          <w:tcPr>
            <w:tcW w:w="100" w:type="dxa"/>
            <w:vAlign w:val="bottom"/>
            <w:tcBorders>
              <w:top w:val="single" w:sz="8" w:color="424E6A"/>
            </w:tcBorders>
            <w:shd w:val="clear" w:color="auto" w:fill="424E6A"/>
          </w:tcPr>
          <w:p>
            <w:pPr>
              <w:spacing w:after="0"/>
              <w:rPr>
                <w:sz w:val="21"/>
                <w:szCs w:val="21"/>
                <w:color w:val="auto"/>
              </w:rPr>
            </w:pPr>
          </w:p>
        </w:tc>
        <w:tc>
          <w:tcPr>
            <w:tcW w:w="1000" w:type="dxa"/>
            <w:vAlign w:val="bottom"/>
            <w:tcBorders>
              <w:top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40" w:type="dxa"/>
            <w:vAlign w:val="bottom"/>
            <w:tcBorders>
              <w:top w:val="single" w:sz="8" w:color="424E6A"/>
              <w:right w:val="single" w:sz="8" w:color="424E6A"/>
            </w:tcBorders>
            <w:shd w:val="clear" w:color="auto" w:fill="424E6A"/>
          </w:tcPr>
          <w:p>
            <w:pPr>
              <w:spacing w:after="0"/>
              <w:rPr>
                <w:sz w:val="21"/>
                <w:szCs w:val="21"/>
                <w:color w:val="auto"/>
              </w:rPr>
            </w:pPr>
          </w:p>
        </w:tc>
        <w:tc>
          <w:tcPr>
            <w:tcW w:w="320" w:type="dxa"/>
            <w:vAlign w:val="bottom"/>
            <w:tcBorders>
              <w:top w:val="single" w:sz="8" w:color="424E6A"/>
              <w:right w:val="single" w:sz="8" w:color="424E6A"/>
            </w:tcBorders>
            <w:shd w:val="clear" w:color="auto" w:fill="424E6A"/>
          </w:tcPr>
          <w:p>
            <w:pPr>
              <w:spacing w:after="0"/>
              <w:rPr>
                <w:sz w:val="21"/>
                <w:szCs w:val="21"/>
                <w:color w:val="auto"/>
              </w:rPr>
            </w:pPr>
          </w:p>
        </w:tc>
        <w:tc>
          <w:tcPr>
            <w:tcW w:w="240" w:type="dxa"/>
            <w:vAlign w:val="bottom"/>
            <w:tcBorders>
              <w:top w:val="single" w:sz="8" w:color="424E6A"/>
            </w:tcBorders>
            <w:shd w:val="clear" w:color="auto" w:fill="424E6A"/>
          </w:tcPr>
          <w:p>
            <w:pPr>
              <w:spacing w:after="0"/>
              <w:rPr>
                <w:sz w:val="21"/>
                <w:szCs w:val="21"/>
                <w:color w:val="auto"/>
              </w:rPr>
            </w:pPr>
          </w:p>
        </w:tc>
        <w:tc>
          <w:tcPr>
            <w:tcW w:w="700" w:type="dxa"/>
            <w:vAlign w:val="bottom"/>
            <w:tcBorders>
              <w:top w:val="single" w:sz="8" w:color="424E6A"/>
            </w:tcBorders>
            <w:shd w:val="clear" w:color="auto" w:fill="424E6A"/>
          </w:tcPr>
          <w:p>
            <w:pPr>
              <w:spacing w:after="0"/>
              <w:rPr>
                <w:sz w:val="21"/>
                <w:szCs w:val="21"/>
                <w:color w:val="auto"/>
              </w:rPr>
            </w:pPr>
          </w:p>
        </w:tc>
        <w:tc>
          <w:tcPr>
            <w:tcW w:w="100" w:type="dxa"/>
            <w:vAlign w:val="bottom"/>
            <w:tcBorders>
              <w:top w:val="single" w:sz="8" w:color="424E6A"/>
              <w:right w:val="single" w:sz="8" w:color="424E6A"/>
            </w:tcBorders>
            <w:shd w:val="clear" w:color="auto" w:fill="424E6A"/>
          </w:tcPr>
          <w:p>
            <w:pPr>
              <w:spacing w:after="0"/>
              <w:rPr>
                <w:sz w:val="21"/>
                <w:szCs w:val="21"/>
                <w:color w:val="auto"/>
              </w:rPr>
            </w:pPr>
          </w:p>
        </w:tc>
        <w:tc>
          <w:tcPr>
            <w:tcW w:w="320" w:type="dxa"/>
            <w:vAlign w:val="bottom"/>
            <w:tcBorders>
              <w:top w:val="single" w:sz="8" w:color="424E6A"/>
              <w:right w:val="single" w:sz="8" w:color="424E6A"/>
            </w:tcBorders>
            <w:shd w:val="clear" w:color="auto" w:fill="424E6A"/>
          </w:tcPr>
          <w:p>
            <w:pPr>
              <w:spacing w:after="0"/>
              <w:rPr>
                <w:sz w:val="21"/>
                <w:szCs w:val="21"/>
                <w:color w:val="auto"/>
              </w:rPr>
            </w:pPr>
          </w:p>
        </w:tc>
        <w:tc>
          <w:tcPr>
            <w:tcW w:w="220" w:type="dxa"/>
            <w:vAlign w:val="bottom"/>
            <w:tcBorders>
              <w:top w:val="single" w:sz="8" w:color="424E6A"/>
            </w:tcBorders>
            <w:shd w:val="clear" w:color="auto" w:fill="424E6A"/>
          </w:tcPr>
          <w:p>
            <w:pPr>
              <w:spacing w:after="0"/>
              <w:rPr>
                <w:sz w:val="21"/>
                <w:szCs w:val="21"/>
                <w:color w:val="auto"/>
              </w:rPr>
            </w:pPr>
          </w:p>
        </w:tc>
        <w:tc>
          <w:tcPr>
            <w:tcW w:w="1040" w:type="dxa"/>
            <w:vAlign w:val="bottom"/>
            <w:tcBorders>
              <w:top w:val="single" w:sz="8" w:color="424E6A"/>
              <w:right w:val="single" w:sz="8" w:color="424E6A"/>
            </w:tcBorders>
            <w:shd w:val="clear" w:color="auto" w:fill="424E6A"/>
          </w:tcPr>
          <w:p>
            <w:pPr>
              <w:spacing w:after="0"/>
              <w:rPr>
                <w:sz w:val="21"/>
                <w:szCs w:val="21"/>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424E6A"/>
          </w:tcPr>
          <w:p>
            <w:pPr>
              <w:spacing w:after="0"/>
              <w:rPr>
                <w:sz w:val="14"/>
                <w:szCs w:val="14"/>
                <w:color w:val="auto"/>
              </w:rPr>
            </w:pPr>
          </w:p>
        </w:tc>
        <w:tc>
          <w:tcPr>
            <w:tcW w:w="34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20" w:type="dxa"/>
            <w:vAlign w:val="bottom"/>
            <w:shd w:val="clear" w:color="auto" w:fill="424E6A"/>
          </w:tcPr>
          <w:p>
            <w:pPr>
              <w:jc w:val="center"/>
              <w:ind w:right="122"/>
              <w:spacing w:after="0"/>
              <w:rPr>
                <w:sz w:val="20"/>
                <w:szCs w:val="20"/>
                <w:color w:val="auto"/>
              </w:rPr>
            </w:pPr>
            <w:r>
              <w:rPr>
                <w:rFonts w:ascii="Arial" w:cs="Arial" w:eastAsia="Arial" w:hAnsi="Arial"/>
                <w:sz w:val="14"/>
                <w:szCs w:val="14"/>
                <w:b w:val="1"/>
                <w:bCs w:val="1"/>
                <w:color w:val="FFFFFF"/>
              </w:rPr>
              <w:t>YE Fair</w:t>
            </w:r>
          </w:p>
        </w:tc>
        <w:tc>
          <w:tcPr>
            <w:tcW w:w="8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70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1040" w:type="dxa"/>
            <w:vAlign w:val="bottom"/>
            <w:tcBorders>
              <w:right w:val="single" w:sz="8" w:color="424E6A"/>
            </w:tcBorders>
            <w:shd w:val="clear" w:color="auto" w:fill="424E6A"/>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424E6A"/>
          </w:tcPr>
          <w:p>
            <w:pPr>
              <w:spacing w:after="0"/>
              <w:rPr>
                <w:sz w:val="14"/>
                <w:szCs w:val="14"/>
                <w:color w:val="auto"/>
              </w:rPr>
            </w:pPr>
          </w:p>
        </w:tc>
        <w:tc>
          <w:tcPr>
            <w:tcW w:w="34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20" w:type="dxa"/>
            <w:vAlign w:val="bottom"/>
            <w:shd w:val="clear" w:color="auto" w:fill="424E6A"/>
          </w:tcPr>
          <w:p>
            <w:pPr>
              <w:jc w:val="center"/>
              <w:ind w:right="122"/>
              <w:spacing w:after="0"/>
              <w:rPr>
                <w:sz w:val="20"/>
                <w:szCs w:val="20"/>
                <w:color w:val="auto"/>
              </w:rPr>
            </w:pPr>
            <w:r>
              <w:rPr>
                <w:rFonts w:ascii="Arial" w:cs="Arial" w:eastAsia="Arial" w:hAnsi="Arial"/>
                <w:sz w:val="14"/>
                <w:szCs w:val="14"/>
                <w:b w:val="1"/>
                <w:bCs w:val="1"/>
                <w:color w:val="FFFFFF"/>
                <w:w w:val="99"/>
              </w:rPr>
              <w:t>Value of</w:t>
            </w:r>
          </w:p>
        </w:tc>
        <w:tc>
          <w:tcPr>
            <w:tcW w:w="8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 YE</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Vesting Date</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70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1040" w:type="dxa"/>
            <w:vAlign w:val="bottom"/>
            <w:tcBorders>
              <w:right w:val="single" w:sz="8" w:color="424E6A"/>
            </w:tcBorders>
            <w:shd w:val="clear" w:color="auto" w:fill="424E6A"/>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80" w:type="dxa"/>
            <w:vAlign w:val="bottom"/>
            <w:shd w:val="clear" w:color="auto" w:fill="424E6A"/>
          </w:tcPr>
          <w:p>
            <w:pPr>
              <w:spacing w:after="0"/>
              <w:rPr>
                <w:sz w:val="14"/>
                <w:szCs w:val="14"/>
                <w:color w:val="auto"/>
              </w:rPr>
            </w:pPr>
          </w:p>
        </w:tc>
        <w:tc>
          <w:tcPr>
            <w:tcW w:w="340" w:type="dxa"/>
            <w:vAlign w:val="bottom"/>
            <w:tcBorders>
              <w:right w:val="single" w:sz="8" w:color="424E6A"/>
            </w:tcBorders>
            <w:shd w:val="clear" w:color="auto" w:fill="424E6A"/>
          </w:tcPr>
          <w:p>
            <w:pPr>
              <w:spacing w:after="0"/>
              <w:rPr>
                <w:sz w:val="14"/>
                <w:szCs w:val="14"/>
                <w:color w:val="auto"/>
              </w:rPr>
            </w:pPr>
          </w:p>
        </w:tc>
        <w:tc>
          <w:tcPr>
            <w:tcW w:w="10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Current Year</w:t>
            </w:r>
          </w:p>
        </w:tc>
        <w:tc>
          <w:tcPr>
            <w:tcW w:w="8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9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Fair Value</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gridSpan w:val="2"/>
            <w:shd w:val="clear" w:color="auto" w:fill="424E6A"/>
          </w:tcPr>
          <w:p>
            <w:pPr>
              <w:jc w:val="center"/>
              <w:ind w:right="119"/>
              <w:spacing w:after="0"/>
              <w:rPr>
                <w:sz w:val="20"/>
                <w:szCs w:val="20"/>
                <w:color w:val="auto"/>
              </w:rPr>
            </w:pPr>
            <w:r>
              <w:rPr>
                <w:rFonts w:ascii="Arial" w:cs="Arial" w:eastAsia="Arial" w:hAnsi="Arial"/>
                <w:sz w:val="14"/>
                <w:szCs w:val="14"/>
                <w:b w:val="1"/>
                <w:bCs w:val="1"/>
                <w:color w:val="FFFFFF"/>
              </w:rPr>
              <w:t>Fair Value of</w:t>
            </w:r>
          </w:p>
        </w:tc>
      </w:tr>
      <w:tr>
        <w:trPr>
          <w:trHeight w:val="162"/>
        </w:trPr>
        <w:tc>
          <w:tcPr>
            <w:tcW w:w="20" w:type="dxa"/>
            <w:vAlign w:val="bottom"/>
          </w:tcPr>
          <w:p>
            <w:pPr>
              <w:spacing w:after="0"/>
              <w:rPr>
                <w:sz w:val="14"/>
                <w:szCs w:val="14"/>
                <w:color w:val="auto"/>
              </w:rPr>
            </w:pPr>
          </w:p>
        </w:tc>
        <w:tc>
          <w:tcPr>
            <w:tcW w:w="680" w:type="dxa"/>
            <w:vAlign w:val="bottom"/>
            <w:shd w:val="clear" w:color="auto" w:fill="424E6A"/>
          </w:tcPr>
          <w:p>
            <w:pPr>
              <w:spacing w:after="0"/>
              <w:rPr>
                <w:sz w:val="14"/>
                <w:szCs w:val="14"/>
                <w:color w:val="auto"/>
              </w:rPr>
            </w:pPr>
          </w:p>
        </w:tc>
        <w:tc>
          <w:tcPr>
            <w:tcW w:w="34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20" w:type="dxa"/>
            <w:vAlign w:val="bottom"/>
            <w:shd w:val="clear" w:color="auto" w:fill="424E6A"/>
          </w:tcPr>
          <w:p>
            <w:pPr>
              <w:jc w:val="center"/>
              <w:ind w:right="142"/>
              <w:spacing w:after="0"/>
              <w:rPr>
                <w:sz w:val="20"/>
                <w:szCs w:val="20"/>
                <w:color w:val="auto"/>
              </w:rPr>
            </w:pPr>
            <w:r>
              <w:rPr>
                <w:rFonts w:ascii="Arial" w:cs="Arial" w:eastAsia="Arial" w:hAnsi="Arial"/>
                <w:sz w:val="14"/>
                <w:szCs w:val="14"/>
                <w:b w:val="1"/>
                <w:bCs w:val="1"/>
                <w:color w:val="FFFFFF"/>
              </w:rPr>
              <w:t>Awards</w:t>
            </w:r>
          </w:p>
        </w:tc>
        <w:tc>
          <w:tcPr>
            <w:tcW w:w="8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Awards that</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9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of DERs</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260" w:type="dxa"/>
            <w:vAlign w:val="bottom"/>
            <w:tcBorders>
              <w:right w:val="single" w:sz="8" w:color="424E6A"/>
            </w:tcBorders>
            <w:gridSpan w:val="2"/>
            <w:shd w:val="clear" w:color="auto" w:fill="424E6A"/>
          </w:tcPr>
          <w:p>
            <w:pPr>
              <w:jc w:val="center"/>
              <w:ind w:right="119"/>
              <w:spacing w:after="0"/>
              <w:rPr>
                <w:sz w:val="20"/>
                <w:szCs w:val="20"/>
                <w:color w:val="auto"/>
              </w:rPr>
            </w:pPr>
            <w:r>
              <w:rPr>
                <w:rFonts w:ascii="Arial" w:cs="Arial" w:eastAsia="Arial" w:hAnsi="Arial"/>
                <w:sz w:val="14"/>
                <w:szCs w:val="14"/>
                <w:b w:val="1"/>
                <w:bCs w:val="1"/>
                <w:color w:val="FFFFFF"/>
              </w:rPr>
              <w:t>Equity for</w:t>
            </w:r>
          </w:p>
        </w:tc>
      </w:tr>
      <w:tr>
        <w:trPr>
          <w:trHeight w:val="162"/>
        </w:trPr>
        <w:tc>
          <w:tcPr>
            <w:tcW w:w="20" w:type="dxa"/>
            <w:vAlign w:val="bottom"/>
          </w:tcPr>
          <w:p>
            <w:pPr>
              <w:spacing w:after="0"/>
              <w:rPr>
                <w:sz w:val="14"/>
                <w:szCs w:val="14"/>
                <w:color w:val="auto"/>
              </w:rPr>
            </w:pPr>
          </w:p>
        </w:tc>
        <w:tc>
          <w:tcPr>
            <w:tcW w:w="680" w:type="dxa"/>
            <w:vAlign w:val="bottom"/>
            <w:shd w:val="clear" w:color="auto" w:fill="424E6A"/>
          </w:tcPr>
          <w:p>
            <w:pPr>
              <w:spacing w:after="0"/>
              <w:rPr>
                <w:sz w:val="14"/>
                <w:szCs w:val="14"/>
                <w:color w:val="auto"/>
              </w:rPr>
            </w:pPr>
          </w:p>
        </w:tc>
        <w:tc>
          <w:tcPr>
            <w:tcW w:w="340" w:type="dxa"/>
            <w:vAlign w:val="bottom"/>
            <w:tcBorders>
              <w:right w:val="single" w:sz="8" w:color="424E6A"/>
            </w:tcBorders>
            <w:shd w:val="clear" w:color="auto" w:fill="424E6A"/>
          </w:tcPr>
          <w:p>
            <w:pPr>
              <w:spacing w:after="0"/>
              <w:rPr>
                <w:sz w:val="14"/>
                <w:szCs w:val="14"/>
                <w:color w:val="auto"/>
              </w:rPr>
            </w:pPr>
          </w:p>
        </w:tc>
        <w:tc>
          <w:tcPr>
            <w:tcW w:w="10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w:t>
            </w:r>
          </w:p>
        </w:tc>
        <w:tc>
          <w:tcPr>
            <w:tcW w:w="8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 at</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Vested During</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9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Paid During</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1040" w:type="dxa"/>
            <w:vAlign w:val="bottom"/>
            <w:tcBorders>
              <w:right w:val="single" w:sz="8" w:color="424E6A"/>
            </w:tcBorders>
            <w:shd w:val="clear" w:color="auto" w:fill="424E6A"/>
          </w:tcPr>
          <w:p>
            <w:pPr>
              <w:jc w:val="center"/>
              <w:ind w:right="339"/>
              <w:spacing w:after="0"/>
              <w:rPr>
                <w:sz w:val="20"/>
                <w:szCs w:val="20"/>
                <w:color w:val="auto"/>
              </w:rPr>
            </w:pPr>
            <w:r>
              <w:rPr>
                <w:rFonts w:ascii="Arial" w:cs="Arial" w:eastAsia="Arial" w:hAnsi="Arial"/>
                <w:sz w:val="14"/>
                <w:szCs w:val="14"/>
                <w:b w:val="1"/>
                <w:bCs w:val="1"/>
                <w:color w:val="FFFFFF"/>
              </w:rPr>
              <w:t>CAP</w:t>
            </w:r>
          </w:p>
        </w:tc>
      </w:tr>
      <w:tr>
        <w:trPr>
          <w:trHeight w:val="198"/>
        </w:trPr>
        <w:tc>
          <w:tcPr>
            <w:tcW w:w="20" w:type="dxa"/>
            <w:vAlign w:val="bottom"/>
            <w:tcBorders>
              <w:bottom w:val="single" w:sz="8" w:color="424E6A"/>
            </w:tcBorders>
          </w:tcPr>
          <w:p>
            <w:pPr>
              <w:spacing w:after="0"/>
              <w:rPr>
                <w:sz w:val="17"/>
                <w:szCs w:val="17"/>
                <w:color w:val="auto"/>
              </w:rPr>
            </w:pPr>
          </w:p>
        </w:tc>
        <w:tc>
          <w:tcPr>
            <w:tcW w:w="680" w:type="dxa"/>
            <w:vAlign w:val="bottom"/>
            <w:tcBorders>
              <w:bottom w:val="single" w:sz="8" w:color="424E6A"/>
            </w:tcBorders>
            <w:shd w:val="clear" w:color="auto" w:fill="424E6A"/>
          </w:tcPr>
          <w:p>
            <w:pPr>
              <w:ind w:left="2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Year</w:t>
            </w:r>
          </w:p>
        </w:tc>
        <w:tc>
          <w:tcPr>
            <w:tcW w:w="560" w:type="dxa"/>
            <w:vAlign w:val="bottom"/>
            <w:tcBorders>
              <w:bottom w:val="single" w:sz="8" w:color="424E6A"/>
            </w:tcBorders>
            <w:gridSpan w:val="2"/>
            <w:shd w:val="clear" w:color="auto" w:fill="424E6A"/>
          </w:tcPr>
          <w:p>
            <w:pPr>
              <w:ind w:left="260"/>
              <w:spacing w:after="0"/>
              <w:rPr>
                <w:sz w:val="20"/>
                <w:szCs w:val="20"/>
                <w:color w:val="auto"/>
              </w:rPr>
            </w:pPr>
            <w:r>
              <w:rPr>
                <w:rFonts w:ascii="Arial" w:cs="Arial" w:eastAsia="Arial" w:hAnsi="Arial"/>
                <w:sz w:val="14"/>
                <w:szCs w:val="14"/>
                <w:b w:val="1"/>
                <w:bCs w:val="1"/>
                <w:color w:val="FFFFFF"/>
              </w:rPr>
              <w:t>​ ​</w:t>
            </w:r>
          </w:p>
        </w:tc>
        <w:tc>
          <w:tcPr>
            <w:tcW w:w="820" w:type="dxa"/>
            <w:vAlign w:val="bottom"/>
            <w:tcBorders>
              <w:bottom w:val="single" w:sz="8" w:color="424E6A"/>
            </w:tcBorders>
            <w:shd w:val="clear" w:color="auto" w:fill="424E6A"/>
          </w:tcPr>
          <w:p>
            <w:pPr>
              <w:jc w:val="center"/>
              <w:ind w:right="102"/>
              <w:spacing w:after="0"/>
              <w:rPr>
                <w:sz w:val="20"/>
                <w:szCs w:val="20"/>
                <w:color w:val="auto"/>
              </w:rPr>
            </w:pPr>
            <w:r>
              <w:rPr>
                <w:rFonts w:ascii="Arial" w:cs="Arial" w:eastAsia="Arial" w:hAnsi="Arial"/>
                <w:sz w:val="14"/>
                <w:szCs w:val="14"/>
                <w:b w:val="1"/>
                <w:bCs w:val="1"/>
                <w:color w:val="FFFFFF"/>
              </w:rPr>
              <w:t>at YE</w:t>
            </w:r>
          </w:p>
        </w:tc>
        <w:tc>
          <w:tcPr>
            <w:tcW w:w="480" w:type="dxa"/>
            <w:vAlign w:val="bottom"/>
            <w:tcBorders>
              <w:bottom w:val="single" w:sz="8" w:color="424E6A"/>
            </w:tcBorders>
            <w:gridSpan w:val="3"/>
            <w:shd w:val="clear" w:color="auto" w:fill="424E6A"/>
          </w:tcPr>
          <w:p>
            <w:pPr>
              <w:ind w:left="20"/>
              <w:spacing w:after="0"/>
              <w:rPr>
                <w:sz w:val="20"/>
                <w:szCs w:val="20"/>
                <w:color w:val="auto"/>
              </w:rPr>
            </w:pPr>
            <w:r>
              <w:rPr>
                <w:rFonts w:ascii="Arial" w:cs="Arial" w:eastAsia="Arial" w:hAnsi="Arial"/>
                <w:sz w:val="14"/>
                <w:szCs w:val="14"/>
                <w:b w:val="1"/>
                <w:bCs w:val="1"/>
                <w:color w:val="FFFFFF"/>
              </w:rPr>
              <w:t>​ ​  ​ ​</w:t>
            </w:r>
          </w:p>
        </w:tc>
        <w:tc>
          <w:tcPr>
            <w:tcW w:w="1060" w:type="dxa"/>
            <w:vAlign w:val="bottom"/>
            <w:tcBorders>
              <w:bottom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6"/>
              </w:rPr>
              <w:t>YE</w:t>
            </w:r>
          </w:p>
        </w:tc>
        <w:tc>
          <w:tcPr>
            <w:tcW w:w="520" w:type="dxa"/>
            <w:vAlign w:val="bottom"/>
            <w:tcBorders>
              <w:bottom w:val="single" w:sz="8" w:color="424E6A"/>
            </w:tcBorders>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220" w:type="dxa"/>
            <w:vAlign w:val="bottom"/>
            <w:tcBorders>
              <w:bottom w:val="single" w:sz="8" w:color="424E6A"/>
            </w:tcBorders>
            <w:shd w:val="clear" w:color="auto" w:fill="424E6A"/>
          </w:tcPr>
          <w:p>
            <w:pPr>
              <w:spacing w:after="0"/>
              <w:rPr>
                <w:sz w:val="17"/>
                <w:szCs w:val="17"/>
                <w:color w:val="auto"/>
              </w:rPr>
            </w:pPr>
          </w:p>
        </w:tc>
        <w:tc>
          <w:tcPr>
            <w:tcW w:w="780" w:type="dxa"/>
            <w:vAlign w:val="bottom"/>
            <w:tcBorders>
              <w:bottom w:val="single" w:sz="8" w:color="424E6A"/>
            </w:tcBorders>
            <w:shd w:val="clear" w:color="auto" w:fill="424E6A"/>
          </w:tcPr>
          <w:p>
            <w:pPr>
              <w:jc w:val="center"/>
              <w:ind w:right="116"/>
              <w:spacing w:after="0"/>
              <w:rPr>
                <w:sz w:val="20"/>
                <w:szCs w:val="20"/>
                <w:color w:val="auto"/>
              </w:rPr>
            </w:pPr>
            <w:r>
              <w:rPr>
                <w:rFonts w:ascii="Arial" w:cs="Arial" w:eastAsia="Arial" w:hAnsi="Arial"/>
                <w:sz w:val="14"/>
                <w:szCs w:val="14"/>
                <w:b w:val="1"/>
                <w:bCs w:val="1"/>
                <w:color w:val="FFFFFF"/>
                <w:w w:val="97"/>
              </w:rPr>
              <w:t>the Year</w:t>
            </w:r>
          </w:p>
        </w:tc>
        <w:tc>
          <w:tcPr>
            <w:tcW w:w="700" w:type="dxa"/>
            <w:vAlign w:val="bottom"/>
            <w:tcBorders>
              <w:bottom w:val="single" w:sz="8" w:color="424E6A"/>
            </w:tcBorders>
            <w:gridSpan w:val="3"/>
            <w:shd w:val="clear" w:color="auto" w:fill="424E6A"/>
          </w:tcPr>
          <w:p>
            <w:pPr>
              <w:jc w:val="center"/>
              <w:ind w:right="6"/>
              <w:spacing w:after="0"/>
              <w:rPr>
                <w:sz w:val="20"/>
                <w:szCs w:val="20"/>
                <w:color w:val="auto"/>
              </w:rPr>
            </w:pPr>
            <w:r>
              <w:rPr>
                <w:rFonts w:ascii="Arial" w:cs="Arial" w:eastAsia="Arial" w:hAnsi="Arial"/>
                <w:sz w:val="14"/>
                <w:szCs w:val="14"/>
                <w:b w:val="1"/>
                <w:bCs w:val="1"/>
                <w:color w:val="FFFFFF"/>
              </w:rPr>
              <w:t>​ ​  ​ ​</w:t>
            </w:r>
          </w:p>
        </w:tc>
        <w:tc>
          <w:tcPr>
            <w:tcW w:w="700" w:type="dxa"/>
            <w:vAlign w:val="bottom"/>
            <w:tcBorders>
              <w:bottom w:val="single" w:sz="8" w:color="424E6A"/>
            </w:tcBorders>
            <w:shd w:val="clear" w:color="auto" w:fill="424E6A"/>
          </w:tcPr>
          <w:p>
            <w:pPr>
              <w:spacing w:after="0"/>
              <w:rPr>
                <w:sz w:val="20"/>
                <w:szCs w:val="20"/>
                <w:color w:val="auto"/>
              </w:rPr>
            </w:pPr>
            <w:r>
              <w:rPr>
                <w:rFonts w:ascii="Arial" w:cs="Arial" w:eastAsia="Arial" w:hAnsi="Arial"/>
                <w:sz w:val="14"/>
                <w:szCs w:val="14"/>
                <w:b w:val="1"/>
                <w:bCs w:val="1"/>
                <w:color w:val="FFFFFF"/>
              </w:rPr>
              <w:t>the Year</w:t>
            </w:r>
          </w:p>
        </w:tc>
        <w:tc>
          <w:tcPr>
            <w:tcW w:w="640" w:type="dxa"/>
            <w:vAlign w:val="bottom"/>
            <w:tcBorders>
              <w:bottom w:val="single" w:sz="8" w:color="424E6A"/>
            </w:tcBorders>
            <w:gridSpan w:val="3"/>
            <w:shd w:val="clear" w:color="auto" w:fill="424E6A"/>
          </w:tcPr>
          <w:p>
            <w:pPr>
              <w:jc w:val="center"/>
              <w:ind w:right="25"/>
              <w:spacing w:after="0"/>
              <w:rPr>
                <w:sz w:val="20"/>
                <w:szCs w:val="20"/>
                <w:color w:val="auto"/>
              </w:rPr>
            </w:pPr>
            <w:r>
              <w:rPr>
                <w:rFonts w:ascii="Arial" w:cs="Arial" w:eastAsia="Arial" w:hAnsi="Arial"/>
                <w:sz w:val="14"/>
                <w:szCs w:val="14"/>
                <w:b w:val="1"/>
                <w:bCs w:val="1"/>
                <w:color w:val="FFFFFF"/>
              </w:rPr>
              <w:t>​ ​  ​ ​</w:t>
            </w:r>
          </w:p>
        </w:tc>
        <w:tc>
          <w:tcPr>
            <w:tcW w:w="1040" w:type="dxa"/>
            <w:vAlign w:val="bottom"/>
            <w:tcBorders>
              <w:bottom w:val="single" w:sz="8" w:color="424E6A"/>
              <w:right w:val="single" w:sz="8" w:color="424E6A"/>
            </w:tcBorders>
            <w:shd w:val="clear" w:color="auto" w:fill="424E6A"/>
          </w:tcPr>
          <w:p>
            <w:pPr>
              <w:jc w:val="center"/>
              <w:ind w:right="299"/>
              <w:spacing w:after="0"/>
              <w:rPr>
                <w:sz w:val="20"/>
                <w:szCs w:val="20"/>
                <w:color w:val="auto"/>
              </w:rPr>
            </w:pPr>
            <w:r>
              <w:rPr>
                <w:rFonts w:ascii="Arial" w:cs="Arial" w:eastAsia="Arial" w:hAnsi="Arial"/>
                <w:sz w:val="14"/>
                <w:szCs w:val="14"/>
                <w:b w:val="1"/>
                <w:bCs w:val="1"/>
                <w:color w:val="FFFFFF"/>
              </w:rPr>
              <w:t>Purposes</w:t>
            </w:r>
          </w:p>
        </w:tc>
      </w:tr>
      <w:tr>
        <w:trPr>
          <w:trHeight w:val="250"/>
        </w:trPr>
        <w:tc>
          <w:tcPr>
            <w:tcW w:w="20" w:type="dxa"/>
            <w:vAlign w:val="bottom"/>
            <w:tcBorders>
              <w:bottom w:val="single" w:sz="8" w:color="424E6A"/>
            </w:tcBorders>
            <w:shd w:val="clear" w:color="auto" w:fill="424E6A"/>
          </w:tcPr>
          <w:p>
            <w:pPr>
              <w:spacing w:after="0"/>
              <w:rPr>
                <w:sz w:val="21"/>
                <w:szCs w:val="21"/>
                <w:color w:val="auto"/>
              </w:rPr>
            </w:pPr>
          </w:p>
        </w:tc>
        <w:tc>
          <w:tcPr>
            <w:tcW w:w="680" w:type="dxa"/>
            <w:vAlign w:val="bottom"/>
            <w:tcBorders>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2022</w:t>
            </w:r>
          </w:p>
        </w:tc>
        <w:tc>
          <w:tcPr>
            <w:tcW w:w="340" w:type="dxa"/>
            <w:vAlign w:val="bottom"/>
            <w:tcBorders>
              <w:bottom w:val="single" w:sz="8" w:color="424E6A"/>
              <w:right w:val="single" w:sz="8" w:color="424E6A"/>
            </w:tcBorders>
          </w:tcPr>
          <w:p>
            <w:pPr>
              <w:ind w:left="2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$1,388,099</w:t>
            </w:r>
          </w:p>
        </w:tc>
        <w:tc>
          <w:tcPr>
            <w:tcW w:w="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260" w:type="dxa"/>
            <w:vAlign w:val="bottom"/>
            <w:tcBorders>
              <w:bottom w:val="single" w:sz="8" w:color="424E6A"/>
              <w:right w:val="single" w:sz="8" w:color="424E6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$ 3,245,179 </w:t>
            </w:r>
            <w:r>
              <w:rPr>
                <w:rFonts w:ascii="Arial" w:cs="Arial" w:eastAsia="Arial" w:hAnsi="Arial"/>
                <w:sz w:val="28"/>
                <w:szCs w:val="28"/>
                <w:color w:val="auto"/>
                <w:vertAlign w:val="subscript"/>
              </w:rPr>
              <w:t>​​</w:t>
            </w:r>
          </w:p>
        </w:tc>
        <w:tc>
          <w:tcPr>
            <w:tcW w:w="30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7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78,173</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040" w:type="dxa"/>
            <w:vAlign w:val="bottom"/>
            <w:tcBorders>
              <w:bottom w:val="single" w:sz="8" w:color="424E6A"/>
              <w:right w:val="single" w:sz="8" w:color="424E6A"/>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$175,938 </w:t>
            </w:r>
            <w:r>
              <w:rPr>
                <w:rFonts w:ascii="Arial" w:cs="Arial" w:eastAsia="Arial" w:hAnsi="Arial"/>
                <w:sz w:val="28"/>
                <w:szCs w:val="28"/>
                <w:color w:val="auto"/>
                <w:vertAlign w:val="subscript"/>
              </w:rPr>
              <w:t>​​</w:t>
            </w:r>
          </w:p>
        </w:tc>
        <w:tc>
          <w:tcPr>
            <w:tcW w:w="32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260" w:type="dxa"/>
            <w:vAlign w:val="bottom"/>
            <w:tcBorders>
              <w:bottom w:val="single" w:sz="8" w:color="424E6A"/>
              <w:right w:val="single" w:sz="8" w:color="424E6A"/>
            </w:tcBorders>
            <w:gridSpan w:val="2"/>
          </w:tcPr>
          <w:p>
            <w:pPr>
              <w:jc w:val="right"/>
              <w:ind w:right="15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$4,887,389</w:t>
            </w:r>
          </w:p>
        </w:tc>
      </w:tr>
      <w:tr>
        <w:trPr>
          <w:trHeight w:val="250"/>
        </w:trPr>
        <w:tc>
          <w:tcPr>
            <w:tcW w:w="20" w:type="dxa"/>
            <w:vAlign w:val="bottom"/>
            <w:tcBorders>
              <w:bottom w:val="single" w:sz="8" w:color="424E6A"/>
            </w:tcBorders>
            <w:shd w:val="clear" w:color="auto" w:fill="424E6A"/>
          </w:tcPr>
          <w:p>
            <w:pPr>
              <w:spacing w:after="0"/>
              <w:rPr>
                <w:sz w:val="21"/>
                <w:szCs w:val="21"/>
                <w:color w:val="auto"/>
              </w:rPr>
            </w:pPr>
          </w:p>
        </w:tc>
        <w:tc>
          <w:tcPr>
            <w:tcW w:w="680" w:type="dxa"/>
            <w:vAlign w:val="bottom"/>
            <w:tcBorders>
              <w:bottom w:val="single" w:sz="8" w:color="424E6A"/>
            </w:tcBorders>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2021</w:t>
            </w:r>
          </w:p>
        </w:tc>
        <w:tc>
          <w:tcPr>
            <w:tcW w:w="340" w:type="dxa"/>
            <w:vAlign w:val="bottom"/>
            <w:tcBorders>
              <w:bottom w:val="single" w:sz="8" w:color="424E6A"/>
              <w:right w:val="single" w:sz="8" w:color="424E6A"/>
            </w:tcBorders>
            <w:shd w:val="clear" w:color="auto" w:fill="D9DCE1"/>
          </w:tcPr>
          <w:p>
            <w:pPr>
              <w:ind w:lef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505,201</w:t>
            </w:r>
          </w:p>
        </w:tc>
        <w:tc>
          <w:tcPr>
            <w:tcW w:w="8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260" w:type="dxa"/>
            <w:vAlign w:val="bottom"/>
            <w:tcBorders>
              <w:bottom w:val="single" w:sz="8" w:color="424E6A"/>
              <w:right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218,628 </w:t>
            </w:r>
            <w:r>
              <w:rPr>
                <w:rFonts w:ascii="Arial" w:cs="Arial" w:eastAsia="Arial" w:hAnsi="Arial"/>
                <w:sz w:val="28"/>
                <w:szCs w:val="28"/>
                <w:color w:val="auto"/>
                <w:vertAlign w:val="subscript"/>
              </w:rPr>
              <w:t>​​</w:t>
            </w:r>
          </w:p>
        </w:tc>
        <w:tc>
          <w:tcPr>
            <w:tcW w:w="300" w:type="dxa"/>
            <w:vAlign w:val="bottom"/>
            <w:tcBorders>
              <w:bottom w:val="single" w:sz="8" w:color="424E6A"/>
              <w:right w:val="single" w:sz="8" w:color="424E6A"/>
            </w:tcBorders>
            <w:shd w:val="clear" w:color="auto" w:fill="D9DCE1"/>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shd w:val="clear" w:color="auto" w:fill="D9DCE1"/>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7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62,450</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shd w:val="clear" w:color="auto" w:fill="D9DCE1"/>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040" w:type="dxa"/>
            <w:vAlign w:val="bottom"/>
            <w:tcBorders>
              <w:bottom w:val="single" w:sz="8" w:color="424E6A"/>
              <w:right w:val="single" w:sz="8" w:color="424E6A"/>
            </w:tcBorders>
            <w:gridSpan w:val="3"/>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$109,059 </w:t>
            </w:r>
            <w:r>
              <w:rPr>
                <w:rFonts w:ascii="Arial" w:cs="Arial" w:eastAsia="Arial" w:hAnsi="Arial"/>
                <w:sz w:val="28"/>
                <w:szCs w:val="28"/>
                <w:color w:val="auto"/>
                <w:vertAlign w:val="subscript"/>
              </w:rPr>
              <w:t>​​</w:t>
            </w:r>
          </w:p>
        </w:tc>
        <w:tc>
          <w:tcPr>
            <w:tcW w:w="320" w:type="dxa"/>
            <w:vAlign w:val="bottom"/>
            <w:tcBorders>
              <w:bottom w:val="single" w:sz="8" w:color="424E6A"/>
              <w:right w:val="single" w:sz="8" w:color="424E6A"/>
            </w:tcBorders>
            <w:shd w:val="clear" w:color="auto" w:fill="D9DCE1"/>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20" w:type="dxa"/>
            <w:vAlign w:val="bottom"/>
            <w:tcBorders>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040" w:type="dxa"/>
            <w:vAlign w:val="bottom"/>
            <w:tcBorders>
              <w:bottom w:val="single" w:sz="8" w:color="424E6A"/>
              <w:right w:val="single" w:sz="8" w:color="424E6A"/>
            </w:tcBorders>
            <w:shd w:val="clear" w:color="auto" w:fill="D9DCE1"/>
          </w:tcPr>
          <w:p>
            <w:pPr>
              <w:jc w:val="right"/>
              <w:ind w:right="159"/>
              <w:spacing w:after="0"/>
              <w:rPr>
                <w:sz w:val="20"/>
                <w:szCs w:val="20"/>
                <w:color w:val="auto"/>
              </w:rPr>
            </w:pPr>
            <w:r>
              <w:rPr>
                <w:rFonts w:ascii="Arial" w:cs="Arial" w:eastAsia="Arial" w:hAnsi="Arial"/>
                <w:sz w:val="18"/>
                <w:szCs w:val="18"/>
                <w:color w:val="auto"/>
              </w:rPr>
              <w:t>895,338</w:t>
            </w:r>
          </w:p>
        </w:tc>
      </w:tr>
      <w:tr>
        <w:trPr>
          <w:trHeight w:val="250"/>
        </w:trPr>
        <w:tc>
          <w:tcPr>
            <w:tcW w:w="20" w:type="dxa"/>
            <w:vAlign w:val="bottom"/>
            <w:tcBorders>
              <w:bottom w:val="single" w:sz="8" w:color="424E6A"/>
            </w:tcBorders>
            <w:shd w:val="clear" w:color="auto" w:fill="424E6A"/>
          </w:tcPr>
          <w:p>
            <w:pPr>
              <w:spacing w:after="0"/>
              <w:rPr>
                <w:sz w:val="21"/>
                <w:szCs w:val="21"/>
                <w:color w:val="auto"/>
              </w:rPr>
            </w:pPr>
          </w:p>
        </w:tc>
        <w:tc>
          <w:tcPr>
            <w:tcW w:w="680" w:type="dxa"/>
            <w:vAlign w:val="bottom"/>
            <w:tcBorders>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2020</w:t>
            </w:r>
          </w:p>
        </w:tc>
        <w:tc>
          <w:tcPr>
            <w:tcW w:w="340" w:type="dxa"/>
            <w:vAlign w:val="bottom"/>
            <w:tcBorders>
              <w:bottom w:val="single" w:sz="8" w:color="424E6A"/>
              <w:right w:val="single" w:sz="8" w:color="424E6A"/>
            </w:tcBorders>
          </w:tcPr>
          <w:p>
            <w:pPr>
              <w:ind w:lef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557,609</w:t>
            </w:r>
          </w:p>
        </w:tc>
        <w:tc>
          <w:tcPr>
            <w:tcW w:w="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260" w:type="dxa"/>
            <w:vAlign w:val="bottom"/>
            <w:tcBorders>
              <w:bottom w:val="single" w:sz="8" w:color="424E6A"/>
              <w:right w:val="single" w:sz="8" w:color="424E6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$(1,237,356)</w:t>
            </w:r>
            <w:r>
              <w:rPr>
                <w:rFonts w:ascii="Arial" w:cs="Arial" w:eastAsia="Arial" w:hAnsi="Arial"/>
                <w:sz w:val="28"/>
                <w:szCs w:val="28"/>
                <w:color w:val="auto"/>
                <w:vertAlign w:val="subscript"/>
              </w:rPr>
              <w:t>​​</w:t>
            </w:r>
          </w:p>
        </w:tc>
        <w:tc>
          <w:tcPr>
            <w:tcW w:w="30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right w:val="single" w:sz="8" w:color="424E6A"/>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$(219,632) </w:t>
            </w:r>
            <w:r>
              <w:rPr>
                <w:rFonts w:ascii="Arial" w:cs="Arial" w:eastAsia="Arial" w:hAnsi="Arial"/>
                <w:sz w:val="28"/>
                <w:szCs w:val="28"/>
                <w:color w:val="auto"/>
                <w:vertAlign w:val="subscript"/>
              </w:rPr>
              <w:t>​​</w:t>
            </w:r>
          </w:p>
        </w:tc>
        <w:tc>
          <w:tcPr>
            <w:tcW w:w="32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4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800" w:type="dxa"/>
            <w:vAlign w:val="bottom"/>
            <w:tcBorders>
              <w:bottom w:val="single" w:sz="8" w:color="424E6A"/>
              <w:right w:val="single" w:sz="8" w:color="424E6A"/>
            </w:tcBorders>
            <w:gridSpan w:val="2"/>
          </w:tcPr>
          <w:p>
            <w:pPr>
              <w:jc w:val="right"/>
              <w:spacing w:after="0" w:line="250" w:lineRule="exact"/>
              <w:rPr>
                <w:sz w:val="20"/>
                <w:szCs w:val="20"/>
                <w:color w:val="auto"/>
              </w:rPr>
            </w:pPr>
            <w:r>
              <w:rPr>
                <w:rFonts w:ascii="Arial" w:cs="Arial" w:eastAsia="Arial" w:hAnsi="Arial"/>
                <w:sz w:val="15"/>
                <w:szCs w:val="15"/>
                <w:color w:val="auto"/>
              </w:rPr>
              <w:t xml:space="preserve">91,141 </w:t>
            </w:r>
            <w:r>
              <w:rPr>
                <w:rFonts w:ascii="Arial" w:cs="Arial" w:eastAsia="Arial" w:hAnsi="Arial"/>
                <w:sz w:val="28"/>
                <w:szCs w:val="28"/>
                <w:color w:val="auto"/>
                <w:vertAlign w:val="subscript"/>
              </w:rPr>
              <w:t>​​</w:t>
            </w:r>
          </w:p>
        </w:tc>
        <w:tc>
          <w:tcPr>
            <w:tcW w:w="32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2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040" w:type="dxa"/>
            <w:vAlign w:val="bottom"/>
            <w:tcBorders>
              <w:bottom w:val="single" w:sz="8" w:color="424E6A"/>
              <w:right w:val="single" w:sz="8" w:color="424E6A"/>
            </w:tcBorders>
          </w:tcPr>
          <w:p>
            <w:pPr>
              <w:jc w:val="right"/>
              <w:ind w:right="99"/>
              <w:spacing w:after="0"/>
              <w:rPr>
                <w:sz w:val="20"/>
                <w:szCs w:val="20"/>
                <w:color w:val="auto"/>
              </w:rPr>
            </w:pPr>
            <w:r>
              <w:rPr>
                <w:rFonts w:ascii="Arial" w:cs="Arial" w:eastAsia="Arial" w:hAnsi="Arial"/>
                <w:sz w:val="18"/>
                <w:szCs w:val="18"/>
                <w:color w:val="auto"/>
              </w:rPr>
              <w:t>(808,238)</w:t>
            </w:r>
          </w:p>
        </w:tc>
      </w:tr>
    </w:tbl>
    <w:p>
      <w:pPr>
        <w:spacing w:after="0" w:line="116" w:lineRule="exact"/>
        <w:rPr>
          <w:sz w:val="20"/>
          <w:szCs w:val="20"/>
          <w:color w:val="auto"/>
        </w:rPr>
      </w:pPr>
    </w:p>
    <w:p>
      <w:pPr>
        <w:ind w:left="1620" w:right="619" w:hanging="360"/>
        <w:spacing w:after="0" w:line="210" w:lineRule="auto"/>
        <w:tabs>
          <w:tab w:leader="none" w:pos="1620" w:val="left"/>
        </w:tabs>
        <w:numPr>
          <w:ilvl w:val="0"/>
          <w:numId w:val="74"/>
        </w:numPr>
        <w:rPr>
          <w:rFonts w:ascii="Arial" w:cs="Arial" w:eastAsia="Arial" w:hAnsi="Arial"/>
          <w:sz w:val="27"/>
          <w:szCs w:val="27"/>
          <w:color w:val="auto"/>
          <w:vertAlign w:val="superscript"/>
        </w:rPr>
      </w:pPr>
      <w:r>
        <w:rPr>
          <w:rFonts w:ascii="Arial" w:cs="Arial" w:eastAsia="Arial" w:hAnsi="Arial"/>
          <w:sz w:val="18"/>
          <w:szCs w:val="18"/>
          <w:color w:val="auto"/>
        </w:rPr>
        <w:t>We did not issue equity awards during the applicable fiscal years that vested in the year of grant. Additionally, no equity awards were forfeited during any of the applicable years.</w:t>
      </w:r>
    </w:p>
    <w:p>
      <w:pPr>
        <w:spacing w:after="0" w:line="157" w:lineRule="exact"/>
        <w:rPr>
          <w:sz w:val="20"/>
          <w:szCs w:val="20"/>
          <w:color w:val="auto"/>
        </w:rPr>
      </w:pPr>
    </w:p>
    <w:p>
      <w:pPr>
        <w:ind w:left="1260" w:right="699"/>
        <w:spacing w:after="0" w:line="269" w:lineRule="auto"/>
        <w:rPr>
          <w:sz w:val="20"/>
          <w:szCs w:val="20"/>
          <w:color w:val="auto"/>
        </w:rPr>
      </w:pPr>
      <w:r>
        <w:rPr>
          <w:rFonts w:ascii="Arial" w:cs="Arial" w:eastAsia="Arial" w:hAnsi="Arial"/>
          <w:sz w:val="18"/>
          <w:szCs w:val="18"/>
          <w:i w:val="1"/>
          <w:iCs w:val="1"/>
          <w:color w:val="auto"/>
        </w:rPr>
        <w:t>Tabular Disclosure of Most Important Measures Linking Compensation Actually Paid During 2022 to Company Performance</w:t>
      </w:r>
    </w:p>
    <w:p>
      <w:pPr>
        <w:spacing w:after="0" w:line="74" w:lineRule="exact"/>
        <w:rPr>
          <w:sz w:val="20"/>
          <w:szCs w:val="20"/>
          <w:color w:val="auto"/>
        </w:rPr>
      </w:pPr>
    </w:p>
    <w:p>
      <w:pPr>
        <w:ind w:left="1260" w:right="639" w:firstLine="360"/>
        <w:spacing w:after="0" w:line="253" w:lineRule="auto"/>
        <w:rPr>
          <w:sz w:val="20"/>
          <w:szCs w:val="20"/>
          <w:color w:val="auto"/>
        </w:rPr>
      </w:pPr>
      <w:r>
        <w:rPr>
          <w:rFonts w:ascii="Arial" w:cs="Arial" w:eastAsia="Arial" w:hAnsi="Arial"/>
          <w:sz w:val="18"/>
          <w:szCs w:val="18"/>
          <w:color w:val="auto"/>
        </w:rPr>
        <w:t>The following were the most important financial and non-financial performance measures, as determined by the Company, that link 2022 CAP to the Company’s performance for the most recently completed fiscal year (unranked):</w:t>
      </w:r>
    </w:p>
    <w:p>
      <w:pPr>
        <w:spacing w:after="0" w:line="141" w:lineRule="exact"/>
        <w:rPr>
          <w:sz w:val="20"/>
          <w:szCs w:val="20"/>
          <w:color w:val="auto"/>
        </w:rPr>
      </w:pPr>
    </w:p>
    <w:tbl>
      <w:tblPr>
        <w:tblLayout w:type="fixed"/>
        <w:tblInd w:w="1270" w:type="dxa"/>
        <w:tblCellMar>
          <w:top w:w="0" w:type="dxa"/>
          <w:left w:w="0" w:type="dxa"/>
          <w:bottom w:w="0" w:type="dxa"/>
          <w:right w:w="0" w:type="dxa"/>
        </w:tblCellMar>
      </w:tblPr>
      <w:tr>
        <w:trPr>
          <w:trHeight w:val="297"/>
        </w:trPr>
        <w:tc>
          <w:tcPr>
            <w:tcW w:w="1360" w:type="dxa"/>
            <w:vAlign w:val="bottom"/>
            <w:tcBorders>
              <w:top w:val="single" w:sz="8" w:color="auto"/>
              <w:left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6860" w:type="dxa"/>
            <w:vAlign w:val="bottom"/>
            <w:tcBorders>
              <w:top w:val="single" w:sz="8" w:color="auto"/>
              <w:bottom w:val="single" w:sz="8" w:color="auto"/>
              <w:right w:val="single" w:sz="8" w:color="auto"/>
            </w:tcBorders>
            <w:shd w:val="clear" w:color="auto" w:fill="424E6A"/>
          </w:tcPr>
          <w:p>
            <w:pPr>
              <w:jc w:val="center"/>
              <w:ind w:right="1293"/>
              <w:spacing w:after="0"/>
              <w:rPr>
                <w:sz w:val="20"/>
                <w:szCs w:val="20"/>
                <w:color w:val="auto"/>
              </w:rPr>
            </w:pPr>
            <w:r>
              <w:rPr>
                <w:rFonts w:ascii="Arial" w:cs="Arial" w:eastAsia="Arial" w:hAnsi="Arial"/>
                <w:sz w:val="14"/>
                <w:szCs w:val="14"/>
                <w:b w:val="1"/>
                <w:bCs w:val="1"/>
                <w:color w:val="FFFFFF"/>
              </w:rPr>
              <w:t>Most Important Performance Measures</w:t>
            </w:r>
          </w:p>
        </w:tc>
      </w:tr>
      <w:tr>
        <w:trPr>
          <w:trHeight w:val="245"/>
        </w:trPr>
        <w:tc>
          <w:tcPr>
            <w:tcW w:w="1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860" w:type="dxa"/>
            <w:vAlign w:val="bottom"/>
            <w:tcBorders>
              <w:bottom w:val="single" w:sz="8" w:color="auto"/>
              <w:right w:val="single" w:sz="8" w:color="auto"/>
            </w:tcBorders>
          </w:tcPr>
          <w:p>
            <w:pPr>
              <w:jc w:val="center"/>
              <w:ind w:right="1313"/>
              <w:spacing w:after="0"/>
              <w:rPr>
                <w:sz w:val="20"/>
                <w:szCs w:val="20"/>
                <w:color w:val="auto"/>
              </w:rPr>
            </w:pPr>
            <w:r>
              <w:rPr>
                <w:rFonts w:ascii="Arial" w:cs="Arial" w:eastAsia="Arial" w:hAnsi="Arial"/>
                <w:sz w:val="18"/>
                <w:szCs w:val="18"/>
                <w:color w:val="auto"/>
                <w:w w:val="98"/>
              </w:rPr>
              <w:t>Adjusted EBITDA Attributable to PAA</w:t>
            </w:r>
          </w:p>
        </w:tc>
      </w:tr>
      <w:tr>
        <w:trPr>
          <w:trHeight w:val="250"/>
        </w:trPr>
        <w:tc>
          <w:tcPr>
            <w:tcW w:w="1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860" w:type="dxa"/>
            <w:vAlign w:val="bottom"/>
            <w:tcBorders>
              <w:bottom w:val="single" w:sz="8" w:color="auto"/>
              <w:right w:val="single" w:sz="8" w:color="auto"/>
            </w:tcBorders>
          </w:tcPr>
          <w:p>
            <w:pPr>
              <w:jc w:val="center"/>
              <w:ind w:right="1293"/>
              <w:spacing w:after="0"/>
              <w:rPr>
                <w:sz w:val="20"/>
                <w:szCs w:val="20"/>
                <w:color w:val="auto"/>
              </w:rPr>
            </w:pPr>
            <w:r>
              <w:rPr>
                <w:rFonts w:ascii="Arial" w:cs="Arial" w:eastAsia="Arial" w:hAnsi="Arial"/>
                <w:sz w:val="18"/>
                <w:szCs w:val="18"/>
                <w:color w:val="auto"/>
              </w:rPr>
              <w:t>DCF per CUE</w:t>
            </w:r>
          </w:p>
        </w:tc>
      </w:tr>
      <w:tr>
        <w:trPr>
          <w:trHeight w:val="250"/>
        </w:trPr>
        <w:tc>
          <w:tcPr>
            <w:tcW w:w="1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860" w:type="dxa"/>
            <w:vAlign w:val="bottom"/>
            <w:tcBorders>
              <w:bottom w:val="single" w:sz="8" w:color="auto"/>
              <w:right w:val="single" w:sz="8" w:color="auto"/>
            </w:tcBorders>
          </w:tcPr>
          <w:p>
            <w:pPr>
              <w:jc w:val="center"/>
              <w:ind w:right="1293"/>
              <w:spacing w:after="0"/>
              <w:rPr>
                <w:sz w:val="20"/>
                <w:szCs w:val="20"/>
                <w:color w:val="auto"/>
              </w:rPr>
            </w:pPr>
            <w:r>
              <w:rPr>
                <w:rFonts w:ascii="Arial" w:cs="Arial" w:eastAsia="Arial" w:hAnsi="Arial"/>
                <w:sz w:val="18"/>
                <w:szCs w:val="18"/>
                <w:color w:val="auto"/>
                <w:w w:val="99"/>
              </w:rPr>
              <w:t>TSR</w:t>
            </w:r>
          </w:p>
        </w:tc>
      </w:tr>
      <w:tr>
        <w:trPr>
          <w:trHeight w:val="250"/>
        </w:trPr>
        <w:tc>
          <w:tcPr>
            <w:tcW w:w="1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860" w:type="dxa"/>
            <w:vAlign w:val="bottom"/>
            <w:tcBorders>
              <w:bottom w:val="single" w:sz="8" w:color="auto"/>
              <w:right w:val="single" w:sz="8" w:color="auto"/>
            </w:tcBorders>
          </w:tcPr>
          <w:p>
            <w:pPr>
              <w:jc w:val="center"/>
              <w:ind w:right="1313"/>
              <w:spacing w:after="0"/>
              <w:rPr>
                <w:sz w:val="20"/>
                <w:szCs w:val="20"/>
                <w:color w:val="auto"/>
              </w:rPr>
            </w:pPr>
            <w:r>
              <w:rPr>
                <w:rFonts w:ascii="Arial" w:cs="Arial" w:eastAsia="Arial" w:hAnsi="Arial"/>
                <w:sz w:val="18"/>
                <w:szCs w:val="18"/>
                <w:color w:val="auto"/>
                <w:w w:val="99"/>
              </w:rPr>
              <w:t>TRIR</w:t>
            </w:r>
          </w:p>
        </w:tc>
      </w:tr>
      <w:tr>
        <w:trPr>
          <w:trHeight w:val="250"/>
        </w:trPr>
        <w:tc>
          <w:tcPr>
            <w:tcW w:w="13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860" w:type="dxa"/>
            <w:vAlign w:val="bottom"/>
            <w:tcBorders>
              <w:bottom w:val="single" w:sz="8" w:color="auto"/>
              <w:right w:val="single" w:sz="8" w:color="auto"/>
            </w:tcBorders>
          </w:tcPr>
          <w:p>
            <w:pPr>
              <w:jc w:val="center"/>
              <w:ind w:right="1293"/>
              <w:spacing w:after="0"/>
              <w:rPr>
                <w:sz w:val="20"/>
                <w:szCs w:val="20"/>
                <w:color w:val="auto"/>
              </w:rPr>
            </w:pPr>
            <w:r>
              <w:rPr>
                <w:rFonts w:ascii="Arial" w:cs="Arial" w:eastAsia="Arial" w:hAnsi="Arial"/>
                <w:sz w:val="18"/>
                <w:szCs w:val="18"/>
                <w:color w:val="auto"/>
                <w:w w:val="97"/>
              </w:rPr>
              <w:t>FRR</w:t>
            </w:r>
          </w:p>
        </w:tc>
      </w:tr>
    </w:tbl>
    <w:p>
      <w:pPr>
        <w:spacing w:after="0" w:line="76" w:lineRule="exact"/>
        <w:rPr>
          <w:sz w:val="20"/>
          <w:szCs w:val="20"/>
          <w:color w:val="auto"/>
        </w:rPr>
      </w:pPr>
    </w:p>
    <w:p>
      <w:pPr>
        <w:ind w:left="1260" w:right="579" w:firstLine="360"/>
        <w:spacing w:after="0" w:line="318" w:lineRule="auto"/>
        <w:rPr>
          <w:sz w:val="20"/>
          <w:szCs w:val="20"/>
          <w:color w:val="auto"/>
        </w:rPr>
      </w:pPr>
      <w:r>
        <w:rPr>
          <w:rFonts w:ascii="Arial" w:cs="Arial" w:eastAsia="Arial" w:hAnsi="Arial"/>
          <w:sz w:val="17"/>
          <w:szCs w:val="17"/>
          <w:color w:val="auto"/>
        </w:rPr>
        <w:t>For further information regarding these performance measures and their function in our executive compensation program, please see “Compensation Discussion and Analysis” beginning on page 27.</w:t>
      </w:r>
    </w:p>
    <w:p>
      <w:pPr>
        <w:spacing w:after="0" w:line="91" w:lineRule="exact"/>
        <w:rPr>
          <w:sz w:val="20"/>
          <w:szCs w:val="20"/>
          <w:color w:val="auto"/>
        </w:rPr>
      </w:pPr>
    </w:p>
    <w:p>
      <w:pPr>
        <w:ind w:left="1260" w:right="979"/>
        <w:spacing w:after="0" w:line="285" w:lineRule="auto"/>
        <w:rPr>
          <w:sz w:val="20"/>
          <w:szCs w:val="20"/>
          <w:color w:val="auto"/>
        </w:rPr>
      </w:pPr>
      <w:r>
        <w:rPr>
          <w:rFonts w:ascii="Arial" w:cs="Arial" w:eastAsia="Arial" w:hAnsi="Arial"/>
          <w:sz w:val="18"/>
          <w:szCs w:val="18"/>
          <w:i w:val="1"/>
          <w:iCs w:val="1"/>
          <w:color w:val="auto"/>
        </w:rPr>
        <w:t>Disclosure of the Relationship Between Compensation Actually Paid and Financial Performance Measures</w:t>
      </w:r>
    </w:p>
    <w:p>
      <w:pPr>
        <w:spacing w:after="0" w:line="60" w:lineRule="exact"/>
        <w:rPr>
          <w:sz w:val="20"/>
          <w:szCs w:val="20"/>
          <w:color w:val="auto"/>
        </w:rPr>
      </w:pPr>
    </w:p>
    <w:p>
      <w:pPr>
        <w:ind w:left="1260" w:right="599" w:firstLine="360"/>
        <w:spacing w:after="0" w:line="253" w:lineRule="auto"/>
        <w:rPr>
          <w:sz w:val="20"/>
          <w:szCs w:val="20"/>
          <w:color w:val="auto"/>
        </w:rPr>
      </w:pPr>
      <w:r>
        <w:rPr>
          <w:rFonts w:ascii="Arial" w:cs="Arial" w:eastAsia="Arial" w:hAnsi="Arial"/>
          <w:sz w:val="18"/>
          <w:szCs w:val="18"/>
          <w:color w:val="auto"/>
        </w:rPr>
        <w:t>The graphs below describe the relationship between CAP (as calculated above) and our financial and stock performance for the indicated years. In addition, the first table below compares our cumulative TSR to peer group TSR for the indicated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76200</wp:posOffset>
            </wp:positionV>
            <wp:extent cx="5117465" cy="21259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17465" cy="212598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569595</wp:posOffset>
            </wp:positionV>
            <wp:extent cx="5100320" cy="42348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00320" cy="423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58" w:lineRule="exact"/>
        <w:rPr>
          <w:sz w:val="20"/>
          <w:szCs w:val="20"/>
          <w:color w:val="auto"/>
        </w:rPr>
      </w:pPr>
    </w:p>
    <w:p>
      <w:pPr>
        <w:ind w:left="1260" w:right="1260" w:firstLine="360"/>
        <w:spacing w:after="0" w:line="276" w:lineRule="auto"/>
        <w:rPr>
          <w:sz w:val="20"/>
          <w:szCs w:val="20"/>
          <w:color w:val="auto"/>
        </w:rPr>
      </w:pPr>
      <w:r>
        <w:rPr>
          <w:rFonts w:ascii="Arial" w:cs="Arial" w:eastAsia="Arial" w:hAnsi="Arial"/>
          <w:sz w:val="18"/>
          <w:szCs w:val="18"/>
          <w:color w:val="auto"/>
        </w:rPr>
        <w:t>The following table sets forth a summary of the compensation paid to each person who served as a director of PAGP GP in 2022 (other than Messrs. Chiang and Pefanis who were not compensated as directors and whose compensation is set forth in the Summary Compensation Table above):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Borders>
              <w:right w:val="single" w:sz="8" w:color="424E6A"/>
            </w:tcBorders>
          </w:tcPr>
          <w:p>
            <w:pPr>
              <w:spacing w:after="0"/>
              <w:rPr>
                <w:sz w:val="20"/>
                <w:szCs w:val="20"/>
                <w:color w:val="auto"/>
              </w:rPr>
            </w:pPr>
          </w:p>
        </w:tc>
        <w:tc>
          <w:tcPr>
            <w:tcW w:w="3520" w:type="dxa"/>
            <w:vAlign w:val="bottom"/>
            <w:tcBorders>
              <w:right w:val="single" w:sz="8" w:color="424E6A"/>
            </w:tcBorders>
            <w:shd w:val="clear" w:color="auto" w:fill="424E6A"/>
          </w:tcPr>
          <w:p>
            <w:pPr>
              <w:spacing w:after="0"/>
              <w:rPr>
                <w:sz w:val="20"/>
                <w:szCs w:val="20"/>
                <w:color w:val="auto"/>
              </w:rPr>
            </w:pPr>
          </w:p>
        </w:tc>
        <w:tc>
          <w:tcPr>
            <w:tcW w:w="1020" w:type="dxa"/>
            <w:vAlign w:val="bottom"/>
            <w:tcBorders>
              <w:right w:val="single" w:sz="8" w:color="424E6A"/>
            </w:tcBorders>
            <w:shd w:val="clear" w:color="auto" w:fill="424E6A"/>
          </w:tcPr>
          <w:p>
            <w:pPr>
              <w:jc w:val="center"/>
              <w:ind w:right="76"/>
              <w:spacing w:after="0"/>
              <w:rPr>
                <w:sz w:val="20"/>
                <w:szCs w:val="20"/>
                <w:color w:val="auto"/>
              </w:rPr>
            </w:pPr>
            <w:r>
              <w:rPr>
                <w:rFonts w:ascii="Arial" w:cs="Arial" w:eastAsia="Arial" w:hAnsi="Arial"/>
                <w:sz w:val="14"/>
                <w:szCs w:val="14"/>
                <w:b w:val="1"/>
                <w:bCs w:val="1"/>
                <w:color w:val="FFFFFF"/>
              </w:rPr>
              <w:t>Fees</w:t>
            </w:r>
          </w:p>
        </w:tc>
        <w:tc>
          <w:tcPr>
            <w:tcW w:w="1100" w:type="dxa"/>
            <w:vAlign w:val="bottom"/>
            <w:tcBorders>
              <w:right w:val="single" w:sz="8" w:color="424E6A"/>
            </w:tcBorders>
            <w:shd w:val="clear" w:color="auto" w:fill="424E6A"/>
          </w:tcPr>
          <w:p>
            <w:pPr>
              <w:spacing w:after="0"/>
              <w:rPr>
                <w:sz w:val="20"/>
                <w:szCs w:val="20"/>
                <w:color w:val="auto"/>
              </w:rPr>
            </w:pPr>
          </w:p>
        </w:tc>
        <w:tc>
          <w:tcPr>
            <w:tcW w:w="1440" w:type="dxa"/>
            <w:vAlign w:val="bottom"/>
            <w:tcBorders>
              <w:right w:val="single" w:sz="8" w:color="424E6A"/>
            </w:tcBorders>
            <w:shd w:val="clear" w:color="auto" w:fill="424E6A"/>
          </w:tcPr>
          <w:p>
            <w:pPr>
              <w:spacing w:after="0"/>
              <w:rPr>
                <w:sz w:val="20"/>
                <w:szCs w:val="20"/>
                <w:color w:val="auto"/>
              </w:rPr>
            </w:pPr>
          </w:p>
        </w:tc>
        <w:tc>
          <w:tcPr>
            <w:tcW w:w="1120" w:type="dxa"/>
            <w:vAlign w:val="bottom"/>
            <w:tcBorders>
              <w:right w:val="single" w:sz="8" w:color="424E6A"/>
            </w:tcBorders>
            <w:shd w:val="clear" w:color="auto" w:fill="424E6A"/>
          </w:tcPr>
          <w:p>
            <w:pPr>
              <w:spacing w:after="0"/>
              <w:rPr>
                <w:sz w:val="20"/>
                <w:szCs w:val="20"/>
                <w:color w:val="auto"/>
              </w:rPr>
            </w:pPr>
          </w:p>
        </w:tc>
        <w:tc>
          <w:tcPr>
            <w:tcW w:w="1240" w:type="dxa"/>
            <w:vAlign w:val="bottom"/>
          </w:tcPr>
          <w:p>
            <w:pPr>
              <w:spacing w:after="0"/>
              <w:rPr>
                <w:sz w:val="20"/>
                <w:szCs w:val="20"/>
                <w:color w:val="auto"/>
              </w:rPr>
            </w:pPr>
          </w:p>
        </w:tc>
      </w:tr>
      <w:tr>
        <w:trPr>
          <w:trHeight w:val="162"/>
        </w:trPr>
        <w:tc>
          <w:tcPr>
            <w:tcW w:w="1280" w:type="dxa"/>
            <w:vAlign w:val="bottom"/>
            <w:tcBorders>
              <w:right w:val="single" w:sz="8" w:color="424E6A"/>
            </w:tcBorders>
          </w:tcPr>
          <w:p>
            <w:pPr>
              <w:spacing w:after="0"/>
              <w:rPr>
                <w:sz w:val="14"/>
                <w:szCs w:val="14"/>
                <w:color w:val="auto"/>
              </w:rPr>
            </w:pPr>
          </w:p>
        </w:tc>
        <w:tc>
          <w:tcPr>
            <w:tcW w:w="3520" w:type="dxa"/>
            <w:vAlign w:val="bottom"/>
            <w:tcBorders>
              <w:right w:val="single" w:sz="8" w:color="424E6A"/>
            </w:tcBorders>
            <w:shd w:val="clear" w:color="auto" w:fill="424E6A"/>
          </w:tcPr>
          <w:p>
            <w:pPr>
              <w:spacing w:after="0"/>
              <w:rPr>
                <w:sz w:val="14"/>
                <w:szCs w:val="14"/>
                <w:color w:val="auto"/>
              </w:rPr>
            </w:pPr>
          </w:p>
        </w:tc>
        <w:tc>
          <w:tcPr>
            <w:tcW w:w="1020" w:type="dxa"/>
            <w:vAlign w:val="bottom"/>
            <w:tcBorders>
              <w:right w:val="single" w:sz="8" w:color="424E6A"/>
            </w:tcBorders>
            <w:shd w:val="clear" w:color="auto" w:fill="424E6A"/>
          </w:tcPr>
          <w:p>
            <w:pPr>
              <w:jc w:val="center"/>
              <w:ind w:right="76"/>
              <w:spacing w:after="0"/>
              <w:rPr>
                <w:sz w:val="20"/>
                <w:szCs w:val="20"/>
                <w:color w:val="auto"/>
              </w:rPr>
            </w:pPr>
            <w:r>
              <w:rPr>
                <w:rFonts w:ascii="Arial" w:cs="Arial" w:eastAsia="Arial" w:hAnsi="Arial"/>
                <w:sz w:val="14"/>
                <w:szCs w:val="14"/>
                <w:b w:val="1"/>
                <w:bCs w:val="1"/>
                <w:color w:val="FFFFFF"/>
              </w:rPr>
              <w:t>Earned or</w:t>
            </w:r>
          </w:p>
        </w:tc>
        <w:tc>
          <w:tcPr>
            <w:tcW w:w="1100" w:type="dxa"/>
            <w:vAlign w:val="bottom"/>
            <w:tcBorders>
              <w:right w:val="single" w:sz="8" w:color="424E6A"/>
            </w:tcBorders>
            <w:shd w:val="clear" w:color="auto" w:fill="424E6A"/>
          </w:tcPr>
          <w:p>
            <w:pPr>
              <w:spacing w:after="0"/>
              <w:rPr>
                <w:sz w:val="14"/>
                <w:szCs w:val="14"/>
                <w:color w:val="auto"/>
              </w:rPr>
            </w:pPr>
          </w:p>
        </w:tc>
        <w:tc>
          <w:tcPr>
            <w:tcW w:w="1440" w:type="dxa"/>
            <w:vAlign w:val="bottom"/>
            <w:tcBorders>
              <w:right w:val="single" w:sz="8" w:color="424E6A"/>
            </w:tcBorders>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1280" w:type="dxa"/>
            <w:vAlign w:val="bottom"/>
            <w:tcBorders>
              <w:right w:val="single" w:sz="8" w:color="424E6A"/>
            </w:tcBorders>
          </w:tcPr>
          <w:p>
            <w:pPr>
              <w:spacing w:after="0"/>
              <w:rPr>
                <w:sz w:val="14"/>
                <w:szCs w:val="14"/>
                <w:color w:val="auto"/>
              </w:rPr>
            </w:pPr>
          </w:p>
        </w:tc>
        <w:tc>
          <w:tcPr>
            <w:tcW w:w="3520" w:type="dxa"/>
            <w:vAlign w:val="bottom"/>
            <w:tcBorders>
              <w:right w:val="single" w:sz="8" w:color="424E6A"/>
            </w:tcBorders>
            <w:shd w:val="clear" w:color="auto" w:fill="424E6A"/>
          </w:tcPr>
          <w:p>
            <w:pPr>
              <w:spacing w:after="0"/>
              <w:rPr>
                <w:sz w:val="14"/>
                <w:szCs w:val="14"/>
                <w:color w:val="auto"/>
              </w:rPr>
            </w:pPr>
          </w:p>
        </w:tc>
        <w:tc>
          <w:tcPr>
            <w:tcW w:w="1020" w:type="dxa"/>
            <w:vAlign w:val="bottom"/>
            <w:tcBorders>
              <w:right w:val="single" w:sz="8" w:color="424E6A"/>
            </w:tcBorders>
            <w:shd w:val="clear" w:color="auto" w:fill="424E6A"/>
          </w:tcPr>
          <w:p>
            <w:pPr>
              <w:jc w:val="center"/>
              <w:ind w:right="76"/>
              <w:spacing w:after="0"/>
              <w:rPr>
                <w:sz w:val="20"/>
                <w:szCs w:val="20"/>
                <w:color w:val="auto"/>
              </w:rPr>
            </w:pPr>
            <w:r>
              <w:rPr>
                <w:rFonts w:ascii="Arial" w:cs="Arial" w:eastAsia="Arial" w:hAnsi="Arial"/>
                <w:sz w:val="14"/>
                <w:szCs w:val="14"/>
                <w:b w:val="1"/>
                <w:bCs w:val="1"/>
                <w:color w:val="FFFFFF"/>
              </w:rPr>
              <w:t>Paid in</w:t>
            </w:r>
          </w:p>
        </w:tc>
        <w:tc>
          <w:tcPr>
            <w:tcW w:w="11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Stock</w:t>
            </w:r>
          </w:p>
        </w:tc>
        <w:tc>
          <w:tcPr>
            <w:tcW w:w="144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All Other</w:t>
            </w:r>
          </w:p>
        </w:tc>
        <w:tc>
          <w:tcPr>
            <w:tcW w:w="1120" w:type="dxa"/>
            <w:vAlign w:val="bottom"/>
            <w:tcBorders>
              <w:right w:val="single" w:sz="8" w:color="424E6A"/>
            </w:tcBorders>
            <w:shd w:val="clear" w:color="auto" w:fill="424E6A"/>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1280" w:type="dxa"/>
            <w:vAlign w:val="bottom"/>
            <w:tcBorders>
              <w:right w:val="single" w:sz="8" w:color="424E6A"/>
            </w:tcBorders>
          </w:tcPr>
          <w:p>
            <w:pPr>
              <w:spacing w:after="0"/>
              <w:rPr>
                <w:sz w:val="14"/>
                <w:szCs w:val="14"/>
                <w:color w:val="auto"/>
              </w:rPr>
            </w:pPr>
          </w:p>
        </w:tc>
        <w:tc>
          <w:tcPr>
            <w:tcW w:w="3520" w:type="dxa"/>
            <w:vAlign w:val="bottom"/>
            <w:tcBorders>
              <w:right w:val="single" w:sz="8" w:color="424E6A"/>
            </w:tcBorders>
            <w:shd w:val="clear" w:color="auto" w:fill="424E6A"/>
          </w:tcPr>
          <w:p>
            <w:pPr>
              <w:spacing w:after="0"/>
              <w:rPr>
                <w:sz w:val="14"/>
                <w:szCs w:val="14"/>
                <w:color w:val="auto"/>
              </w:rPr>
            </w:pPr>
          </w:p>
        </w:tc>
        <w:tc>
          <w:tcPr>
            <w:tcW w:w="1020" w:type="dxa"/>
            <w:vAlign w:val="bottom"/>
            <w:tcBorders>
              <w:right w:val="single" w:sz="8" w:color="424E6A"/>
            </w:tcBorders>
            <w:shd w:val="clear" w:color="auto" w:fill="424E6A"/>
          </w:tcPr>
          <w:p>
            <w:pPr>
              <w:jc w:val="center"/>
              <w:ind w:right="76"/>
              <w:spacing w:after="0"/>
              <w:rPr>
                <w:sz w:val="20"/>
                <w:szCs w:val="20"/>
                <w:color w:val="auto"/>
              </w:rPr>
            </w:pPr>
            <w:r>
              <w:rPr>
                <w:rFonts w:ascii="Arial" w:cs="Arial" w:eastAsia="Arial" w:hAnsi="Arial"/>
                <w:sz w:val="14"/>
                <w:szCs w:val="14"/>
                <w:b w:val="1"/>
                <w:bCs w:val="1"/>
                <w:color w:val="FFFFFF"/>
                <w:w w:val="99"/>
              </w:rPr>
              <w:t>Cash</w:t>
            </w:r>
          </w:p>
        </w:tc>
        <w:tc>
          <w:tcPr>
            <w:tcW w:w="11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Awards</w:t>
            </w:r>
          </w:p>
        </w:tc>
        <w:tc>
          <w:tcPr>
            <w:tcW w:w="144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Compensation</w:t>
            </w:r>
          </w:p>
        </w:tc>
        <w:tc>
          <w:tcPr>
            <w:tcW w:w="1120" w:type="dxa"/>
            <w:vAlign w:val="bottom"/>
            <w:tcBorders>
              <w:right w:val="single" w:sz="8" w:color="424E6A"/>
            </w:tcBorders>
            <w:shd w:val="clear" w:color="auto" w:fill="424E6A"/>
          </w:tcPr>
          <w:p>
            <w:pPr>
              <w:ind w:left="340"/>
              <w:spacing w:after="0"/>
              <w:rPr>
                <w:sz w:val="20"/>
                <w:szCs w:val="20"/>
                <w:color w:val="auto"/>
              </w:rPr>
            </w:pPr>
            <w:r>
              <w:rPr>
                <w:rFonts w:ascii="Arial" w:cs="Arial" w:eastAsia="Arial" w:hAnsi="Arial"/>
                <w:sz w:val="14"/>
                <w:szCs w:val="14"/>
                <w:b w:val="1"/>
                <w:bCs w:val="1"/>
                <w:color w:val="FFFFFF"/>
              </w:rPr>
              <w:t>Total</w:t>
            </w:r>
          </w:p>
        </w:tc>
        <w:tc>
          <w:tcPr>
            <w:tcW w:w="1240" w:type="dxa"/>
            <w:vAlign w:val="bottom"/>
          </w:tcPr>
          <w:p>
            <w:pPr>
              <w:spacing w:after="0"/>
              <w:rPr>
                <w:sz w:val="14"/>
                <w:szCs w:val="14"/>
                <w:color w:val="auto"/>
              </w:rPr>
            </w:pPr>
          </w:p>
        </w:tc>
      </w:tr>
      <w:tr>
        <w:trPr>
          <w:trHeight w:val="212"/>
        </w:trPr>
        <w:tc>
          <w:tcPr>
            <w:tcW w:w="1280" w:type="dxa"/>
            <w:vAlign w:val="bottom"/>
            <w:tcBorders>
              <w:right w:val="single" w:sz="8" w:color="424E6A"/>
            </w:tcBorders>
          </w:tcPr>
          <w:p>
            <w:pPr>
              <w:spacing w:after="0"/>
              <w:rPr>
                <w:sz w:val="18"/>
                <w:szCs w:val="18"/>
                <w:color w:val="auto"/>
              </w:rPr>
            </w:pPr>
          </w:p>
        </w:tc>
        <w:tc>
          <w:tcPr>
            <w:tcW w:w="352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Name</w:t>
            </w:r>
          </w:p>
        </w:tc>
        <w:tc>
          <w:tcPr>
            <w:tcW w:w="1020" w:type="dxa"/>
            <w:vAlign w:val="bottom"/>
            <w:tcBorders>
              <w:right w:val="single" w:sz="8" w:color="424E6A"/>
            </w:tcBorders>
            <w:shd w:val="clear" w:color="auto" w:fill="424E6A"/>
          </w:tcPr>
          <w:p>
            <w:pPr>
              <w:jc w:val="center"/>
              <w:ind w:right="36"/>
              <w:spacing w:after="0"/>
              <w:rPr>
                <w:sz w:val="20"/>
                <w:szCs w:val="20"/>
                <w:color w:val="auto"/>
              </w:rPr>
            </w:pPr>
            <w:r>
              <w:rPr>
                <w:rFonts w:ascii="Arial" w:cs="Arial" w:eastAsia="Arial" w:hAnsi="Arial"/>
                <w:sz w:val="14"/>
                <w:szCs w:val="14"/>
                <w:b w:val="1"/>
                <w:bCs w:val="1"/>
                <w:color w:val="FFFFFF"/>
              </w:rPr>
              <w:t>($)</w:t>
            </w:r>
          </w:p>
        </w:tc>
        <w:tc>
          <w:tcPr>
            <w:tcW w:w="11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(1)</w:t>
            </w:r>
          </w:p>
        </w:tc>
        <w:tc>
          <w:tcPr>
            <w:tcW w:w="144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w:t>
            </w:r>
          </w:p>
        </w:tc>
        <w:tc>
          <w:tcPr>
            <w:tcW w:w="11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w:t>
            </w:r>
          </w:p>
        </w:tc>
        <w:tc>
          <w:tcPr>
            <w:tcW w:w="1240" w:type="dxa"/>
            <w:vAlign w:val="bottom"/>
          </w:tcPr>
          <w:p>
            <w:pPr>
              <w:spacing w:after="0"/>
              <w:rPr>
                <w:sz w:val="18"/>
                <w:szCs w:val="18"/>
                <w:color w:val="auto"/>
              </w:rPr>
            </w:pPr>
          </w:p>
        </w:tc>
      </w:tr>
      <w:tr>
        <w:trPr>
          <w:trHeight w:val="243"/>
        </w:trPr>
        <w:tc>
          <w:tcPr>
            <w:tcW w:w="1280" w:type="dxa"/>
            <w:vAlign w:val="bottom"/>
            <w:tcBorders>
              <w:right w:val="single" w:sz="8" w:color="424E6A"/>
            </w:tcBorders>
          </w:tcPr>
          <w:p>
            <w:pPr>
              <w:spacing w:after="0"/>
              <w:rPr>
                <w:sz w:val="21"/>
                <w:szCs w:val="21"/>
                <w:color w:val="auto"/>
              </w:rPr>
            </w:pPr>
          </w:p>
        </w:tc>
        <w:tc>
          <w:tcPr>
            <w:tcW w:w="3520" w:type="dxa"/>
            <w:vAlign w:val="bottom"/>
            <w:tcBorders>
              <w:bottom w:val="single" w:sz="8" w:color="424E6A"/>
              <w:right w:val="single" w:sz="8" w:color="424E6A"/>
            </w:tcBorders>
            <w:shd w:val="clear" w:color="auto" w:fill="D9DCE1"/>
          </w:tcPr>
          <w:p>
            <w:pPr>
              <w:ind w:left="40"/>
              <w:spacing w:after="0" w:line="243" w:lineRule="exact"/>
              <w:rPr>
                <w:sz w:val="20"/>
                <w:szCs w:val="20"/>
                <w:color w:val="auto"/>
              </w:rPr>
            </w:pPr>
            <w:r>
              <w:rPr>
                <w:rFonts w:ascii="Arial" w:cs="Arial" w:eastAsia="Arial" w:hAnsi="Arial"/>
                <w:sz w:val="18"/>
                <w:szCs w:val="18"/>
                <w:color w:val="auto"/>
              </w:rPr>
              <w:t>Greg L. Armstrong</w:t>
            </w:r>
            <w:r>
              <w:rPr>
                <w:rFonts w:ascii="Arial" w:cs="Arial" w:eastAsia="Arial" w:hAnsi="Arial"/>
                <w:sz w:val="23"/>
                <w:szCs w:val="23"/>
                <w:color w:val="auto"/>
                <w:vertAlign w:val="superscript"/>
              </w:rPr>
              <w:t>(2)</w:t>
            </w:r>
          </w:p>
        </w:tc>
        <w:tc>
          <w:tcPr>
            <w:tcW w:w="1020" w:type="dxa"/>
            <w:vAlign w:val="bottom"/>
            <w:tcBorders>
              <w:bottom w:val="single" w:sz="8" w:color="424E6A"/>
              <w:right w:val="single" w:sz="8" w:color="424E6A"/>
            </w:tcBorders>
            <w:shd w:val="clear" w:color="auto" w:fill="D9DCE1"/>
          </w:tcPr>
          <w:p>
            <w:pPr>
              <w:jc w:val="right"/>
              <w:ind w:right="156"/>
              <w:spacing w:after="0"/>
              <w:rPr>
                <w:sz w:val="20"/>
                <w:szCs w:val="20"/>
                <w:color w:val="auto"/>
              </w:rPr>
            </w:pPr>
            <w:r>
              <w:rPr>
                <w:rFonts w:ascii="Arial" w:cs="Arial" w:eastAsia="Arial" w:hAnsi="Arial"/>
                <w:sz w:val="18"/>
                <w:szCs w:val="18"/>
                <w:color w:val="auto"/>
              </w:rPr>
              <w:t>250,000</w:t>
            </w:r>
          </w:p>
        </w:tc>
        <w:tc>
          <w:tcPr>
            <w:tcW w:w="1100" w:type="dxa"/>
            <w:vAlign w:val="bottom"/>
            <w:tcBorders>
              <w:bottom w:val="single" w:sz="8" w:color="424E6A"/>
              <w:right w:val="single" w:sz="8" w:color="424E6A"/>
            </w:tcBorders>
            <w:shd w:val="clear" w:color="auto" w:fill="D9DCE1"/>
          </w:tcPr>
          <w:p>
            <w:pPr>
              <w:jc w:val="right"/>
              <w:ind w:right="154"/>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424E6A"/>
              <w:right w:val="single" w:sz="8" w:color="424E6A"/>
            </w:tcBorders>
            <w:shd w:val="clear" w:color="auto" w:fill="D9DCE1"/>
          </w:tcPr>
          <w:p>
            <w:pPr>
              <w:jc w:val="right"/>
              <w:ind w:right="254"/>
              <w:spacing w:after="0"/>
              <w:rPr>
                <w:sz w:val="20"/>
                <w:szCs w:val="20"/>
                <w:color w:val="auto"/>
              </w:rPr>
            </w:pPr>
            <w:r>
              <w:rPr>
                <w:rFonts w:ascii="Arial" w:cs="Arial" w:eastAsia="Arial" w:hAnsi="Arial"/>
                <w:sz w:val="18"/>
                <w:szCs w:val="18"/>
                <w:color w:val="auto"/>
              </w:rPr>
              <w:t>15,840</w:t>
            </w:r>
          </w:p>
        </w:tc>
        <w:tc>
          <w:tcPr>
            <w:tcW w:w="112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w w:val="98"/>
              </w:rPr>
              <w:t>265,840</w:t>
            </w:r>
          </w:p>
        </w:tc>
        <w:tc>
          <w:tcPr>
            <w:tcW w:w="1240" w:type="dxa"/>
            <w:vAlign w:val="bottom"/>
          </w:tcPr>
          <w:p>
            <w:pPr>
              <w:spacing w:after="0"/>
              <w:rPr>
                <w:sz w:val="21"/>
                <w:szCs w:val="21"/>
                <w:color w:val="auto"/>
              </w:rPr>
            </w:pPr>
          </w:p>
        </w:tc>
      </w:tr>
      <w:tr>
        <w:trPr>
          <w:trHeight w:val="234"/>
        </w:trPr>
        <w:tc>
          <w:tcPr>
            <w:tcW w:w="1280" w:type="dxa"/>
            <w:vAlign w:val="bottom"/>
            <w:tcBorders>
              <w:right w:val="single" w:sz="8" w:color="424E6A"/>
            </w:tcBorders>
          </w:tcPr>
          <w:p>
            <w:pPr>
              <w:spacing w:after="0"/>
              <w:rPr>
                <w:sz w:val="20"/>
                <w:szCs w:val="20"/>
                <w:color w:val="auto"/>
              </w:rPr>
            </w:pPr>
          </w:p>
        </w:tc>
        <w:tc>
          <w:tcPr>
            <w:tcW w:w="352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Victor Burk</w:t>
            </w:r>
          </w:p>
        </w:tc>
        <w:tc>
          <w:tcPr>
            <w:tcW w:w="1020" w:type="dxa"/>
            <w:vAlign w:val="bottom"/>
            <w:tcBorders>
              <w:bottom w:val="single" w:sz="8" w:color="424E6A"/>
              <w:right w:val="single" w:sz="8" w:color="424E6A"/>
            </w:tcBorders>
          </w:tcPr>
          <w:p>
            <w:pPr>
              <w:jc w:val="right"/>
              <w:ind w:right="156"/>
              <w:spacing w:after="0"/>
              <w:rPr>
                <w:sz w:val="20"/>
                <w:szCs w:val="20"/>
                <w:color w:val="auto"/>
              </w:rPr>
            </w:pPr>
            <w:r>
              <w:rPr>
                <w:rFonts w:ascii="Arial" w:cs="Arial" w:eastAsia="Arial" w:hAnsi="Arial"/>
                <w:sz w:val="18"/>
                <w:szCs w:val="18"/>
                <w:color w:val="auto"/>
              </w:rPr>
              <w:t>135,000</w:t>
            </w:r>
          </w:p>
        </w:tc>
        <w:tc>
          <w:tcPr>
            <w:tcW w:w="1100" w:type="dxa"/>
            <w:vAlign w:val="bottom"/>
            <w:tcBorders>
              <w:bottom w:val="single" w:sz="8" w:color="424E6A"/>
              <w:right w:val="single" w:sz="8" w:color="424E6A"/>
            </w:tcBorders>
          </w:tcPr>
          <w:p>
            <w:pPr>
              <w:jc w:val="right"/>
              <w:ind w:right="154"/>
              <w:spacing w:after="0"/>
              <w:rPr>
                <w:sz w:val="20"/>
                <w:szCs w:val="20"/>
                <w:color w:val="auto"/>
              </w:rPr>
            </w:pPr>
            <w:r>
              <w:rPr>
                <w:rFonts w:ascii="Arial" w:cs="Arial" w:eastAsia="Arial" w:hAnsi="Arial"/>
                <w:sz w:val="18"/>
                <w:szCs w:val="18"/>
                <w:color w:val="auto"/>
              </w:rPr>
              <w:t>138,624</w:t>
            </w:r>
          </w:p>
        </w:tc>
        <w:tc>
          <w:tcPr>
            <w:tcW w:w="1440" w:type="dxa"/>
            <w:vAlign w:val="bottom"/>
            <w:tcBorders>
              <w:bottom w:val="single" w:sz="8" w:color="424E6A"/>
              <w:right w:val="single" w:sz="8" w:color="424E6A"/>
            </w:tcBorders>
          </w:tcPr>
          <w:p>
            <w:pPr>
              <w:jc w:val="right"/>
              <w:ind w:right="25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w w:val="98"/>
              </w:rPr>
              <w:t>273,624</w:t>
            </w:r>
          </w:p>
        </w:tc>
        <w:tc>
          <w:tcPr>
            <w:tcW w:w="1240" w:type="dxa"/>
            <w:vAlign w:val="bottom"/>
          </w:tcPr>
          <w:p>
            <w:pPr>
              <w:spacing w:after="0"/>
              <w:rPr>
                <w:sz w:val="20"/>
                <w:szCs w:val="20"/>
                <w:color w:val="auto"/>
              </w:rPr>
            </w:pPr>
          </w:p>
        </w:tc>
      </w:tr>
      <w:tr>
        <w:trPr>
          <w:trHeight w:val="239"/>
        </w:trPr>
        <w:tc>
          <w:tcPr>
            <w:tcW w:w="1280" w:type="dxa"/>
            <w:vAlign w:val="bottom"/>
            <w:tcBorders>
              <w:right w:val="single" w:sz="8" w:color="424E6A"/>
            </w:tcBorders>
          </w:tcPr>
          <w:p>
            <w:pPr>
              <w:spacing w:after="0"/>
              <w:rPr>
                <w:sz w:val="20"/>
                <w:szCs w:val="20"/>
                <w:color w:val="auto"/>
              </w:rPr>
            </w:pPr>
          </w:p>
        </w:tc>
        <w:tc>
          <w:tcPr>
            <w:tcW w:w="3520" w:type="dxa"/>
            <w:vAlign w:val="bottom"/>
            <w:tcBorders>
              <w:bottom w:val="single" w:sz="8" w:color="424E6A"/>
              <w:right w:val="single" w:sz="8" w:color="424E6A"/>
            </w:tcBorders>
            <w:shd w:val="clear" w:color="auto" w:fill="D9DCE1"/>
          </w:tcPr>
          <w:p>
            <w:pPr>
              <w:ind w:left="40"/>
              <w:spacing w:after="0" w:line="239" w:lineRule="exact"/>
              <w:rPr>
                <w:sz w:val="20"/>
                <w:szCs w:val="20"/>
                <w:color w:val="auto"/>
              </w:rPr>
            </w:pPr>
            <w:r>
              <w:rPr>
                <w:rFonts w:ascii="Arial" w:cs="Arial" w:eastAsia="Arial" w:hAnsi="Arial"/>
                <w:sz w:val="18"/>
                <w:szCs w:val="18"/>
                <w:color w:val="auto"/>
              </w:rPr>
              <w:t>Ellen R. DeSanctis</w:t>
            </w:r>
            <w:r>
              <w:rPr>
                <w:rFonts w:ascii="Arial" w:cs="Arial" w:eastAsia="Arial" w:hAnsi="Arial"/>
                <w:sz w:val="23"/>
                <w:szCs w:val="23"/>
                <w:color w:val="auto"/>
                <w:vertAlign w:val="superscript"/>
              </w:rPr>
              <w:t>(3)</w:t>
            </w:r>
          </w:p>
        </w:tc>
        <w:tc>
          <w:tcPr>
            <w:tcW w:w="1020" w:type="dxa"/>
            <w:vAlign w:val="bottom"/>
            <w:tcBorders>
              <w:bottom w:val="single" w:sz="8" w:color="424E6A"/>
              <w:right w:val="single" w:sz="8" w:color="424E6A"/>
            </w:tcBorders>
            <w:shd w:val="clear" w:color="auto" w:fill="D9DCE1"/>
          </w:tcPr>
          <w:p>
            <w:pPr>
              <w:jc w:val="right"/>
              <w:ind w:right="156"/>
              <w:spacing w:after="0"/>
              <w:rPr>
                <w:sz w:val="20"/>
                <w:szCs w:val="20"/>
                <w:color w:val="auto"/>
              </w:rPr>
            </w:pPr>
            <w:r>
              <w:rPr>
                <w:rFonts w:ascii="Arial" w:cs="Arial" w:eastAsia="Arial" w:hAnsi="Arial"/>
                <w:sz w:val="18"/>
                <w:szCs w:val="18"/>
                <w:color w:val="auto"/>
              </w:rPr>
              <w:t>49,103</w:t>
            </w:r>
          </w:p>
        </w:tc>
        <w:tc>
          <w:tcPr>
            <w:tcW w:w="1100" w:type="dxa"/>
            <w:vAlign w:val="bottom"/>
            <w:tcBorders>
              <w:bottom w:val="single" w:sz="8" w:color="424E6A"/>
              <w:right w:val="single" w:sz="8" w:color="424E6A"/>
            </w:tcBorders>
            <w:shd w:val="clear" w:color="auto" w:fill="D9DCE1"/>
          </w:tcPr>
          <w:p>
            <w:pPr>
              <w:jc w:val="right"/>
              <w:ind w:right="154"/>
              <w:spacing w:after="0"/>
              <w:rPr>
                <w:sz w:val="20"/>
                <w:szCs w:val="20"/>
                <w:color w:val="auto"/>
              </w:rPr>
            </w:pPr>
            <w:r>
              <w:rPr>
                <w:rFonts w:ascii="Arial" w:cs="Arial" w:eastAsia="Arial" w:hAnsi="Arial"/>
                <w:sz w:val="18"/>
                <w:szCs w:val="18"/>
                <w:color w:val="auto"/>
              </w:rPr>
              <w:t>138,624</w:t>
            </w:r>
          </w:p>
        </w:tc>
        <w:tc>
          <w:tcPr>
            <w:tcW w:w="1440" w:type="dxa"/>
            <w:vAlign w:val="bottom"/>
            <w:tcBorders>
              <w:bottom w:val="single" w:sz="8" w:color="424E6A"/>
              <w:right w:val="single" w:sz="8" w:color="424E6A"/>
            </w:tcBorders>
            <w:shd w:val="clear" w:color="auto" w:fill="D9DCE1"/>
          </w:tcPr>
          <w:p>
            <w:pPr>
              <w:jc w:val="right"/>
              <w:ind w:right="25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w w:val="98"/>
              </w:rPr>
              <w:t>187,727</w:t>
            </w:r>
          </w:p>
        </w:tc>
        <w:tc>
          <w:tcPr>
            <w:tcW w:w="1240" w:type="dxa"/>
            <w:vAlign w:val="bottom"/>
          </w:tcPr>
          <w:p>
            <w:pPr>
              <w:spacing w:after="0"/>
              <w:rPr>
                <w:sz w:val="20"/>
                <w:szCs w:val="20"/>
                <w:color w:val="auto"/>
              </w:rPr>
            </w:pPr>
          </w:p>
        </w:tc>
      </w:tr>
      <w:tr>
        <w:trPr>
          <w:trHeight w:val="234"/>
        </w:trPr>
        <w:tc>
          <w:tcPr>
            <w:tcW w:w="1280" w:type="dxa"/>
            <w:vAlign w:val="bottom"/>
            <w:tcBorders>
              <w:right w:val="single" w:sz="8" w:color="424E6A"/>
            </w:tcBorders>
          </w:tcPr>
          <w:p>
            <w:pPr>
              <w:spacing w:after="0"/>
              <w:rPr>
                <w:sz w:val="20"/>
                <w:szCs w:val="20"/>
                <w:color w:val="auto"/>
              </w:rPr>
            </w:pPr>
          </w:p>
        </w:tc>
        <w:tc>
          <w:tcPr>
            <w:tcW w:w="352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Kevin S. McCarthy</w:t>
            </w:r>
          </w:p>
        </w:tc>
        <w:tc>
          <w:tcPr>
            <w:tcW w:w="1020" w:type="dxa"/>
            <w:vAlign w:val="bottom"/>
            <w:tcBorders>
              <w:bottom w:val="single" w:sz="8" w:color="424E6A"/>
              <w:right w:val="single" w:sz="8" w:color="424E6A"/>
            </w:tcBorders>
          </w:tcPr>
          <w:p>
            <w:pPr>
              <w:jc w:val="right"/>
              <w:ind w:right="156"/>
              <w:spacing w:after="0"/>
              <w:rPr>
                <w:sz w:val="20"/>
                <w:szCs w:val="20"/>
                <w:color w:val="auto"/>
              </w:rPr>
            </w:pPr>
            <w:r>
              <w:rPr>
                <w:rFonts w:ascii="Arial" w:cs="Arial" w:eastAsia="Arial" w:hAnsi="Arial"/>
                <w:sz w:val="18"/>
                <w:szCs w:val="18"/>
                <w:color w:val="auto"/>
              </w:rPr>
              <w:t>86,250</w:t>
            </w:r>
          </w:p>
        </w:tc>
        <w:tc>
          <w:tcPr>
            <w:tcW w:w="1100" w:type="dxa"/>
            <w:vAlign w:val="bottom"/>
            <w:tcBorders>
              <w:bottom w:val="single" w:sz="8" w:color="424E6A"/>
              <w:right w:val="single" w:sz="8" w:color="424E6A"/>
            </w:tcBorders>
          </w:tcPr>
          <w:p>
            <w:pPr>
              <w:jc w:val="right"/>
              <w:ind w:right="154"/>
              <w:spacing w:after="0"/>
              <w:rPr>
                <w:sz w:val="20"/>
                <w:szCs w:val="20"/>
                <w:color w:val="auto"/>
              </w:rPr>
            </w:pPr>
            <w:r>
              <w:rPr>
                <w:rFonts w:ascii="Arial" w:cs="Arial" w:eastAsia="Arial" w:hAnsi="Arial"/>
                <w:sz w:val="18"/>
                <w:szCs w:val="18"/>
                <w:color w:val="auto"/>
              </w:rPr>
              <w:t>138,624</w:t>
            </w:r>
          </w:p>
        </w:tc>
        <w:tc>
          <w:tcPr>
            <w:tcW w:w="1440" w:type="dxa"/>
            <w:vAlign w:val="bottom"/>
            <w:tcBorders>
              <w:bottom w:val="single" w:sz="8" w:color="424E6A"/>
              <w:right w:val="single" w:sz="8" w:color="424E6A"/>
            </w:tcBorders>
          </w:tcPr>
          <w:p>
            <w:pPr>
              <w:jc w:val="right"/>
              <w:ind w:right="25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w w:val="98"/>
              </w:rPr>
              <w:t>224,874</w:t>
            </w:r>
          </w:p>
        </w:tc>
        <w:tc>
          <w:tcPr>
            <w:tcW w:w="1240" w:type="dxa"/>
            <w:vAlign w:val="bottom"/>
          </w:tcPr>
          <w:p>
            <w:pPr>
              <w:spacing w:after="0"/>
              <w:rPr>
                <w:sz w:val="20"/>
                <w:szCs w:val="20"/>
                <w:color w:val="auto"/>
              </w:rPr>
            </w:pPr>
          </w:p>
        </w:tc>
      </w:tr>
      <w:tr>
        <w:trPr>
          <w:trHeight w:val="237"/>
        </w:trPr>
        <w:tc>
          <w:tcPr>
            <w:tcW w:w="1280" w:type="dxa"/>
            <w:vAlign w:val="bottom"/>
            <w:tcBorders>
              <w:right w:val="single" w:sz="8" w:color="424E6A"/>
            </w:tcBorders>
          </w:tcPr>
          <w:p>
            <w:pPr>
              <w:spacing w:after="0"/>
              <w:rPr>
                <w:sz w:val="20"/>
                <w:szCs w:val="20"/>
                <w:color w:val="auto"/>
              </w:rPr>
            </w:pPr>
          </w:p>
        </w:tc>
        <w:tc>
          <w:tcPr>
            <w:tcW w:w="352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Gary R. Petersen</w:t>
            </w:r>
          </w:p>
        </w:tc>
        <w:tc>
          <w:tcPr>
            <w:tcW w:w="1020" w:type="dxa"/>
            <w:vAlign w:val="bottom"/>
            <w:tcBorders>
              <w:bottom w:val="single" w:sz="8" w:color="424E6A"/>
              <w:right w:val="single" w:sz="8" w:color="424E6A"/>
            </w:tcBorders>
            <w:shd w:val="clear" w:color="auto" w:fill="D9DCE1"/>
          </w:tcPr>
          <w:p>
            <w:pPr>
              <w:jc w:val="right"/>
              <w:ind w:right="156"/>
              <w:spacing w:after="0"/>
              <w:rPr>
                <w:sz w:val="20"/>
                <w:szCs w:val="20"/>
                <w:color w:val="auto"/>
              </w:rPr>
            </w:pPr>
            <w:r>
              <w:rPr>
                <w:rFonts w:ascii="Arial" w:cs="Arial" w:eastAsia="Arial" w:hAnsi="Arial"/>
                <w:sz w:val="18"/>
                <w:szCs w:val="18"/>
                <w:color w:val="auto"/>
              </w:rPr>
              <w:t>105,000</w:t>
            </w:r>
          </w:p>
        </w:tc>
        <w:tc>
          <w:tcPr>
            <w:tcW w:w="1100" w:type="dxa"/>
            <w:vAlign w:val="bottom"/>
            <w:tcBorders>
              <w:bottom w:val="single" w:sz="8" w:color="424E6A"/>
              <w:right w:val="single" w:sz="8" w:color="424E6A"/>
            </w:tcBorders>
            <w:shd w:val="clear" w:color="auto" w:fill="D9DCE1"/>
          </w:tcPr>
          <w:p>
            <w:pPr>
              <w:jc w:val="right"/>
              <w:ind w:right="154"/>
              <w:spacing w:after="0"/>
              <w:rPr>
                <w:sz w:val="20"/>
                <w:szCs w:val="20"/>
                <w:color w:val="auto"/>
              </w:rPr>
            </w:pPr>
            <w:r>
              <w:rPr>
                <w:rFonts w:ascii="Arial" w:cs="Arial" w:eastAsia="Arial" w:hAnsi="Arial"/>
                <w:sz w:val="18"/>
                <w:szCs w:val="18"/>
                <w:color w:val="auto"/>
              </w:rPr>
              <w:t>138,624</w:t>
            </w:r>
          </w:p>
        </w:tc>
        <w:tc>
          <w:tcPr>
            <w:tcW w:w="1440" w:type="dxa"/>
            <w:vAlign w:val="bottom"/>
            <w:tcBorders>
              <w:bottom w:val="single" w:sz="8" w:color="424E6A"/>
              <w:right w:val="single" w:sz="8" w:color="424E6A"/>
            </w:tcBorders>
            <w:shd w:val="clear" w:color="auto" w:fill="D9DCE1"/>
          </w:tcPr>
          <w:p>
            <w:pPr>
              <w:jc w:val="right"/>
              <w:ind w:right="25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w w:val="98"/>
              </w:rPr>
              <w:t>243,624</w:t>
            </w:r>
          </w:p>
        </w:tc>
        <w:tc>
          <w:tcPr>
            <w:tcW w:w="1240" w:type="dxa"/>
            <w:vAlign w:val="bottom"/>
          </w:tcPr>
          <w:p>
            <w:pPr>
              <w:spacing w:after="0"/>
              <w:rPr>
                <w:sz w:val="20"/>
                <w:szCs w:val="20"/>
                <w:color w:val="auto"/>
              </w:rPr>
            </w:pPr>
          </w:p>
        </w:tc>
      </w:tr>
      <w:tr>
        <w:trPr>
          <w:trHeight w:val="237"/>
        </w:trPr>
        <w:tc>
          <w:tcPr>
            <w:tcW w:w="1280" w:type="dxa"/>
            <w:vAlign w:val="bottom"/>
            <w:tcBorders>
              <w:right w:val="single" w:sz="8" w:color="424E6A"/>
            </w:tcBorders>
          </w:tcPr>
          <w:p>
            <w:pPr>
              <w:spacing w:after="0"/>
              <w:rPr>
                <w:sz w:val="20"/>
                <w:szCs w:val="20"/>
                <w:color w:val="auto"/>
              </w:rPr>
            </w:pPr>
          </w:p>
        </w:tc>
        <w:tc>
          <w:tcPr>
            <w:tcW w:w="352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Alexandra D. Pruner</w:t>
            </w:r>
          </w:p>
        </w:tc>
        <w:tc>
          <w:tcPr>
            <w:tcW w:w="1020" w:type="dxa"/>
            <w:vAlign w:val="bottom"/>
            <w:tcBorders>
              <w:bottom w:val="single" w:sz="8" w:color="424E6A"/>
              <w:right w:val="single" w:sz="8" w:color="424E6A"/>
            </w:tcBorders>
          </w:tcPr>
          <w:p>
            <w:pPr>
              <w:jc w:val="right"/>
              <w:ind w:right="156"/>
              <w:spacing w:after="0"/>
              <w:rPr>
                <w:sz w:val="20"/>
                <w:szCs w:val="20"/>
                <w:color w:val="auto"/>
              </w:rPr>
            </w:pPr>
            <w:r>
              <w:rPr>
                <w:rFonts w:ascii="Arial" w:cs="Arial" w:eastAsia="Arial" w:hAnsi="Arial"/>
                <w:sz w:val="18"/>
                <w:szCs w:val="18"/>
                <w:color w:val="auto"/>
              </w:rPr>
              <w:t>120,000</w:t>
            </w:r>
          </w:p>
        </w:tc>
        <w:tc>
          <w:tcPr>
            <w:tcW w:w="1100" w:type="dxa"/>
            <w:vAlign w:val="bottom"/>
            <w:tcBorders>
              <w:bottom w:val="single" w:sz="8" w:color="424E6A"/>
              <w:right w:val="single" w:sz="8" w:color="424E6A"/>
            </w:tcBorders>
          </w:tcPr>
          <w:p>
            <w:pPr>
              <w:jc w:val="right"/>
              <w:ind w:right="154"/>
              <w:spacing w:after="0"/>
              <w:rPr>
                <w:sz w:val="20"/>
                <w:szCs w:val="20"/>
                <w:color w:val="auto"/>
              </w:rPr>
            </w:pPr>
            <w:r>
              <w:rPr>
                <w:rFonts w:ascii="Arial" w:cs="Arial" w:eastAsia="Arial" w:hAnsi="Arial"/>
                <w:sz w:val="18"/>
                <w:szCs w:val="18"/>
                <w:color w:val="auto"/>
              </w:rPr>
              <w:t>138,624</w:t>
            </w:r>
          </w:p>
        </w:tc>
        <w:tc>
          <w:tcPr>
            <w:tcW w:w="1440" w:type="dxa"/>
            <w:vAlign w:val="bottom"/>
            <w:tcBorders>
              <w:bottom w:val="single" w:sz="8" w:color="424E6A"/>
              <w:right w:val="single" w:sz="8" w:color="424E6A"/>
            </w:tcBorders>
          </w:tcPr>
          <w:p>
            <w:pPr>
              <w:jc w:val="right"/>
              <w:ind w:right="25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w w:val="98"/>
              </w:rPr>
              <w:t>258,624</w:t>
            </w:r>
          </w:p>
        </w:tc>
        <w:tc>
          <w:tcPr>
            <w:tcW w:w="1240" w:type="dxa"/>
            <w:vAlign w:val="bottom"/>
          </w:tcPr>
          <w:p>
            <w:pPr>
              <w:spacing w:after="0"/>
              <w:rPr>
                <w:sz w:val="20"/>
                <w:szCs w:val="20"/>
                <w:color w:val="auto"/>
              </w:rPr>
            </w:pPr>
          </w:p>
        </w:tc>
      </w:tr>
      <w:tr>
        <w:trPr>
          <w:trHeight w:val="236"/>
        </w:trPr>
        <w:tc>
          <w:tcPr>
            <w:tcW w:w="1280" w:type="dxa"/>
            <w:vAlign w:val="bottom"/>
            <w:tcBorders>
              <w:right w:val="single" w:sz="8" w:color="424E6A"/>
            </w:tcBorders>
          </w:tcPr>
          <w:p>
            <w:pPr>
              <w:spacing w:after="0"/>
              <w:rPr>
                <w:sz w:val="20"/>
                <w:szCs w:val="20"/>
                <w:color w:val="auto"/>
              </w:rPr>
            </w:pPr>
          </w:p>
        </w:tc>
        <w:tc>
          <w:tcPr>
            <w:tcW w:w="352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John T. Raymond</w:t>
            </w:r>
          </w:p>
        </w:tc>
        <w:tc>
          <w:tcPr>
            <w:tcW w:w="1020" w:type="dxa"/>
            <w:vAlign w:val="bottom"/>
            <w:tcBorders>
              <w:bottom w:val="single" w:sz="8" w:color="424E6A"/>
              <w:right w:val="single" w:sz="8" w:color="424E6A"/>
            </w:tcBorders>
            <w:shd w:val="clear" w:color="auto" w:fill="D9DCE1"/>
          </w:tcPr>
          <w:p>
            <w:pPr>
              <w:jc w:val="right"/>
              <w:ind w:right="156"/>
              <w:spacing w:after="0"/>
              <w:rPr>
                <w:sz w:val="20"/>
                <w:szCs w:val="20"/>
                <w:color w:val="auto"/>
              </w:rPr>
            </w:pPr>
            <w:r>
              <w:rPr>
                <w:rFonts w:ascii="Arial" w:cs="Arial" w:eastAsia="Arial" w:hAnsi="Arial"/>
                <w:sz w:val="18"/>
                <w:szCs w:val="18"/>
                <w:color w:val="auto"/>
              </w:rPr>
              <w:t>118,750</w:t>
            </w:r>
          </w:p>
        </w:tc>
        <w:tc>
          <w:tcPr>
            <w:tcW w:w="1100" w:type="dxa"/>
            <w:vAlign w:val="bottom"/>
            <w:tcBorders>
              <w:bottom w:val="single" w:sz="8" w:color="424E6A"/>
              <w:right w:val="single" w:sz="8" w:color="424E6A"/>
            </w:tcBorders>
            <w:shd w:val="clear" w:color="auto" w:fill="D9DCE1"/>
          </w:tcPr>
          <w:p>
            <w:pPr>
              <w:jc w:val="right"/>
              <w:ind w:right="154"/>
              <w:spacing w:after="0"/>
              <w:rPr>
                <w:sz w:val="20"/>
                <w:szCs w:val="20"/>
                <w:color w:val="auto"/>
              </w:rPr>
            </w:pPr>
            <w:r>
              <w:rPr>
                <w:rFonts w:ascii="Arial" w:cs="Arial" w:eastAsia="Arial" w:hAnsi="Arial"/>
                <w:sz w:val="18"/>
                <w:szCs w:val="18"/>
                <w:color w:val="auto"/>
              </w:rPr>
              <w:t>138,624</w:t>
            </w:r>
          </w:p>
        </w:tc>
        <w:tc>
          <w:tcPr>
            <w:tcW w:w="1440" w:type="dxa"/>
            <w:vAlign w:val="bottom"/>
            <w:tcBorders>
              <w:bottom w:val="single" w:sz="8" w:color="424E6A"/>
              <w:right w:val="single" w:sz="8" w:color="424E6A"/>
            </w:tcBorders>
            <w:shd w:val="clear" w:color="auto" w:fill="D9DCE1"/>
          </w:tcPr>
          <w:p>
            <w:pPr>
              <w:jc w:val="right"/>
              <w:ind w:right="25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w w:val="98"/>
              </w:rPr>
              <w:t>257,374</w:t>
            </w:r>
          </w:p>
        </w:tc>
        <w:tc>
          <w:tcPr>
            <w:tcW w:w="1240" w:type="dxa"/>
            <w:vAlign w:val="bottom"/>
          </w:tcPr>
          <w:p>
            <w:pPr>
              <w:spacing w:after="0"/>
              <w:rPr>
                <w:sz w:val="20"/>
                <w:szCs w:val="20"/>
                <w:color w:val="auto"/>
              </w:rPr>
            </w:pPr>
          </w:p>
        </w:tc>
      </w:tr>
      <w:tr>
        <w:trPr>
          <w:trHeight w:val="234"/>
        </w:trPr>
        <w:tc>
          <w:tcPr>
            <w:tcW w:w="1280" w:type="dxa"/>
            <w:vAlign w:val="bottom"/>
            <w:tcBorders>
              <w:right w:val="single" w:sz="8" w:color="424E6A"/>
            </w:tcBorders>
          </w:tcPr>
          <w:p>
            <w:pPr>
              <w:spacing w:after="0"/>
              <w:rPr>
                <w:sz w:val="20"/>
                <w:szCs w:val="20"/>
                <w:color w:val="auto"/>
              </w:rPr>
            </w:pPr>
          </w:p>
        </w:tc>
        <w:tc>
          <w:tcPr>
            <w:tcW w:w="352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Bobby S. Shackouls</w:t>
            </w:r>
          </w:p>
        </w:tc>
        <w:tc>
          <w:tcPr>
            <w:tcW w:w="1020" w:type="dxa"/>
            <w:vAlign w:val="bottom"/>
            <w:tcBorders>
              <w:bottom w:val="single" w:sz="8" w:color="424E6A"/>
              <w:right w:val="single" w:sz="8" w:color="424E6A"/>
            </w:tcBorders>
          </w:tcPr>
          <w:p>
            <w:pPr>
              <w:jc w:val="right"/>
              <w:ind w:right="156"/>
              <w:spacing w:after="0"/>
              <w:rPr>
                <w:sz w:val="20"/>
                <w:szCs w:val="20"/>
                <w:color w:val="auto"/>
              </w:rPr>
            </w:pPr>
            <w:r>
              <w:rPr>
                <w:rFonts w:ascii="Arial" w:cs="Arial" w:eastAsia="Arial" w:hAnsi="Arial"/>
                <w:sz w:val="18"/>
                <w:szCs w:val="18"/>
                <w:color w:val="auto"/>
              </w:rPr>
              <w:t>153,750</w:t>
            </w:r>
          </w:p>
        </w:tc>
        <w:tc>
          <w:tcPr>
            <w:tcW w:w="1100" w:type="dxa"/>
            <w:vAlign w:val="bottom"/>
            <w:tcBorders>
              <w:bottom w:val="single" w:sz="8" w:color="424E6A"/>
              <w:right w:val="single" w:sz="8" w:color="424E6A"/>
            </w:tcBorders>
          </w:tcPr>
          <w:p>
            <w:pPr>
              <w:jc w:val="right"/>
              <w:ind w:right="154"/>
              <w:spacing w:after="0"/>
              <w:rPr>
                <w:sz w:val="20"/>
                <w:szCs w:val="20"/>
                <w:color w:val="auto"/>
              </w:rPr>
            </w:pPr>
            <w:r>
              <w:rPr>
                <w:rFonts w:ascii="Arial" w:cs="Arial" w:eastAsia="Arial" w:hAnsi="Arial"/>
                <w:sz w:val="18"/>
                <w:szCs w:val="18"/>
                <w:color w:val="auto"/>
              </w:rPr>
              <w:t>138,624</w:t>
            </w:r>
          </w:p>
        </w:tc>
        <w:tc>
          <w:tcPr>
            <w:tcW w:w="1440" w:type="dxa"/>
            <w:vAlign w:val="bottom"/>
            <w:tcBorders>
              <w:bottom w:val="single" w:sz="8" w:color="424E6A"/>
              <w:right w:val="single" w:sz="8" w:color="424E6A"/>
            </w:tcBorders>
          </w:tcPr>
          <w:p>
            <w:pPr>
              <w:jc w:val="right"/>
              <w:ind w:right="25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w w:val="98"/>
              </w:rPr>
              <w:t>292,374</w:t>
            </w:r>
          </w:p>
        </w:tc>
        <w:tc>
          <w:tcPr>
            <w:tcW w:w="1240" w:type="dxa"/>
            <w:vAlign w:val="bottom"/>
          </w:tcPr>
          <w:p>
            <w:pPr>
              <w:spacing w:after="0"/>
              <w:rPr>
                <w:sz w:val="20"/>
                <w:szCs w:val="20"/>
                <w:color w:val="auto"/>
              </w:rPr>
            </w:pPr>
          </w:p>
        </w:tc>
      </w:tr>
      <w:tr>
        <w:trPr>
          <w:trHeight w:val="239"/>
        </w:trPr>
        <w:tc>
          <w:tcPr>
            <w:tcW w:w="1280" w:type="dxa"/>
            <w:vAlign w:val="bottom"/>
            <w:tcBorders>
              <w:right w:val="single" w:sz="8" w:color="424E6A"/>
            </w:tcBorders>
          </w:tcPr>
          <w:p>
            <w:pPr>
              <w:spacing w:after="0"/>
              <w:rPr>
                <w:sz w:val="20"/>
                <w:szCs w:val="20"/>
                <w:color w:val="auto"/>
              </w:rPr>
            </w:pPr>
          </w:p>
        </w:tc>
        <w:tc>
          <w:tcPr>
            <w:tcW w:w="352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Christopher M. Temple</w:t>
            </w:r>
          </w:p>
        </w:tc>
        <w:tc>
          <w:tcPr>
            <w:tcW w:w="1020" w:type="dxa"/>
            <w:vAlign w:val="bottom"/>
            <w:tcBorders>
              <w:bottom w:val="single" w:sz="8" w:color="424E6A"/>
              <w:right w:val="single" w:sz="8" w:color="424E6A"/>
            </w:tcBorders>
            <w:shd w:val="clear" w:color="auto" w:fill="D9DCE1"/>
          </w:tcPr>
          <w:p>
            <w:pPr>
              <w:jc w:val="right"/>
              <w:ind w:right="156"/>
              <w:spacing w:after="0"/>
              <w:rPr>
                <w:sz w:val="20"/>
                <w:szCs w:val="20"/>
                <w:color w:val="auto"/>
              </w:rPr>
            </w:pPr>
            <w:r>
              <w:rPr>
                <w:rFonts w:ascii="Arial" w:cs="Arial" w:eastAsia="Arial" w:hAnsi="Arial"/>
                <w:sz w:val="18"/>
                <w:szCs w:val="18"/>
                <w:color w:val="auto"/>
              </w:rPr>
              <w:t>105,000</w:t>
            </w:r>
          </w:p>
        </w:tc>
        <w:tc>
          <w:tcPr>
            <w:tcW w:w="1100" w:type="dxa"/>
            <w:vAlign w:val="bottom"/>
            <w:tcBorders>
              <w:bottom w:val="single" w:sz="8" w:color="424E6A"/>
              <w:right w:val="single" w:sz="8" w:color="424E6A"/>
            </w:tcBorders>
            <w:shd w:val="clear" w:color="auto" w:fill="D9DCE1"/>
          </w:tcPr>
          <w:p>
            <w:pPr>
              <w:jc w:val="right"/>
              <w:ind w:right="154"/>
              <w:spacing w:after="0"/>
              <w:rPr>
                <w:sz w:val="20"/>
                <w:szCs w:val="20"/>
                <w:color w:val="auto"/>
              </w:rPr>
            </w:pPr>
            <w:r>
              <w:rPr>
                <w:rFonts w:ascii="Arial" w:cs="Arial" w:eastAsia="Arial" w:hAnsi="Arial"/>
                <w:sz w:val="18"/>
                <w:szCs w:val="18"/>
                <w:color w:val="auto"/>
              </w:rPr>
              <w:t>138,624</w:t>
            </w:r>
          </w:p>
        </w:tc>
        <w:tc>
          <w:tcPr>
            <w:tcW w:w="1440" w:type="dxa"/>
            <w:vAlign w:val="bottom"/>
            <w:tcBorders>
              <w:bottom w:val="single" w:sz="8" w:color="424E6A"/>
              <w:right w:val="single" w:sz="8" w:color="424E6A"/>
            </w:tcBorders>
            <w:shd w:val="clear" w:color="auto" w:fill="D9DCE1"/>
          </w:tcPr>
          <w:p>
            <w:pPr>
              <w:jc w:val="right"/>
              <w:ind w:right="25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w w:val="98"/>
              </w:rPr>
              <w:t>243,624</w:t>
            </w:r>
          </w:p>
        </w:tc>
        <w:tc>
          <w:tcPr>
            <w:tcW w:w="1240" w:type="dxa"/>
            <w:vAlign w:val="bottom"/>
          </w:tcPr>
          <w:p>
            <w:pPr>
              <w:spacing w:after="0"/>
              <w:rPr>
                <w:sz w:val="20"/>
                <w:szCs w:val="20"/>
                <w:color w:val="auto"/>
              </w:rPr>
            </w:pPr>
          </w:p>
        </w:tc>
      </w:tr>
      <w:tr>
        <w:trPr>
          <w:trHeight w:val="236"/>
        </w:trPr>
        <w:tc>
          <w:tcPr>
            <w:tcW w:w="1280" w:type="dxa"/>
            <w:vAlign w:val="bottom"/>
            <w:tcBorders>
              <w:right w:val="single" w:sz="8" w:color="424E6A"/>
            </w:tcBorders>
          </w:tcPr>
          <w:p>
            <w:pPr>
              <w:spacing w:after="0"/>
              <w:rPr>
                <w:sz w:val="20"/>
                <w:szCs w:val="20"/>
                <w:color w:val="auto"/>
              </w:rPr>
            </w:pPr>
          </w:p>
        </w:tc>
        <w:tc>
          <w:tcPr>
            <w:tcW w:w="352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Lawrence M. Ziemba</w:t>
            </w:r>
          </w:p>
        </w:tc>
        <w:tc>
          <w:tcPr>
            <w:tcW w:w="1020" w:type="dxa"/>
            <w:vAlign w:val="bottom"/>
            <w:tcBorders>
              <w:bottom w:val="single" w:sz="8" w:color="424E6A"/>
              <w:right w:val="single" w:sz="8" w:color="424E6A"/>
            </w:tcBorders>
          </w:tcPr>
          <w:p>
            <w:pPr>
              <w:jc w:val="right"/>
              <w:ind w:right="156"/>
              <w:spacing w:after="0"/>
              <w:rPr>
                <w:sz w:val="20"/>
                <w:szCs w:val="20"/>
                <w:color w:val="auto"/>
              </w:rPr>
            </w:pPr>
            <w:r>
              <w:rPr>
                <w:rFonts w:ascii="Arial" w:cs="Arial" w:eastAsia="Arial" w:hAnsi="Arial"/>
                <w:sz w:val="18"/>
                <w:szCs w:val="18"/>
                <w:color w:val="auto"/>
              </w:rPr>
              <w:t>133,750</w:t>
            </w:r>
          </w:p>
        </w:tc>
        <w:tc>
          <w:tcPr>
            <w:tcW w:w="1100" w:type="dxa"/>
            <w:vAlign w:val="bottom"/>
            <w:tcBorders>
              <w:bottom w:val="single" w:sz="8" w:color="424E6A"/>
              <w:right w:val="single" w:sz="8" w:color="424E6A"/>
            </w:tcBorders>
          </w:tcPr>
          <w:p>
            <w:pPr>
              <w:jc w:val="right"/>
              <w:ind w:right="154"/>
              <w:spacing w:after="0"/>
              <w:rPr>
                <w:sz w:val="20"/>
                <w:szCs w:val="20"/>
                <w:color w:val="auto"/>
              </w:rPr>
            </w:pPr>
            <w:r>
              <w:rPr>
                <w:rFonts w:ascii="Arial" w:cs="Arial" w:eastAsia="Arial" w:hAnsi="Arial"/>
                <w:sz w:val="18"/>
                <w:szCs w:val="18"/>
                <w:color w:val="auto"/>
              </w:rPr>
              <w:t>138,624</w:t>
            </w:r>
          </w:p>
        </w:tc>
        <w:tc>
          <w:tcPr>
            <w:tcW w:w="1440" w:type="dxa"/>
            <w:vAlign w:val="bottom"/>
            <w:tcBorders>
              <w:bottom w:val="single" w:sz="8" w:color="424E6A"/>
              <w:right w:val="single" w:sz="8" w:color="424E6A"/>
            </w:tcBorders>
          </w:tcPr>
          <w:p>
            <w:pPr>
              <w:jc w:val="right"/>
              <w:ind w:right="25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w w:val="98"/>
              </w:rPr>
              <w:t>272,374</w:t>
            </w:r>
          </w:p>
        </w:tc>
        <w:tc>
          <w:tcPr>
            <w:tcW w:w="1240" w:type="dxa"/>
            <w:vAlign w:val="bottom"/>
          </w:tcPr>
          <w:p>
            <w:pPr>
              <w:spacing w:after="0"/>
              <w:rPr>
                <w:sz w:val="20"/>
                <w:szCs w:val="20"/>
                <w:color w:val="auto"/>
              </w:rPr>
            </w:pPr>
          </w:p>
        </w:tc>
      </w:tr>
      <w:tr>
        <w:trPr>
          <w:trHeight w:val="621"/>
        </w:trPr>
        <w:tc>
          <w:tcPr>
            <w:tcW w:w="1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20" w:type="dxa"/>
            <w:vAlign w:val="bottom"/>
          </w:tcPr>
          <w:p>
            <w:pPr>
              <w:jc w:val="right"/>
              <w:ind w:right="296"/>
              <w:spacing w:after="0"/>
              <w:rPr>
                <w:sz w:val="20"/>
                <w:szCs w:val="20"/>
                <w:color w:val="auto"/>
              </w:rPr>
            </w:pPr>
            <w:r>
              <w:rPr>
                <w:rFonts w:ascii="Arial" w:cs="Arial" w:eastAsia="Arial" w:hAnsi="Arial"/>
                <w:sz w:val="18"/>
                <w:szCs w:val="18"/>
                <w:color w:val="auto"/>
              </w:rPr>
              <w:t>61</w:t>
            </w: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5"/>
        </w:trPr>
        <w:tc>
          <w:tcPr>
            <w:tcW w:w="12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39" w:hanging="360"/>
        <w:spacing w:after="0"/>
        <w:tabs>
          <w:tab w:leader="none" w:pos="1620" w:val="left"/>
        </w:tabs>
        <w:numPr>
          <w:ilvl w:val="0"/>
          <w:numId w:val="75"/>
        </w:numPr>
        <w:rPr>
          <w:rFonts w:ascii="Arial" w:cs="Arial" w:eastAsia="Arial" w:hAnsi="Arial"/>
          <w:sz w:val="27"/>
          <w:szCs w:val="27"/>
          <w:color w:val="auto"/>
          <w:vertAlign w:val="superscript"/>
        </w:rPr>
      </w:pPr>
      <w:r>
        <w:rPr>
          <w:rFonts w:ascii="Arial" w:cs="Arial" w:eastAsia="Arial" w:hAnsi="Arial"/>
          <w:sz w:val="18"/>
          <w:szCs w:val="18"/>
          <w:color w:val="auto"/>
        </w:rPr>
        <w:t>The dollar value of long-term incentive awards granted during 2022 is based on the grant date fair value computed in accordance with FASB ASC Topic 718. See Note 18 to our Consolidated Financial Statements included in our 2022 Annual Report for additional discussion regarding the calculation of grant date fair values. In August 2022, each of Messrs. Burk, McCarthy, Petersen, Raymond, Shackouls, Temple and Ziemba, Ms. DeSanctis and Ms. Pruner received an annual long-term incentive award of 11,400 PAGP phantom Class A shares. See “— Long-Term Equity Awards” below for further information regarding long-term incentive awards granted to our non-employee directors. The aggregate number of outstanding long-term incentive awards held by our non-employee directors as of December 31, 2022 were as follows:</w:t>
      </w:r>
    </w:p>
    <w:p>
      <w:pPr>
        <w:spacing w:after="0" w:line="186" w:lineRule="exact"/>
        <w:rPr>
          <w:sz w:val="20"/>
          <w:szCs w:val="20"/>
          <w:color w:val="auto"/>
        </w:rPr>
      </w:pPr>
    </w:p>
    <w:tbl>
      <w:tblPr>
        <w:tblLayout w:type="fixed"/>
        <w:tblInd w:w="1630" w:type="dxa"/>
        <w:tblCellMar>
          <w:top w:w="0" w:type="dxa"/>
          <w:left w:w="0" w:type="dxa"/>
          <w:bottom w:w="0" w:type="dxa"/>
          <w:right w:w="0" w:type="dxa"/>
        </w:tblCellMar>
      </w:tblPr>
      <w:tr>
        <w:trPr>
          <w:trHeight w:val="247"/>
        </w:trPr>
        <w:tc>
          <w:tcPr>
            <w:tcW w:w="160" w:type="dxa"/>
            <w:vAlign w:val="bottom"/>
            <w:tcBorders>
              <w:left w:val="single" w:sz="8" w:color="424E6A"/>
            </w:tcBorders>
            <w:shd w:val="clear" w:color="auto" w:fill="424E6A"/>
          </w:tcPr>
          <w:p>
            <w:pPr>
              <w:spacing w:after="0"/>
              <w:rPr>
                <w:sz w:val="21"/>
                <w:szCs w:val="21"/>
                <w:color w:val="auto"/>
              </w:rPr>
            </w:pPr>
          </w:p>
        </w:tc>
        <w:tc>
          <w:tcPr>
            <w:tcW w:w="2940" w:type="dxa"/>
            <w:vAlign w:val="bottom"/>
            <w:shd w:val="clear" w:color="auto" w:fill="424E6A"/>
          </w:tcPr>
          <w:p>
            <w:pPr>
              <w:spacing w:after="0"/>
              <w:rPr>
                <w:sz w:val="21"/>
                <w:szCs w:val="21"/>
                <w:color w:val="auto"/>
              </w:rPr>
            </w:pPr>
          </w:p>
        </w:tc>
        <w:tc>
          <w:tcPr>
            <w:tcW w:w="2120" w:type="dxa"/>
            <w:vAlign w:val="bottom"/>
            <w:tcBorders>
              <w:right w:val="single" w:sz="8" w:color="424E6A"/>
            </w:tcBorders>
            <w:shd w:val="clear" w:color="auto" w:fill="424E6A"/>
          </w:tcPr>
          <w:p>
            <w:pPr>
              <w:spacing w:after="0"/>
              <w:rPr>
                <w:sz w:val="21"/>
                <w:szCs w:val="21"/>
                <w:color w:val="auto"/>
              </w:rPr>
            </w:pPr>
          </w:p>
        </w:tc>
        <w:tc>
          <w:tcPr>
            <w:tcW w:w="140" w:type="dxa"/>
            <w:vAlign w:val="bottom"/>
            <w:shd w:val="clear" w:color="auto" w:fill="424E6A"/>
          </w:tcPr>
          <w:p>
            <w:pPr>
              <w:spacing w:after="0"/>
              <w:rPr>
                <w:sz w:val="21"/>
                <w:szCs w:val="21"/>
                <w:color w:val="auto"/>
              </w:rPr>
            </w:pPr>
          </w:p>
        </w:tc>
        <w:tc>
          <w:tcPr>
            <w:tcW w:w="2260" w:type="dxa"/>
            <w:vAlign w:val="bottom"/>
            <w:gridSpan w:val="4"/>
            <w:shd w:val="clear" w:color="auto" w:fill="424E6A"/>
          </w:tcPr>
          <w:p>
            <w:pPr>
              <w:jc w:val="center"/>
              <w:ind w:right="14"/>
              <w:spacing w:after="0"/>
              <w:rPr>
                <w:sz w:val="20"/>
                <w:szCs w:val="20"/>
                <w:color w:val="auto"/>
              </w:rPr>
            </w:pPr>
            <w:r>
              <w:rPr>
                <w:rFonts w:ascii="Arial" w:cs="Arial" w:eastAsia="Arial" w:hAnsi="Arial"/>
                <w:sz w:val="14"/>
                <w:szCs w:val="14"/>
                <w:b w:val="1"/>
                <w:bCs w:val="1"/>
                <w:color w:val="FFFFFF"/>
              </w:rPr>
              <w:t>Number of LTIP Awards Held</w:t>
            </w:r>
          </w:p>
        </w:tc>
        <w:tc>
          <w:tcPr>
            <w:tcW w:w="240" w:type="dxa"/>
            <w:vAlign w:val="bottom"/>
            <w:tcBorders>
              <w:right w:val="single" w:sz="8" w:color="424E6A"/>
            </w:tcBorders>
            <w:shd w:val="clear" w:color="auto" w:fill="424E6A"/>
          </w:tcPr>
          <w:p>
            <w:pPr>
              <w:spacing w:after="0"/>
              <w:rPr>
                <w:sz w:val="21"/>
                <w:szCs w:val="21"/>
                <w:color w:val="auto"/>
              </w:rPr>
            </w:pPr>
          </w:p>
        </w:tc>
      </w:tr>
      <w:tr>
        <w:trPr>
          <w:trHeight w:val="171"/>
        </w:trPr>
        <w:tc>
          <w:tcPr>
            <w:tcW w:w="160" w:type="dxa"/>
            <w:vAlign w:val="bottom"/>
            <w:tcBorders>
              <w:lef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w:t>
            </w:r>
          </w:p>
        </w:tc>
        <w:tc>
          <w:tcPr>
            <w:tcW w:w="2940" w:type="dxa"/>
            <w:vAlign w:val="bottom"/>
            <w:shd w:val="clear" w:color="auto" w:fill="424E6A"/>
          </w:tcPr>
          <w:p>
            <w:pPr>
              <w:spacing w:after="0"/>
              <w:rPr>
                <w:sz w:val="14"/>
                <w:szCs w:val="14"/>
                <w:color w:val="auto"/>
              </w:rPr>
            </w:pPr>
          </w:p>
        </w:tc>
        <w:tc>
          <w:tcPr>
            <w:tcW w:w="2260" w:type="dxa"/>
            <w:vAlign w:val="bottom"/>
            <w:gridSpan w:val="2"/>
            <w:shd w:val="clear" w:color="auto" w:fill="424E6A"/>
          </w:tcPr>
          <w:p>
            <w:pPr>
              <w:ind w:left="2000"/>
              <w:spacing w:after="0"/>
              <w:rPr>
                <w:sz w:val="20"/>
                <w:szCs w:val="20"/>
                <w:color w:val="auto"/>
              </w:rPr>
            </w:pPr>
            <w:r>
              <w:rPr>
                <w:rFonts w:ascii="Arial" w:cs="Arial" w:eastAsia="Arial" w:hAnsi="Arial"/>
                <w:sz w:val="14"/>
                <w:szCs w:val="14"/>
                <w:b w:val="1"/>
                <w:bCs w:val="1"/>
                <w:color w:val="FFFFFF"/>
              </w:rPr>
              <w:t>​ ​</w:t>
            </w:r>
          </w:p>
        </w:tc>
        <w:tc>
          <w:tcPr>
            <w:tcW w:w="2260" w:type="dxa"/>
            <w:vAlign w:val="bottom"/>
            <w:gridSpan w:val="4"/>
            <w:shd w:val="clear" w:color="auto" w:fill="424E6A"/>
          </w:tcPr>
          <w:p>
            <w:pPr>
              <w:jc w:val="center"/>
              <w:spacing w:after="0"/>
              <w:rPr>
                <w:sz w:val="20"/>
                <w:szCs w:val="20"/>
                <w:color w:val="auto"/>
              </w:rPr>
            </w:pPr>
            <w:r>
              <w:rPr>
                <w:rFonts w:ascii="Arial" w:cs="Arial" w:eastAsia="Arial" w:hAnsi="Arial"/>
                <w:sz w:val="14"/>
                <w:szCs w:val="14"/>
                <w:b w:val="1"/>
                <w:bCs w:val="1"/>
                <w:color w:val="FFFFFF"/>
              </w:rPr>
              <w:t>as of December 31, 2022</w:t>
            </w:r>
          </w:p>
        </w:tc>
        <w:tc>
          <w:tcPr>
            <w:tcW w:w="240" w:type="dxa"/>
            <w:vAlign w:val="bottom"/>
            <w:tcBorders>
              <w:right w:val="single" w:sz="8" w:color="424E6A"/>
            </w:tcBorders>
            <w:shd w:val="clear" w:color="auto" w:fill="424E6A"/>
          </w:tcPr>
          <w:p>
            <w:pPr>
              <w:spacing w:after="0"/>
              <w:rPr>
                <w:sz w:val="20"/>
                <w:szCs w:val="20"/>
                <w:color w:val="auto"/>
              </w:rPr>
            </w:pPr>
            <w:r>
              <w:rPr>
                <w:rFonts w:ascii="Arial" w:cs="Arial" w:eastAsia="Arial" w:hAnsi="Arial"/>
                <w:sz w:val="14"/>
                <w:szCs w:val="14"/>
                <w:b w:val="1"/>
                <w:bCs w:val="1"/>
                <w:color w:val="FFFFFF"/>
              </w:rPr>
              <w:t>​</w:t>
            </w:r>
          </w:p>
        </w:tc>
      </w:tr>
      <w:tr>
        <w:trPr>
          <w:trHeight w:val="160"/>
        </w:trPr>
        <w:tc>
          <w:tcPr>
            <w:tcW w:w="160" w:type="dxa"/>
            <w:vAlign w:val="bottom"/>
            <w:tcBorders>
              <w:top w:val="single" w:sz="8" w:color="424E6A"/>
              <w:left w:val="single" w:sz="8" w:color="424E6A"/>
            </w:tcBorders>
            <w:shd w:val="clear" w:color="auto" w:fill="424E6A"/>
          </w:tcPr>
          <w:p>
            <w:pPr>
              <w:spacing w:after="0"/>
              <w:rPr>
                <w:sz w:val="13"/>
                <w:szCs w:val="13"/>
                <w:color w:val="auto"/>
              </w:rPr>
            </w:pPr>
          </w:p>
        </w:tc>
        <w:tc>
          <w:tcPr>
            <w:tcW w:w="2940" w:type="dxa"/>
            <w:vAlign w:val="bottom"/>
            <w:tcBorders>
              <w:top w:val="single" w:sz="8" w:color="424E6A"/>
            </w:tcBorders>
            <w:shd w:val="clear" w:color="auto" w:fill="424E6A"/>
          </w:tcPr>
          <w:p>
            <w:pPr>
              <w:spacing w:after="0"/>
              <w:rPr>
                <w:sz w:val="13"/>
                <w:szCs w:val="13"/>
                <w:color w:val="auto"/>
              </w:rPr>
            </w:pPr>
          </w:p>
        </w:tc>
        <w:tc>
          <w:tcPr>
            <w:tcW w:w="2120" w:type="dxa"/>
            <w:vAlign w:val="bottom"/>
            <w:tcBorders>
              <w:top w:val="single" w:sz="8" w:color="424E6A"/>
              <w:right w:val="single" w:sz="8" w:color="424E6A"/>
            </w:tcBorders>
            <w:shd w:val="clear" w:color="auto" w:fill="424E6A"/>
          </w:tcPr>
          <w:p>
            <w:pPr>
              <w:spacing w:after="0"/>
              <w:rPr>
                <w:sz w:val="13"/>
                <w:szCs w:val="13"/>
                <w:color w:val="auto"/>
              </w:rPr>
            </w:pPr>
          </w:p>
        </w:tc>
        <w:tc>
          <w:tcPr>
            <w:tcW w:w="140" w:type="dxa"/>
            <w:vAlign w:val="bottom"/>
            <w:tcBorders>
              <w:top w:val="single" w:sz="8" w:color="auto"/>
            </w:tcBorders>
            <w:shd w:val="clear" w:color="auto" w:fill="424E6A"/>
          </w:tcPr>
          <w:p>
            <w:pPr>
              <w:spacing w:after="0"/>
              <w:rPr>
                <w:sz w:val="13"/>
                <w:szCs w:val="13"/>
                <w:color w:val="auto"/>
              </w:rPr>
            </w:pPr>
          </w:p>
        </w:tc>
        <w:tc>
          <w:tcPr>
            <w:tcW w:w="740" w:type="dxa"/>
            <w:vAlign w:val="bottom"/>
            <w:tcBorders>
              <w:top w:val="single" w:sz="8" w:color="auto"/>
            </w:tcBorders>
            <w:shd w:val="clear" w:color="auto" w:fill="424E6A"/>
          </w:tcPr>
          <w:p>
            <w:pPr>
              <w:jc w:val="center"/>
              <w:spacing w:after="0" w:line="160" w:lineRule="exact"/>
              <w:rPr>
                <w:sz w:val="20"/>
                <w:szCs w:val="20"/>
                <w:color w:val="auto"/>
              </w:rPr>
            </w:pPr>
            <w:r>
              <w:rPr>
                <w:rFonts w:ascii="Arial" w:cs="Arial" w:eastAsia="Arial" w:hAnsi="Arial"/>
                <w:sz w:val="14"/>
                <w:szCs w:val="14"/>
                <w:b w:val="1"/>
                <w:bCs w:val="1"/>
                <w:color w:val="FFFFFF"/>
              </w:rPr>
              <w:t>PAGP</w:t>
            </w:r>
          </w:p>
        </w:tc>
        <w:tc>
          <w:tcPr>
            <w:tcW w:w="300" w:type="dxa"/>
            <w:vAlign w:val="bottom"/>
            <w:tcBorders>
              <w:top w:val="single" w:sz="8" w:color="auto"/>
              <w:right w:val="single" w:sz="8" w:color="424E6A"/>
            </w:tcBorders>
            <w:shd w:val="clear" w:color="auto" w:fill="424E6A"/>
          </w:tcPr>
          <w:p>
            <w:pPr>
              <w:spacing w:after="0"/>
              <w:rPr>
                <w:sz w:val="13"/>
                <w:szCs w:val="13"/>
                <w:color w:val="auto"/>
              </w:rPr>
            </w:pPr>
          </w:p>
        </w:tc>
        <w:tc>
          <w:tcPr>
            <w:tcW w:w="300" w:type="dxa"/>
            <w:vAlign w:val="bottom"/>
            <w:tcBorders>
              <w:top w:val="single" w:sz="8" w:color="auto"/>
            </w:tcBorders>
            <w:shd w:val="clear" w:color="auto" w:fill="424E6A"/>
          </w:tcPr>
          <w:p>
            <w:pPr>
              <w:spacing w:after="0"/>
              <w:rPr>
                <w:sz w:val="13"/>
                <w:szCs w:val="13"/>
                <w:color w:val="auto"/>
              </w:rPr>
            </w:pPr>
          </w:p>
        </w:tc>
        <w:tc>
          <w:tcPr>
            <w:tcW w:w="920" w:type="dxa"/>
            <w:vAlign w:val="bottom"/>
            <w:tcBorders>
              <w:top w:val="single" w:sz="8" w:color="auto"/>
            </w:tcBorders>
            <w:shd w:val="clear" w:color="auto" w:fill="424E6A"/>
          </w:tcPr>
          <w:p>
            <w:pPr>
              <w:spacing w:after="0"/>
              <w:rPr>
                <w:sz w:val="13"/>
                <w:szCs w:val="13"/>
                <w:color w:val="auto"/>
              </w:rPr>
            </w:pPr>
          </w:p>
        </w:tc>
        <w:tc>
          <w:tcPr>
            <w:tcW w:w="240" w:type="dxa"/>
            <w:vAlign w:val="bottom"/>
            <w:tcBorders>
              <w:top w:val="single" w:sz="8" w:color="auto"/>
              <w:right w:val="single" w:sz="8" w:color="424E6A"/>
            </w:tcBorders>
            <w:shd w:val="clear" w:color="auto" w:fill="424E6A"/>
          </w:tcPr>
          <w:p>
            <w:pPr>
              <w:spacing w:after="0"/>
              <w:rPr>
                <w:sz w:val="13"/>
                <w:szCs w:val="13"/>
                <w:color w:val="auto"/>
              </w:rPr>
            </w:pPr>
          </w:p>
        </w:tc>
      </w:tr>
      <w:tr>
        <w:trPr>
          <w:trHeight w:val="162"/>
        </w:trPr>
        <w:tc>
          <w:tcPr>
            <w:tcW w:w="160" w:type="dxa"/>
            <w:vAlign w:val="bottom"/>
            <w:tcBorders>
              <w:left w:val="single" w:sz="8" w:color="424E6A"/>
            </w:tcBorders>
            <w:shd w:val="clear" w:color="auto" w:fill="424E6A"/>
          </w:tcPr>
          <w:p>
            <w:pPr>
              <w:spacing w:after="0"/>
              <w:rPr>
                <w:sz w:val="14"/>
                <w:szCs w:val="14"/>
                <w:color w:val="auto"/>
              </w:rPr>
            </w:pPr>
          </w:p>
        </w:tc>
        <w:tc>
          <w:tcPr>
            <w:tcW w:w="2940" w:type="dxa"/>
            <w:vAlign w:val="bottom"/>
            <w:shd w:val="clear" w:color="auto" w:fill="424E6A"/>
          </w:tcPr>
          <w:p>
            <w:pPr>
              <w:spacing w:after="0"/>
              <w:rPr>
                <w:sz w:val="14"/>
                <w:szCs w:val="14"/>
                <w:color w:val="auto"/>
              </w:rPr>
            </w:pPr>
          </w:p>
        </w:tc>
        <w:tc>
          <w:tcPr>
            <w:tcW w:w="212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7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Phantom</w:t>
            </w:r>
          </w:p>
        </w:tc>
        <w:tc>
          <w:tcPr>
            <w:tcW w:w="300" w:type="dxa"/>
            <w:vAlign w:val="bottom"/>
            <w:tcBorders>
              <w:right w:val="single" w:sz="8" w:color="424E6A"/>
            </w:tcBorders>
            <w:shd w:val="clear" w:color="auto" w:fill="424E6A"/>
          </w:tcPr>
          <w:p>
            <w:pPr>
              <w:spacing w:after="0"/>
              <w:rPr>
                <w:sz w:val="14"/>
                <w:szCs w:val="14"/>
                <w:color w:val="auto"/>
              </w:rPr>
            </w:pPr>
          </w:p>
        </w:tc>
        <w:tc>
          <w:tcPr>
            <w:tcW w:w="300" w:type="dxa"/>
            <w:vAlign w:val="bottom"/>
            <w:shd w:val="clear" w:color="auto" w:fill="424E6A"/>
          </w:tcPr>
          <w:p>
            <w:pPr>
              <w:spacing w:after="0"/>
              <w:rPr>
                <w:sz w:val="14"/>
                <w:szCs w:val="14"/>
                <w:color w:val="auto"/>
              </w:rPr>
            </w:pPr>
          </w:p>
        </w:tc>
        <w:tc>
          <w:tcPr>
            <w:tcW w:w="92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r>
      <w:tr>
        <w:trPr>
          <w:trHeight w:val="162"/>
        </w:trPr>
        <w:tc>
          <w:tcPr>
            <w:tcW w:w="160" w:type="dxa"/>
            <w:vAlign w:val="bottom"/>
            <w:tcBorders>
              <w:left w:val="single" w:sz="8" w:color="424E6A"/>
            </w:tcBorders>
            <w:shd w:val="clear" w:color="auto" w:fill="424E6A"/>
          </w:tcPr>
          <w:p>
            <w:pPr>
              <w:spacing w:after="0"/>
              <w:rPr>
                <w:sz w:val="14"/>
                <w:szCs w:val="14"/>
                <w:color w:val="auto"/>
              </w:rPr>
            </w:pPr>
          </w:p>
        </w:tc>
        <w:tc>
          <w:tcPr>
            <w:tcW w:w="2940" w:type="dxa"/>
            <w:vAlign w:val="bottom"/>
            <w:shd w:val="clear" w:color="auto" w:fill="424E6A"/>
          </w:tcPr>
          <w:p>
            <w:pPr>
              <w:spacing w:after="0"/>
              <w:rPr>
                <w:sz w:val="14"/>
                <w:szCs w:val="14"/>
                <w:color w:val="auto"/>
              </w:rPr>
            </w:pPr>
          </w:p>
        </w:tc>
        <w:tc>
          <w:tcPr>
            <w:tcW w:w="212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7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Class A</w:t>
            </w:r>
          </w:p>
        </w:tc>
        <w:tc>
          <w:tcPr>
            <w:tcW w:w="300" w:type="dxa"/>
            <w:vAlign w:val="bottom"/>
            <w:tcBorders>
              <w:right w:val="single" w:sz="8" w:color="424E6A"/>
            </w:tcBorders>
            <w:shd w:val="clear" w:color="auto" w:fill="424E6A"/>
          </w:tcPr>
          <w:p>
            <w:pPr>
              <w:spacing w:after="0"/>
              <w:rPr>
                <w:sz w:val="14"/>
                <w:szCs w:val="14"/>
                <w:color w:val="auto"/>
              </w:rPr>
            </w:pPr>
          </w:p>
        </w:tc>
        <w:tc>
          <w:tcPr>
            <w:tcW w:w="300" w:type="dxa"/>
            <w:vAlign w:val="bottom"/>
            <w:shd w:val="clear" w:color="auto" w:fill="424E6A"/>
          </w:tcPr>
          <w:p>
            <w:pPr>
              <w:spacing w:after="0"/>
              <w:rPr>
                <w:sz w:val="14"/>
                <w:szCs w:val="14"/>
                <w:color w:val="auto"/>
              </w:rPr>
            </w:pPr>
          </w:p>
        </w:tc>
        <w:tc>
          <w:tcPr>
            <w:tcW w:w="920" w:type="dxa"/>
            <w:vAlign w:val="bottom"/>
            <w:shd w:val="clear" w:color="auto" w:fill="424E6A"/>
          </w:tcPr>
          <w:p>
            <w:pPr>
              <w:ind w:left="140"/>
              <w:spacing w:after="0"/>
              <w:rPr>
                <w:sz w:val="20"/>
                <w:szCs w:val="20"/>
                <w:color w:val="auto"/>
              </w:rPr>
            </w:pPr>
            <w:r>
              <w:rPr>
                <w:rFonts w:ascii="Arial" w:cs="Arial" w:eastAsia="Arial" w:hAnsi="Arial"/>
                <w:sz w:val="14"/>
                <w:szCs w:val="14"/>
                <w:b w:val="1"/>
                <w:bCs w:val="1"/>
                <w:color w:val="FFFFFF"/>
              </w:rPr>
              <w:t>Vesting</w:t>
            </w:r>
          </w:p>
        </w:tc>
        <w:tc>
          <w:tcPr>
            <w:tcW w:w="240" w:type="dxa"/>
            <w:vAlign w:val="bottom"/>
            <w:tcBorders>
              <w:right w:val="single" w:sz="8" w:color="424E6A"/>
            </w:tcBorders>
            <w:shd w:val="clear" w:color="auto" w:fill="424E6A"/>
          </w:tcPr>
          <w:p>
            <w:pPr>
              <w:spacing w:after="0"/>
              <w:rPr>
                <w:sz w:val="14"/>
                <w:szCs w:val="14"/>
                <w:color w:val="auto"/>
              </w:rPr>
            </w:pPr>
          </w:p>
        </w:tc>
      </w:tr>
      <w:tr>
        <w:trPr>
          <w:trHeight w:val="185"/>
        </w:trPr>
        <w:tc>
          <w:tcPr>
            <w:tcW w:w="3100" w:type="dxa"/>
            <w:vAlign w:val="bottom"/>
            <w:tcBorders>
              <w:left w:val="single" w:sz="8" w:color="424E6A"/>
            </w:tcBorders>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​Director Name:</w:t>
            </w:r>
          </w:p>
        </w:tc>
        <w:tc>
          <w:tcPr>
            <w:tcW w:w="2260" w:type="dxa"/>
            <w:vAlign w:val="bottom"/>
            <w:gridSpan w:val="2"/>
            <w:shd w:val="clear" w:color="auto" w:fill="424E6A"/>
          </w:tcPr>
          <w:p>
            <w:pPr>
              <w:ind w:left="2060"/>
              <w:spacing w:after="0"/>
              <w:rPr>
                <w:sz w:val="20"/>
                <w:szCs w:val="20"/>
                <w:color w:val="auto"/>
              </w:rPr>
            </w:pPr>
            <w:r>
              <w:rPr>
                <w:rFonts w:ascii="Arial" w:cs="Arial" w:eastAsia="Arial" w:hAnsi="Arial"/>
                <w:sz w:val="14"/>
                <w:szCs w:val="14"/>
                <w:b w:val="1"/>
                <w:bCs w:val="1"/>
                <w:color w:val="FFFFFF"/>
              </w:rPr>
              <w:t>​ ​</w:t>
            </w:r>
          </w:p>
        </w:tc>
        <w:tc>
          <w:tcPr>
            <w:tcW w:w="7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Shares</w:t>
            </w:r>
          </w:p>
        </w:tc>
        <w:tc>
          <w:tcPr>
            <w:tcW w:w="30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shd w:val="clear" w:color="auto" w:fill="424E6A"/>
          </w:tcPr>
          <w:p>
            <w:pPr>
              <w:ind w:left="100"/>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424E6A"/>
          </w:tcPr>
          <w:p>
            <w:pPr>
              <w:jc w:val="center"/>
              <w:ind w:right="14"/>
              <w:spacing w:after="0"/>
              <w:rPr>
                <w:sz w:val="20"/>
                <w:szCs w:val="20"/>
                <w:color w:val="auto"/>
              </w:rPr>
            </w:pPr>
            <w:r>
              <w:rPr>
                <w:rFonts w:ascii="Arial" w:cs="Arial" w:eastAsia="Arial" w:hAnsi="Arial"/>
                <w:sz w:val="14"/>
                <w:szCs w:val="14"/>
                <w:b w:val="1"/>
                <w:bCs w:val="1"/>
                <w:color w:val="FFFFFF"/>
                <w:w w:val="98"/>
              </w:rPr>
              <w:t>Date</w:t>
            </w:r>
          </w:p>
        </w:tc>
        <w:tc>
          <w:tcPr>
            <w:tcW w:w="240" w:type="dxa"/>
            <w:vAlign w:val="bottom"/>
            <w:tcBorders>
              <w:right w:val="single" w:sz="8" w:color="424E6A"/>
            </w:tcBorders>
            <w:shd w:val="clear" w:color="auto" w:fill="424E6A"/>
          </w:tcPr>
          <w:p>
            <w:pPr>
              <w:ind w:left="100"/>
              <w:spacing w:after="0"/>
              <w:rPr>
                <w:sz w:val="20"/>
                <w:szCs w:val="20"/>
                <w:color w:val="auto"/>
              </w:rPr>
            </w:pPr>
            <w:r>
              <w:rPr>
                <w:rFonts w:ascii="Arial" w:cs="Arial" w:eastAsia="Arial" w:hAnsi="Arial"/>
                <w:sz w:val="14"/>
                <w:szCs w:val="14"/>
                <w:b w:val="1"/>
                <w:bCs w:val="1"/>
                <w:color w:val="FFFFFF"/>
              </w:rPr>
              <w:t>​</w:t>
            </w:r>
          </w:p>
        </w:tc>
      </w:tr>
      <w:tr>
        <w:trPr>
          <w:trHeight w:val="216"/>
        </w:trPr>
        <w:tc>
          <w:tcPr>
            <w:tcW w:w="310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​Burk</w:t>
            </w: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5,220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2023</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10"/>
        </w:trPr>
        <w:tc>
          <w:tcPr>
            <w:tcW w:w="160" w:type="dxa"/>
            <w:vAlign w:val="bottom"/>
            <w:tcBorders>
              <w:left w:val="single" w:sz="8" w:color="424E6A"/>
              <w:bottom w:val="single" w:sz="8" w:color="424E6A"/>
            </w:tcBorders>
          </w:tcPr>
          <w:p>
            <w:pPr>
              <w:ind w:left="4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4"/>
                <w:szCs w:val="14"/>
                <w:color w:val="auto"/>
              </w:rPr>
              <w:t>​</w:t>
            </w:r>
          </w:p>
        </w:tc>
        <w:tc>
          <w:tcPr>
            <w:tcW w:w="2940" w:type="dxa"/>
            <w:vAlign w:val="bottom"/>
            <w:tcBorders>
              <w:bottom w:val="single" w:sz="8" w:color="424E6A"/>
            </w:tcBorders>
          </w:tcPr>
          <w:p>
            <w:pPr>
              <w:spacing w:after="0"/>
              <w:rPr>
                <w:sz w:val="18"/>
                <w:szCs w:val="18"/>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2024</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09"/>
        </w:trPr>
        <w:tc>
          <w:tcPr>
            <w:tcW w:w="160" w:type="dxa"/>
            <w:vAlign w:val="bottom"/>
            <w:tcBorders>
              <w:left w:val="single" w:sz="8" w:color="424E6A"/>
              <w:bottom w:val="single" w:sz="8" w:color="424E6A"/>
            </w:tcBorders>
          </w:tcPr>
          <w:p>
            <w:pPr>
              <w:ind w:left="40"/>
              <w:spacing w:after="0" w:line="210" w:lineRule="exact"/>
              <w:rPr>
                <w:sz w:val="20"/>
                <w:szCs w:val="20"/>
                <w:color w:val="auto"/>
              </w:rPr>
            </w:pPr>
            <w:r>
              <w:rPr>
                <w:rFonts w:ascii="Arial" w:cs="Arial" w:eastAsia="Arial" w:hAnsi="Arial"/>
                <w:sz w:val="14"/>
                <w:szCs w:val="14"/>
                <w:color w:val="auto"/>
              </w:rPr>
              <w:t>​</w:t>
            </w:r>
            <w:r>
              <w:rPr>
                <w:rFonts w:ascii="Arial" w:cs="Arial" w:eastAsia="Arial" w:hAnsi="Arial"/>
                <w:sz w:val="24"/>
                <w:szCs w:val="24"/>
                <w:color w:val="auto"/>
                <w:vertAlign w:val="superscript"/>
              </w:rPr>
              <w:t>​</w:t>
            </w:r>
          </w:p>
        </w:tc>
        <w:tc>
          <w:tcPr>
            <w:tcW w:w="2940" w:type="dxa"/>
            <w:vAlign w:val="bottom"/>
            <w:tcBorders>
              <w:bottom w:val="single" w:sz="8" w:color="424E6A"/>
            </w:tcBorders>
          </w:tcPr>
          <w:p>
            <w:pPr>
              <w:spacing w:after="0"/>
              <w:rPr>
                <w:sz w:val="18"/>
                <w:szCs w:val="18"/>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09"/>
        </w:trPr>
        <w:tc>
          <w:tcPr>
            <w:tcW w:w="160" w:type="dxa"/>
            <w:vAlign w:val="bottom"/>
            <w:tcBorders>
              <w:left w:val="single" w:sz="8" w:color="424E6A"/>
              <w:bottom w:val="single" w:sz="8" w:color="424E6A"/>
            </w:tcBorders>
          </w:tcPr>
          <w:p>
            <w:pPr>
              <w:ind w:left="40"/>
              <w:spacing w:after="0" w:line="210" w:lineRule="exact"/>
              <w:rPr>
                <w:sz w:val="20"/>
                <w:szCs w:val="20"/>
                <w:color w:val="auto"/>
              </w:rPr>
            </w:pPr>
            <w:r>
              <w:rPr>
                <w:rFonts w:ascii="Arial" w:cs="Arial" w:eastAsia="Arial" w:hAnsi="Arial"/>
                <w:sz w:val="14"/>
                <w:szCs w:val="14"/>
                <w:color w:val="auto"/>
              </w:rPr>
              <w:t>​</w:t>
            </w:r>
            <w:r>
              <w:rPr>
                <w:rFonts w:ascii="Arial" w:cs="Arial" w:eastAsia="Arial" w:hAnsi="Arial"/>
                <w:sz w:val="24"/>
                <w:szCs w:val="24"/>
                <w:color w:val="auto"/>
                <w:vertAlign w:val="superscript"/>
              </w:rPr>
              <w:t>​</w:t>
            </w:r>
          </w:p>
        </w:tc>
        <w:tc>
          <w:tcPr>
            <w:tcW w:w="2940" w:type="dxa"/>
            <w:vAlign w:val="bottom"/>
            <w:tcBorders>
              <w:bottom w:val="single" w:sz="8" w:color="424E6A"/>
            </w:tcBorders>
          </w:tcPr>
          <w:p>
            <w:pPr>
              <w:spacing w:after="0"/>
              <w:rPr>
                <w:sz w:val="18"/>
                <w:szCs w:val="18"/>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11,400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2023</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09"/>
        </w:trPr>
        <w:tc>
          <w:tcPr>
            <w:tcW w:w="16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8"/>
                <w:szCs w:val="18"/>
                <w:b w:val="1"/>
                <w:bCs w:val="1"/>
                <w:color w:val="auto"/>
              </w:rPr>
              <w:t>Total</w:t>
            </w:r>
          </w:p>
        </w:tc>
        <w:tc>
          <w:tcPr>
            <w:tcW w:w="2120" w:type="dxa"/>
            <w:vAlign w:val="bottom"/>
            <w:tcBorders>
              <w:bottom w:val="single" w:sz="8" w:color="424E6A"/>
              <w:right w:val="single" w:sz="8" w:color="424E6A"/>
            </w:tcBorders>
            <w:shd w:val="clear" w:color="auto" w:fill="D9DCE1"/>
          </w:tcPr>
          <w:p>
            <w:pPr>
              <w:ind w:left="20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​43,810</w:t>
            </w: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 ​</w:t>
            </w:r>
          </w:p>
        </w:tc>
        <w:tc>
          <w:tcPr>
            <w:tcW w:w="30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424E6A"/>
              <w:right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r>
      <w:tr>
        <w:trPr>
          <w:trHeight w:val="210"/>
        </w:trPr>
        <w:tc>
          <w:tcPr>
            <w:tcW w:w="310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​DeSanctis</w:t>
            </w: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11,400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2023</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10"/>
        </w:trPr>
        <w:tc>
          <w:tcPr>
            <w:tcW w:w="16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8"/>
                <w:szCs w:val="18"/>
                <w:b w:val="1"/>
                <w:bCs w:val="1"/>
                <w:color w:val="auto"/>
              </w:rPr>
              <w:t>Total</w:t>
            </w:r>
          </w:p>
        </w:tc>
        <w:tc>
          <w:tcPr>
            <w:tcW w:w="2120" w:type="dxa"/>
            <w:vAlign w:val="bottom"/>
            <w:tcBorders>
              <w:bottom w:val="single" w:sz="8" w:color="424E6A"/>
              <w:right w:val="single" w:sz="8" w:color="424E6A"/>
            </w:tcBorders>
            <w:shd w:val="clear" w:color="auto" w:fill="D9DCE1"/>
          </w:tcPr>
          <w:p>
            <w:pPr>
              <w:ind w:left="20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​11,400</w:t>
            </w: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 ​</w:t>
            </w:r>
          </w:p>
        </w:tc>
        <w:tc>
          <w:tcPr>
            <w:tcW w:w="30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424E6A"/>
              <w:right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r>
      <w:tr>
        <w:trPr>
          <w:trHeight w:val="209"/>
        </w:trPr>
        <w:tc>
          <w:tcPr>
            <w:tcW w:w="310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​McCarthy</w:t>
            </w: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10,622</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2024</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09"/>
        </w:trPr>
        <w:tc>
          <w:tcPr>
            <w:tcW w:w="160" w:type="dxa"/>
            <w:vAlign w:val="bottom"/>
            <w:tcBorders>
              <w:left w:val="single" w:sz="8" w:color="424E6A"/>
              <w:bottom w:val="single" w:sz="8" w:color="424E6A"/>
            </w:tcBorders>
          </w:tcPr>
          <w:p>
            <w:pPr>
              <w:ind w:left="40"/>
              <w:spacing w:after="0" w:line="210" w:lineRule="exact"/>
              <w:rPr>
                <w:sz w:val="20"/>
                <w:szCs w:val="20"/>
                <w:color w:val="auto"/>
              </w:rPr>
            </w:pPr>
            <w:r>
              <w:rPr>
                <w:rFonts w:ascii="Arial" w:cs="Arial" w:eastAsia="Arial" w:hAnsi="Arial"/>
                <w:sz w:val="14"/>
                <w:szCs w:val="14"/>
                <w:color w:val="auto"/>
              </w:rPr>
              <w:t>​</w:t>
            </w:r>
            <w:r>
              <w:rPr>
                <w:rFonts w:ascii="Arial" w:cs="Arial" w:eastAsia="Arial" w:hAnsi="Arial"/>
                <w:sz w:val="24"/>
                <w:szCs w:val="24"/>
                <w:color w:val="auto"/>
                <w:vertAlign w:val="superscript"/>
              </w:rPr>
              <w:t>​</w:t>
            </w:r>
          </w:p>
        </w:tc>
        <w:tc>
          <w:tcPr>
            <w:tcW w:w="2940" w:type="dxa"/>
            <w:vAlign w:val="bottom"/>
            <w:tcBorders>
              <w:bottom w:val="single" w:sz="8" w:color="424E6A"/>
            </w:tcBorders>
          </w:tcPr>
          <w:p>
            <w:pPr>
              <w:spacing w:after="0"/>
              <w:rPr>
                <w:sz w:val="18"/>
                <w:szCs w:val="18"/>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10"/>
        </w:trPr>
        <w:tc>
          <w:tcPr>
            <w:tcW w:w="160" w:type="dxa"/>
            <w:vAlign w:val="bottom"/>
            <w:tcBorders>
              <w:left w:val="single" w:sz="8" w:color="424E6A"/>
              <w:bottom w:val="single" w:sz="8" w:color="424E6A"/>
            </w:tcBorders>
          </w:tcPr>
          <w:p>
            <w:pPr>
              <w:ind w:left="40"/>
              <w:spacing w:after="0" w:line="210" w:lineRule="exact"/>
              <w:rPr>
                <w:sz w:val="20"/>
                <w:szCs w:val="20"/>
                <w:color w:val="auto"/>
              </w:rPr>
            </w:pPr>
            <w:r>
              <w:rPr>
                <w:rFonts w:ascii="Arial" w:cs="Arial" w:eastAsia="Arial" w:hAnsi="Arial"/>
                <w:sz w:val="14"/>
                <w:szCs w:val="14"/>
                <w:color w:val="auto"/>
              </w:rPr>
              <w:t>​</w:t>
            </w:r>
            <w:r>
              <w:rPr>
                <w:rFonts w:ascii="Arial" w:cs="Arial" w:eastAsia="Arial" w:hAnsi="Arial"/>
                <w:sz w:val="24"/>
                <w:szCs w:val="24"/>
                <w:color w:val="auto"/>
                <w:vertAlign w:val="superscript"/>
              </w:rPr>
              <w:t>​</w:t>
            </w:r>
          </w:p>
        </w:tc>
        <w:tc>
          <w:tcPr>
            <w:tcW w:w="2940" w:type="dxa"/>
            <w:vAlign w:val="bottom"/>
            <w:tcBorders>
              <w:bottom w:val="single" w:sz="8" w:color="424E6A"/>
            </w:tcBorders>
          </w:tcPr>
          <w:p>
            <w:pPr>
              <w:spacing w:after="0"/>
              <w:rPr>
                <w:sz w:val="18"/>
                <w:szCs w:val="18"/>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11,400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2023</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09"/>
        </w:trPr>
        <w:tc>
          <w:tcPr>
            <w:tcW w:w="16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8"/>
                <w:szCs w:val="18"/>
                <w:b w:val="1"/>
                <w:bCs w:val="1"/>
                <w:color w:val="auto"/>
              </w:rPr>
              <w:t>Total</w:t>
            </w:r>
          </w:p>
        </w:tc>
        <w:tc>
          <w:tcPr>
            <w:tcW w:w="2120" w:type="dxa"/>
            <w:vAlign w:val="bottom"/>
            <w:tcBorders>
              <w:bottom w:val="single" w:sz="8" w:color="424E6A"/>
              <w:right w:val="single" w:sz="8" w:color="424E6A"/>
            </w:tcBorders>
            <w:shd w:val="clear" w:color="auto" w:fill="D9DCE1"/>
          </w:tcPr>
          <w:p>
            <w:pPr>
              <w:ind w:left="20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​33,922</w:t>
            </w: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 ​</w:t>
            </w:r>
          </w:p>
        </w:tc>
        <w:tc>
          <w:tcPr>
            <w:tcW w:w="30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424E6A"/>
              <w:right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r>
      <w:tr>
        <w:trPr>
          <w:trHeight w:val="209"/>
        </w:trPr>
        <w:tc>
          <w:tcPr>
            <w:tcW w:w="310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​Petersen</w:t>
            </w: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5,220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2023</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10"/>
        </w:trPr>
        <w:tc>
          <w:tcPr>
            <w:tcW w:w="160" w:type="dxa"/>
            <w:vAlign w:val="bottom"/>
            <w:tcBorders>
              <w:left w:val="single" w:sz="8" w:color="424E6A"/>
              <w:bottom w:val="single" w:sz="8" w:color="424E6A"/>
            </w:tcBorders>
          </w:tcPr>
          <w:p>
            <w:pPr>
              <w:ind w:left="40"/>
              <w:spacing w:after="0" w:line="210" w:lineRule="exact"/>
              <w:rPr>
                <w:sz w:val="20"/>
                <w:szCs w:val="20"/>
                <w:color w:val="auto"/>
              </w:rPr>
            </w:pPr>
            <w:r>
              <w:rPr>
                <w:rFonts w:ascii="Arial" w:cs="Arial" w:eastAsia="Arial" w:hAnsi="Arial"/>
                <w:sz w:val="14"/>
                <w:szCs w:val="14"/>
                <w:color w:val="auto"/>
              </w:rPr>
              <w:t>​</w:t>
            </w:r>
            <w:r>
              <w:rPr>
                <w:rFonts w:ascii="Arial" w:cs="Arial" w:eastAsia="Arial" w:hAnsi="Arial"/>
                <w:sz w:val="24"/>
                <w:szCs w:val="24"/>
                <w:color w:val="auto"/>
                <w:vertAlign w:val="superscript"/>
              </w:rPr>
              <w:t>​</w:t>
            </w:r>
          </w:p>
        </w:tc>
        <w:tc>
          <w:tcPr>
            <w:tcW w:w="2940" w:type="dxa"/>
            <w:vAlign w:val="bottom"/>
            <w:tcBorders>
              <w:bottom w:val="single" w:sz="8" w:color="424E6A"/>
            </w:tcBorders>
          </w:tcPr>
          <w:p>
            <w:pPr>
              <w:spacing w:after="0"/>
              <w:rPr>
                <w:sz w:val="18"/>
                <w:szCs w:val="18"/>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2024</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10"/>
        </w:trPr>
        <w:tc>
          <w:tcPr>
            <w:tcW w:w="160" w:type="dxa"/>
            <w:vAlign w:val="bottom"/>
            <w:tcBorders>
              <w:left w:val="single" w:sz="8" w:color="424E6A"/>
              <w:bottom w:val="single" w:sz="8" w:color="424E6A"/>
            </w:tcBorders>
          </w:tcPr>
          <w:p>
            <w:pPr>
              <w:ind w:left="4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4"/>
                <w:szCs w:val="14"/>
                <w:color w:val="auto"/>
              </w:rPr>
              <w:t>​</w:t>
            </w:r>
          </w:p>
        </w:tc>
        <w:tc>
          <w:tcPr>
            <w:tcW w:w="2940" w:type="dxa"/>
            <w:vAlign w:val="bottom"/>
            <w:tcBorders>
              <w:bottom w:val="single" w:sz="8" w:color="424E6A"/>
            </w:tcBorders>
          </w:tcPr>
          <w:p>
            <w:pPr>
              <w:spacing w:after="0"/>
              <w:rPr>
                <w:sz w:val="18"/>
                <w:szCs w:val="18"/>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09"/>
        </w:trPr>
        <w:tc>
          <w:tcPr>
            <w:tcW w:w="160" w:type="dxa"/>
            <w:vAlign w:val="bottom"/>
            <w:tcBorders>
              <w:left w:val="single" w:sz="8" w:color="424E6A"/>
              <w:bottom w:val="single" w:sz="8" w:color="424E6A"/>
            </w:tcBorders>
          </w:tcPr>
          <w:p>
            <w:pPr>
              <w:ind w:left="40"/>
              <w:spacing w:after="0" w:line="210" w:lineRule="exact"/>
              <w:rPr>
                <w:sz w:val="20"/>
                <w:szCs w:val="20"/>
                <w:color w:val="auto"/>
              </w:rPr>
            </w:pPr>
            <w:r>
              <w:rPr>
                <w:rFonts w:ascii="Arial" w:cs="Arial" w:eastAsia="Arial" w:hAnsi="Arial"/>
                <w:sz w:val="14"/>
                <w:szCs w:val="14"/>
                <w:color w:val="auto"/>
              </w:rPr>
              <w:t>​</w:t>
            </w:r>
            <w:r>
              <w:rPr>
                <w:rFonts w:ascii="Arial" w:cs="Arial" w:eastAsia="Arial" w:hAnsi="Arial"/>
                <w:sz w:val="24"/>
                <w:szCs w:val="24"/>
                <w:color w:val="auto"/>
                <w:vertAlign w:val="superscript"/>
              </w:rPr>
              <w:t>​</w:t>
            </w:r>
          </w:p>
        </w:tc>
        <w:tc>
          <w:tcPr>
            <w:tcW w:w="2940" w:type="dxa"/>
            <w:vAlign w:val="bottom"/>
            <w:tcBorders>
              <w:bottom w:val="single" w:sz="8" w:color="424E6A"/>
            </w:tcBorders>
          </w:tcPr>
          <w:p>
            <w:pPr>
              <w:spacing w:after="0"/>
              <w:rPr>
                <w:sz w:val="18"/>
                <w:szCs w:val="18"/>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11,400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2023</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10"/>
        </w:trPr>
        <w:tc>
          <w:tcPr>
            <w:tcW w:w="16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8"/>
                <w:szCs w:val="18"/>
                <w:b w:val="1"/>
                <w:bCs w:val="1"/>
                <w:color w:val="auto"/>
              </w:rPr>
              <w:t>Total</w:t>
            </w:r>
          </w:p>
        </w:tc>
        <w:tc>
          <w:tcPr>
            <w:tcW w:w="2120" w:type="dxa"/>
            <w:vAlign w:val="bottom"/>
            <w:tcBorders>
              <w:bottom w:val="single" w:sz="8" w:color="424E6A"/>
              <w:right w:val="single" w:sz="8" w:color="424E6A"/>
            </w:tcBorders>
            <w:shd w:val="clear" w:color="auto" w:fill="D9DCE1"/>
          </w:tcPr>
          <w:p>
            <w:pPr>
              <w:ind w:left="20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​43,810</w:t>
            </w: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 ​</w:t>
            </w:r>
          </w:p>
        </w:tc>
        <w:tc>
          <w:tcPr>
            <w:tcW w:w="30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424E6A"/>
              <w:right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r>
      <w:tr>
        <w:trPr>
          <w:trHeight w:val="210"/>
        </w:trPr>
        <w:tc>
          <w:tcPr>
            <w:tcW w:w="310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​Pruner</w:t>
            </w: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5,220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2023</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10"/>
        </w:trPr>
        <w:tc>
          <w:tcPr>
            <w:tcW w:w="160" w:type="dxa"/>
            <w:vAlign w:val="bottom"/>
            <w:tcBorders>
              <w:left w:val="single" w:sz="8" w:color="424E6A"/>
              <w:bottom w:val="single" w:sz="8" w:color="424E6A"/>
            </w:tcBorders>
          </w:tcPr>
          <w:p>
            <w:pPr>
              <w:ind w:left="40"/>
              <w:spacing w:after="0" w:line="210" w:lineRule="exact"/>
              <w:rPr>
                <w:sz w:val="20"/>
                <w:szCs w:val="20"/>
                <w:color w:val="auto"/>
              </w:rPr>
            </w:pPr>
            <w:r>
              <w:rPr>
                <w:rFonts w:ascii="Arial" w:cs="Arial" w:eastAsia="Arial" w:hAnsi="Arial"/>
                <w:sz w:val="14"/>
                <w:szCs w:val="14"/>
                <w:color w:val="auto"/>
              </w:rPr>
              <w:t>​</w:t>
            </w:r>
            <w:r>
              <w:rPr>
                <w:rFonts w:ascii="Arial" w:cs="Arial" w:eastAsia="Arial" w:hAnsi="Arial"/>
                <w:sz w:val="24"/>
                <w:szCs w:val="24"/>
                <w:color w:val="auto"/>
                <w:vertAlign w:val="superscript"/>
              </w:rPr>
              <w:t>​</w:t>
            </w:r>
          </w:p>
        </w:tc>
        <w:tc>
          <w:tcPr>
            <w:tcW w:w="2940" w:type="dxa"/>
            <w:vAlign w:val="bottom"/>
            <w:tcBorders>
              <w:bottom w:val="single" w:sz="8" w:color="424E6A"/>
            </w:tcBorders>
          </w:tcPr>
          <w:p>
            <w:pPr>
              <w:spacing w:after="0"/>
              <w:rPr>
                <w:sz w:val="18"/>
                <w:szCs w:val="18"/>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2024</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10"/>
        </w:trPr>
        <w:tc>
          <w:tcPr>
            <w:tcW w:w="160" w:type="dxa"/>
            <w:vAlign w:val="bottom"/>
            <w:tcBorders>
              <w:left w:val="single" w:sz="8" w:color="424E6A"/>
              <w:bottom w:val="single" w:sz="8" w:color="424E6A"/>
            </w:tcBorders>
          </w:tcPr>
          <w:p>
            <w:pPr>
              <w:ind w:left="4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4"/>
                <w:szCs w:val="14"/>
                <w:color w:val="auto"/>
              </w:rPr>
              <w:t>​</w:t>
            </w:r>
          </w:p>
        </w:tc>
        <w:tc>
          <w:tcPr>
            <w:tcW w:w="2940" w:type="dxa"/>
            <w:vAlign w:val="bottom"/>
            <w:tcBorders>
              <w:bottom w:val="single" w:sz="8" w:color="424E6A"/>
            </w:tcBorders>
          </w:tcPr>
          <w:p>
            <w:pPr>
              <w:spacing w:after="0"/>
              <w:rPr>
                <w:sz w:val="18"/>
                <w:szCs w:val="18"/>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09"/>
        </w:trPr>
        <w:tc>
          <w:tcPr>
            <w:tcW w:w="160" w:type="dxa"/>
            <w:vAlign w:val="bottom"/>
            <w:tcBorders>
              <w:left w:val="single" w:sz="8" w:color="424E6A"/>
              <w:bottom w:val="single" w:sz="8" w:color="424E6A"/>
            </w:tcBorders>
          </w:tcPr>
          <w:p>
            <w:pPr>
              <w:ind w:left="4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4"/>
                <w:szCs w:val="14"/>
                <w:color w:val="auto"/>
              </w:rPr>
              <w:t>​</w:t>
            </w:r>
          </w:p>
        </w:tc>
        <w:tc>
          <w:tcPr>
            <w:tcW w:w="2940" w:type="dxa"/>
            <w:vAlign w:val="bottom"/>
            <w:tcBorders>
              <w:bottom w:val="single" w:sz="8" w:color="424E6A"/>
            </w:tcBorders>
          </w:tcPr>
          <w:p>
            <w:pPr>
              <w:spacing w:after="0"/>
              <w:rPr>
                <w:sz w:val="18"/>
                <w:szCs w:val="18"/>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11,400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2023</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6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8"/>
                <w:szCs w:val="18"/>
                <w:b w:val="1"/>
                <w:bCs w:val="1"/>
                <w:color w:val="auto"/>
              </w:rPr>
              <w:t>Total</w:t>
            </w:r>
          </w:p>
        </w:tc>
        <w:tc>
          <w:tcPr>
            <w:tcW w:w="2120" w:type="dxa"/>
            <w:vAlign w:val="bottom"/>
            <w:tcBorders>
              <w:bottom w:val="single" w:sz="8" w:color="424E6A"/>
              <w:right w:val="single" w:sz="8" w:color="424E6A"/>
            </w:tcBorders>
            <w:shd w:val="clear" w:color="auto" w:fill="D9DCE1"/>
          </w:tcPr>
          <w:p>
            <w:pPr>
              <w:ind w:left="20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​43,810</w:t>
            </w: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 ​</w:t>
            </w:r>
          </w:p>
        </w:tc>
        <w:tc>
          <w:tcPr>
            <w:tcW w:w="30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424E6A"/>
              <w:right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r>
      <w:tr>
        <w:trPr>
          <w:trHeight w:val="223"/>
        </w:trPr>
        <w:tc>
          <w:tcPr>
            <w:tcW w:w="310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​Raymond</w:t>
            </w: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4,170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2023</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2940" w:type="dxa"/>
            <w:vAlign w:val="bottom"/>
            <w:tcBorders>
              <w:bottom w:val="single" w:sz="8" w:color="424E6A"/>
            </w:tcBorders>
          </w:tcPr>
          <w:p>
            <w:pPr>
              <w:spacing w:after="0"/>
              <w:rPr>
                <w:sz w:val="19"/>
                <w:szCs w:val="19"/>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2024</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color w:val="auto"/>
              </w:rPr>
              <w:t>​</w:t>
            </w:r>
          </w:p>
        </w:tc>
        <w:tc>
          <w:tcPr>
            <w:tcW w:w="2940" w:type="dxa"/>
            <w:vAlign w:val="bottom"/>
            <w:tcBorders>
              <w:bottom w:val="single" w:sz="8" w:color="424E6A"/>
            </w:tcBorders>
          </w:tcPr>
          <w:p>
            <w:pPr>
              <w:spacing w:after="0"/>
              <w:rPr>
                <w:sz w:val="19"/>
                <w:szCs w:val="19"/>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2940" w:type="dxa"/>
            <w:vAlign w:val="bottom"/>
            <w:tcBorders>
              <w:bottom w:val="single" w:sz="8" w:color="424E6A"/>
            </w:tcBorders>
          </w:tcPr>
          <w:p>
            <w:pPr>
              <w:spacing w:after="0"/>
              <w:rPr>
                <w:sz w:val="19"/>
                <w:szCs w:val="19"/>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11,400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2023</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6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8"/>
                <w:szCs w:val="18"/>
                <w:b w:val="1"/>
                <w:bCs w:val="1"/>
                <w:color w:val="auto"/>
              </w:rPr>
              <w:t>Total</w:t>
            </w:r>
          </w:p>
        </w:tc>
        <w:tc>
          <w:tcPr>
            <w:tcW w:w="2120" w:type="dxa"/>
            <w:vAlign w:val="bottom"/>
            <w:tcBorders>
              <w:bottom w:val="single" w:sz="8" w:color="424E6A"/>
              <w:right w:val="single" w:sz="8" w:color="424E6A"/>
            </w:tcBorders>
            <w:shd w:val="clear" w:color="auto" w:fill="D9DCE1"/>
          </w:tcPr>
          <w:p>
            <w:pPr>
              <w:ind w:left="20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​42,760</w:t>
            </w: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 ​</w:t>
            </w:r>
          </w:p>
        </w:tc>
        <w:tc>
          <w:tcPr>
            <w:tcW w:w="30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424E6A"/>
              <w:right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r>
      <w:tr>
        <w:trPr>
          <w:trHeight w:val="223"/>
        </w:trPr>
        <w:tc>
          <w:tcPr>
            <w:tcW w:w="310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​Shackouls</w:t>
            </w: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5,220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2023</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2940" w:type="dxa"/>
            <w:vAlign w:val="bottom"/>
            <w:tcBorders>
              <w:bottom w:val="single" w:sz="8" w:color="424E6A"/>
            </w:tcBorders>
          </w:tcPr>
          <w:p>
            <w:pPr>
              <w:spacing w:after="0"/>
              <w:rPr>
                <w:sz w:val="19"/>
                <w:szCs w:val="19"/>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2024</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2940" w:type="dxa"/>
            <w:vAlign w:val="bottom"/>
            <w:tcBorders>
              <w:bottom w:val="single" w:sz="8" w:color="424E6A"/>
            </w:tcBorders>
          </w:tcPr>
          <w:p>
            <w:pPr>
              <w:spacing w:after="0"/>
              <w:rPr>
                <w:sz w:val="19"/>
                <w:szCs w:val="19"/>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2940" w:type="dxa"/>
            <w:vAlign w:val="bottom"/>
            <w:tcBorders>
              <w:bottom w:val="single" w:sz="8" w:color="424E6A"/>
            </w:tcBorders>
          </w:tcPr>
          <w:p>
            <w:pPr>
              <w:spacing w:after="0"/>
              <w:rPr>
                <w:sz w:val="19"/>
                <w:szCs w:val="19"/>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11,400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2023</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6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8"/>
                <w:szCs w:val="18"/>
                <w:b w:val="1"/>
                <w:bCs w:val="1"/>
                <w:color w:val="auto"/>
              </w:rPr>
              <w:t>Total</w:t>
            </w:r>
          </w:p>
        </w:tc>
        <w:tc>
          <w:tcPr>
            <w:tcW w:w="2120" w:type="dxa"/>
            <w:vAlign w:val="bottom"/>
            <w:tcBorders>
              <w:bottom w:val="single" w:sz="8" w:color="424E6A"/>
              <w:right w:val="single" w:sz="8" w:color="424E6A"/>
            </w:tcBorders>
            <w:shd w:val="clear" w:color="auto" w:fill="D9DCE1"/>
          </w:tcPr>
          <w:p>
            <w:pPr>
              <w:ind w:left="20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​43,810</w:t>
            </w: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 ​</w:t>
            </w:r>
          </w:p>
        </w:tc>
        <w:tc>
          <w:tcPr>
            <w:tcW w:w="30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424E6A"/>
              <w:right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630" w:type="dxa"/>
        <w:tblCellMar>
          <w:top w:w="0" w:type="dxa"/>
          <w:left w:w="0" w:type="dxa"/>
          <w:bottom w:w="0" w:type="dxa"/>
          <w:right w:w="0" w:type="dxa"/>
        </w:tblCellMar>
      </w:tblPr>
      <w:tr>
        <w:trPr>
          <w:trHeight w:val="247"/>
        </w:trPr>
        <w:tc>
          <w:tcPr>
            <w:tcW w:w="160" w:type="dxa"/>
            <w:vAlign w:val="bottom"/>
            <w:tcBorders>
              <w:left w:val="single" w:sz="8" w:color="424E6A"/>
            </w:tcBorders>
            <w:shd w:val="clear" w:color="auto" w:fill="424E6A"/>
          </w:tcPr>
          <w:p>
            <w:pPr>
              <w:spacing w:after="0"/>
              <w:rPr>
                <w:sz w:val="21"/>
                <w:szCs w:val="21"/>
                <w:color w:val="auto"/>
              </w:rPr>
            </w:pPr>
          </w:p>
        </w:tc>
        <w:tc>
          <w:tcPr>
            <w:tcW w:w="2940" w:type="dxa"/>
            <w:vAlign w:val="bottom"/>
            <w:shd w:val="clear" w:color="auto" w:fill="424E6A"/>
          </w:tcPr>
          <w:p>
            <w:pPr>
              <w:spacing w:after="0"/>
              <w:rPr>
                <w:sz w:val="21"/>
                <w:szCs w:val="21"/>
                <w:color w:val="auto"/>
              </w:rPr>
            </w:pPr>
          </w:p>
        </w:tc>
        <w:tc>
          <w:tcPr>
            <w:tcW w:w="2120" w:type="dxa"/>
            <w:vAlign w:val="bottom"/>
            <w:tcBorders>
              <w:right w:val="single" w:sz="8" w:color="424E6A"/>
            </w:tcBorders>
            <w:shd w:val="clear" w:color="auto" w:fill="424E6A"/>
          </w:tcPr>
          <w:p>
            <w:pPr>
              <w:spacing w:after="0"/>
              <w:rPr>
                <w:sz w:val="21"/>
                <w:szCs w:val="21"/>
                <w:color w:val="auto"/>
              </w:rPr>
            </w:pPr>
          </w:p>
        </w:tc>
        <w:tc>
          <w:tcPr>
            <w:tcW w:w="140" w:type="dxa"/>
            <w:vAlign w:val="bottom"/>
            <w:shd w:val="clear" w:color="auto" w:fill="424E6A"/>
          </w:tcPr>
          <w:p>
            <w:pPr>
              <w:spacing w:after="0"/>
              <w:rPr>
                <w:sz w:val="21"/>
                <w:szCs w:val="21"/>
                <w:color w:val="auto"/>
              </w:rPr>
            </w:pPr>
          </w:p>
        </w:tc>
        <w:tc>
          <w:tcPr>
            <w:tcW w:w="2260" w:type="dxa"/>
            <w:vAlign w:val="bottom"/>
            <w:gridSpan w:val="4"/>
            <w:shd w:val="clear" w:color="auto" w:fill="424E6A"/>
          </w:tcPr>
          <w:p>
            <w:pPr>
              <w:jc w:val="center"/>
              <w:ind w:right="19"/>
              <w:spacing w:after="0"/>
              <w:rPr>
                <w:sz w:val="20"/>
                <w:szCs w:val="20"/>
                <w:color w:val="auto"/>
              </w:rPr>
            </w:pPr>
            <w:r>
              <w:rPr>
                <w:rFonts w:ascii="Arial" w:cs="Arial" w:eastAsia="Arial" w:hAnsi="Arial"/>
                <w:sz w:val="14"/>
                <w:szCs w:val="14"/>
                <w:b w:val="1"/>
                <w:bCs w:val="1"/>
                <w:color w:val="FFFFFF"/>
              </w:rPr>
              <w:t>Number of LTIP Awards Held</w:t>
            </w:r>
          </w:p>
        </w:tc>
        <w:tc>
          <w:tcPr>
            <w:tcW w:w="240" w:type="dxa"/>
            <w:vAlign w:val="bottom"/>
            <w:tcBorders>
              <w:right w:val="single" w:sz="8" w:color="424E6A"/>
            </w:tcBorders>
            <w:shd w:val="clear" w:color="auto" w:fill="424E6A"/>
          </w:tcPr>
          <w:p>
            <w:pPr>
              <w:spacing w:after="0"/>
              <w:rPr>
                <w:sz w:val="21"/>
                <w:szCs w:val="21"/>
                <w:color w:val="auto"/>
              </w:rPr>
            </w:pPr>
          </w:p>
        </w:tc>
      </w:tr>
      <w:tr>
        <w:trPr>
          <w:trHeight w:val="171"/>
        </w:trPr>
        <w:tc>
          <w:tcPr>
            <w:tcW w:w="160" w:type="dxa"/>
            <w:vAlign w:val="bottom"/>
            <w:tcBorders>
              <w:lef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w:t>
            </w:r>
          </w:p>
        </w:tc>
        <w:tc>
          <w:tcPr>
            <w:tcW w:w="2940" w:type="dxa"/>
            <w:vAlign w:val="bottom"/>
            <w:shd w:val="clear" w:color="auto" w:fill="424E6A"/>
          </w:tcPr>
          <w:p>
            <w:pPr>
              <w:spacing w:after="0"/>
              <w:rPr>
                <w:sz w:val="14"/>
                <w:szCs w:val="14"/>
                <w:color w:val="auto"/>
              </w:rPr>
            </w:pPr>
          </w:p>
        </w:tc>
        <w:tc>
          <w:tcPr>
            <w:tcW w:w="2260" w:type="dxa"/>
            <w:vAlign w:val="bottom"/>
            <w:gridSpan w:val="2"/>
            <w:shd w:val="clear" w:color="auto" w:fill="424E6A"/>
          </w:tcPr>
          <w:p>
            <w:pPr>
              <w:ind w:left="2000"/>
              <w:spacing w:after="0"/>
              <w:rPr>
                <w:sz w:val="20"/>
                <w:szCs w:val="20"/>
                <w:color w:val="auto"/>
              </w:rPr>
            </w:pPr>
            <w:r>
              <w:rPr>
                <w:rFonts w:ascii="Arial" w:cs="Arial" w:eastAsia="Arial" w:hAnsi="Arial"/>
                <w:sz w:val="14"/>
                <w:szCs w:val="14"/>
                <w:b w:val="1"/>
                <w:bCs w:val="1"/>
                <w:color w:val="FFFFFF"/>
              </w:rPr>
              <w:t>​ ​</w:t>
            </w:r>
          </w:p>
        </w:tc>
        <w:tc>
          <w:tcPr>
            <w:tcW w:w="2260" w:type="dxa"/>
            <w:vAlign w:val="bottom"/>
            <w:gridSpan w:val="4"/>
            <w:shd w:val="clear" w:color="auto" w:fill="424E6A"/>
          </w:tcPr>
          <w:p>
            <w:pPr>
              <w:jc w:val="center"/>
              <w:spacing w:after="0"/>
              <w:rPr>
                <w:sz w:val="20"/>
                <w:szCs w:val="20"/>
                <w:color w:val="auto"/>
              </w:rPr>
            </w:pPr>
            <w:r>
              <w:rPr>
                <w:rFonts w:ascii="Arial" w:cs="Arial" w:eastAsia="Arial" w:hAnsi="Arial"/>
                <w:sz w:val="14"/>
                <w:szCs w:val="14"/>
                <w:b w:val="1"/>
                <w:bCs w:val="1"/>
                <w:color w:val="FFFFFF"/>
              </w:rPr>
              <w:t>as of December 31, 2022</w:t>
            </w:r>
          </w:p>
        </w:tc>
        <w:tc>
          <w:tcPr>
            <w:tcW w:w="240" w:type="dxa"/>
            <w:vAlign w:val="bottom"/>
            <w:tcBorders>
              <w:right w:val="single" w:sz="8" w:color="424E6A"/>
            </w:tcBorders>
            <w:shd w:val="clear" w:color="auto" w:fill="424E6A"/>
          </w:tcPr>
          <w:p>
            <w:pPr>
              <w:spacing w:after="0"/>
              <w:rPr>
                <w:sz w:val="20"/>
                <w:szCs w:val="20"/>
                <w:color w:val="auto"/>
              </w:rPr>
            </w:pPr>
            <w:r>
              <w:rPr>
                <w:rFonts w:ascii="Arial" w:cs="Arial" w:eastAsia="Arial" w:hAnsi="Arial"/>
                <w:sz w:val="14"/>
                <w:szCs w:val="14"/>
                <w:b w:val="1"/>
                <w:bCs w:val="1"/>
                <w:color w:val="FFFFFF"/>
              </w:rPr>
              <w:t>​</w:t>
            </w:r>
          </w:p>
        </w:tc>
      </w:tr>
      <w:tr>
        <w:trPr>
          <w:trHeight w:val="160"/>
        </w:trPr>
        <w:tc>
          <w:tcPr>
            <w:tcW w:w="160" w:type="dxa"/>
            <w:vAlign w:val="bottom"/>
            <w:tcBorders>
              <w:top w:val="single" w:sz="8" w:color="424E6A"/>
              <w:left w:val="single" w:sz="8" w:color="424E6A"/>
            </w:tcBorders>
            <w:shd w:val="clear" w:color="auto" w:fill="424E6A"/>
          </w:tcPr>
          <w:p>
            <w:pPr>
              <w:spacing w:after="0"/>
              <w:rPr>
                <w:sz w:val="13"/>
                <w:szCs w:val="13"/>
                <w:color w:val="auto"/>
              </w:rPr>
            </w:pPr>
          </w:p>
        </w:tc>
        <w:tc>
          <w:tcPr>
            <w:tcW w:w="2940" w:type="dxa"/>
            <w:vAlign w:val="bottom"/>
            <w:tcBorders>
              <w:top w:val="single" w:sz="8" w:color="424E6A"/>
            </w:tcBorders>
            <w:shd w:val="clear" w:color="auto" w:fill="424E6A"/>
          </w:tcPr>
          <w:p>
            <w:pPr>
              <w:spacing w:after="0"/>
              <w:rPr>
                <w:sz w:val="13"/>
                <w:szCs w:val="13"/>
                <w:color w:val="auto"/>
              </w:rPr>
            </w:pPr>
          </w:p>
        </w:tc>
        <w:tc>
          <w:tcPr>
            <w:tcW w:w="2120" w:type="dxa"/>
            <w:vAlign w:val="bottom"/>
            <w:tcBorders>
              <w:top w:val="single" w:sz="8" w:color="424E6A"/>
              <w:right w:val="single" w:sz="8" w:color="424E6A"/>
            </w:tcBorders>
            <w:shd w:val="clear" w:color="auto" w:fill="424E6A"/>
          </w:tcPr>
          <w:p>
            <w:pPr>
              <w:spacing w:after="0"/>
              <w:rPr>
                <w:sz w:val="13"/>
                <w:szCs w:val="13"/>
                <w:color w:val="auto"/>
              </w:rPr>
            </w:pPr>
          </w:p>
        </w:tc>
        <w:tc>
          <w:tcPr>
            <w:tcW w:w="140" w:type="dxa"/>
            <w:vAlign w:val="bottom"/>
            <w:tcBorders>
              <w:top w:val="single" w:sz="8" w:color="auto"/>
            </w:tcBorders>
            <w:shd w:val="clear" w:color="auto" w:fill="424E6A"/>
          </w:tcPr>
          <w:p>
            <w:pPr>
              <w:spacing w:after="0"/>
              <w:rPr>
                <w:sz w:val="13"/>
                <w:szCs w:val="13"/>
                <w:color w:val="auto"/>
              </w:rPr>
            </w:pPr>
          </w:p>
        </w:tc>
        <w:tc>
          <w:tcPr>
            <w:tcW w:w="740" w:type="dxa"/>
            <w:vAlign w:val="bottom"/>
            <w:tcBorders>
              <w:top w:val="single" w:sz="8" w:color="auto"/>
            </w:tcBorders>
            <w:shd w:val="clear" w:color="auto" w:fill="424E6A"/>
          </w:tcPr>
          <w:p>
            <w:pPr>
              <w:jc w:val="center"/>
              <w:spacing w:after="0" w:line="160" w:lineRule="exact"/>
              <w:rPr>
                <w:sz w:val="20"/>
                <w:szCs w:val="20"/>
                <w:color w:val="auto"/>
              </w:rPr>
            </w:pPr>
            <w:r>
              <w:rPr>
                <w:rFonts w:ascii="Arial" w:cs="Arial" w:eastAsia="Arial" w:hAnsi="Arial"/>
                <w:sz w:val="14"/>
                <w:szCs w:val="14"/>
                <w:b w:val="1"/>
                <w:bCs w:val="1"/>
                <w:color w:val="FFFFFF"/>
              </w:rPr>
              <w:t>PAGP</w:t>
            </w:r>
          </w:p>
        </w:tc>
        <w:tc>
          <w:tcPr>
            <w:tcW w:w="300" w:type="dxa"/>
            <w:vAlign w:val="bottom"/>
            <w:tcBorders>
              <w:top w:val="single" w:sz="8" w:color="auto"/>
              <w:right w:val="single" w:sz="8" w:color="424E6A"/>
            </w:tcBorders>
            <w:shd w:val="clear" w:color="auto" w:fill="424E6A"/>
          </w:tcPr>
          <w:p>
            <w:pPr>
              <w:spacing w:after="0"/>
              <w:rPr>
                <w:sz w:val="13"/>
                <w:szCs w:val="13"/>
                <w:color w:val="auto"/>
              </w:rPr>
            </w:pPr>
          </w:p>
        </w:tc>
        <w:tc>
          <w:tcPr>
            <w:tcW w:w="300" w:type="dxa"/>
            <w:vAlign w:val="bottom"/>
            <w:tcBorders>
              <w:top w:val="single" w:sz="8" w:color="auto"/>
            </w:tcBorders>
            <w:shd w:val="clear" w:color="auto" w:fill="424E6A"/>
          </w:tcPr>
          <w:p>
            <w:pPr>
              <w:spacing w:after="0"/>
              <w:rPr>
                <w:sz w:val="13"/>
                <w:szCs w:val="13"/>
                <w:color w:val="auto"/>
              </w:rPr>
            </w:pPr>
          </w:p>
        </w:tc>
        <w:tc>
          <w:tcPr>
            <w:tcW w:w="920" w:type="dxa"/>
            <w:vAlign w:val="bottom"/>
            <w:tcBorders>
              <w:top w:val="single" w:sz="8" w:color="auto"/>
            </w:tcBorders>
            <w:shd w:val="clear" w:color="auto" w:fill="424E6A"/>
          </w:tcPr>
          <w:p>
            <w:pPr>
              <w:spacing w:after="0"/>
              <w:rPr>
                <w:sz w:val="13"/>
                <w:szCs w:val="13"/>
                <w:color w:val="auto"/>
              </w:rPr>
            </w:pPr>
          </w:p>
        </w:tc>
        <w:tc>
          <w:tcPr>
            <w:tcW w:w="240" w:type="dxa"/>
            <w:vAlign w:val="bottom"/>
            <w:tcBorders>
              <w:top w:val="single" w:sz="8" w:color="auto"/>
              <w:right w:val="single" w:sz="8" w:color="424E6A"/>
            </w:tcBorders>
            <w:shd w:val="clear" w:color="auto" w:fill="424E6A"/>
          </w:tcPr>
          <w:p>
            <w:pPr>
              <w:spacing w:after="0"/>
              <w:rPr>
                <w:sz w:val="13"/>
                <w:szCs w:val="13"/>
                <w:color w:val="auto"/>
              </w:rPr>
            </w:pPr>
          </w:p>
        </w:tc>
      </w:tr>
      <w:tr>
        <w:trPr>
          <w:trHeight w:val="162"/>
        </w:trPr>
        <w:tc>
          <w:tcPr>
            <w:tcW w:w="160" w:type="dxa"/>
            <w:vAlign w:val="bottom"/>
            <w:tcBorders>
              <w:left w:val="single" w:sz="8" w:color="424E6A"/>
            </w:tcBorders>
            <w:shd w:val="clear" w:color="auto" w:fill="424E6A"/>
          </w:tcPr>
          <w:p>
            <w:pPr>
              <w:spacing w:after="0"/>
              <w:rPr>
                <w:sz w:val="14"/>
                <w:szCs w:val="14"/>
                <w:color w:val="auto"/>
              </w:rPr>
            </w:pPr>
          </w:p>
        </w:tc>
        <w:tc>
          <w:tcPr>
            <w:tcW w:w="2940" w:type="dxa"/>
            <w:vAlign w:val="bottom"/>
            <w:shd w:val="clear" w:color="auto" w:fill="424E6A"/>
          </w:tcPr>
          <w:p>
            <w:pPr>
              <w:spacing w:after="0"/>
              <w:rPr>
                <w:sz w:val="14"/>
                <w:szCs w:val="14"/>
                <w:color w:val="auto"/>
              </w:rPr>
            </w:pPr>
          </w:p>
        </w:tc>
        <w:tc>
          <w:tcPr>
            <w:tcW w:w="212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7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Phantom</w:t>
            </w:r>
          </w:p>
        </w:tc>
        <w:tc>
          <w:tcPr>
            <w:tcW w:w="300" w:type="dxa"/>
            <w:vAlign w:val="bottom"/>
            <w:tcBorders>
              <w:right w:val="single" w:sz="8" w:color="424E6A"/>
            </w:tcBorders>
            <w:shd w:val="clear" w:color="auto" w:fill="424E6A"/>
          </w:tcPr>
          <w:p>
            <w:pPr>
              <w:spacing w:after="0"/>
              <w:rPr>
                <w:sz w:val="14"/>
                <w:szCs w:val="14"/>
                <w:color w:val="auto"/>
              </w:rPr>
            </w:pPr>
          </w:p>
        </w:tc>
        <w:tc>
          <w:tcPr>
            <w:tcW w:w="300" w:type="dxa"/>
            <w:vAlign w:val="bottom"/>
            <w:shd w:val="clear" w:color="auto" w:fill="424E6A"/>
          </w:tcPr>
          <w:p>
            <w:pPr>
              <w:spacing w:after="0"/>
              <w:rPr>
                <w:sz w:val="14"/>
                <w:szCs w:val="14"/>
                <w:color w:val="auto"/>
              </w:rPr>
            </w:pPr>
          </w:p>
        </w:tc>
        <w:tc>
          <w:tcPr>
            <w:tcW w:w="92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r>
      <w:tr>
        <w:trPr>
          <w:trHeight w:val="162"/>
        </w:trPr>
        <w:tc>
          <w:tcPr>
            <w:tcW w:w="160" w:type="dxa"/>
            <w:vAlign w:val="bottom"/>
            <w:tcBorders>
              <w:left w:val="single" w:sz="8" w:color="424E6A"/>
            </w:tcBorders>
            <w:shd w:val="clear" w:color="auto" w:fill="424E6A"/>
          </w:tcPr>
          <w:p>
            <w:pPr>
              <w:spacing w:after="0"/>
              <w:rPr>
                <w:sz w:val="14"/>
                <w:szCs w:val="14"/>
                <w:color w:val="auto"/>
              </w:rPr>
            </w:pPr>
          </w:p>
        </w:tc>
        <w:tc>
          <w:tcPr>
            <w:tcW w:w="2940" w:type="dxa"/>
            <w:vAlign w:val="bottom"/>
            <w:shd w:val="clear" w:color="auto" w:fill="424E6A"/>
          </w:tcPr>
          <w:p>
            <w:pPr>
              <w:spacing w:after="0"/>
              <w:rPr>
                <w:sz w:val="14"/>
                <w:szCs w:val="14"/>
                <w:color w:val="auto"/>
              </w:rPr>
            </w:pPr>
          </w:p>
        </w:tc>
        <w:tc>
          <w:tcPr>
            <w:tcW w:w="212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7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Class A</w:t>
            </w:r>
          </w:p>
        </w:tc>
        <w:tc>
          <w:tcPr>
            <w:tcW w:w="300" w:type="dxa"/>
            <w:vAlign w:val="bottom"/>
            <w:tcBorders>
              <w:right w:val="single" w:sz="8" w:color="424E6A"/>
            </w:tcBorders>
            <w:shd w:val="clear" w:color="auto" w:fill="424E6A"/>
          </w:tcPr>
          <w:p>
            <w:pPr>
              <w:spacing w:after="0"/>
              <w:rPr>
                <w:sz w:val="14"/>
                <w:szCs w:val="14"/>
                <w:color w:val="auto"/>
              </w:rPr>
            </w:pPr>
          </w:p>
        </w:tc>
        <w:tc>
          <w:tcPr>
            <w:tcW w:w="300" w:type="dxa"/>
            <w:vAlign w:val="bottom"/>
            <w:shd w:val="clear" w:color="auto" w:fill="424E6A"/>
          </w:tcPr>
          <w:p>
            <w:pPr>
              <w:spacing w:after="0"/>
              <w:rPr>
                <w:sz w:val="14"/>
                <w:szCs w:val="14"/>
                <w:color w:val="auto"/>
              </w:rPr>
            </w:pPr>
          </w:p>
        </w:tc>
        <w:tc>
          <w:tcPr>
            <w:tcW w:w="920" w:type="dxa"/>
            <w:vAlign w:val="bottom"/>
            <w:shd w:val="clear" w:color="auto" w:fill="424E6A"/>
          </w:tcPr>
          <w:p>
            <w:pPr>
              <w:ind w:left="140"/>
              <w:spacing w:after="0"/>
              <w:rPr>
                <w:sz w:val="20"/>
                <w:szCs w:val="20"/>
                <w:color w:val="auto"/>
              </w:rPr>
            </w:pPr>
            <w:r>
              <w:rPr>
                <w:rFonts w:ascii="Arial" w:cs="Arial" w:eastAsia="Arial" w:hAnsi="Arial"/>
                <w:sz w:val="14"/>
                <w:szCs w:val="14"/>
                <w:b w:val="1"/>
                <w:bCs w:val="1"/>
                <w:color w:val="FFFFFF"/>
              </w:rPr>
              <w:t>Vesting</w:t>
            </w:r>
          </w:p>
        </w:tc>
        <w:tc>
          <w:tcPr>
            <w:tcW w:w="240" w:type="dxa"/>
            <w:vAlign w:val="bottom"/>
            <w:tcBorders>
              <w:right w:val="single" w:sz="8" w:color="424E6A"/>
            </w:tcBorders>
            <w:shd w:val="clear" w:color="auto" w:fill="424E6A"/>
          </w:tcPr>
          <w:p>
            <w:pPr>
              <w:spacing w:after="0"/>
              <w:rPr>
                <w:sz w:val="14"/>
                <w:szCs w:val="14"/>
                <w:color w:val="auto"/>
              </w:rPr>
            </w:pPr>
          </w:p>
        </w:tc>
      </w:tr>
      <w:tr>
        <w:trPr>
          <w:trHeight w:val="185"/>
        </w:trPr>
        <w:tc>
          <w:tcPr>
            <w:tcW w:w="3100" w:type="dxa"/>
            <w:vAlign w:val="bottom"/>
            <w:tcBorders>
              <w:left w:val="single" w:sz="8" w:color="424E6A"/>
            </w:tcBorders>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​Director Name:</w:t>
            </w:r>
          </w:p>
        </w:tc>
        <w:tc>
          <w:tcPr>
            <w:tcW w:w="2260" w:type="dxa"/>
            <w:vAlign w:val="bottom"/>
            <w:gridSpan w:val="2"/>
            <w:shd w:val="clear" w:color="auto" w:fill="424E6A"/>
          </w:tcPr>
          <w:p>
            <w:pPr>
              <w:ind w:left="2060"/>
              <w:spacing w:after="0"/>
              <w:rPr>
                <w:sz w:val="20"/>
                <w:szCs w:val="20"/>
                <w:color w:val="auto"/>
              </w:rPr>
            </w:pPr>
            <w:r>
              <w:rPr>
                <w:rFonts w:ascii="Arial" w:cs="Arial" w:eastAsia="Arial" w:hAnsi="Arial"/>
                <w:sz w:val="14"/>
                <w:szCs w:val="14"/>
                <w:b w:val="1"/>
                <w:bCs w:val="1"/>
                <w:color w:val="FFFFFF"/>
              </w:rPr>
              <w:t>​ ​</w:t>
            </w:r>
          </w:p>
        </w:tc>
        <w:tc>
          <w:tcPr>
            <w:tcW w:w="7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Shares</w:t>
            </w:r>
          </w:p>
        </w:tc>
        <w:tc>
          <w:tcPr>
            <w:tcW w:w="30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shd w:val="clear" w:color="auto" w:fill="424E6A"/>
          </w:tcPr>
          <w:p>
            <w:pPr>
              <w:ind w:left="100"/>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424E6A"/>
          </w:tcPr>
          <w:p>
            <w:pPr>
              <w:jc w:val="center"/>
              <w:ind w:right="19"/>
              <w:spacing w:after="0"/>
              <w:rPr>
                <w:sz w:val="20"/>
                <w:szCs w:val="20"/>
                <w:color w:val="auto"/>
              </w:rPr>
            </w:pPr>
            <w:r>
              <w:rPr>
                <w:rFonts w:ascii="Arial" w:cs="Arial" w:eastAsia="Arial" w:hAnsi="Arial"/>
                <w:sz w:val="14"/>
                <w:szCs w:val="14"/>
                <w:b w:val="1"/>
                <w:bCs w:val="1"/>
                <w:color w:val="FFFFFF"/>
                <w:w w:val="98"/>
              </w:rPr>
              <w:t>Date</w:t>
            </w:r>
          </w:p>
        </w:tc>
        <w:tc>
          <w:tcPr>
            <w:tcW w:w="240" w:type="dxa"/>
            <w:vAlign w:val="bottom"/>
            <w:tcBorders>
              <w:right w:val="single" w:sz="8" w:color="424E6A"/>
            </w:tcBorders>
            <w:shd w:val="clear" w:color="auto" w:fill="424E6A"/>
          </w:tcPr>
          <w:p>
            <w:pPr>
              <w:ind w:left="100"/>
              <w:spacing w:after="0"/>
              <w:rPr>
                <w:sz w:val="20"/>
                <w:szCs w:val="20"/>
                <w:color w:val="auto"/>
              </w:rPr>
            </w:pPr>
            <w:r>
              <w:rPr>
                <w:rFonts w:ascii="Arial" w:cs="Arial" w:eastAsia="Arial" w:hAnsi="Arial"/>
                <w:sz w:val="14"/>
                <w:szCs w:val="14"/>
                <w:b w:val="1"/>
                <w:bCs w:val="1"/>
                <w:color w:val="FFFFFF"/>
              </w:rPr>
              <w:t>​</w:t>
            </w:r>
          </w:p>
        </w:tc>
      </w:tr>
      <w:tr>
        <w:trPr>
          <w:trHeight w:val="216"/>
        </w:trPr>
        <w:tc>
          <w:tcPr>
            <w:tcW w:w="3100" w:type="dxa"/>
            <w:vAlign w:val="bottom"/>
            <w:tcBorders>
              <w:left w:val="single" w:sz="8" w:color="424E6A"/>
              <w:bottom w:val="single" w:sz="8" w:color="424E6A"/>
            </w:tcBorders>
            <w:gridSpan w:val="2"/>
            <w:shd w:val="clear" w:color="auto" w:fill="D9DCE1"/>
          </w:tcPr>
          <w:p>
            <w:pPr>
              <w:ind w:left="40"/>
              <w:spacing w:after="0"/>
              <w:rPr>
                <w:sz w:val="20"/>
                <w:szCs w:val="20"/>
                <w:color w:val="auto"/>
              </w:rPr>
            </w:pPr>
            <w:r>
              <w:rPr>
                <w:rFonts w:ascii="Arial" w:cs="Arial" w:eastAsia="Arial" w:hAnsi="Arial"/>
                <w:sz w:val="18"/>
                <w:szCs w:val="18"/>
                <w:color w:val="auto"/>
              </w:rPr>
              <w:t>​Temple</w:t>
            </w:r>
          </w:p>
        </w:tc>
        <w:tc>
          <w:tcPr>
            <w:tcW w:w="2120" w:type="dxa"/>
            <w:vAlign w:val="bottom"/>
            <w:tcBorders>
              <w:bottom w:val="single" w:sz="8" w:color="424E6A"/>
              <w:right w:val="single" w:sz="8" w:color="424E6A"/>
            </w:tcBorders>
            <w:shd w:val="clear" w:color="auto" w:fill="D9DCE1"/>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5,220</w:t>
            </w: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shd w:val="clear" w:color="auto" w:fill="D9DCE1"/>
          </w:tcPr>
          <w:p>
            <w:pPr>
              <w:ind w:left="100"/>
              <w:spacing w:after="0"/>
              <w:rPr>
                <w:sz w:val="20"/>
                <w:szCs w:val="20"/>
                <w:color w:val="auto"/>
              </w:rPr>
            </w:pPr>
            <w:r>
              <w:rPr>
                <w:rFonts w:ascii="Arial" w:cs="Arial" w:eastAsia="Arial" w:hAnsi="Arial"/>
                <w:sz w:val="18"/>
                <w:szCs w:val="18"/>
                <w:color w:val="auto"/>
              </w:rPr>
              <w:t>​ August 2023</w:t>
            </w:r>
          </w:p>
        </w:tc>
        <w:tc>
          <w:tcPr>
            <w:tcW w:w="240" w:type="dxa"/>
            <w:vAlign w:val="bottom"/>
            <w:tcBorders>
              <w:bottom w:val="single" w:sz="8" w:color="424E6A"/>
              <w:right w:val="single" w:sz="8" w:color="424E6A"/>
            </w:tcBorders>
            <w:shd w:val="clear" w:color="auto" w:fill="D9DCE1"/>
          </w:tcPr>
          <w:p>
            <w:pPr>
              <w:ind w:left="100"/>
              <w:spacing w:after="0"/>
              <w:rPr>
                <w:sz w:val="20"/>
                <w:szCs w:val="20"/>
                <w:color w:val="auto"/>
              </w:rPr>
            </w:pPr>
            <w:r>
              <w:rPr>
                <w:rFonts w:ascii="Arial" w:cs="Arial" w:eastAsia="Arial" w:hAnsi="Arial"/>
                <w:sz w:val="18"/>
                <w:szCs w:val="18"/>
                <w:color w:val="auto"/>
              </w:rPr>
              <w:t>​</w:t>
            </w:r>
          </w:p>
        </w:tc>
      </w:tr>
      <w:tr>
        <w:trPr>
          <w:trHeight w:val="210"/>
        </w:trPr>
        <w:tc>
          <w:tcPr>
            <w:tcW w:w="160" w:type="dxa"/>
            <w:vAlign w:val="bottom"/>
            <w:tcBorders>
              <w:left w:val="single" w:sz="8" w:color="424E6A"/>
              <w:bottom w:val="single" w:sz="8" w:color="424E6A"/>
            </w:tcBorders>
          </w:tcPr>
          <w:p>
            <w:pPr>
              <w:ind w:left="40"/>
              <w:spacing w:after="0" w:line="210" w:lineRule="exact"/>
              <w:rPr>
                <w:sz w:val="20"/>
                <w:szCs w:val="20"/>
                <w:color w:val="auto"/>
              </w:rPr>
            </w:pPr>
            <w:r>
              <w:rPr>
                <w:rFonts w:ascii="Arial" w:cs="Arial" w:eastAsia="Arial" w:hAnsi="Arial"/>
                <w:sz w:val="14"/>
                <w:szCs w:val="14"/>
                <w:color w:val="auto"/>
              </w:rPr>
              <w:t>​</w:t>
            </w:r>
            <w:r>
              <w:rPr>
                <w:rFonts w:ascii="Arial" w:cs="Arial" w:eastAsia="Arial" w:hAnsi="Arial"/>
                <w:sz w:val="24"/>
                <w:szCs w:val="24"/>
                <w:color w:val="auto"/>
                <w:vertAlign w:val="superscript"/>
              </w:rPr>
              <w:t>​</w:t>
            </w:r>
          </w:p>
        </w:tc>
        <w:tc>
          <w:tcPr>
            <w:tcW w:w="2940" w:type="dxa"/>
            <w:vAlign w:val="bottom"/>
            <w:tcBorders>
              <w:bottom w:val="single" w:sz="8" w:color="424E6A"/>
            </w:tcBorders>
          </w:tcPr>
          <w:p>
            <w:pPr>
              <w:spacing w:after="0"/>
              <w:rPr>
                <w:sz w:val="18"/>
                <w:szCs w:val="18"/>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2024</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10"/>
        </w:trPr>
        <w:tc>
          <w:tcPr>
            <w:tcW w:w="160" w:type="dxa"/>
            <w:vAlign w:val="bottom"/>
            <w:tcBorders>
              <w:left w:val="single" w:sz="8" w:color="424E6A"/>
              <w:bottom w:val="single" w:sz="8" w:color="424E6A"/>
            </w:tcBorders>
          </w:tcPr>
          <w:p>
            <w:pPr>
              <w:ind w:left="4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4"/>
                <w:szCs w:val="14"/>
                <w:color w:val="auto"/>
              </w:rPr>
              <w:t>​</w:t>
            </w:r>
          </w:p>
        </w:tc>
        <w:tc>
          <w:tcPr>
            <w:tcW w:w="2940" w:type="dxa"/>
            <w:vAlign w:val="bottom"/>
            <w:tcBorders>
              <w:bottom w:val="single" w:sz="8" w:color="424E6A"/>
            </w:tcBorders>
          </w:tcPr>
          <w:p>
            <w:pPr>
              <w:spacing w:after="0"/>
              <w:rPr>
                <w:sz w:val="18"/>
                <w:szCs w:val="18"/>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09"/>
        </w:trPr>
        <w:tc>
          <w:tcPr>
            <w:tcW w:w="160" w:type="dxa"/>
            <w:vAlign w:val="bottom"/>
            <w:tcBorders>
              <w:left w:val="single" w:sz="8" w:color="424E6A"/>
              <w:bottom w:val="single" w:sz="8" w:color="424E6A"/>
            </w:tcBorders>
          </w:tcPr>
          <w:p>
            <w:pPr>
              <w:ind w:left="40"/>
              <w:spacing w:after="0" w:line="210" w:lineRule="exact"/>
              <w:rPr>
                <w:sz w:val="20"/>
                <w:szCs w:val="20"/>
                <w:color w:val="auto"/>
              </w:rPr>
            </w:pPr>
            <w:r>
              <w:rPr>
                <w:rFonts w:ascii="Arial" w:cs="Arial" w:eastAsia="Arial" w:hAnsi="Arial"/>
                <w:sz w:val="14"/>
                <w:szCs w:val="14"/>
                <w:color w:val="auto"/>
              </w:rPr>
              <w:t>​</w:t>
            </w:r>
            <w:r>
              <w:rPr>
                <w:rFonts w:ascii="Arial" w:cs="Arial" w:eastAsia="Arial" w:hAnsi="Arial"/>
                <w:sz w:val="24"/>
                <w:szCs w:val="24"/>
                <w:color w:val="auto"/>
                <w:vertAlign w:val="superscript"/>
              </w:rPr>
              <w:t>​</w:t>
            </w:r>
          </w:p>
        </w:tc>
        <w:tc>
          <w:tcPr>
            <w:tcW w:w="2940" w:type="dxa"/>
            <w:vAlign w:val="bottom"/>
            <w:tcBorders>
              <w:bottom w:val="single" w:sz="8" w:color="424E6A"/>
            </w:tcBorders>
          </w:tcPr>
          <w:p>
            <w:pPr>
              <w:spacing w:after="0"/>
              <w:rPr>
                <w:sz w:val="18"/>
                <w:szCs w:val="18"/>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11,400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2023</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09"/>
        </w:trPr>
        <w:tc>
          <w:tcPr>
            <w:tcW w:w="16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424E6A"/>
            </w:tcBorders>
            <w:shd w:val="clear" w:color="auto" w:fill="D9DCE1"/>
          </w:tcPr>
          <w:p>
            <w:pPr>
              <w:jc w:val="right"/>
              <w:ind w:right="2370"/>
              <w:spacing w:after="0"/>
              <w:rPr>
                <w:sz w:val="20"/>
                <w:szCs w:val="20"/>
                <w:color w:val="auto"/>
              </w:rPr>
            </w:pPr>
            <w:r>
              <w:rPr>
                <w:rFonts w:ascii="Arial" w:cs="Arial" w:eastAsia="Arial" w:hAnsi="Arial"/>
                <w:sz w:val="18"/>
                <w:szCs w:val="18"/>
                <w:b w:val="1"/>
                <w:bCs w:val="1"/>
                <w:color w:val="auto"/>
              </w:rPr>
              <w:t>Total</w:t>
            </w:r>
          </w:p>
        </w:tc>
        <w:tc>
          <w:tcPr>
            <w:tcW w:w="2120" w:type="dxa"/>
            <w:vAlign w:val="bottom"/>
            <w:tcBorders>
              <w:bottom w:val="single" w:sz="8" w:color="424E6A"/>
              <w:right w:val="single" w:sz="8" w:color="424E6A"/>
            </w:tcBorders>
            <w:shd w:val="clear" w:color="auto" w:fill="D9DCE1"/>
          </w:tcPr>
          <w:p>
            <w:pPr>
              <w:ind w:left="20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​43,810</w:t>
            </w: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 ​</w:t>
            </w:r>
          </w:p>
        </w:tc>
        <w:tc>
          <w:tcPr>
            <w:tcW w:w="30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424E6A"/>
              <w:right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r>
      <w:tr>
        <w:trPr>
          <w:trHeight w:val="209"/>
        </w:trPr>
        <w:tc>
          <w:tcPr>
            <w:tcW w:w="3100" w:type="dxa"/>
            <w:vAlign w:val="bottom"/>
            <w:tcBorders>
              <w:left w:val="single" w:sz="8" w:color="424E6A"/>
              <w:bottom w:val="single" w:sz="8" w:color="424E6A"/>
            </w:tcBorders>
            <w:gridSpan w:val="2"/>
          </w:tcPr>
          <w:p>
            <w:pPr>
              <w:jc w:val="right"/>
              <w:ind w:right="2350"/>
              <w:spacing w:after="0"/>
              <w:rPr>
                <w:sz w:val="20"/>
                <w:szCs w:val="20"/>
                <w:color w:val="auto"/>
              </w:rPr>
            </w:pPr>
            <w:r>
              <w:rPr>
                <w:rFonts w:ascii="Arial" w:cs="Arial" w:eastAsia="Arial" w:hAnsi="Arial"/>
                <w:sz w:val="18"/>
                <w:szCs w:val="18"/>
                <w:color w:val="auto"/>
              </w:rPr>
              <w:t>​Ziemba</w:t>
            </w: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6,480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2023</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2940" w:type="dxa"/>
            <w:vAlign w:val="bottom"/>
            <w:tcBorders>
              <w:bottom w:val="single" w:sz="8" w:color="424E6A"/>
            </w:tcBorders>
          </w:tcPr>
          <w:p>
            <w:pPr>
              <w:spacing w:after="0"/>
              <w:rPr>
                <w:sz w:val="19"/>
                <w:szCs w:val="19"/>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2024</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2940" w:type="dxa"/>
            <w:vAlign w:val="bottom"/>
            <w:tcBorders>
              <w:bottom w:val="single" w:sz="8" w:color="424E6A"/>
            </w:tcBorders>
          </w:tcPr>
          <w:p>
            <w:pPr>
              <w:spacing w:after="0"/>
              <w:rPr>
                <w:sz w:val="19"/>
                <w:szCs w:val="19"/>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2025</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2940" w:type="dxa"/>
            <w:vAlign w:val="bottom"/>
            <w:tcBorders>
              <w:bottom w:val="single" w:sz="8" w:color="424E6A"/>
            </w:tcBorders>
          </w:tcPr>
          <w:p>
            <w:pPr>
              <w:spacing w:after="0"/>
              <w:rPr>
                <w:sz w:val="19"/>
                <w:szCs w:val="19"/>
                <w:color w:val="auto"/>
              </w:rPr>
            </w:pPr>
          </w:p>
        </w:tc>
        <w:tc>
          <w:tcPr>
            <w:tcW w:w="2120" w:type="dxa"/>
            <w:vAlign w:val="bottom"/>
            <w:tcBorders>
              <w:bottom w:val="single" w:sz="8" w:color="424E6A"/>
              <w:right w:val="single" w:sz="8" w:color="424E6A"/>
            </w:tcBorders>
          </w:tcPr>
          <w:p>
            <w:pPr>
              <w:ind w:left="20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11,400</w:t>
            </w:r>
          </w:p>
        </w:tc>
        <w:tc>
          <w:tcPr>
            <w:tcW w:w="3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424E6A"/>
            </w:tcBorders>
            <w:gridSpan w:val="2"/>
          </w:tcPr>
          <w:p>
            <w:pPr>
              <w:ind w:left="100"/>
              <w:spacing w:after="0"/>
              <w:rPr>
                <w:sz w:val="20"/>
                <w:szCs w:val="20"/>
                <w:color w:val="auto"/>
              </w:rPr>
            </w:pPr>
            <w:r>
              <w:rPr>
                <w:rFonts w:ascii="Arial" w:cs="Arial" w:eastAsia="Arial" w:hAnsi="Arial"/>
                <w:sz w:val="18"/>
                <w:szCs w:val="18"/>
                <w:color w:val="auto"/>
              </w:rPr>
              <w:t>​ August 2023</w:t>
            </w:r>
          </w:p>
        </w:tc>
        <w:tc>
          <w:tcPr>
            <w:tcW w:w="240" w:type="dxa"/>
            <w:vAlign w:val="bottom"/>
            <w:tcBorders>
              <w:bottom w:val="single" w:sz="8" w:color="424E6A"/>
              <w:right w:val="single" w:sz="8" w:color="424E6A"/>
            </w:tcBorders>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16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2940" w:type="dxa"/>
            <w:vAlign w:val="bottom"/>
            <w:tcBorders>
              <w:bottom w:val="single" w:sz="8" w:color="424E6A"/>
            </w:tcBorders>
            <w:shd w:val="clear" w:color="auto" w:fill="D9DCE1"/>
          </w:tcPr>
          <w:p>
            <w:pPr>
              <w:jc w:val="right"/>
              <w:ind w:right="2370"/>
              <w:spacing w:after="0"/>
              <w:rPr>
                <w:sz w:val="20"/>
                <w:szCs w:val="20"/>
                <w:color w:val="auto"/>
              </w:rPr>
            </w:pPr>
            <w:r>
              <w:rPr>
                <w:rFonts w:ascii="Arial" w:cs="Arial" w:eastAsia="Arial" w:hAnsi="Arial"/>
                <w:sz w:val="18"/>
                <w:szCs w:val="18"/>
                <w:b w:val="1"/>
                <w:bCs w:val="1"/>
                <w:color w:val="auto"/>
              </w:rPr>
              <w:t>Total</w:t>
            </w:r>
          </w:p>
        </w:tc>
        <w:tc>
          <w:tcPr>
            <w:tcW w:w="2120" w:type="dxa"/>
            <w:vAlign w:val="bottom"/>
            <w:tcBorders>
              <w:bottom w:val="single" w:sz="8" w:color="424E6A"/>
              <w:right w:val="single" w:sz="8" w:color="424E6A"/>
            </w:tcBorders>
            <w:shd w:val="clear" w:color="auto" w:fill="D9DCE1"/>
          </w:tcPr>
          <w:p>
            <w:pPr>
              <w:ind w:left="20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​45,070</w:t>
            </w: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 ​</w:t>
            </w:r>
          </w:p>
        </w:tc>
        <w:tc>
          <w:tcPr>
            <w:tcW w:w="30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424E6A"/>
            </w:tcBorders>
            <w:shd w:val="clear" w:color="auto" w:fill="D9DCE1"/>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424E6A"/>
              <w:right w:val="single" w:sz="8" w:color="424E6A"/>
            </w:tcBorders>
            <w:shd w:val="clear" w:color="auto" w:fill="D9DCE1"/>
          </w:tcPr>
          <w:p>
            <w:pPr>
              <w:ind w:left="100"/>
              <w:spacing w:after="0"/>
              <w:rPr>
                <w:sz w:val="20"/>
                <w:szCs w:val="20"/>
                <w:color w:val="auto"/>
              </w:rPr>
            </w:pPr>
            <w:r>
              <w:rPr>
                <w:rFonts w:ascii="Arial" w:cs="Arial" w:eastAsia="Arial" w:hAnsi="Arial"/>
                <w:sz w:val="18"/>
                <w:szCs w:val="18"/>
                <w:b w:val="1"/>
                <w:bCs w:val="1"/>
                <w:color w:val="auto"/>
              </w:rPr>
              <w:t>​</w:t>
            </w:r>
          </w:p>
        </w:tc>
      </w:tr>
    </w:tbl>
    <w:p>
      <w:pPr>
        <w:spacing w:after="0" w:line="184" w:lineRule="exact"/>
        <w:rPr>
          <w:sz w:val="20"/>
          <w:szCs w:val="20"/>
          <w:color w:val="auto"/>
        </w:rPr>
      </w:pPr>
    </w:p>
    <w:p>
      <w:pPr>
        <w:ind w:left="1620" w:right="439" w:hanging="360"/>
        <w:spacing w:after="0" w:line="235" w:lineRule="auto"/>
        <w:tabs>
          <w:tab w:leader="none" w:pos="1620" w:val="left"/>
        </w:tabs>
        <w:numPr>
          <w:ilvl w:val="0"/>
          <w:numId w:val="76"/>
        </w:numPr>
        <w:rPr>
          <w:rFonts w:ascii="Arial" w:cs="Arial" w:eastAsia="Arial" w:hAnsi="Arial"/>
          <w:sz w:val="27"/>
          <w:szCs w:val="27"/>
          <w:color w:val="auto"/>
          <w:vertAlign w:val="superscript"/>
        </w:rPr>
      </w:pPr>
      <w:r>
        <w:rPr>
          <w:rFonts w:ascii="Arial" w:cs="Arial" w:eastAsia="Arial" w:hAnsi="Arial"/>
          <w:sz w:val="18"/>
          <w:szCs w:val="18"/>
          <w:color w:val="auto"/>
        </w:rPr>
        <w:t>Mr. Armstrong served as Senior Advisor to the CEO during 2022 and received a salary of $250,000 and other compensation of $15,840 (comprising 401(k) plan matching contributions and premium payments for group term life insurance) for his services as an employee. Pursuant to his employment agreement, Mr. Armstrong will serve as a director and will also serve as Senior Advisor to the CEO until the date of the 2024 annual meeting and will receive an annual salary of $250,000 for these services. Mr. Armstrong does not hold any LTIP awards.</w:t>
      </w:r>
    </w:p>
    <w:p>
      <w:pPr>
        <w:spacing w:after="0" w:line="46" w:lineRule="exact"/>
        <w:rPr>
          <w:rFonts w:ascii="Arial" w:cs="Arial" w:eastAsia="Arial" w:hAnsi="Arial"/>
          <w:sz w:val="27"/>
          <w:szCs w:val="27"/>
          <w:color w:val="auto"/>
          <w:vertAlign w:val="superscript"/>
        </w:rPr>
      </w:pPr>
    </w:p>
    <w:p>
      <w:pPr>
        <w:ind w:left="1620" w:right="1159" w:hanging="360"/>
        <w:spacing w:after="0" w:line="210" w:lineRule="auto"/>
        <w:tabs>
          <w:tab w:leader="none" w:pos="1620" w:val="left"/>
        </w:tabs>
        <w:numPr>
          <w:ilvl w:val="0"/>
          <w:numId w:val="76"/>
        </w:numPr>
        <w:rPr>
          <w:rFonts w:ascii="Arial" w:cs="Arial" w:eastAsia="Arial" w:hAnsi="Arial"/>
          <w:sz w:val="27"/>
          <w:szCs w:val="27"/>
          <w:color w:val="auto"/>
          <w:vertAlign w:val="superscript"/>
        </w:rPr>
      </w:pPr>
      <w:r>
        <w:rPr>
          <w:rFonts w:ascii="Arial" w:cs="Arial" w:eastAsia="Arial" w:hAnsi="Arial"/>
          <w:sz w:val="18"/>
          <w:szCs w:val="18"/>
          <w:color w:val="auto"/>
        </w:rPr>
        <w:t>Ms. DeSanctis joined the Board in August 2022; amounts shown in the table above reflect compensation for a partial year of service.</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Cash Retainers and Expense Reimbursement</w:t>
      </w:r>
    </w:p>
    <w:p>
      <w:pPr>
        <w:spacing w:after="0" w:line="142"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Our non-employee directors receive an annual retainer fee of $115,000. In addition to their annual retainer, each committee chairman (other than the Audit Committee chairman) receives an additional retainer of $15,000, the Audit Committee chairman receives an additional retainer of $30,000, each other member of the Audit Committee receives an additional retainer of $15,000, and the Lead Director receives an additional retainer of $35,000. The foregoing amounts reflect increases in annual retainer and non-audit committee chair fees that were implemented in the second quarter of 2022 to maintain competitive positioning among peers. Fee payment amounts shown in the table above reflect blended rates.</w:t>
      </w:r>
    </w:p>
    <w:p>
      <w:pPr>
        <w:spacing w:after="0" w:line="11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Non-employee directors are reimbursed for reasonable travel, lodging and other out-of-pocket expenses related to meeting attendance or otherwise related to service on the Board (including, without limitation, reimbursement for continuing education expenses).</w:t>
      </w:r>
    </w:p>
    <w:p>
      <w:pPr>
        <w:spacing w:after="0" w:line="101" w:lineRule="exact"/>
        <w:rPr>
          <w:sz w:val="20"/>
          <w:szCs w:val="20"/>
          <w:color w:val="auto"/>
        </w:rPr>
      </w:pPr>
    </w:p>
    <w:p>
      <w:pPr>
        <w:ind w:left="1260" w:right="1239" w:firstLine="360"/>
        <w:spacing w:after="0" w:line="318" w:lineRule="auto"/>
        <w:rPr>
          <w:sz w:val="20"/>
          <w:szCs w:val="20"/>
          <w:color w:val="auto"/>
        </w:rPr>
      </w:pPr>
      <w:r>
        <w:rPr>
          <w:rFonts w:ascii="Arial" w:cs="Arial" w:eastAsia="Arial" w:hAnsi="Arial"/>
          <w:sz w:val="17"/>
          <w:szCs w:val="17"/>
          <w:color w:val="auto"/>
        </w:rPr>
        <w:t>Messrs. Armstrong, Chiang and Pefanis are otherwise compensated for their services as employees and therefore receive no separate compensation for their services as directors.</w:t>
      </w:r>
    </w:p>
    <w:p>
      <w:pPr>
        <w:spacing w:after="0" w:line="1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Long-Term Equity Awards</w:t>
      </w:r>
    </w:p>
    <w:p>
      <w:pPr>
        <w:spacing w:after="0" w:line="156"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7"/>
          <w:szCs w:val="17"/>
          <w:color w:val="auto"/>
        </w:rPr>
        <w:t>Our non-employee directors receive annual LTIP awards as part of their compensation. Such LTIP awards consist of PAGP phantom Class A shares having a market value on the date of grant equal to approximately $125,000 (based on a volume weighted average price for the 10-trading day period beginning five days before and ending five days after the ex-dividend date immediately preceding the date of grant). The annual LTIP awards granted in 2022 will vest (become payable in PAGP Class A shares on a one-for-one basis) on the August 2023 distribution date, and include associated DERs. Outstanding director LTIP awards granted prior to 2022 will vest four years after the date of grant.</w:t>
      </w:r>
    </w:p>
    <w:p>
      <w:pPr>
        <w:spacing w:after="0" w:line="94"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All director LTIP awards vest in full upon the next following distribution date after the death or disability (as determined in good faith by the Board) of the director. The awards also vest in full if a director (i) retires (no longer with full-time employment and no longer serving as an officer or director of any public</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59"/>
        <w:spacing w:after="0" w:line="287" w:lineRule="auto"/>
        <w:rPr>
          <w:sz w:val="20"/>
          <w:szCs w:val="20"/>
          <w:color w:val="auto"/>
        </w:rPr>
      </w:pPr>
      <w:r>
        <w:rPr>
          <w:rFonts w:ascii="Arial" w:cs="Arial" w:eastAsia="Arial" w:hAnsi="Arial"/>
          <w:sz w:val="18"/>
          <w:szCs w:val="18"/>
          <w:color w:val="auto"/>
        </w:rPr>
        <w:t>company) or (ii) is removed from the Board or is not reelected to the Board, unless such removal is for “Cause,” as defined in the PAGP GP LLC Agreement.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Reimbursement of Expenses of Our General Partner and its Affiliates</w:t>
      </w:r>
    </w:p>
    <w:p>
      <w:pPr>
        <w:spacing w:after="0" w:line="158"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We do not pay our general partner a management fee, but we do reimburse our general partner for all direct and indirect costs of services provided to us, incurred on our behalf, including the costs of employee, officer and director compensation and benefits allocable to us, as well as all other expenses necessary or appropriate to the conduct of our business, allocable to us.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Plains All American Pipeline, L.P.</w:t>
      </w:r>
    </w:p>
    <w:p>
      <w:pPr>
        <w:spacing w:after="0" w:line="158" w:lineRule="exact"/>
        <w:rPr>
          <w:sz w:val="20"/>
          <w:szCs w:val="20"/>
          <w:color w:val="auto"/>
        </w:rPr>
      </w:pPr>
    </w:p>
    <w:p>
      <w:pPr>
        <w:ind w:left="1260" w:right="480" w:firstLine="360"/>
        <w:spacing w:after="0" w:line="255" w:lineRule="auto"/>
        <w:rPr>
          <w:sz w:val="20"/>
          <w:szCs w:val="20"/>
          <w:color w:val="auto"/>
        </w:rPr>
      </w:pPr>
      <w:r>
        <w:rPr>
          <w:rFonts w:ascii="Arial" w:cs="Arial" w:eastAsia="Arial" w:hAnsi="Arial"/>
          <w:sz w:val="18"/>
          <w:szCs w:val="18"/>
          <w:color w:val="auto"/>
        </w:rPr>
        <w:t>Our common units and Series A preferred units outstanding (collectively, our “Common Unit Equivalents”) represent 100% of our voting securities. Ownership of the non-economic general partner interest is discussed separately below under “— Beneficial Ownership of General Partner Interest.” The following table sets forth certain information regarding the beneficial ownership of our common units and Series A preferred units as of March 27, 2023 (unless otherwise noted) by each person who is known to us to beneficially own more than 5% of our common units, each person who is known to us to beneficially own more than 5% of our Series A preferred units, the Named Executive Officers, our directors, and all directors and executive officers as a group. See pages 9-11 for additional information regarding our ownership and voting structure.</w:t>
      </w:r>
    </w:p>
    <w:p>
      <w:pPr>
        <w:spacing w:after="0" w:line="200" w:lineRule="exact"/>
        <w:rPr>
          <w:sz w:val="20"/>
          <w:szCs w:val="20"/>
          <w:color w:val="auto"/>
        </w:rPr>
      </w:pPr>
    </w:p>
    <w:tbl>
      <w:tblPr>
        <w:tblLayout w:type="fixed"/>
        <w:tblInd w:w="830" w:type="dxa"/>
        <w:tblCellMar>
          <w:top w:w="0" w:type="dxa"/>
          <w:left w:w="0" w:type="dxa"/>
          <w:bottom w:w="0" w:type="dxa"/>
          <w:right w:w="0" w:type="dxa"/>
        </w:tblCellMar>
      </w:tblPr>
      <w:tr>
        <w:trPr>
          <w:trHeight w:val="234"/>
        </w:trPr>
        <w:tc>
          <w:tcPr>
            <w:tcW w:w="440" w:type="dxa"/>
            <w:vAlign w:val="bottom"/>
            <w:tcBorders>
              <w:left w:val="single" w:sz="8" w:color="424E6A"/>
            </w:tcBorders>
            <w:shd w:val="clear" w:color="auto" w:fill="424E6A"/>
          </w:tcPr>
          <w:p>
            <w:pPr>
              <w:spacing w:after="0"/>
              <w:rPr>
                <w:sz w:val="20"/>
                <w:szCs w:val="20"/>
                <w:color w:val="auto"/>
              </w:rPr>
            </w:pPr>
          </w:p>
        </w:tc>
        <w:tc>
          <w:tcPr>
            <w:tcW w:w="1700" w:type="dxa"/>
            <w:vAlign w:val="bottom"/>
            <w:tcBorders>
              <w:right w:val="single" w:sz="8" w:color="424E6A"/>
            </w:tcBorders>
            <w:shd w:val="clear" w:color="auto" w:fill="424E6A"/>
          </w:tcPr>
          <w:p>
            <w:pPr>
              <w:spacing w:after="0"/>
              <w:rPr>
                <w:sz w:val="20"/>
                <w:szCs w:val="20"/>
                <w:color w:val="auto"/>
              </w:rPr>
            </w:pPr>
          </w:p>
        </w:tc>
        <w:tc>
          <w:tcPr>
            <w:tcW w:w="240" w:type="dxa"/>
            <w:vAlign w:val="bottom"/>
            <w:shd w:val="clear" w:color="auto" w:fill="424E6A"/>
          </w:tcPr>
          <w:p>
            <w:pPr>
              <w:spacing w:after="0"/>
              <w:rPr>
                <w:sz w:val="20"/>
                <w:szCs w:val="20"/>
                <w:color w:val="auto"/>
              </w:rPr>
            </w:pPr>
          </w:p>
        </w:tc>
        <w:tc>
          <w:tcPr>
            <w:tcW w:w="1340" w:type="dxa"/>
            <w:vAlign w:val="bottom"/>
            <w:tcBorders>
              <w:right w:val="single" w:sz="8" w:color="424E6A"/>
            </w:tcBorders>
            <w:shd w:val="clear" w:color="auto" w:fill="424E6A"/>
          </w:tcPr>
          <w:p>
            <w:pPr>
              <w:spacing w:after="0"/>
              <w:rPr>
                <w:sz w:val="20"/>
                <w:szCs w:val="20"/>
                <w:color w:val="auto"/>
              </w:rPr>
            </w:pPr>
          </w:p>
        </w:tc>
        <w:tc>
          <w:tcPr>
            <w:tcW w:w="1300" w:type="dxa"/>
            <w:vAlign w:val="bottom"/>
            <w:tcBorders>
              <w:right w:val="single" w:sz="8" w:color="424E6A"/>
            </w:tcBorders>
            <w:shd w:val="clear" w:color="auto" w:fill="424E6A"/>
          </w:tcPr>
          <w:p>
            <w:pPr>
              <w:spacing w:after="0"/>
              <w:rPr>
                <w:sz w:val="20"/>
                <w:szCs w:val="20"/>
                <w:color w:val="auto"/>
              </w:rPr>
            </w:pPr>
          </w:p>
        </w:tc>
        <w:tc>
          <w:tcPr>
            <w:tcW w:w="1320" w:type="dxa"/>
            <w:vAlign w:val="bottom"/>
            <w:tcBorders>
              <w:right w:val="single" w:sz="8" w:color="424E6A"/>
            </w:tcBorders>
            <w:shd w:val="clear" w:color="auto" w:fill="424E6A"/>
          </w:tcPr>
          <w:p>
            <w:pPr>
              <w:spacing w:after="0"/>
              <w:rPr>
                <w:sz w:val="20"/>
                <w:szCs w:val="20"/>
                <w:color w:val="auto"/>
              </w:rPr>
            </w:pPr>
          </w:p>
        </w:tc>
        <w:tc>
          <w:tcPr>
            <w:tcW w:w="1320" w:type="dxa"/>
            <w:vAlign w:val="bottom"/>
            <w:tcBorders>
              <w:right w:val="single" w:sz="8" w:color="424E6A"/>
            </w:tcBorders>
            <w:shd w:val="clear" w:color="auto" w:fill="424E6A"/>
          </w:tcPr>
          <w:p>
            <w:pPr>
              <w:spacing w:after="0"/>
              <w:rPr>
                <w:sz w:val="20"/>
                <w:szCs w:val="20"/>
                <w:color w:val="auto"/>
              </w:rPr>
            </w:pPr>
          </w:p>
        </w:tc>
        <w:tc>
          <w:tcPr>
            <w:tcW w:w="14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0" w:type="dxa"/>
            <w:vAlign w:val="bottom"/>
          </w:tcPr>
          <w:p>
            <w:pPr>
              <w:spacing w:after="0"/>
              <w:rPr>
                <w:sz w:val="1"/>
                <w:szCs w:val="1"/>
                <w:color w:val="auto"/>
              </w:rPr>
            </w:pPr>
          </w:p>
        </w:tc>
      </w:tr>
      <w:tr>
        <w:trPr>
          <w:trHeight w:val="162"/>
        </w:trPr>
        <w:tc>
          <w:tcPr>
            <w:tcW w:w="440" w:type="dxa"/>
            <w:vAlign w:val="bottom"/>
            <w:tcBorders>
              <w:left w:val="single" w:sz="8" w:color="424E6A"/>
            </w:tcBorders>
            <w:shd w:val="clear" w:color="auto" w:fill="424E6A"/>
          </w:tcPr>
          <w:p>
            <w:pPr>
              <w:spacing w:after="0"/>
              <w:rPr>
                <w:sz w:val="14"/>
                <w:szCs w:val="14"/>
                <w:color w:val="auto"/>
              </w:rPr>
            </w:pPr>
          </w:p>
        </w:tc>
        <w:tc>
          <w:tcPr>
            <w:tcW w:w="170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1340" w:type="dxa"/>
            <w:vAlign w:val="bottom"/>
            <w:tcBorders>
              <w:right w:val="single" w:sz="8" w:color="424E6A"/>
            </w:tcBorders>
            <w:shd w:val="clear" w:color="auto" w:fill="424E6A"/>
          </w:tcPr>
          <w:p>
            <w:pPr>
              <w:spacing w:after="0"/>
              <w:rPr>
                <w:sz w:val="14"/>
                <w:szCs w:val="14"/>
                <w:color w:val="auto"/>
              </w:rPr>
            </w:pPr>
          </w:p>
        </w:tc>
        <w:tc>
          <w:tcPr>
            <w:tcW w:w="1300" w:type="dxa"/>
            <w:vAlign w:val="bottom"/>
            <w:tcBorders>
              <w:right w:val="single" w:sz="8" w:color="424E6A"/>
            </w:tcBorders>
            <w:shd w:val="clear" w:color="auto" w:fill="424E6A"/>
          </w:tcPr>
          <w:p>
            <w:pPr>
              <w:spacing w:after="0"/>
              <w:rPr>
                <w:sz w:val="14"/>
                <w:szCs w:val="14"/>
                <w:color w:val="auto"/>
              </w:rPr>
            </w:pPr>
          </w:p>
        </w:tc>
        <w:tc>
          <w:tcPr>
            <w:tcW w:w="1320" w:type="dxa"/>
            <w:vAlign w:val="bottom"/>
            <w:tcBorders>
              <w:right w:val="single" w:sz="8" w:color="424E6A"/>
            </w:tcBorders>
            <w:shd w:val="clear" w:color="auto" w:fill="424E6A"/>
          </w:tcPr>
          <w:p>
            <w:pPr>
              <w:spacing w:after="0"/>
              <w:rPr>
                <w:sz w:val="14"/>
                <w:szCs w:val="14"/>
                <w:color w:val="auto"/>
              </w:rPr>
            </w:pPr>
          </w:p>
        </w:tc>
        <w:tc>
          <w:tcPr>
            <w:tcW w:w="13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14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0"/>
              </w:rPr>
              <w:t>of</w:t>
            </w:r>
          </w:p>
        </w:tc>
        <w:tc>
          <w:tcPr>
            <w:tcW w:w="0" w:type="dxa"/>
            <w:vAlign w:val="bottom"/>
          </w:tcPr>
          <w:p>
            <w:pPr>
              <w:spacing w:after="0"/>
              <w:rPr>
                <w:sz w:val="1"/>
                <w:szCs w:val="1"/>
                <w:color w:val="auto"/>
              </w:rPr>
            </w:pPr>
          </w:p>
        </w:tc>
      </w:tr>
      <w:tr>
        <w:trPr>
          <w:trHeight w:val="162"/>
        </w:trPr>
        <w:tc>
          <w:tcPr>
            <w:tcW w:w="2140" w:type="dxa"/>
            <w:vAlign w:val="bottom"/>
            <w:tcBorders>
              <w:left w:val="single" w:sz="8" w:color="424E6A"/>
              <w:right w:val="single" w:sz="8" w:color="424E6A"/>
            </w:tcBorders>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Name of Beneficial Owner</w:t>
            </w:r>
          </w:p>
        </w:tc>
        <w:tc>
          <w:tcPr>
            <w:tcW w:w="240" w:type="dxa"/>
            <w:vAlign w:val="bottom"/>
            <w:shd w:val="clear" w:color="auto" w:fill="424E6A"/>
          </w:tcPr>
          <w:p>
            <w:pPr>
              <w:spacing w:after="0"/>
              <w:rPr>
                <w:sz w:val="14"/>
                <w:szCs w:val="14"/>
                <w:color w:val="auto"/>
              </w:rPr>
            </w:pPr>
          </w:p>
        </w:tc>
        <w:tc>
          <w:tcPr>
            <w:tcW w:w="1340" w:type="dxa"/>
            <w:vAlign w:val="bottom"/>
            <w:tcBorders>
              <w:right w:val="single" w:sz="8" w:color="424E6A"/>
            </w:tcBorders>
            <w:shd w:val="clear" w:color="auto" w:fill="424E6A"/>
          </w:tcPr>
          <w:p>
            <w:pPr>
              <w:spacing w:after="0"/>
              <w:rPr>
                <w:sz w:val="14"/>
                <w:szCs w:val="14"/>
                <w:color w:val="auto"/>
              </w:rPr>
            </w:pPr>
          </w:p>
        </w:tc>
        <w:tc>
          <w:tcPr>
            <w:tcW w:w="13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13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Series A</w:t>
            </w:r>
          </w:p>
        </w:tc>
        <w:tc>
          <w:tcPr>
            <w:tcW w:w="13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of Series A</w:t>
            </w:r>
          </w:p>
        </w:tc>
        <w:tc>
          <w:tcPr>
            <w:tcW w:w="14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Common</w:t>
            </w:r>
          </w:p>
        </w:tc>
        <w:tc>
          <w:tcPr>
            <w:tcW w:w="0" w:type="dxa"/>
            <w:vAlign w:val="bottom"/>
          </w:tcPr>
          <w:p>
            <w:pPr>
              <w:spacing w:after="0"/>
              <w:rPr>
                <w:sz w:val="1"/>
                <w:szCs w:val="1"/>
                <w:color w:val="auto"/>
              </w:rPr>
            </w:pPr>
          </w:p>
        </w:tc>
      </w:tr>
      <w:tr>
        <w:trPr>
          <w:trHeight w:val="162"/>
        </w:trPr>
        <w:tc>
          <w:tcPr>
            <w:tcW w:w="2140" w:type="dxa"/>
            <w:vAlign w:val="bottom"/>
            <w:tcBorders>
              <w:left w:val="single" w:sz="8" w:color="424E6A"/>
              <w:right w:val="single" w:sz="8" w:color="424E6A"/>
            </w:tcBorders>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and Address (in the case of</w:t>
            </w:r>
          </w:p>
        </w:tc>
        <w:tc>
          <w:tcPr>
            <w:tcW w:w="240" w:type="dxa"/>
            <w:vAlign w:val="bottom"/>
            <w:shd w:val="clear" w:color="auto" w:fill="424E6A"/>
          </w:tcPr>
          <w:p>
            <w:pPr>
              <w:spacing w:after="0"/>
              <w:rPr>
                <w:sz w:val="14"/>
                <w:szCs w:val="14"/>
                <w:color w:val="auto"/>
              </w:rPr>
            </w:pPr>
          </w:p>
        </w:tc>
        <w:tc>
          <w:tcPr>
            <w:tcW w:w="1340" w:type="dxa"/>
            <w:vAlign w:val="bottom"/>
            <w:tcBorders>
              <w:right w:val="single" w:sz="8" w:color="424E6A"/>
            </w:tcBorders>
            <w:shd w:val="clear" w:color="auto" w:fill="424E6A"/>
          </w:tcPr>
          <w:p>
            <w:pPr>
              <w:jc w:val="right"/>
              <w:ind w:right="501"/>
              <w:spacing w:after="0"/>
              <w:rPr>
                <w:sz w:val="20"/>
                <w:szCs w:val="20"/>
                <w:color w:val="auto"/>
              </w:rPr>
            </w:pPr>
            <w:r>
              <w:rPr>
                <w:rFonts w:ascii="Arial" w:cs="Arial" w:eastAsia="Arial" w:hAnsi="Arial"/>
                <w:sz w:val="14"/>
                <w:szCs w:val="14"/>
                <w:b w:val="1"/>
                <w:bCs w:val="1"/>
                <w:color w:val="FFFFFF"/>
              </w:rPr>
              <w:t>Common</w:t>
            </w:r>
          </w:p>
        </w:tc>
        <w:tc>
          <w:tcPr>
            <w:tcW w:w="13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of Common</w:t>
            </w:r>
          </w:p>
        </w:tc>
        <w:tc>
          <w:tcPr>
            <w:tcW w:w="13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Preferred</w:t>
            </w:r>
          </w:p>
        </w:tc>
        <w:tc>
          <w:tcPr>
            <w:tcW w:w="13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Preferred</w:t>
            </w:r>
          </w:p>
        </w:tc>
        <w:tc>
          <w:tcPr>
            <w:tcW w:w="14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Unit</w:t>
            </w:r>
          </w:p>
        </w:tc>
        <w:tc>
          <w:tcPr>
            <w:tcW w:w="0" w:type="dxa"/>
            <w:vAlign w:val="bottom"/>
          </w:tcPr>
          <w:p>
            <w:pPr>
              <w:spacing w:after="0"/>
              <w:rPr>
                <w:sz w:val="1"/>
                <w:szCs w:val="1"/>
                <w:color w:val="auto"/>
              </w:rPr>
            </w:pPr>
          </w:p>
        </w:tc>
      </w:tr>
      <w:tr>
        <w:trPr>
          <w:trHeight w:val="212"/>
        </w:trPr>
        <w:tc>
          <w:tcPr>
            <w:tcW w:w="2140" w:type="dxa"/>
            <w:vAlign w:val="bottom"/>
            <w:tcBorders>
              <w:left w:val="single" w:sz="8" w:color="424E6A"/>
              <w:right w:val="single" w:sz="8" w:color="424E6A"/>
            </w:tcBorders>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Owners of more than 5%)</w:t>
            </w:r>
          </w:p>
        </w:tc>
        <w:tc>
          <w:tcPr>
            <w:tcW w:w="240" w:type="dxa"/>
            <w:vAlign w:val="bottom"/>
            <w:shd w:val="clear" w:color="auto" w:fill="424E6A"/>
          </w:tcPr>
          <w:p>
            <w:pPr>
              <w:spacing w:after="0"/>
              <w:rPr>
                <w:sz w:val="18"/>
                <w:szCs w:val="18"/>
                <w:color w:val="auto"/>
              </w:rPr>
            </w:pPr>
          </w:p>
        </w:tc>
        <w:tc>
          <w:tcPr>
            <w:tcW w:w="1340" w:type="dxa"/>
            <w:vAlign w:val="bottom"/>
            <w:tcBorders>
              <w:right w:val="single" w:sz="8" w:color="424E6A"/>
            </w:tcBorders>
            <w:shd w:val="clear" w:color="auto" w:fill="424E6A"/>
          </w:tcPr>
          <w:p>
            <w:pPr>
              <w:jc w:val="right"/>
              <w:ind w:right="621"/>
              <w:spacing w:after="0"/>
              <w:rPr>
                <w:sz w:val="20"/>
                <w:szCs w:val="20"/>
                <w:color w:val="auto"/>
              </w:rPr>
            </w:pPr>
            <w:r>
              <w:rPr>
                <w:rFonts w:ascii="Arial" w:cs="Arial" w:eastAsia="Arial" w:hAnsi="Arial"/>
                <w:sz w:val="14"/>
                <w:szCs w:val="14"/>
                <w:b w:val="1"/>
                <w:bCs w:val="1"/>
                <w:color w:val="FFFFFF"/>
              </w:rPr>
              <w:t>Units</w:t>
            </w:r>
          </w:p>
        </w:tc>
        <w:tc>
          <w:tcPr>
            <w:tcW w:w="13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Units</w:t>
            </w:r>
          </w:p>
        </w:tc>
        <w:tc>
          <w:tcPr>
            <w:tcW w:w="13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4"/>
              </w:rPr>
              <w:t>Units</w:t>
            </w:r>
            <w:r>
              <w:rPr>
                <w:rFonts w:ascii="Arial" w:cs="Arial" w:eastAsia="Arial" w:hAnsi="Arial"/>
                <w:sz w:val="17"/>
                <w:szCs w:val="17"/>
                <w:b w:val="1"/>
                <w:bCs w:val="1"/>
                <w:color w:val="FFFFFF"/>
                <w:w w:val="94"/>
                <w:vertAlign w:val="superscript"/>
              </w:rPr>
              <w:t>(1)</w:t>
            </w:r>
          </w:p>
        </w:tc>
        <w:tc>
          <w:tcPr>
            <w:tcW w:w="13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Units</w:t>
            </w:r>
          </w:p>
        </w:tc>
        <w:tc>
          <w:tcPr>
            <w:tcW w:w="14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Equivalents**</w:t>
            </w:r>
          </w:p>
        </w:tc>
        <w:tc>
          <w:tcPr>
            <w:tcW w:w="0" w:type="dxa"/>
            <w:vAlign w:val="bottom"/>
          </w:tcPr>
          <w:p>
            <w:pPr>
              <w:spacing w:after="0"/>
              <w:rPr>
                <w:sz w:val="1"/>
                <w:szCs w:val="1"/>
                <w:color w:val="auto"/>
              </w:rPr>
            </w:pPr>
          </w:p>
        </w:tc>
      </w:tr>
      <w:tr>
        <w:trPr>
          <w:trHeight w:val="243"/>
        </w:trPr>
        <w:tc>
          <w:tcPr>
            <w:tcW w:w="2140" w:type="dxa"/>
            <w:vAlign w:val="bottom"/>
            <w:tcBorders>
              <w:left w:val="single" w:sz="8" w:color="424E6A"/>
              <w:bottom w:val="single" w:sz="8" w:color="424E6A"/>
              <w:right w:val="single" w:sz="8" w:color="424E6A"/>
            </w:tcBorders>
            <w:gridSpan w:val="2"/>
            <w:shd w:val="clear" w:color="auto" w:fill="D9DCE1"/>
          </w:tcPr>
          <w:p>
            <w:pPr>
              <w:ind w:left="60"/>
              <w:spacing w:after="0"/>
              <w:rPr>
                <w:sz w:val="20"/>
                <w:szCs w:val="20"/>
                <w:color w:val="auto"/>
              </w:rPr>
            </w:pPr>
            <w:r>
              <w:rPr>
                <w:rFonts w:ascii="Arial" w:cs="Arial" w:eastAsia="Arial" w:hAnsi="Arial"/>
                <w:sz w:val="16"/>
                <w:szCs w:val="16"/>
                <w:color w:val="auto"/>
              </w:rPr>
              <w:t>Plains AAP, L.P.</w:t>
            </w:r>
            <w:r>
              <w:rPr>
                <w:rFonts w:ascii="Arial" w:cs="Arial" w:eastAsia="Arial" w:hAnsi="Arial"/>
                <w:sz w:val="19"/>
                <w:szCs w:val="19"/>
                <w:color w:val="auto"/>
                <w:vertAlign w:val="superscript"/>
              </w:rPr>
              <w:t>(2)</w:t>
            </w:r>
          </w:p>
        </w:tc>
        <w:tc>
          <w:tcPr>
            <w:tcW w:w="1580" w:type="dxa"/>
            <w:vAlign w:val="bottom"/>
            <w:tcBorders>
              <w:bottom w:val="single" w:sz="8" w:color="424E6A"/>
              <w:right w:val="single" w:sz="8" w:color="424E6A"/>
            </w:tcBorders>
            <w:gridSpan w:val="2"/>
            <w:shd w:val="clear" w:color="auto" w:fill="D9DCE1"/>
          </w:tcPr>
          <w:p>
            <w:pPr>
              <w:jc w:val="right"/>
              <w:ind w:right="341"/>
              <w:spacing w:after="0"/>
              <w:rPr>
                <w:sz w:val="20"/>
                <w:szCs w:val="20"/>
                <w:color w:val="auto"/>
              </w:rPr>
            </w:pPr>
            <w:r>
              <w:rPr>
                <w:rFonts w:ascii="Arial" w:cs="Arial" w:eastAsia="Arial" w:hAnsi="Arial"/>
                <w:sz w:val="16"/>
                <w:szCs w:val="16"/>
                <w:color w:val="auto"/>
              </w:rPr>
              <w:t>241,002,428</w:t>
            </w:r>
          </w:p>
        </w:tc>
        <w:tc>
          <w:tcPr>
            <w:tcW w:w="1300" w:type="dxa"/>
            <w:vAlign w:val="bottom"/>
            <w:tcBorders>
              <w:bottom w:val="single" w:sz="8" w:color="424E6A"/>
              <w:right w:val="single" w:sz="8" w:color="424E6A"/>
            </w:tcBorders>
            <w:shd w:val="clear" w:color="auto" w:fill="D9DCE1"/>
          </w:tcPr>
          <w:p>
            <w:pPr>
              <w:jc w:val="right"/>
              <w:ind w:right="280"/>
              <w:spacing w:after="0"/>
              <w:rPr>
                <w:sz w:val="20"/>
                <w:szCs w:val="20"/>
                <w:color w:val="auto"/>
              </w:rPr>
            </w:pPr>
            <w:r>
              <w:rPr>
                <w:rFonts w:ascii="Arial" w:cs="Arial" w:eastAsia="Arial" w:hAnsi="Arial"/>
                <w:sz w:val="16"/>
                <w:szCs w:val="16"/>
                <w:color w:val="auto"/>
              </w:rPr>
              <w:t>34.5%</w:t>
            </w:r>
          </w:p>
        </w:tc>
        <w:tc>
          <w:tcPr>
            <w:tcW w:w="1320" w:type="dxa"/>
            <w:vAlign w:val="bottom"/>
            <w:tcBorders>
              <w:bottom w:val="single" w:sz="8" w:color="424E6A"/>
              <w:right w:val="single" w:sz="8" w:color="424E6A"/>
            </w:tcBorders>
            <w:shd w:val="clear" w:color="auto" w:fill="D9DCE1"/>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24E6A"/>
              <w:right w:val="single" w:sz="8" w:color="424E6A"/>
            </w:tcBorders>
            <w:shd w:val="clear" w:color="auto" w:fill="D9DCE1"/>
          </w:tcPr>
          <w:p>
            <w:pPr>
              <w:jc w:val="right"/>
              <w:ind w:right="321"/>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36"/>
        </w:trPr>
        <w:tc>
          <w:tcPr>
            <w:tcW w:w="2140" w:type="dxa"/>
            <w:vAlign w:val="bottom"/>
            <w:tcBorders>
              <w:left w:val="single" w:sz="8" w:color="424E6A"/>
              <w:bottom w:val="single" w:sz="8" w:color="424E6A"/>
              <w:right w:val="single" w:sz="8" w:color="424E6A"/>
            </w:tcBorders>
            <w:gridSpan w:val="2"/>
          </w:tcPr>
          <w:p>
            <w:pPr>
              <w:ind w:left="60"/>
              <w:spacing w:after="0"/>
              <w:rPr>
                <w:sz w:val="20"/>
                <w:szCs w:val="20"/>
                <w:color w:val="auto"/>
              </w:rPr>
            </w:pPr>
            <w:r>
              <w:rPr>
                <w:rFonts w:ascii="Arial" w:cs="Arial" w:eastAsia="Arial" w:hAnsi="Arial"/>
                <w:sz w:val="16"/>
                <w:szCs w:val="16"/>
                <w:color w:val="auto"/>
              </w:rPr>
              <w:t>ALPS Advisors, Inc.</w:t>
            </w:r>
            <w:r>
              <w:rPr>
                <w:rFonts w:ascii="Arial" w:cs="Arial" w:eastAsia="Arial" w:hAnsi="Arial"/>
                <w:sz w:val="19"/>
                <w:szCs w:val="19"/>
                <w:color w:val="auto"/>
                <w:vertAlign w:val="superscript"/>
              </w:rPr>
              <w:t>(3)</w:t>
            </w:r>
          </w:p>
        </w:tc>
        <w:tc>
          <w:tcPr>
            <w:tcW w:w="1580" w:type="dxa"/>
            <w:vAlign w:val="bottom"/>
            <w:tcBorders>
              <w:bottom w:val="single" w:sz="8" w:color="424E6A"/>
              <w:right w:val="single" w:sz="8" w:color="424E6A"/>
            </w:tcBorders>
            <w:gridSpan w:val="2"/>
          </w:tcPr>
          <w:p>
            <w:pPr>
              <w:jc w:val="right"/>
              <w:ind w:right="341"/>
              <w:spacing w:after="0"/>
              <w:rPr>
                <w:sz w:val="20"/>
                <w:szCs w:val="20"/>
                <w:color w:val="auto"/>
              </w:rPr>
            </w:pPr>
            <w:r>
              <w:rPr>
                <w:rFonts w:ascii="Arial" w:cs="Arial" w:eastAsia="Arial" w:hAnsi="Arial"/>
                <w:sz w:val="16"/>
                <w:szCs w:val="16"/>
                <w:color w:val="auto"/>
              </w:rPr>
              <w:t>55,340,191</w:t>
            </w:r>
          </w:p>
        </w:tc>
        <w:tc>
          <w:tcPr>
            <w:tcW w:w="1300" w:type="dxa"/>
            <w:vAlign w:val="bottom"/>
            <w:tcBorders>
              <w:bottom w:val="single" w:sz="8" w:color="424E6A"/>
              <w:right w:val="single" w:sz="8" w:color="424E6A"/>
            </w:tcBorders>
          </w:tcPr>
          <w:p>
            <w:pPr>
              <w:jc w:val="right"/>
              <w:ind w:right="280"/>
              <w:spacing w:after="0"/>
              <w:rPr>
                <w:sz w:val="20"/>
                <w:szCs w:val="20"/>
                <w:color w:val="auto"/>
              </w:rPr>
            </w:pPr>
            <w:r>
              <w:rPr>
                <w:rFonts w:ascii="Arial" w:cs="Arial" w:eastAsia="Arial" w:hAnsi="Arial"/>
                <w:sz w:val="16"/>
                <w:szCs w:val="16"/>
                <w:color w:val="auto"/>
              </w:rPr>
              <w:t>7.9%</w:t>
            </w:r>
          </w:p>
        </w:tc>
        <w:tc>
          <w:tcPr>
            <w:tcW w:w="1320" w:type="dxa"/>
            <w:vAlign w:val="bottom"/>
            <w:tcBorders>
              <w:bottom w:val="single" w:sz="8" w:color="424E6A"/>
              <w:right w:val="single" w:sz="8" w:color="424E6A"/>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24E6A"/>
              <w:right w:val="single" w:sz="8" w:color="424E6A"/>
            </w:tcBorders>
          </w:tcPr>
          <w:p>
            <w:pPr>
              <w:jc w:val="right"/>
              <w:ind w:right="321"/>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7"/>
        </w:trPr>
        <w:tc>
          <w:tcPr>
            <w:tcW w:w="2140" w:type="dxa"/>
            <w:vAlign w:val="bottom"/>
            <w:tcBorders>
              <w:left w:val="single" w:sz="8" w:color="424E6A"/>
              <w:bottom w:val="single" w:sz="8" w:color="424E6A"/>
              <w:right w:val="single" w:sz="8" w:color="424E6A"/>
            </w:tcBorders>
            <w:gridSpan w:val="2"/>
            <w:shd w:val="clear" w:color="auto" w:fill="D9DCE1"/>
          </w:tcPr>
          <w:p>
            <w:pPr>
              <w:ind w:left="60"/>
              <w:spacing w:after="0"/>
              <w:rPr>
                <w:sz w:val="20"/>
                <w:szCs w:val="20"/>
                <w:color w:val="auto"/>
              </w:rPr>
            </w:pPr>
            <w:r>
              <w:rPr>
                <w:rFonts w:ascii="Arial" w:cs="Arial" w:eastAsia="Arial" w:hAnsi="Arial"/>
                <w:sz w:val="16"/>
                <w:szCs w:val="16"/>
                <w:color w:val="auto"/>
              </w:rPr>
              <w:t>EnCap Partners LLC</w:t>
            </w:r>
            <w:r>
              <w:rPr>
                <w:rFonts w:ascii="Arial" w:cs="Arial" w:eastAsia="Arial" w:hAnsi="Arial"/>
                <w:sz w:val="19"/>
                <w:szCs w:val="19"/>
                <w:color w:val="auto"/>
                <w:vertAlign w:val="superscript"/>
              </w:rPr>
              <w:t>(4)</w:t>
            </w:r>
          </w:p>
        </w:tc>
        <w:tc>
          <w:tcPr>
            <w:tcW w:w="240" w:type="dxa"/>
            <w:vAlign w:val="bottom"/>
            <w:tcBorders>
              <w:bottom w:val="single" w:sz="8" w:color="424E6A"/>
            </w:tcBorders>
            <w:shd w:val="clear" w:color="auto" w:fill="D9DCE1"/>
          </w:tcPr>
          <w:p>
            <w:pPr>
              <w:spacing w:after="0"/>
              <w:rPr>
                <w:sz w:val="20"/>
                <w:szCs w:val="20"/>
                <w:color w:val="auto"/>
              </w:rPr>
            </w:pPr>
          </w:p>
        </w:tc>
        <w:tc>
          <w:tcPr>
            <w:tcW w:w="1340" w:type="dxa"/>
            <w:vAlign w:val="bottom"/>
            <w:tcBorders>
              <w:bottom w:val="single" w:sz="8" w:color="424E6A"/>
              <w:right w:val="single" w:sz="8" w:color="424E6A"/>
            </w:tcBorders>
            <w:shd w:val="clear" w:color="auto" w:fill="D9DCE1"/>
          </w:tcPr>
          <w:p>
            <w:pPr>
              <w:jc w:val="right"/>
              <w:ind w:right="34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180"/>
              <w:spacing w:after="0"/>
              <w:rPr>
                <w:sz w:val="20"/>
                <w:szCs w:val="20"/>
                <w:color w:val="auto"/>
              </w:rPr>
            </w:pPr>
            <w:r>
              <w:rPr>
                <w:rFonts w:ascii="Arial" w:cs="Arial" w:eastAsia="Arial" w:hAnsi="Arial"/>
                <w:sz w:val="16"/>
                <w:szCs w:val="16"/>
                <w:color w:val="auto"/>
              </w:rPr>
              <w:t>25,357,120</w:t>
            </w:r>
          </w:p>
        </w:tc>
        <w:tc>
          <w:tcPr>
            <w:tcW w:w="1320" w:type="dxa"/>
            <w:vAlign w:val="bottom"/>
            <w:tcBorders>
              <w:bottom w:val="single" w:sz="8" w:color="424E6A"/>
              <w:right w:val="single" w:sz="8" w:color="424E6A"/>
            </w:tcBorders>
            <w:shd w:val="clear" w:color="auto" w:fill="D9DCE1"/>
          </w:tcPr>
          <w:p>
            <w:pPr>
              <w:jc w:val="right"/>
              <w:ind w:right="280"/>
              <w:spacing w:after="0"/>
              <w:rPr>
                <w:sz w:val="20"/>
                <w:szCs w:val="20"/>
                <w:color w:val="auto"/>
              </w:rPr>
            </w:pPr>
            <w:r>
              <w:rPr>
                <w:rFonts w:ascii="Arial" w:cs="Arial" w:eastAsia="Arial" w:hAnsi="Arial"/>
                <w:sz w:val="16"/>
                <w:szCs w:val="16"/>
                <w:color w:val="auto"/>
              </w:rPr>
              <w:t>35.7%</w:t>
            </w:r>
          </w:p>
        </w:tc>
        <w:tc>
          <w:tcPr>
            <w:tcW w:w="1420" w:type="dxa"/>
            <w:vAlign w:val="bottom"/>
            <w:tcBorders>
              <w:bottom w:val="single" w:sz="8" w:color="424E6A"/>
              <w:right w:val="single" w:sz="8" w:color="424E6A"/>
            </w:tcBorders>
            <w:shd w:val="clear" w:color="auto" w:fill="D9DCE1"/>
          </w:tcPr>
          <w:p>
            <w:pPr>
              <w:jc w:val="right"/>
              <w:ind w:right="321"/>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79"/>
        </w:trPr>
        <w:tc>
          <w:tcPr>
            <w:tcW w:w="2140" w:type="dxa"/>
            <w:vAlign w:val="bottom"/>
            <w:tcBorders>
              <w:left w:val="single" w:sz="8" w:color="424E6A"/>
              <w:right w:val="single" w:sz="8" w:color="424E6A"/>
            </w:tcBorders>
            <w:gridSpan w:val="2"/>
          </w:tcPr>
          <w:p>
            <w:pPr>
              <w:ind w:left="60"/>
              <w:spacing w:after="0" w:line="180" w:lineRule="exact"/>
              <w:rPr>
                <w:sz w:val="20"/>
                <w:szCs w:val="20"/>
                <w:color w:val="auto"/>
              </w:rPr>
            </w:pPr>
            <w:r>
              <w:rPr>
                <w:rFonts w:ascii="Arial" w:cs="Arial" w:eastAsia="Arial" w:hAnsi="Arial"/>
                <w:sz w:val="16"/>
                <w:szCs w:val="16"/>
                <w:color w:val="auto"/>
              </w:rPr>
              <w:t>EMG Fund IV PAA</w:t>
            </w:r>
          </w:p>
        </w:tc>
        <w:tc>
          <w:tcPr>
            <w:tcW w:w="240" w:type="dxa"/>
            <w:vAlign w:val="bottom"/>
          </w:tcPr>
          <w:p>
            <w:pPr>
              <w:spacing w:after="0"/>
              <w:rPr>
                <w:sz w:val="15"/>
                <w:szCs w:val="15"/>
                <w:color w:val="auto"/>
              </w:rPr>
            </w:pPr>
          </w:p>
        </w:tc>
        <w:tc>
          <w:tcPr>
            <w:tcW w:w="1340" w:type="dxa"/>
            <w:vAlign w:val="bottom"/>
            <w:tcBorders>
              <w:right w:val="single" w:sz="8" w:color="424E6A"/>
            </w:tcBorders>
          </w:tcPr>
          <w:p>
            <w:pPr>
              <w:spacing w:after="0"/>
              <w:rPr>
                <w:sz w:val="15"/>
                <w:szCs w:val="15"/>
                <w:color w:val="auto"/>
              </w:rPr>
            </w:pPr>
          </w:p>
        </w:tc>
        <w:tc>
          <w:tcPr>
            <w:tcW w:w="1300" w:type="dxa"/>
            <w:vAlign w:val="bottom"/>
            <w:tcBorders>
              <w:right w:val="single" w:sz="8" w:color="424E6A"/>
            </w:tcBorders>
          </w:tcPr>
          <w:p>
            <w:pPr>
              <w:spacing w:after="0"/>
              <w:rPr>
                <w:sz w:val="15"/>
                <w:szCs w:val="15"/>
                <w:color w:val="auto"/>
              </w:rPr>
            </w:pPr>
          </w:p>
        </w:tc>
        <w:tc>
          <w:tcPr>
            <w:tcW w:w="1320" w:type="dxa"/>
            <w:vAlign w:val="bottom"/>
            <w:tcBorders>
              <w:right w:val="single" w:sz="8" w:color="424E6A"/>
            </w:tcBorders>
          </w:tcPr>
          <w:p>
            <w:pPr>
              <w:spacing w:after="0"/>
              <w:rPr>
                <w:sz w:val="15"/>
                <w:szCs w:val="15"/>
                <w:color w:val="auto"/>
              </w:rPr>
            </w:pPr>
          </w:p>
        </w:tc>
        <w:tc>
          <w:tcPr>
            <w:tcW w:w="1320" w:type="dxa"/>
            <w:vAlign w:val="bottom"/>
            <w:tcBorders>
              <w:right w:val="single" w:sz="8" w:color="424E6A"/>
            </w:tcBorders>
          </w:tcPr>
          <w:p>
            <w:pPr>
              <w:spacing w:after="0"/>
              <w:rPr>
                <w:sz w:val="15"/>
                <w:szCs w:val="15"/>
                <w:color w:val="auto"/>
              </w:rPr>
            </w:pPr>
          </w:p>
        </w:tc>
        <w:tc>
          <w:tcPr>
            <w:tcW w:w="1420" w:type="dxa"/>
            <w:vAlign w:val="bottom"/>
            <w:tcBorders>
              <w:right w:val="single" w:sz="8" w:color="424E6A"/>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140" w:type="dxa"/>
            <w:vAlign w:val="bottom"/>
            <w:tcBorders>
              <w:left w:val="single" w:sz="8" w:color="424E6A"/>
              <w:bottom w:val="single" w:sz="8" w:color="424E6A"/>
              <w:right w:val="single" w:sz="8" w:color="424E6A"/>
            </w:tcBorders>
            <w:gridSpan w:val="2"/>
          </w:tcPr>
          <w:p>
            <w:pPr>
              <w:ind w:left="220"/>
              <w:spacing w:after="0"/>
              <w:rPr>
                <w:sz w:val="20"/>
                <w:szCs w:val="20"/>
                <w:color w:val="auto"/>
              </w:rPr>
            </w:pPr>
            <w:r>
              <w:rPr>
                <w:rFonts w:ascii="Arial" w:cs="Arial" w:eastAsia="Arial" w:hAnsi="Arial"/>
                <w:sz w:val="16"/>
                <w:szCs w:val="16"/>
                <w:color w:val="auto"/>
              </w:rPr>
              <w:t>Holdings, LLC</w:t>
            </w:r>
            <w:r>
              <w:rPr>
                <w:rFonts w:ascii="Arial" w:cs="Arial" w:eastAsia="Arial" w:hAnsi="Arial"/>
                <w:sz w:val="19"/>
                <w:szCs w:val="19"/>
                <w:color w:val="auto"/>
                <w:vertAlign w:val="superscript"/>
              </w:rPr>
              <w:t>(5)</w:t>
            </w:r>
          </w:p>
        </w:tc>
        <w:tc>
          <w:tcPr>
            <w:tcW w:w="240" w:type="dxa"/>
            <w:vAlign w:val="bottom"/>
            <w:tcBorders>
              <w:bottom w:val="single" w:sz="8" w:color="424E6A"/>
            </w:tcBorders>
          </w:tcPr>
          <w:p>
            <w:pPr>
              <w:spacing w:after="0"/>
              <w:rPr>
                <w:sz w:val="20"/>
                <w:szCs w:val="20"/>
                <w:color w:val="auto"/>
              </w:rPr>
            </w:pPr>
          </w:p>
        </w:tc>
        <w:tc>
          <w:tcPr>
            <w:tcW w:w="1340" w:type="dxa"/>
            <w:vAlign w:val="bottom"/>
            <w:tcBorders>
              <w:bottom w:val="single" w:sz="8" w:color="424E6A"/>
              <w:right w:val="single" w:sz="8" w:color="424E6A"/>
            </w:tcBorders>
          </w:tcPr>
          <w:p>
            <w:pPr>
              <w:jc w:val="right"/>
              <w:ind w:right="34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tcPr>
          <w:p>
            <w:pPr>
              <w:jc w:val="right"/>
              <w:ind w:right="180"/>
              <w:spacing w:after="0"/>
              <w:rPr>
                <w:sz w:val="20"/>
                <w:szCs w:val="20"/>
                <w:color w:val="auto"/>
              </w:rPr>
            </w:pPr>
            <w:r>
              <w:rPr>
                <w:rFonts w:ascii="Arial" w:cs="Arial" w:eastAsia="Arial" w:hAnsi="Arial"/>
                <w:sz w:val="16"/>
                <w:szCs w:val="16"/>
                <w:color w:val="auto"/>
              </w:rPr>
              <w:t>20,376,259</w:t>
            </w:r>
          </w:p>
        </w:tc>
        <w:tc>
          <w:tcPr>
            <w:tcW w:w="1320" w:type="dxa"/>
            <w:vAlign w:val="bottom"/>
            <w:tcBorders>
              <w:bottom w:val="single" w:sz="8" w:color="424E6A"/>
              <w:right w:val="single" w:sz="8" w:color="424E6A"/>
            </w:tcBorders>
          </w:tcPr>
          <w:p>
            <w:pPr>
              <w:jc w:val="right"/>
              <w:ind w:right="280"/>
              <w:spacing w:after="0"/>
              <w:rPr>
                <w:sz w:val="20"/>
                <w:szCs w:val="20"/>
                <w:color w:val="auto"/>
              </w:rPr>
            </w:pPr>
            <w:r>
              <w:rPr>
                <w:rFonts w:ascii="Arial" w:cs="Arial" w:eastAsia="Arial" w:hAnsi="Arial"/>
                <w:sz w:val="16"/>
                <w:szCs w:val="16"/>
                <w:color w:val="auto"/>
              </w:rPr>
              <w:t>28.7%</w:t>
            </w:r>
          </w:p>
        </w:tc>
        <w:tc>
          <w:tcPr>
            <w:tcW w:w="1420" w:type="dxa"/>
            <w:vAlign w:val="bottom"/>
            <w:tcBorders>
              <w:bottom w:val="single" w:sz="8" w:color="424E6A"/>
              <w:right w:val="single" w:sz="8" w:color="424E6A"/>
            </w:tcBorders>
          </w:tcPr>
          <w:p>
            <w:pPr>
              <w:jc w:val="right"/>
              <w:ind w:right="32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79"/>
        </w:trPr>
        <w:tc>
          <w:tcPr>
            <w:tcW w:w="2140" w:type="dxa"/>
            <w:vAlign w:val="bottom"/>
            <w:tcBorders>
              <w:left w:val="single" w:sz="8" w:color="424E6A"/>
              <w:right w:val="single" w:sz="8" w:color="424E6A"/>
            </w:tcBorders>
            <w:gridSpan w:val="2"/>
            <w:shd w:val="clear" w:color="auto" w:fill="D9DCE1"/>
          </w:tcPr>
          <w:p>
            <w:pPr>
              <w:ind w:left="60"/>
              <w:spacing w:after="0" w:line="180" w:lineRule="exact"/>
              <w:rPr>
                <w:sz w:val="20"/>
                <w:szCs w:val="20"/>
                <w:color w:val="auto"/>
              </w:rPr>
            </w:pPr>
            <w:r>
              <w:rPr>
                <w:rFonts w:ascii="Arial" w:cs="Arial" w:eastAsia="Arial" w:hAnsi="Arial"/>
                <w:sz w:val="16"/>
                <w:szCs w:val="16"/>
                <w:color w:val="auto"/>
              </w:rPr>
              <w:t>FR XIII PAA Holdings</w:t>
            </w:r>
          </w:p>
        </w:tc>
        <w:tc>
          <w:tcPr>
            <w:tcW w:w="240" w:type="dxa"/>
            <w:vAlign w:val="bottom"/>
            <w:shd w:val="clear" w:color="auto" w:fill="D9DCE1"/>
          </w:tcPr>
          <w:p>
            <w:pPr>
              <w:spacing w:after="0"/>
              <w:rPr>
                <w:sz w:val="15"/>
                <w:szCs w:val="15"/>
                <w:color w:val="auto"/>
              </w:rPr>
            </w:pPr>
          </w:p>
        </w:tc>
        <w:tc>
          <w:tcPr>
            <w:tcW w:w="1340" w:type="dxa"/>
            <w:vAlign w:val="bottom"/>
            <w:tcBorders>
              <w:right w:val="single" w:sz="8" w:color="424E6A"/>
            </w:tcBorders>
            <w:shd w:val="clear" w:color="auto" w:fill="D9DCE1"/>
          </w:tcPr>
          <w:p>
            <w:pPr>
              <w:spacing w:after="0"/>
              <w:rPr>
                <w:sz w:val="15"/>
                <w:szCs w:val="15"/>
                <w:color w:val="auto"/>
              </w:rPr>
            </w:pPr>
          </w:p>
        </w:tc>
        <w:tc>
          <w:tcPr>
            <w:tcW w:w="1300" w:type="dxa"/>
            <w:vAlign w:val="bottom"/>
            <w:tcBorders>
              <w:right w:val="single" w:sz="8" w:color="424E6A"/>
            </w:tcBorders>
            <w:shd w:val="clear" w:color="auto" w:fill="D9DCE1"/>
          </w:tcPr>
          <w:p>
            <w:pPr>
              <w:spacing w:after="0"/>
              <w:rPr>
                <w:sz w:val="15"/>
                <w:szCs w:val="15"/>
                <w:color w:val="auto"/>
              </w:rPr>
            </w:pPr>
          </w:p>
        </w:tc>
        <w:tc>
          <w:tcPr>
            <w:tcW w:w="1320" w:type="dxa"/>
            <w:vAlign w:val="bottom"/>
            <w:tcBorders>
              <w:right w:val="single" w:sz="8" w:color="424E6A"/>
            </w:tcBorders>
            <w:shd w:val="clear" w:color="auto" w:fill="D9DCE1"/>
          </w:tcPr>
          <w:p>
            <w:pPr>
              <w:spacing w:after="0"/>
              <w:rPr>
                <w:sz w:val="15"/>
                <w:szCs w:val="15"/>
                <w:color w:val="auto"/>
              </w:rPr>
            </w:pPr>
          </w:p>
        </w:tc>
        <w:tc>
          <w:tcPr>
            <w:tcW w:w="1320" w:type="dxa"/>
            <w:vAlign w:val="bottom"/>
            <w:tcBorders>
              <w:right w:val="single" w:sz="8" w:color="424E6A"/>
            </w:tcBorders>
            <w:shd w:val="clear" w:color="auto" w:fill="D9DCE1"/>
          </w:tcPr>
          <w:p>
            <w:pPr>
              <w:spacing w:after="0"/>
              <w:rPr>
                <w:sz w:val="15"/>
                <w:szCs w:val="15"/>
                <w:color w:val="auto"/>
              </w:rPr>
            </w:pPr>
          </w:p>
        </w:tc>
        <w:tc>
          <w:tcPr>
            <w:tcW w:w="1420" w:type="dxa"/>
            <w:vAlign w:val="bottom"/>
            <w:tcBorders>
              <w:right w:val="single" w:sz="8" w:color="424E6A"/>
            </w:tcBorders>
            <w:shd w:val="clear" w:color="auto" w:fill="D9DCE1"/>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140" w:type="dxa"/>
            <w:vAlign w:val="bottom"/>
            <w:tcBorders>
              <w:left w:val="single" w:sz="8" w:color="424E6A"/>
              <w:bottom w:val="single" w:sz="8" w:color="424E6A"/>
              <w:right w:val="single" w:sz="8" w:color="424E6A"/>
            </w:tcBorders>
            <w:gridSpan w:val="2"/>
            <w:shd w:val="clear" w:color="auto" w:fill="D9DCE1"/>
          </w:tcPr>
          <w:p>
            <w:pPr>
              <w:ind w:left="220"/>
              <w:spacing w:after="0"/>
              <w:rPr>
                <w:sz w:val="20"/>
                <w:szCs w:val="20"/>
                <w:color w:val="auto"/>
              </w:rPr>
            </w:pPr>
            <w:r>
              <w:rPr>
                <w:rFonts w:ascii="Arial" w:cs="Arial" w:eastAsia="Arial" w:hAnsi="Arial"/>
                <w:sz w:val="16"/>
                <w:szCs w:val="16"/>
                <w:color w:val="auto"/>
              </w:rPr>
              <w:t>Holdco LLC</w:t>
            </w:r>
            <w:r>
              <w:rPr>
                <w:rFonts w:ascii="Arial" w:cs="Arial" w:eastAsia="Arial" w:hAnsi="Arial"/>
                <w:sz w:val="19"/>
                <w:szCs w:val="19"/>
                <w:color w:val="auto"/>
                <w:vertAlign w:val="superscript"/>
              </w:rPr>
              <w:t>(6)</w:t>
            </w:r>
          </w:p>
        </w:tc>
        <w:tc>
          <w:tcPr>
            <w:tcW w:w="240" w:type="dxa"/>
            <w:vAlign w:val="bottom"/>
            <w:tcBorders>
              <w:bottom w:val="single" w:sz="8" w:color="424E6A"/>
            </w:tcBorders>
            <w:shd w:val="clear" w:color="auto" w:fill="D9DCE1"/>
          </w:tcPr>
          <w:p>
            <w:pPr>
              <w:spacing w:after="0"/>
              <w:rPr>
                <w:sz w:val="20"/>
                <w:szCs w:val="20"/>
                <w:color w:val="auto"/>
              </w:rPr>
            </w:pPr>
          </w:p>
        </w:tc>
        <w:tc>
          <w:tcPr>
            <w:tcW w:w="1340" w:type="dxa"/>
            <w:vAlign w:val="bottom"/>
            <w:tcBorders>
              <w:bottom w:val="single" w:sz="8" w:color="424E6A"/>
              <w:right w:val="single" w:sz="8" w:color="424E6A"/>
            </w:tcBorders>
            <w:shd w:val="clear" w:color="auto" w:fill="D9DCE1"/>
          </w:tcPr>
          <w:p>
            <w:pPr>
              <w:jc w:val="right"/>
              <w:ind w:right="34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180"/>
              <w:spacing w:after="0"/>
              <w:rPr>
                <w:sz w:val="20"/>
                <w:szCs w:val="20"/>
                <w:color w:val="auto"/>
              </w:rPr>
            </w:pPr>
            <w:r>
              <w:rPr>
                <w:rFonts w:ascii="Arial" w:cs="Arial" w:eastAsia="Arial" w:hAnsi="Arial"/>
                <w:sz w:val="16"/>
                <w:szCs w:val="16"/>
                <w:color w:val="auto"/>
              </w:rPr>
              <w:t>12,678,560</w:t>
            </w:r>
          </w:p>
        </w:tc>
        <w:tc>
          <w:tcPr>
            <w:tcW w:w="1320" w:type="dxa"/>
            <w:vAlign w:val="bottom"/>
            <w:tcBorders>
              <w:bottom w:val="single" w:sz="8" w:color="424E6A"/>
              <w:right w:val="single" w:sz="8" w:color="424E6A"/>
            </w:tcBorders>
            <w:shd w:val="clear" w:color="auto" w:fill="D9DCE1"/>
          </w:tcPr>
          <w:p>
            <w:pPr>
              <w:jc w:val="right"/>
              <w:ind w:right="280"/>
              <w:spacing w:after="0"/>
              <w:rPr>
                <w:sz w:val="20"/>
                <w:szCs w:val="20"/>
                <w:color w:val="auto"/>
              </w:rPr>
            </w:pPr>
            <w:r>
              <w:rPr>
                <w:rFonts w:ascii="Arial" w:cs="Arial" w:eastAsia="Arial" w:hAnsi="Arial"/>
                <w:sz w:val="16"/>
                <w:szCs w:val="16"/>
                <w:color w:val="auto"/>
              </w:rPr>
              <w:t>17.8%</w:t>
            </w:r>
          </w:p>
        </w:tc>
        <w:tc>
          <w:tcPr>
            <w:tcW w:w="1420" w:type="dxa"/>
            <w:vAlign w:val="bottom"/>
            <w:tcBorders>
              <w:bottom w:val="single" w:sz="8" w:color="424E6A"/>
              <w:right w:val="single" w:sz="8" w:color="424E6A"/>
            </w:tcBorders>
            <w:shd w:val="clear" w:color="auto" w:fill="D9DCE1"/>
          </w:tcPr>
          <w:p>
            <w:pPr>
              <w:jc w:val="right"/>
              <w:ind w:right="32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6"/>
        </w:trPr>
        <w:tc>
          <w:tcPr>
            <w:tcW w:w="2140" w:type="dxa"/>
            <w:vAlign w:val="bottom"/>
            <w:tcBorders>
              <w:left w:val="single" w:sz="8" w:color="424E6A"/>
              <w:bottom w:val="single" w:sz="8" w:color="424E6A"/>
              <w:right w:val="single" w:sz="8" w:color="424E6A"/>
            </w:tcBorders>
            <w:gridSpan w:val="2"/>
          </w:tcPr>
          <w:p>
            <w:pPr>
              <w:ind w:left="60"/>
              <w:spacing w:after="0"/>
              <w:rPr>
                <w:sz w:val="20"/>
                <w:szCs w:val="20"/>
                <w:color w:val="auto"/>
              </w:rPr>
            </w:pPr>
            <w:r>
              <w:rPr>
                <w:rFonts w:ascii="Arial" w:cs="Arial" w:eastAsia="Arial" w:hAnsi="Arial"/>
                <w:sz w:val="16"/>
                <w:szCs w:val="16"/>
                <w:color w:val="auto"/>
              </w:rPr>
              <w:t>Stonepeak Partners LLC</w:t>
            </w:r>
            <w:r>
              <w:rPr>
                <w:rFonts w:ascii="Arial" w:cs="Arial" w:eastAsia="Arial" w:hAnsi="Arial"/>
                <w:sz w:val="19"/>
                <w:szCs w:val="19"/>
                <w:color w:val="auto"/>
                <w:vertAlign w:val="superscript"/>
              </w:rPr>
              <w:t>(7)</w:t>
            </w:r>
          </w:p>
        </w:tc>
        <w:tc>
          <w:tcPr>
            <w:tcW w:w="240" w:type="dxa"/>
            <w:vAlign w:val="bottom"/>
            <w:tcBorders>
              <w:bottom w:val="single" w:sz="8" w:color="424E6A"/>
            </w:tcBorders>
          </w:tcPr>
          <w:p>
            <w:pPr>
              <w:spacing w:after="0"/>
              <w:rPr>
                <w:sz w:val="20"/>
                <w:szCs w:val="20"/>
                <w:color w:val="auto"/>
              </w:rPr>
            </w:pPr>
          </w:p>
        </w:tc>
        <w:tc>
          <w:tcPr>
            <w:tcW w:w="1340" w:type="dxa"/>
            <w:vAlign w:val="bottom"/>
            <w:tcBorders>
              <w:bottom w:val="single" w:sz="8" w:color="424E6A"/>
              <w:right w:val="single" w:sz="8" w:color="424E6A"/>
            </w:tcBorders>
          </w:tcPr>
          <w:p>
            <w:pPr>
              <w:jc w:val="right"/>
              <w:ind w:right="34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tcPr>
          <w:p>
            <w:pPr>
              <w:jc w:val="right"/>
              <w:ind w:right="180"/>
              <w:spacing w:after="0"/>
              <w:rPr>
                <w:sz w:val="20"/>
                <w:szCs w:val="20"/>
                <w:color w:val="auto"/>
              </w:rPr>
            </w:pPr>
            <w:r>
              <w:rPr>
                <w:rFonts w:ascii="Arial" w:cs="Arial" w:eastAsia="Arial" w:hAnsi="Arial"/>
                <w:sz w:val="16"/>
                <w:szCs w:val="16"/>
                <w:color w:val="auto"/>
              </w:rPr>
              <w:t>6,339,278</w:t>
            </w:r>
          </w:p>
        </w:tc>
        <w:tc>
          <w:tcPr>
            <w:tcW w:w="1320" w:type="dxa"/>
            <w:vAlign w:val="bottom"/>
            <w:tcBorders>
              <w:bottom w:val="single" w:sz="8" w:color="424E6A"/>
              <w:right w:val="single" w:sz="8" w:color="424E6A"/>
            </w:tcBorders>
          </w:tcPr>
          <w:p>
            <w:pPr>
              <w:jc w:val="right"/>
              <w:ind w:right="280"/>
              <w:spacing w:after="0"/>
              <w:rPr>
                <w:sz w:val="20"/>
                <w:szCs w:val="20"/>
                <w:color w:val="auto"/>
              </w:rPr>
            </w:pPr>
            <w:r>
              <w:rPr>
                <w:rFonts w:ascii="Arial" w:cs="Arial" w:eastAsia="Arial" w:hAnsi="Arial"/>
                <w:sz w:val="16"/>
                <w:szCs w:val="16"/>
                <w:color w:val="auto"/>
              </w:rPr>
              <w:t>8.9%</w:t>
            </w:r>
          </w:p>
        </w:tc>
        <w:tc>
          <w:tcPr>
            <w:tcW w:w="1420" w:type="dxa"/>
            <w:vAlign w:val="bottom"/>
            <w:tcBorders>
              <w:bottom w:val="single" w:sz="8" w:color="424E6A"/>
              <w:right w:val="single" w:sz="8" w:color="424E6A"/>
            </w:tcBorders>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2140" w:type="dxa"/>
            <w:vAlign w:val="bottom"/>
            <w:tcBorders>
              <w:left w:val="single" w:sz="8" w:color="424E6A"/>
              <w:right w:val="single" w:sz="8" w:color="424E6A"/>
            </w:tcBorders>
            <w:gridSpan w:val="2"/>
            <w:shd w:val="clear" w:color="auto" w:fill="D9DCE1"/>
          </w:tcPr>
          <w:p>
            <w:pPr>
              <w:ind w:left="60"/>
              <w:spacing w:after="0" w:line="180" w:lineRule="exact"/>
              <w:rPr>
                <w:sz w:val="20"/>
                <w:szCs w:val="20"/>
                <w:color w:val="auto"/>
              </w:rPr>
            </w:pPr>
            <w:r>
              <w:rPr>
                <w:rFonts w:ascii="Arial" w:cs="Arial" w:eastAsia="Arial" w:hAnsi="Arial"/>
                <w:sz w:val="16"/>
                <w:szCs w:val="16"/>
                <w:color w:val="auto"/>
              </w:rPr>
              <w:t>PES Armand KF Holdings</w:t>
            </w:r>
          </w:p>
        </w:tc>
        <w:tc>
          <w:tcPr>
            <w:tcW w:w="240" w:type="dxa"/>
            <w:vAlign w:val="bottom"/>
            <w:shd w:val="clear" w:color="auto" w:fill="D9DCE1"/>
          </w:tcPr>
          <w:p>
            <w:pPr>
              <w:spacing w:after="0"/>
              <w:rPr>
                <w:sz w:val="15"/>
                <w:szCs w:val="15"/>
                <w:color w:val="auto"/>
              </w:rPr>
            </w:pPr>
          </w:p>
        </w:tc>
        <w:tc>
          <w:tcPr>
            <w:tcW w:w="1340" w:type="dxa"/>
            <w:vAlign w:val="bottom"/>
            <w:tcBorders>
              <w:right w:val="single" w:sz="8" w:color="424E6A"/>
            </w:tcBorders>
            <w:shd w:val="clear" w:color="auto" w:fill="D9DCE1"/>
          </w:tcPr>
          <w:p>
            <w:pPr>
              <w:spacing w:after="0"/>
              <w:rPr>
                <w:sz w:val="15"/>
                <w:szCs w:val="15"/>
                <w:color w:val="auto"/>
              </w:rPr>
            </w:pPr>
          </w:p>
        </w:tc>
        <w:tc>
          <w:tcPr>
            <w:tcW w:w="1300" w:type="dxa"/>
            <w:vAlign w:val="bottom"/>
            <w:tcBorders>
              <w:right w:val="single" w:sz="8" w:color="424E6A"/>
            </w:tcBorders>
            <w:shd w:val="clear" w:color="auto" w:fill="D9DCE1"/>
          </w:tcPr>
          <w:p>
            <w:pPr>
              <w:spacing w:after="0"/>
              <w:rPr>
                <w:sz w:val="15"/>
                <w:szCs w:val="15"/>
                <w:color w:val="auto"/>
              </w:rPr>
            </w:pPr>
          </w:p>
        </w:tc>
        <w:tc>
          <w:tcPr>
            <w:tcW w:w="1320" w:type="dxa"/>
            <w:vAlign w:val="bottom"/>
            <w:tcBorders>
              <w:right w:val="single" w:sz="8" w:color="424E6A"/>
            </w:tcBorders>
            <w:shd w:val="clear" w:color="auto" w:fill="D9DCE1"/>
          </w:tcPr>
          <w:p>
            <w:pPr>
              <w:spacing w:after="0"/>
              <w:rPr>
                <w:sz w:val="15"/>
                <w:szCs w:val="15"/>
                <w:color w:val="auto"/>
              </w:rPr>
            </w:pPr>
          </w:p>
        </w:tc>
        <w:tc>
          <w:tcPr>
            <w:tcW w:w="1320" w:type="dxa"/>
            <w:vAlign w:val="bottom"/>
            <w:tcBorders>
              <w:right w:val="single" w:sz="8" w:color="424E6A"/>
            </w:tcBorders>
            <w:shd w:val="clear" w:color="auto" w:fill="D9DCE1"/>
          </w:tcPr>
          <w:p>
            <w:pPr>
              <w:spacing w:after="0"/>
              <w:rPr>
                <w:sz w:val="15"/>
                <w:szCs w:val="15"/>
                <w:color w:val="auto"/>
              </w:rPr>
            </w:pPr>
          </w:p>
        </w:tc>
        <w:tc>
          <w:tcPr>
            <w:tcW w:w="1420" w:type="dxa"/>
            <w:vAlign w:val="bottom"/>
            <w:tcBorders>
              <w:right w:val="single" w:sz="8" w:color="424E6A"/>
            </w:tcBorders>
            <w:shd w:val="clear" w:color="auto" w:fill="D9DCE1"/>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140" w:type="dxa"/>
            <w:vAlign w:val="bottom"/>
            <w:tcBorders>
              <w:left w:val="single" w:sz="8" w:color="424E6A"/>
              <w:bottom w:val="single" w:sz="8" w:color="424E6A"/>
              <w:right w:val="single" w:sz="8" w:color="424E6A"/>
            </w:tcBorders>
            <w:gridSpan w:val="2"/>
            <w:shd w:val="clear" w:color="auto" w:fill="D9DCE1"/>
          </w:tcPr>
          <w:p>
            <w:pPr>
              <w:ind w:left="220"/>
              <w:spacing w:after="0" w:line="232" w:lineRule="exact"/>
              <w:rPr>
                <w:sz w:val="20"/>
                <w:szCs w:val="20"/>
                <w:color w:val="auto"/>
              </w:rPr>
            </w:pPr>
            <w:r>
              <w:rPr>
                <w:rFonts w:ascii="Arial" w:cs="Arial" w:eastAsia="Arial" w:hAnsi="Arial"/>
                <w:sz w:val="26"/>
                <w:szCs w:val="26"/>
                <w:color w:val="auto"/>
                <w:vertAlign w:val="subscript"/>
              </w:rPr>
              <w:t>LP</w:t>
            </w:r>
            <w:r>
              <w:rPr>
                <w:rFonts w:ascii="Arial" w:cs="Arial" w:eastAsia="Arial" w:hAnsi="Arial"/>
                <w:sz w:val="9"/>
                <w:szCs w:val="9"/>
                <w:color w:val="auto"/>
              </w:rPr>
              <w:t>(8)</w:t>
            </w:r>
          </w:p>
        </w:tc>
        <w:tc>
          <w:tcPr>
            <w:tcW w:w="240" w:type="dxa"/>
            <w:vAlign w:val="bottom"/>
            <w:tcBorders>
              <w:bottom w:val="single" w:sz="8" w:color="424E6A"/>
            </w:tcBorders>
            <w:shd w:val="clear" w:color="auto" w:fill="D9DCE1"/>
          </w:tcPr>
          <w:p>
            <w:pPr>
              <w:spacing w:after="0"/>
              <w:rPr>
                <w:sz w:val="20"/>
                <w:szCs w:val="20"/>
                <w:color w:val="auto"/>
              </w:rPr>
            </w:pPr>
          </w:p>
        </w:tc>
        <w:tc>
          <w:tcPr>
            <w:tcW w:w="1340" w:type="dxa"/>
            <w:vAlign w:val="bottom"/>
            <w:tcBorders>
              <w:bottom w:val="single" w:sz="8" w:color="424E6A"/>
              <w:right w:val="single" w:sz="8" w:color="424E6A"/>
            </w:tcBorders>
            <w:shd w:val="clear" w:color="auto" w:fill="D9DCE1"/>
          </w:tcPr>
          <w:p>
            <w:pPr>
              <w:jc w:val="right"/>
              <w:ind w:right="34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180"/>
              <w:spacing w:after="0"/>
              <w:rPr>
                <w:sz w:val="20"/>
                <w:szCs w:val="20"/>
                <w:color w:val="auto"/>
              </w:rPr>
            </w:pPr>
            <w:r>
              <w:rPr>
                <w:rFonts w:ascii="Arial" w:cs="Arial" w:eastAsia="Arial" w:hAnsi="Arial"/>
                <w:sz w:val="16"/>
                <w:szCs w:val="16"/>
                <w:color w:val="auto"/>
              </w:rPr>
              <w:t>4,528,054</w:t>
            </w:r>
          </w:p>
        </w:tc>
        <w:tc>
          <w:tcPr>
            <w:tcW w:w="1320" w:type="dxa"/>
            <w:vAlign w:val="bottom"/>
            <w:tcBorders>
              <w:bottom w:val="single" w:sz="8" w:color="424E6A"/>
              <w:right w:val="single" w:sz="8" w:color="424E6A"/>
            </w:tcBorders>
            <w:shd w:val="clear" w:color="auto" w:fill="D9DCE1"/>
          </w:tcPr>
          <w:p>
            <w:pPr>
              <w:jc w:val="right"/>
              <w:ind w:right="280"/>
              <w:spacing w:after="0"/>
              <w:rPr>
                <w:sz w:val="20"/>
                <w:szCs w:val="20"/>
                <w:color w:val="auto"/>
              </w:rPr>
            </w:pPr>
            <w:r>
              <w:rPr>
                <w:rFonts w:ascii="Arial" w:cs="Arial" w:eastAsia="Arial" w:hAnsi="Arial"/>
                <w:sz w:val="16"/>
                <w:szCs w:val="16"/>
                <w:color w:val="auto"/>
              </w:rPr>
              <w:t>6.4%</w:t>
            </w:r>
          </w:p>
        </w:tc>
        <w:tc>
          <w:tcPr>
            <w:tcW w:w="1420" w:type="dxa"/>
            <w:vAlign w:val="bottom"/>
            <w:tcBorders>
              <w:bottom w:val="single" w:sz="8" w:color="424E6A"/>
              <w:right w:val="single" w:sz="8" w:color="424E6A"/>
            </w:tcBorders>
            <w:shd w:val="clear" w:color="auto" w:fill="D9DCE1"/>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2140" w:type="dxa"/>
            <w:vAlign w:val="bottom"/>
            <w:tcBorders>
              <w:left w:val="single" w:sz="8" w:color="424E6A"/>
              <w:bottom w:val="single" w:sz="8" w:color="424E6A"/>
              <w:right w:val="single" w:sz="8" w:color="424E6A"/>
            </w:tcBorders>
            <w:gridSpan w:val="2"/>
          </w:tcPr>
          <w:p>
            <w:pPr>
              <w:ind w:left="60"/>
              <w:spacing w:after="0"/>
              <w:rPr>
                <w:sz w:val="20"/>
                <w:szCs w:val="20"/>
                <w:color w:val="auto"/>
              </w:rPr>
            </w:pPr>
            <w:r>
              <w:rPr>
                <w:rFonts w:ascii="Arial" w:cs="Arial" w:eastAsia="Arial" w:hAnsi="Arial"/>
                <w:sz w:val="16"/>
                <w:szCs w:val="16"/>
                <w:color w:val="auto"/>
              </w:rPr>
              <w:t>Willie Chiang</w:t>
            </w:r>
            <w:r>
              <w:rPr>
                <w:rFonts w:ascii="Arial" w:cs="Arial" w:eastAsia="Arial" w:hAnsi="Arial"/>
                <w:sz w:val="19"/>
                <w:szCs w:val="19"/>
                <w:color w:val="auto"/>
                <w:vertAlign w:val="superscript"/>
              </w:rPr>
              <w:t>(11)</w:t>
            </w:r>
            <w:r>
              <w:rPr>
                <w:rFonts w:ascii="Arial" w:cs="Arial" w:eastAsia="Arial" w:hAnsi="Arial"/>
                <w:sz w:val="16"/>
                <w:szCs w:val="16"/>
                <w:color w:val="auto"/>
              </w:rPr>
              <w:t>​</w:t>
            </w:r>
          </w:p>
        </w:tc>
        <w:tc>
          <w:tcPr>
            <w:tcW w:w="1580" w:type="dxa"/>
            <w:vAlign w:val="bottom"/>
            <w:tcBorders>
              <w:bottom w:val="single" w:sz="8" w:color="424E6A"/>
              <w:right w:val="single" w:sz="8" w:color="424E6A"/>
            </w:tcBorders>
            <w:gridSpan w:val="2"/>
          </w:tcPr>
          <w:p>
            <w:pPr>
              <w:jc w:val="right"/>
              <w:ind w:right="221"/>
              <w:spacing w:after="0"/>
              <w:rPr>
                <w:sz w:val="20"/>
                <w:szCs w:val="20"/>
                <w:color w:val="auto"/>
              </w:rPr>
            </w:pPr>
            <w:r>
              <w:rPr>
                <w:rFonts w:ascii="Arial" w:cs="Arial" w:eastAsia="Arial" w:hAnsi="Arial"/>
                <w:sz w:val="16"/>
                <w:szCs w:val="16"/>
                <w:color w:val="auto"/>
              </w:rPr>
              <w:t>331,784</w:t>
            </w:r>
            <w:r>
              <w:rPr>
                <w:rFonts w:ascii="Arial" w:cs="Arial" w:eastAsia="Arial" w:hAnsi="Arial"/>
                <w:sz w:val="19"/>
                <w:szCs w:val="19"/>
                <w:color w:val="auto"/>
                <w:vertAlign w:val="superscript"/>
              </w:rPr>
              <w:t>(9)</w:t>
            </w:r>
          </w:p>
        </w:tc>
        <w:tc>
          <w:tcPr>
            <w:tcW w:w="1300" w:type="dxa"/>
            <w:vAlign w:val="bottom"/>
            <w:tcBorders>
              <w:bottom w:val="single" w:sz="8" w:color="424E6A"/>
              <w:right w:val="single" w:sz="8" w:color="424E6A"/>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24E6A"/>
              <w:right w:val="single" w:sz="8" w:color="424E6A"/>
            </w:tcBorders>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140" w:type="dxa"/>
            <w:vAlign w:val="bottom"/>
            <w:tcBorders>
              <w:left w:val="single" w:sz="8" w:color="424E6A"/>
              <w:bottom w:val="single" w:sz="8" w:color="424E6A"/>
              <w:right w:val="single" w:sz="8" w:color="424E6A"/>
            </w:tcBorders>
            <w:gridSpan w:val="2"/>
            <w:shd w:val="clear" w:color="auto" w:fill="D9DCE1"/>
          </w:tcPr>
          <w:p>
            <w:pPr>
              <w:ind w:left="60"/>
              <w:spacing w:after="0"/>
              <w:rPr>
                <w:sz w:val="20"/>
                <w:szCs w:val="20"/>
                <w:color w:val="auto"/>
              </w:rPr>
            </w:pPr>
            <w:r>
              <w:rPr>
                <w:rFonts w:ascii="Arial" w:cs="Arial" w:eastAsia="Arial" w:hAnsi="Arial"/>
                <w:sz w:val="16"/>
                <w:szCs w:val="16"/>
                <w:color w:val="auto"/>
              </w:rPr>
              <w:t>Harry N. Pefanis</w:t>
            </w:r>
            <w:r>
              <w:rPr>
                <w:rFonts w:ascii="Arial" w:cs="Arial" w:eastAsia="Arial" w:hAnsi="Arial"/>
                <w:sz w:val="19"/>
                <w:szCs w:val="19"/>
                <w:color w:val="auto"/>
                <w:vertAlign w:val="superscript"/>
              </w:rPr>
              <w:t>(11)</w:t>
            </w:r>
            <w:r>
              <w:rPr>
                <w:rFonts w:ascii="Arial" w:cs="Arial" w:eastAsia="Arial" w:hAnsi="Arial"/>
                <w:sz w:val="16"/>
                <w:szCs w:val="16"/>
                <w:color w:val="auto"/>
              </w:rPr>
              <w:t>​</w:t>
            </w:r>
          </w:p>
        </w:tc>
        <w:tc>
          <w:tcPr>
            <w:tcW w:w="1580" w:type="dxa"/>
            <w:vAlign w:val="bottom"/>
            <w:tcBorders>
              <w:bottom w:val="single" w:sz="8" w:color="424E6A"/>
              <w:right w:val="single" w:sz="8" w:color="424E6A"/>
            </w:tcBorders>
            <w:gridSpan w:val="2"/>
            <w:shd w:val="clear" w:color="auto" w:fill="D9DCE1"/>
          </w:tcPr>
          <w:p>
            <w:pPr>
              <w:jc w:val="right"/>
              <w:ind w:right="341"/>
              <w:spacing w:after="0"/>
              <w:rPr>
                <w:sz w:val="20"/>
                <w:szCs w:val="20"/>
                <w:color w:val="auto"/>
              </w:rPr>
            </w:pPr>
            <w:r>
              <w:rPr>
                <w:rFonts w:ascii="Arial" w:cs="Arial" w:eastAsia="Arial" w:hAnsi="Arial"/>
                <w:sz w:val="16"/>
                <w:szCs w:val="16"/>
                <w:color w:val="auto"/>
              </w:rPr>
              <w:t>420,194</w:t>
            </w:r>
          </w:p>
        </w:tc>
        <w:tc>
          <w:tcPr>
            <w:tcW w:w="1300" w:type="dxa"/>
            <w:vAlign w:val="bottom"/>
            <w:tcBorders>
              <w:bottom w:val="single" w:sz="8" w:color="424E6A"/>
              <w:right w:val="single" w:sz="8" w:color="424E6A"/>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24E6A"/>
              <w:right w:val="single" w:sz="8" w:color="424E6A"/>
            </w:tcBorders>
            <w:shd w:val="clear" w:color="auto" w:fill="D9DCE1"/>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140" w:type="dxa"/>
            <w:vAlign w:val="bottom"/>
            <w:tcBorders>
              <w:left w:val="single" w:sz="8" w:color="424E6A"/>
              <w:bottom w:val="single" w:sz="8" w:color="424E6A"/>
              <w:right w:val="single" w:sz="8" w:color="424E6A"/>
            </w:tcBorders>
            <w:gridSpan w:val="2"/>
          </w:tcPr>
          <w:p>
            <w:pPr>
              <w:ind w:left="60"/>
              <w:spacing w:after="0"/>
              <w:rPr>
                <w:sz w:val="20"/>
                <w:szCs w:val="20"/>
                <w:color w:val="auto"/>
              </w:rPr>
            </w:pPr>
            <w:r>
              <w:rPr>
                <w:rFonts w:ascii="Arial" w:cs="Arial" w:eastAsia="Arial" w:hAnsi="Arial"/>
                <w:sz w:val="16"/>
                <w:szCs w:val="16"/>
                <w:color w:val="auto"/>
              </w:rPr>
              <w:t>Al Swanson</w:t>
            </w:r>
            <w:r>
              <w:rPr>
                <w:rFonts w:ascii="Arial" w:cs="Arial" w:eastAsia="Arial" w:hAnsi="Arial"/>
                <w:sz w:val="19"/>
                <w:szCs w:val="19"/>
                <w:color w:val="auto"/>
                <w:vertAlign w:val="superscript"/>
              </w:rPr>
              <w:t>(11)</w:t>
            </w:r>
            <w:r>
              <w:rPr>
                <w:rFonts w:ascii="Arial" w:cs="Arial" w:eastAsia="Arial" w:hAnsi="Arial"/>
                <w:sz w:val="16"/>
                <w:szCs w:val="16"/>
                <w:color w:val="auto"/>
              </w:rPr>
              <w:t>​</w:t>
            </w:r>
          </w:p>
        </w:tc>
        <w:tc>
          <w:tcPr>
            <w:tcW w:w="1580" w:type="dxa"/>
            <w:vAlign w:val="bottom"/>
            <w:tcBorders>
              <w:bottom w:val="single" w:sz="8" w:color="424E6A"/>
              <w:right w:val="single" w:sz="8" w:color="424E6A"/>
            </w:tcBorders>
            <w:gridSpan w:val="2"/>
          </w:tcPr>
          <w:p>
            <w:pPr>
              <w:jc w:val="right"/>
              <w:ind w:right="221"/>
              <w:spacing w:after="0"/>
              <w:rPr>
                <w:sz w:val="20"/>
                <w:szCs w:val="20"/>
                <w:color w:val="auto"/>
              </w:rPr>
            </w:pPr>
            <w:r>
              <w:rPr>
                <w:rFonts w:ascii="Arial" w:cs="Arial" w:eastAsia="Arial" w:hAnsi="Arial"/>
                <w:sz w:val="16"/>
                <w:szCs w:val="16"/>
                <w:color w:val="auto"/>
              </w:rPr>
              <w:t>288,855</w:t>
            </w:r>
            <w:r>
              <w:rPr>
                <w:rFonts w:ascii="Arial" w:cs="Arial" w:eastAsia="Arial" w:hAnsi="Arial"/>
                <w:sz w:val="19"/>
                <w:szCs w:val="19"/>
                <w:color w:val="auto"/>
                <w:vertAlign w:val="superscript"/>
              </w:rPr>
              <w:t>(9)</w:t>
            </w:r>
          </w:p>
        </w:tc>
        <w:tc>
          <w:tcPr>
            <w:tcW w:w="1300" w:type="dxa"/>
            <w:vAlign w:val="bottom"/>
            <w:tcBorders>
              <w:bottom w:val="single" w:sz="8" w:color="424E6A"/>
              <w:right w:val="single" w:sz="8" w:color="424E6A"/>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24E6A"/>
              <w:right w:val="single" w:sz="8" w:color="424E6A"/>
            </w:tcBorders>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140" w:type="dxa"/>
            <w:vAlign w:val="bottom"/>
            <w:tcBorders>
              <w:left w:val="single" w:sz="8" w:color="424E6A"/>
              <w:bottom w:val="single" w:sz="8" w:color="424E6A"/>
              <w:right w:val="single" w:sz="8" w:color="424E6A"/>
            </w:tcBorders>
            <w:gridSpan w:val="2"/>
            <w:shd w:val="clear" w:color="auto" w:fill="D9DCE1"/>
          </w:tcPr>
          <w:p>
            <w:pPr>
              <w:ind w:left="60"/>
              <w:spacing w:after="0"/>
              <w:rPr>
                <w:sz w:val="20"/>
                <w:szCs w:val="20"/>
                <w:color w:val="auto"/>
              </w:rPr>
            </w:pPr>
            <w:r>
              <w:rPr>
                <w:rFonts w:ascii="Arial" w:cs="Arial" w:eastAsia="Arial" w:hAnsi="Arial"/>
                <w:sz w:val="16"/>
                <w:szCs w:val="16"/>
                <w:color w:val="auto"/>
              </w:rPr>
              <w:t>Richard McGee</w:t>
            </w:r>
            <w:r>
              <w:rPr>
                <w:rFonts w:ascii="Arial" w:cs="Arial" w:eastAsia="Arial" w:hAnsi="Arial"/>
                <w:sz w:val="19"/>
                <w:szCs w:val="19"/>
                <w:color w:val="auto"/>
                <w:vertAlign w:val="superscript"/>
              </w:rPr>
              <w:t>(11)</w:t>
            </w:r>
            <w:r>
              <w:rPr>
                <w:rFonts w:ascii="Arial" w:cs="Arial" w:eastAsia="Arial" w:hAnsi="Arial"/>
                <w:sz w:val="16"/>
                <w:szCs w:val="16"/>
                <w:color w:val="auto"/>
              </w:rPr>
              <w:t>​</w:t>
            </w:r>
          </w:p>
        </w:tc>
        <w:tc>
          <w:tcPr>
            <w:tcW w:w="1580" w:type="dxa"/>
            <w:vAlign w:val="bottom"/>
            <w:tcBorders>
              <w:bottom w:val="single" w:sz="8" w:color="424E6A"/>
              <w:right w:val="single" w:sz="8" w:color="424E6A"/>
            </w:tcBorders>
            <w:gridSpan w:val="2"/>
            <w:shd w:val="clear" w:color="auto" w:fill="D9DCE1"/>
          </w:tcPr>
          <w:p>
            <w:pPr>
              <w:jc w:val="right"/>
              <w:ind w:right="221"/>
              <w:spacing w:after="0"/>
              <w:rPr>
                <w:sz w:val="20"/>
                <w:szCs w:val="20"/>
                <w:color w:val="auto"/>
              </w:rPr>
            </w:pPr>
            <w:r>
              <w:rPr>
                <w:rFonts w:ascii="Arial" w:cs="Arial" w:eastAsia="Arial" w:hAnsi="Arial"/>
                <w:sz w:val="16"/>
                <w:szCs w:val="16"/>
                <w:color w:val="auto"/>
              </w:rPr>
              <w:t>293,307</w:t>
            </w:r>
            <w:r>
              <w:rPr>
                <w:rFonts w:ascii="Arial" w:cs="Arial" w:eastAsia="Arial" w:hAnsi="Arial"/>
                <w:sz w:val="19"/>
                <w:szCs w:val="19"/>
                <w:color w:val="auto"/>
                <w:vertAlign w:val="superscript"/>
              </w:rPr>
              <w:t>(9)</w:t>
            </w:r>
          </w:p>
        </w:tc>
        <w:tc>
          <w:tcPr>
            <w:tcW w:w="1300" w:type="dxa"/>
            <w:vAlign w:val="bottom"/>
            <w:tcBorders>
              <w:bottom w:val="single" w:sz="8" w:color="424E6A"/>
              <w:right w:val="single" w:sz="8" w:color="424E6A"/>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24E6A"/>
              <w:right w:val="single" w:sz="8" w:color="424E6A"/>
            </w:tcBorders>
            <w:shd w:val="clear" w:color="auto" w:fill="D9DCE1"/>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140" w:type="dxa"/>
            <w:vAlign w:val="bottom"/>
            <w:tcBorders>
              <w:left w:val="single" w:sz="8" w:color="424E6A"/>
              <w:bottom w:val="single" w:sz="8" w:color="424E6A"/>
              <w:right w:val="single" w:sz="8" w:color="424E6A"/>
            </w:tcBorders>
            <w:gridSpan w:val="2"/>
          </w:tcPr>
          <w:p>
            <w:pPr>
              <w:ind w:left="60"/>
              <w:spacing w:after="0"/>
              <w:rPr>
                <w:sz w:val="20"/>
                <w:szCs w:val="20"/>
                <w:color w:val="auto"/>
              </w:rPr>
            </w:pPr>
            <w:r>
              <w:rPr>
                <w:rFonts w:ascii="Arial" w:cs="Arial" w:eastAsia="Arial" w:hAnsi="Arial"/>
                <w:sz w:val="16"/>
                <w:szCs w:val="16"/>
                <w:color w:val="auto"/>
              </w:rPr>
              <w:t>Chris Chandler</w:t>
            </w:r>
            <w:r>
              <w:rPr>
                <w:rFonts w:ascii="Arial" w:cs="Arial" w:eastAsia="Arial" w:hAnsi="Arial"/>
                <w:sz w:val="19"/>
                <w:szCs w:val="19"/>
                <w:color w:val="auto"/>
                <w:vertAlign w:val="superscript"/>
              </w:rPr>
              <w:t>(11)</w:t>
            </w:r>
          </w:p>
        </w:tc>
        <w:tc>
          <w:tcPr>
            <w:tcW w:w="1580" w:type="dxa"/>
            <w:vAlign w:val="bottom"/>
            <w:tcBorders>
              <w:bottom w:val="single" w:sz="8" w:color="424E6A"/>
              <w:right w:val="single" w:sz="8" w:color="424E6A"/>
            </w:tcBorders>
            <w:gridSpan w:val="2"/>
          </w:tcPr>
          <w:p>
            <w:pPr>
              <w:jc w:val="right"/>
              <w:ind w:right="221"/>
              <w:spacing w:after="0"/>
              <w:rPr>
                <w:sz w:val="20"/>
                <w:szCs w:val="20"/>
                <w:color w:val="auto"/>
              </w:rPr>
            </w:pPr>
            <w:r>
              <w:rPr>
                <w:rFonts w:ascii="Arial" w:cs="Arial" w:eastAsia="Arial" w:hAnsi="Arial"/>
                <w:sz w:val="16"/>
                <w:szCs w:val="16"/>
                <w:color w:val="auto"/>
              </w:rPr>
              <w:t>149,846</w:t>
            </w:r>
            <w:r>
              <w:rPr>
                <w:rFonts w:ascii="Arial" w:cs="Arial" w:eastAsia="Arial" w:hAnsi="Arial"/>
                <w:sz w:val="19"/>
                <w:szCs w:val="19"/>
                <w:color w:val="auto"/>
                <w:vertAlign w:val="superscript"/>
              </w:rPr>
              <w:t>(9)</w:t>
            </w:r>
          </w:p>
        </w:tc>
        <w:tc>
          <w:tcPr>
            <w:tcW w:w="1300" w:type="dxa"/>
            <w:vAlign w:val="bottom"/>
            <w:tcBorders>
              <w:bottom w:val="single" w:sz="8" w:color="424E6A"/>
              <w:right w:val="single" w:sz="8" w:color="424E6A"/>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24E6A"/>
              <w:right w:val="single" w:sz="8" w:color="424E6A"/>
            </w:tcBorders>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140" w:type="dxa"/>
            <w:vAlign w:val="bottom"/>
            <w:tcBorders>
              <w:left w:val="single" w:sz="8" w:color="424E6A"/>
              <w:bottom w:val="single" w:sz="8" w:color="424E6A"/>
              <w:right w:val="single" w:sz="8" w:color="424E6A"/>
            </w:tcBorders>
            <w:gridSpan w:val="2"/>
            <w:shd w:val="clear" w:color="auto" w:fill="D9DCE1"/>
          </w:tcPr>
          <w:p>
            <w:pPr>
              <w:ind w:left="60"/>
              <w:spacing w:after="0"/>
              <w:rPr>
                <w:sz w:val="20"/>
                <w:szCs w:val="20"/>
                <w:color w:val="auto"/>
              </w:rPr>
            </w:pPr>
            <w:r>
              <w:rPr>
                <w:rFonts w:ascii="Arial" w:cs="Arial" w:eastAsia="Arial" w:hAnsi="Arial"/>
                <w:sz w:val="16"/>
                <w:szCs w:val="16"/>
                <w:color w:val="auto"/>
              </w:rPr>
              <w:t>Jeremy Goebel</w:t>
            </w:r>
            <w:r>
              <w:rPr>
                <w:rFonts w:ascii="Arial" w:cs="Arial" w:eastAsia="Arial" w:hAnsi="Arial"/>
                <w:sz w:val="19"/>
                <w:szCs w:val="19"/>
                <w:color w:val="auto"/>
                <w:vertAlign w:val="superscript"/>
              </w:rPr>
              <w:t>(11)</w:t>
            </w:r>
            <w:r>
              <w:rPr>
                <w:rFonts w:ascii="Arial" w:cs="Arial" w:eastAsia="Arial" w:hAnsi="Arial"/>
                <w:sz w:val="16"/>
                <w:szCs w:val="16"/>
                <w:color w:val="auto"/>
              </w:rPr>
              <w:t>​</w:t>
            </w:r>
          </w:p>
        </w:tc>
        <w:tc>
          <w:tcPr>
            <w:tcW w:w="1580" w:type="dxa"/>
            <w:vAlign w:val="bottom"/>
            <w:tcBorders>
              <w:bottom w:val="single" w:sz="8" w:color="424E6A"/>
              <w:right w:val="single" w:sz="8" w:color="424E6A"/>
            </w:tcBorders>
            <w:gridSpan w:val="2"/>
            <w:shd w:val="clear" w:color="auto" w:fill="D9DCE1"/>
          </w:tcPr>
          <w:p>
            <w:pPr>
              <w:jc w:val="right"/>
              <w:ind w:right="221"/>
              <w:spacing w:after="0"/>
              <w:rPr>
                <w:sz w:val="20"/>
                <w:szCs w:val="20"/>
                <w:color w:val="auto"/>
              </w:rPr>
            </w:pPr>
            <w:r>
              <w:rPr>
                <w:rFonts w:ascii="Arial" w:cs="Arial" w:eastAsia="Arial" w:hAnsi="Arial"/>
                <w:sz w:val="16"/>
                <w:szCs w:val="16"/>
                <w:color w:val="auto"/>
              </w:rPr>
              <w:t>209,878</w:t>
            </w:r>
            <w:r>
              <w:rPr>
                <w:rFonts w:ascii="Arial" w:cs="Arial" w:eastAsia="Arial" w:hAnsi="Arial"/>
                <w:sz w:val="19"/>
                <w:szCs w:val="19"/>
                <w:color w:val="auto"/>
                <w:vertAlign w:val="superscript"/>
              </w:rPr>
              <w:t>(9)</w:t>
            </w:r>
          </w:p>
        </w:tc>
        <w:tc>
          <w:tcPr>
            <w:tcW w:w="1300" w:type="dxa"/>
            <w:vAlign w:val="bottom"/>
            <w:tcBorders>
              <w:bottom w:val="single" w:sz="8" w:color="424E6A"/>
              <w:right w:val="single" w:sz="8" w:color="424E6A"/>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24E6A"/>
              <w:right w:val="single" w:sz="8" w:color="424E6A"/>
            </w:tcBorders>
            <w:shd w:val="clear" w:color="auto" w:fill="D9DCE1"/>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140" w:type="dxa"/>
            <w:vAlign w:val="bottom"/>
            <w:tcBorders>
              <w:left w:val="single" w:sz="8" w:color="424E6A"/>
              <w:bottom w:val="single" w:sz="8" w:color="424E6A"/>
              <w:right w:val="single" w:sz="8" w:color="424E6A"/>
            </w:tcBorders>
            <w:gridSpan w:val="2"/>
          </w:tcPr>
          <w:p>
            <w:pPr>
              <w:ind w:left="60"/>
              <w:spacing w:after="0"/>
              <w:rPr>
                <w:sz w:val="20"/>
                <w:szCs w:val="20"/>
                <w:color w:val="auto"/>
              </w:rPr>
            </w:pPr>
            <w:r>
              <w:rPr>
                <w:rFonts w:ascii="Arial" w:cs="Arial" w:eastAsia="Arial" w:hAnsi="Arial"/>
                <w:sz w:val="16"/>
                <w:szCs w:val="16"/>
                <w:color w:val="auto"/>
              </w:rPr>
              <w:t>Greg L. Armstrong</w:t>
            </w:r>
            <w:r>
              <w:rPr>
                <w:rFonts w:ascii="Arial" w:cs="Arial" w:eastAsia="Arial" w:hAnsi="Arial"/>
                <w:sz w:val="19"/>
                <w:szCs w:val="19"/>
                <w:color w:val="auto"/>
                <w:vertAlign w:val="superscript"/>
              </w:rPr>
              <w:t>(11)</w:t>
            </w:r>
            <w:r>
              <w:rPr>
                <w:rFonts w:ascii="Arial" w:cs="Arial" w:eastAsia="Arial" w:hAnsi="Arial"/>
                <w:sz w:val="16"/>
                <w:szCs w:val="16"/>
                <w:color w:val="auto"/>
              </w:rPr>
              <w:t>​</w:t>
            </w:r>
          </w:p>
        </w:tc>
        <w:tc>
          <w:tcPr>
            <w:tcW w:w="1580" w:type="dxa"/>
            <w:vAlign w:val="bottom"/>
            <w:tcBorders>
              <w:bottom w:val="single" w:sz="8" w:color="424E6A"/>
              <w:right w:val="single" w:sz="8" w:color="424E6A"/>
            </w:tcBorders>
            <w:gridSpan w:val="2"/>
          </w:tcPr>
          <w:p>
            <w:pPr>
              <w:jc w:val="right"/>
              <w:ind w:right="341"/>
              <w:spacing w:after="0"/>
              <w:rPr>
                <w:sz w:val="20"/>
                <w:szCs w:val="20"/>
                <w:color w:val="auto"/>
              </w:rPr>
            </w:pPr>
            <w:r>
              <w:rPr>
                <w:rFonts w:ascii="Arial" w:cs="Arial" w:eastAsia="Arial" w:hAnsi="Arial"/>
                <w:sz w:val="16"/>
                <w:szCs w:val="16"/>
                <w:color w:val="auto"/>
              </w:rPr>
              <w:t>1,508,418</w:t>
            </w:r>
          </w:p>
        </w:tc>
        <w:tc>
          <w:tcPr>
            <w:tcW w:w="1300" w:type="dxa"/>
            <w:vAlign w:val="bottom"/>
            <w:tcBorders>
              <w:bottom w:val="single" w:sz="8" w:color="424E6A"/>
              <w:right w:val="single" w:sz="8" w:color="424E6A"/>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24E6A"/>
              <w:right w:val="single" w:sz="8" w:color="424E6A"/>
            </w:tcBorders>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140" w:type="dxa"/>
            <w:vAlign w:val="bottom"/>
            <w:tcBorders>
              <w:left w:val="single" w:sz="8" w:color="424E6A"/>
              <w:bottom w:val="single" w:sz="8" w:color="424E6A"/>
              <w:right w:val="single" w:sz="8" w:color="424E6A"/>
            </w:tcBorders>
            <w:gridSpan w:val="2"/>
            <w:shd w:val="clear" w:color="auto" w:fill="D9DCE1"/>
          </w:tcPr>
          <w:p>
            <w:pPr>
              <w:ind w:left="60"/>
              <w:spacing w:after="0"/>
              <w:rPr>
                <w:sz w:val="20"/>
                <w:szCs w:val="20"/>
                <w:color w:val="auto"/>
              </w:rPr>
            </w:pPr>
            <w:r>
              <w:rPr>
                <w:rFonts w:ascii="Arial" w:cs="Arial" w:eastAsia="Arial" w:hAnsi="Arial"/>
                <w:sz w:val="16"/>
                <w:szCs w:val="16"/>
                <w:color w:val="auto"/>
              </w:rPr>
              <w:t>Victor Burk</w:t>
            </w:r>
            <w:r>
              <w:rPr>
                <w:rFonts w:ascii="Arial" w:cs="Arial" w:eastAsia="Arial" w:hAnsi="Arial"/>
                <w:sz w:val="19"/>
                <w:szCs w:val="19"/>
                <w:color w:val="auto"/>
                <w:vertAlign w:val="superscript"/>
              </w:rPr>
              <w:t>(11)</w:t>
            </w:r>
            <w:r>
              <w:rPr>
                <w:rFonts w:ascii="Arial" w:cs="Arial" w:eastAsia="Arial" w:hAnsi="Arial"/>
                <w:sz w:val="16"/>
                <w:szCs w:val="16"/>
                <w:color w:val="auto"/>
              </w:rPr>
              <w:t>​</w:t>
            </w:r>
          </w:p>
        </w:tc>
        <w:tc>
          <w:tcPr>
            <w:tcW w:w="1580" w:type="dxa"/>
            <w:vAlign w:val="bottom"/>
            <w:tcBorders>
              <w:bottom w:val="single" w:sz="8" w:color="424E6A"/>
              <w:right w:val="single" w:sz="8" w:color="424E6A"/>
            </w:tcBorders>
            <w:gridSpan w:val="2"/>
            <w:shd w:val="clear" w:color="auto" w:fill="D9DCE1"/>
          </w:tcPr>
          <w:p>
            <w:pPr>
              <w:jc w:val="right"/>
              <w:ind w:right="341"/>
              <w:spacing w:after="0"/>
              <w:rPr>
                <w:sz w:val="20"/>
                <w:szCs w:val="20"/>
                <w:color w:val="auto"/>
              </w:rPr>
            </w:pPr>
            <w:r>
              <w:rPr>
                <w:rFonts w:ascii="Arial" w:cs="Arial" w:eastAsia="Arial" w:hAnsi="Arial"/>
                <w:sz w:val="16"/>
                <w:szCs w:val="16"/>
                <w:color w:val="auto"/>
              </w:rPr>
              <w:t>37,043</w:t>
            </w:r>
          </w:p>
        </w:tc>
        <w:tc>
          <w:tcPr>
            <w:tcW w:w="1300" w:type="dxa"/>
            <w:vAlign w:val="bottom"/>
            <w:tcBorders>
              <w:bottom w:val="single" w:sz="8" w:color="424E6A"/>
              <w:right w:val="single" w:sz="8" w:color="424E6A"/>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24E6A"/>
              <w:right w:val="single" w:sz="8" w:color="424E6A"/>
            </w:tcBorders>
            <w:shd w:val="clear" w:color="auto" w:fill="D9DCE1"/>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140" w:type="dxa"/>
            <w:vAlign w:val="bottom"/>
            <w:tcBorders>
              <w:left w:val="single" w:sz="8" w:color="424E6A"/>
              <w:bottom w:val="single" w:sz="8" w:color="424E6A"/>
              <w:right w:val="single" w:sz="8" w:color="424E6A"/>
            </w:tcBorders>
            <w:gridSpan w:val="2"/>
          </w:tcPr>
          <w:p>
            <w:pPr>
              <w:ind w:left="60"/>
              <w:spacing w:after="0"/>
              <w:rPr>
                <w:sz w:val="20"/>
                <w:szCs w:val="20"/>
                <w:color w:val="auto"/>
              </w:rPr>
            </w:pPr>
            <w:r>
              <w:rPr>
                <w:rFonts w:ascii="Arial" w:cs="Arial" w:eastAsia="Arial" w:hAnsi="Arial"/>
                <w:sz w:val="16"/>
                <w:szCs w:val="16"/>
                <w:color w:val="auto"/>
              </w:rPr>
              <w:t>Ellen DeSanctis</w:t>
            </w:r>
            <w:r>
              <w:rPr>
                <w:rFonts w:ascii="Arial" w:cs="Arial" w:eastAsia="Arial" w:hAnsi="Arial"/>
                <w:sz w:val="19"/>
                <w:szCs w:val="19"/>
                <w:color w:val="auto"/>
                <w:vertAlign w:val="superscript"/>
              </w:rPr>
              <w:t>(11)</w:t>
            </w:r>
            <w:r>
              <w:rPr>
                <w:rFonts w:ascii="Arial" w:cs="Arial" w:eastAsia="Arial" w:hAnsi="Arial"/>
                <w:sz w:val="16"/>
                <w:szCs w:val="16"/>
                <w:color w:val="auto"/>
              </w:rPr>
              <w:t>​</w:t>
            </w:r>
          </w:p>
        </w:tc>
        <w:tc>
          <w:tcPr>
            <w:tcW w:w="240" w:type="dxa"/>
            <w:vAlign w:val="bottom"/>
            <w:tcBorders>
              <w:bottom w:val="single" w:sz="8" w:color="424E6A"/>
            </w:tcBorders>
          </w:tcPr>
          <w:p>
            <w:pPr>
              <w:spacing w:after="0"/>
              <w:rPr>
                <w:sz w:val="22"/>
                <w:szCs w:val="22"/>
                <w:color w:val="auto"/>
              </w:rPr>
            </w:pPr>
          </w:p>
        </w:tc>
        <w:tc>
          <w:tcPr>
            <w:tcW w:w="1340" w:type="dxa"/>
            <w:vAlign w:val="bottom"/>
            <w:tcBorders>
              <w:bottom w:val="single" w:sz="8" w:color="424E6A"/>
              <w:right w:val="single" w:sz="8" w:color="424E6A"/>
            </w:tcBorders>
          </w:tcPr>
          <w:p>
            <w:pPr>
              <w:jc w:val="right"/>
              <w:ind w:right="34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24E6A"/>
              <w:right w:val="single" w:sz="8" w:color="424E6A"/>
            </w:tcBorders>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140" w:type="dxa"/>
            <w:vAlign w:val="bottom"/>
            <w:tcBorders>
              <w:left w:val="single" w:sz="8" w:color="424E6A"/>
              <w:bottom w:val="single" w:sz="8" w:color="424E6A"/>
              <w:right w:val="single" w:sz="8" w:color="424E6A"/>
            </w:tcBorders>
            <w:gridSpan w:val="2"/>
            <w:shd w:val="clear" w:color="auto" w:fill="D9DCE1"/>
          </w:tcPr>
          <w:p>
            <w:pPr>
              <w:ind w:left="60"/>
              <w:spacing w:after="0"/>
              <w:rPr>
                <w:sz w:val="20"/>
                <w:szCs w:val="20"/>
                <w:color w:val="auto"/>
              </w:rPr>
            </w:pPr>
            <w:r>
              <w:rPr>
                <w:rFonts w:ascii="Arial" w:cs="Arial" w:eastAsia="Arial" w:hAnsi="Arial"/>
                <w:sz w:val="16"/>
                <w:szCs w:val="16"/>
                <w:color w:val="auto"/>
              </w:rPr>
              <w:t>Kevin S. McCarthy</w:t>
            </w:r>
            <w:r>
              <w:rPr>
                <w:rFonts w:ascii="Arial" w:cs="Arial" w:eastAsia="Arial" w:hAnsi="Arial"/>
                <w:sz w:val="19"/>
                <w:szCs w:val="19"/>
                <w:color w:val="auto"/>
                <w:vertAlign w:val="superscript"/>
              </w:rPr>
              <w:t>(11)</w:t>
            </w:r>
            <w:r>
              <w:rPr>
                <w:rFonts w:ascii="Arial" w:cs="Arial" w:eastAsia="Arial" w:hAnsi="Arial"/>
                <w:sz w:val="16"/>
                <w:szCs w:val="16"/>
                <w:color w:val="auto"/>
              </w:rPr>
              <w:t>​</w:t>
            </w:r>
          </w:p>
        </w:tc>
        <w:tc>
          <w:tcPr>
            <w:tcW w:w="1580" w:type="dxa"/>
            <w:vAlign w:val="bottom"/>
            <w:tcBorders>
              <w:bottom w:val="single" w:sz="8" w:color="424E6A"/>
              <w:right w:val="single" w:sz="8" w:color="424E6A"/>
            </w:tcBorders>
            <w:gridSpan w:val="2"/>
            <w:shd w:val="clear" w:color="auto" w:fill="D9DCE1"/>
          </w:tcPr>
          <w:p>
            <w:pPr>
              <w:jc w:val="right"/>
              <w:ind w:right="341"/>
              <w:spacing w:after="0"/>
              <w:rPr>
                <w:sz w:val="20"/>
                <w:szCs w:val="20"/>
                <w:color w:val="auto"/>
              </w:rPr>
            </w:pPr>
            <w:r>
              <w:rPr>
                <w:rFonts w:ascii="Arial" w:cs="Arial" w:eastAsia="Arial" w:hAnsi="Arial"/>
                <w:sz w:val="16"/>
                <w:szCs w:val="16"/>
                <w:color w:val="auto"/>
              </w:rPr>
              <w:t>200,000</w:t>
            </w:r>
          </w:p>
        </w:tc>
        <w:tc>
          <w:tcPr>
            <w:tcW w:w="1300" w:type="dxa"/>
            <w:vAlign w:val="bottom"/>
            <w:tcBorders>
              <w:bottom w:val="single" w:sz="8" w:color="424E6A"/>
              <w:right w:val="single" w:sz="8" w:color="424E6A"/>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24E6A"/>
              <w:right w:val="single" w:sz="8" w:color="424E6A"/>
            </w:tcBorders>
            <w:shd w:val="clear" w:color="auto" w:fill="D9DCE1"/>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140" w:type="dxa"/>
            <w:vAlign w:val="bottom"/>
            <w:tcBorders>
              <w:left w:val="single" w:sz="8" w:color="424E6A"/>
              <w:bottom w:val="single" w:sz="8" w:color="424E6A"/>
              <w:right w:val="single" w:sz="8" w:color="424E6A"/>
            </w:tcBorders>
            <w:gridSpan w:val="2"/>
          </w:tcPr>
          <w:p>
            <w:pPr>
              <w:ind w:left="60"/>
              <w:spacing w:after="0"/>
              <w:rPr>
                <w:sz w:val="20"/>
                <w:szCs w:val="20"/>
                <w:color w:val="auto"/>
              </w:rPr>
            </w:pPr>
            <w:r>
              <w:rPr>
                <w:rFonts w:ascii="Arial" w:cs="Arial" w:eastAsia="Arial" w:hAnsi="Arial"/>
                <w:sz w:val="16"/>
                <w:szCs w:val="16"/>
                <w:color w:val="auto"/>
              </w:rPr>
              <w:t>Gary R. Petersen</w:t>
            </w:r>
            <w:r>
              <w:rPr>
                <w:rFonts w:ascii="Arial" w:cs="Arial" w:eastAsia="Arial" w:hAnsi="Arial"/>
                <w:sz w:val="19"/>
                <w:szCs w:val="19"/>
                <w:color w:val="auto"/>
                <w:vertAlign w:val="superscript"/>
              </w:rPr>
              <w:t>(4)(11)</w:t>
            </w:r>
            <w:r>
              <w:rPr>
                <w:rFonts w:ascii="Arial" w:cs="Arial" w:eastAsia="Arial" w:hAnsi="Arial"/>
                <w:sz w:val="16"/>
                <w:szCs w:val="16"/>
                <w:color w:val="auto"/>
              </w:rPr>
              <w:t>​</w:t>
            </w:r>
          </w:p>
        </w:tc>
        <w:tc>
          <w:tcPr>
            <w:tcW w:w="1580" w:type="dxa"/>
            <w:vAlign w:val="bottom"/>
            <w:tcBorders>
              <w:bottom w:val="single" w:sz="8" w:color="424E6A"/>
              <w:right w:val="single" w:sz="8" w:color="424E6A"/>
            </w:tcBorders>
            <w:gridSpan w:val="2"/>
          </w:tcPr>
          <w:p>
            <w:pPr>
              <w:jc w:val="right"/>
              <w:ind w:right="341"/>
              <w:spacing w:after="0"/>
              <w:rPr>
                <w:sz w:val="20"/>
                <w:szCs w:val="20"/>
                <w:color w:val="auto"/>
              </w:rPr>
            </w:pPr>
            <w:r>
              <w:rPr>
                <w:rFonts w:ascii="Arial" w:cs="Arial" w:eastAsia="Arial" w:hAnsi="Arial"/>
                <w:sz w:val="16"/>
                <w:szCs w:val="16"/>
                <w:color w:val="auto"/>
              </w:rPr>
              <w:t>68,200</w:t>
            </w:r>
          </w:p>
        </w:tc>
        <w:tc>
          <w:tcPr>
            <w:tcW w:w="1300" w:type="dxa"/>
            <w:vAlign w:val="bottom"/>
            <w:tcBorders>
              <w:bottom w:val="single" w:sz="8" w:color="424E6A"/>
              <w:right w:val="single" w:sz="8" w:color="424E6A"/>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tcPr>
          <w:p>
            <w:pPr>
              <w:jc w:val="right"/>
              <w:ind w:right="180"/>
              <w:spacing w:after="0"/>
              <w:rPr>
                <w:sz w:val="20"/>
                <w:szCs w:val="20"/>
                <w:color w:val="auto"/>
              </w:rPr>
            </w:pPr>
            <w:r>
              <w:rPr>
                <w:rFonts w:ascii="Arial" w:cs="Arial" w:eastAsia="Arial" w:hAnsi="Arial"/>
                <w:sz w:val="16"/>
                <w:szCs w:val="16"/>
                <w:color w:val="auto"/>
              </w:rPr>
              <w:t>25,357,120</w:t>
            </w:r>
          </w:p>
        </w:tc>
        <w:tc>
          <w:tcPr>
            <w:tcW w:w="1320" w:type="dxa"/>
            <w:vAlign w:val="bottom"/>
            <w:tcBorders>
              <w:bottom w:val="single" w:sz="8" w:color="424E6A"/>
              <w:right w:val="single" w:sz="8" w:color="424E6A"/>
            </w:tcBorders>
          </w:tcPr>
          <w:p>
            <w:pPr>
              <w:jc w:val="right"/>
              <w:ind w:right="280"/>
              <w:spacing w:after="0"/>
              <w:rPr>
                <w:sz w:val="20"/>
                <w:szCs w:val="20"/>
                <w:color w:val="auto"/>
              </w:rPr>
            </w:pPr>
            <w:r>
              <w:rPr>
                <w:rFonts w:ascii="Arial" w:cs="Arial" w:eastAsia="Arial" w:hAnsi="Arial"/>
                <w:sz w:val="16"/>
                <w:szCs w:val="16"/>
                <w:color w:val="auto"/>
              </w:rPr>
              <w:t>35.7%</w:t>
            </w:r>
          </w:p>
        </w:tc>
        <w:tc>
          <w:tcPr>
            <w:tcW w:w="1420" w:type="dxa"/>
            <w:vAlign w:val="bottom"/>
            <w:tcBorders>
              <w:bottom w:val="single" w:sz="8" w:color="424E6A"/>
              <w:right w:val="single" w:sz="8" w:color="424E6A"/>
            </w:tcBorders>
          </w:tcPr>
          <w:p>
            <w:pPr>
              <w:jc w:val="right"/>
              <w:ind w:right="321"/>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64"/>
        </w:trPr>
        <w:tc>
          <w:tcPr>
            <w:tcW w:w="2140" w:type="dxa"/>
            <w:vAlign w:val="bottom"/>
            <w:tcBorders>
              <w:left w:val="single" w:sz="8" w:color="424E6A"/>
              <w:bottom w:val="single" w:sz="8" w:color="424E6A"/>
              <w:right w:val="single" w:sz="8" w:color="424E6A"/>
            </w:tcBorders>
            <w:gridSpan w:val="2"/>
            <w:shd w:val="clear" w:color="auto" w:fill="D9DCE1"/>
          </w:tcPr>
          <w:p>
            <w:pPr>
              <w:ind w:left="60"/>
              <w:spacing w:after="0"/>
              <w:rPr>
                <w:sz w:val="20"/>
                <w:szCs w:val="20"/>
                <w:color w:val="auto"/>
              </w:rPr>
            </w:pPr>
            <w:r>
              <w:rPr>
                <w:rFonts w:ascii="Arial" w:cs="Arial" w:eastAsia="Arial" w:hAnsi="Arial"/>
                <w:sz w:val="16"/>
                <w:szCs w:val="16"/>
                <w:color w:val="auto"/>
              </w:rPr>
              <w:t>Alexandra D. Pruner</w:t>
            </w:r>
            <w:r>
              <w:rPr>
                <w:rFonts w:ascii="Arial" w:cs="Arial" w:eastAsia="Arial" w:hAnsi="Arial"/>
                <w:sz w:val="19"/>
                <w:szCs w:val="19"/>
                <w:color w:val="auto"/>
                <w:vertAlign w:val="superscript"/>
              </w:rPr>
              <w:t>(11)</w:t>
            </w:r>
            <w:r>
              <w:rPr>
                <w:rFonts w:ascii="Arial" w:cs="Arial" w:eastAsia="Arial" w:hAnsi="Arial"/>
                <w:sz w:val="16"/>
                <w:szCs w:val="16"/>
                <w:color w:val="auto"/>
              </w:rPr>
              <w:t>​</w:t>
            </w:r>
          </w:p>
        </w:tc>
        <w:tc>
          <w:tcPr>
            <w:tcW w:w="240" w:type="dxa"/>
            <w:vAlign w:val="bottom"/>
            <w:tcBorders>
              <w:bottom w:val="single" w:sz="8" w:color="424E6A"/>
            </w:tcBorders>
            <w:shd w:val="clear" w:color="auto" w:fill="D9DCE1"/>
          </w:tcPr>
          <w:p>
            <w:pPr>
              <w:spacing w:after="0"/>
              <w:rPr>
                <w:sz w:val="22"/>
                <w:szCs w:val="22"/>
                <w:color w:val="auto"/>
              </w:rPr>
            </w:pPr>
          </w:p>
        </w:tc>
        <w:tc>
          <w:tcPr>
            <w:tcW w:w="1340" w:type="dxa"/>
            <w:vAlign w:val="bottom"/>
            <w:tcBorders>
              <w:bottom w:val="single" w:sz="8" w:color="424E6A"/>
              <w:right w:val="single" w:sz="8" w:color="424E6A"/>
            </w:tcBorders>
            <w:shd w:val="clear" w:color="auto" w:fill="D9DCE1"/>
          </w:tcPr>
          <w:p>
            <w:pPr>
              <w:jc w:val="right"/>
              <w:ind w:right="34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24E6A"/>
              <w:right w:val="single" w:sz="8" w:color="424E6A"/>
            </w:tcBorders>
            <w:shd w:val="clear" w:color="auto" w:fill="D9DCE1"/>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140" w:type="dxa"/>
            <w:vAlign w:val="bottom"/>
            <w:tcBorders>
              <w:left w:val="single" w:sz="8" w:color="424E6A"/>
              <w:bottom w:val="single" w:sz="8" w:color="424E6A"/>
              <w:right w:val="single" w:sz="8" w:color="424E6A"/>
            </w:tcBorders>
            <w:gridSpan w:val="2"/>
          </w:tcPr>
          <w:p>
            <w:pPr>
              <w:ind w:left="60"/>
              <w:spacing w:after="0"/>
              <w:rPr>
                <w:sz w:val="20"/>
                <w:szCs w:val="20"/>
                <w:color w:val="auto"/>
              </w:rPr>
            </w:pPr>
            <w:r>
              <w:rPr>
                <w:rFonts w:ascii="Arial" w:cs="Arial" w:eastAsia="Arial" w:hAnsi="Arial"/>
                <w:sz w:val="16"/>
                <w:szCs w:val="16"/>
                <w:color w:val="auto"/>
              </w:rPr>
              <w:t>John T. Raymond</w:t>
            </w:r>
            <w:r>
              <w:rPr>
                <w:rFonts w:ascii="Arial" w:cs="Arial" w:eastAsia="Arial" w:hAnsi="Arial"/>
                <w:sz w:val="19"/>
                <w:szCs w:val="19"/>
                <w:color w:val="auto"/>
                <w:vertAlign w:val="superscript"/>
              </w:rPr>
              <w:t>(5)(11)</w:t>
            </w:r>
            <w:r>
              <w:rPr>
                <w:rFonts w:ascii="Arial" w:cs="Arial" w:eastAsia="Arial" w:hAnsi="Arial"/>
                <w:sz w:val="16"/>
                <w:szCs w:val="16"/>
                <w:color w:val="auto"/>
              </w:rPr>
              <w:t>​</w:t>
            </w:r>
          </w:p>
        </w:tc>
        <w:tc>
          <w:tcPr>
            <w:tcW w:w="1580" w:type="dxa"/>
            <w:vAlign w:val="bottom"/>
            <w:tcBorders>
              <w:bottom w:val="single" w:sz="8" w:color="424E6A"/>
              <w:right w:val="single" w:sz="8" w:color="424E6A"/>
            </w:tcBorders>
            <w:gridSpan w:val="2"/>
          </w:tcPr>
          <w:p>
            <w:pPr>
              <w:jc w:val="right"/>
              <w:ind w:right="341"/>
              <w:spacing w:after="0"/>
              <w:rPr>
                <w:sz w:val="20"/>
                <w:szCs w:val="20"/>
                <w:color w:val="auto"/>
              </w:rPr>
            </w:pPr>
            <w:r>
              <w:rPr>
                <w:rFonts w:ascii="Arial" w:cs="Arial" w:eastAsia="Arial" w:hAnsi="Arial"/>
                <w:sz w:val="16"/>
                <w:szCs w:val="16"/>
                <w:color w:val="auto"/>
              </w:rPr>
              <w:t>1,602,616</w:t>
            </w:r>
          </w:p>
        </w:tc>
        <w:tc>
          <w:tcPr>
            <w:tcW w:w="1300" w:type="dxa"/>
            <w:vAlign w:val="bottom"/>
            <w:tcBorders>
              <w:bottom w:val="single" w:sz="8" w:color="424E6A"/>
              <w:right w:val="single" w:sz="8" w:color="424E6A"/>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tcPr>
          <w:p>
            <w:pPr>
              <w:jc w:val="right"/>
              <w:ind w:right="180"/>
              <w:spacing w:after="0"/>
              <w:rPr>
                <w:sz w:val="20"/>
                <w:szCs w:val="20"/>
                <w:color w:val="auto"/>
              </w:rPr>
            </w:pPr>
            <w:r>
              <w:rPr>
                <w:rFonts w:ascii="Arial" w:cs="Arial" w:eastAsia="Arial" w:hAnsi="Arial"/>
                <w:sz w:val="16"/>
                <w:szCs w:val="16"/>
                <w:color w:val="auto"/>
              </w:rPr>
              <w:t>20,376,259</w:t>
            </w:r>
          </w:p>
        </w:tc>
        <w:tc>
          <w:tcPr>
            <w:tcW w:w="1320" w:type="dxa"/>
            <w:vAlign w:val="bottom"/>
            <w:tcBorders>
              <w:bottom w:val="single" w:sz="8" w:color="424E6A"/>
              <w:right w:val="single" w:sz="8" w:color="424E6A"/>
            </w:tcBorders>
          </w:tcPr>
          <w:p>
            <w:pPr>
              <w:jc w:val="right"/>
              <w:ind w:right="280"/>
              <w:spacing w:after="0"/>
              <w:rPr>
                <w:sz w:val="20"/>
                <w:szCs w:val="20"/>
                <w:color w:val="auto"/>
              </w:rPr>
            </w:pPr>
            <w:r>
              <w:rPr>
                <w:rFonts w:ascii="Arial" w:cs="Arial" w:eastAsia="Arial" w:hAnsi="Arial"/>
                <w:sz w:val="16"/>
                <w:szCs w:val="16"/>
                <w:color w:val="auto"/>
              </w:rPr>
              <w:t>28.7%</w:t>
            </w:r>
          </w:p>
        </w:tc>
        <w:tc>
          <w:tcPr>
            <w:tcW w:w="1420" w:type="dxa"/>
            <w:vAlign w:val="bottom"/>
            <w:tcBorders>
              <w:bottom w:val="single" w:sz="8" w:color="424E6A"/>
              <w:right w:val="single" w:sz="8" w:color="424E6A"/>
            </w:tcBorders>
          </w:tcPr>
          <w:p>
            <w:pPr>
              <w:jc w:val="right"/>
              <w:ind w:right="321"/>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63"/>
        </w:trPr>
        <w:tc>
          <w:tcPr>
            <w:tcW w:w="2140" w:type="dxa"/>
            <w:vAlign w:val="bottom"/>
            <w:tcBorders>
              <w:left w:val="single" w:sz="8" w:color="424E6A"/>
              <w:bottom w:val="single" w:sz="8" w:color="424E6A"/>
              <w:right w:val="single" w:sz="8" w:color="424E6A"/>
            </w:tcBorders>
            <w:gridSpan w:val="2"/>
            <w:shd w:val="clear" w:color="auto" w:fill="D9DCE1"/>
          </w:tcPr>
          <w:p>
            <w:pPr>
              <w:ind w:left="60"/>
              <w:spacing w:after="0"/>
              <w:rPr>
                <w:sz w:val="20"/>
                <w:szCs w:val="20"/>
                <w:color w:val="auto"/>
              </w:rPr>
            </w:pPr>
            <w:r>
              <w:rPr>
                <w:rFonts w:ascii="Arial" w:cs="Arial" w:eastAsia="Arial" w:hAnsi="Arial"/>
                <w:sz w:val="16"/>
                <w:szCs w:val="16"/>
                <w:color w:val="auto"/>
              </w:rPr>
              <w:t>Bobby S. Shackouls</w:t>
            </w:r>
            <w:r>
              <w:rPr>
                <w:rFonts w:ascii="Arial" w:cs="Arial" w:eastAsia="Arial" w:hAnsi="Arial"/>
                <w:sz w:val="19"/>
                <w:szCs w:val="19"/>
                <w:color w:val="auto"/>
                <w:vertAlign w:val="superscript"/>
              </w:rPr>
              <w:t>(11)</w:t>
            </w:r>
            <w:r>
              <w:rPr>
                <w:rFonts w:ascii="Arial" w:cs="Arial" w:eastAsia="Arial" w:hAnsi="Arial"/>
                <w:sz w:val="16"/>
                <w:szCs w:val="16"/>
                <w:color w:val="auto"/>
              </w:rPr>
              <w:t>​</w:t>
            </w:r>
          </w:p>
        </w:tc>
        <w:tc>
          <w:tcPr>
            <w:tcW w:w="1580" w:type="dxa"/>
            <w:vAlign w:val="bottom"/>
            <w:tcBorders>
              <w:bottom w:val="single" w:sz="8" w:color="424E6A"/>
              <w:right w:val="single" w:sz="8" w:color="424E6A"/>
            </w:tcBorders>
            <w:gridSpan w:val="2"/>
            <w:shd w:val="clear" w:color="auto" w:fill="D9DCE1"/>
          </w:tcPr>
          <w:p>
            <w:pPr>
              <w:jc w:val="right"/>
              <w:ind w:right="341"/>
              <w:spacing w:after="0"/>
              <w:rPr>
                <w:sz w:val="20"/>
                <w:szCs w:val="20"/>
                <w:color w:val="auto"/>
              </w:rPr>
            </w:pPr>
            <w:r>
              <w:rPr>
                <w:rFonts w:ascii="Arial" w:cs="Arial" w:eastAsia="Arial" w:hAnsi="Arial"/>
                <w:sz w:val="16"/>
                <w:szCs w:val="16"/>
                <w:color w:val="auto"/>
              </w:rPr>
              <w:t>35,033</w:t>
            </w:r>
          </w:p>
        </w:tc>
        <w:tc>
          <w:tcPr>
            <w:tcW w:w="1300" w:type="dxa"/>
            <w:vAlign w:val="bottom"/>
            <w:tcBorders>
              <w:bottom w:val="single" w:sz="8" w:color="424E6A"/>
              <w:right w:val="single" w:sz="8" w:color="424E6A"/>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24E6A"/>
              <w:right w:val="single" w:sz="8" w:color="424E6A"/>
            </w:tcBorders>
            <w:shd w:val="clear" w:color="auto" w:fill="D9DCE1"/>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140" w:type="dxa"/>
            <w:vAlign w:val="bottom"/>
            <w:tcBorders>
              <w:left w:val="single" w:sz="8" w:color="424E6A"/>
              <w:bottom w:val="single" w:sz="8" w:color="424E6A"/>
              <w:right w:val="single" w:sz="8" w:color="424E6A"/>
            </w:tcBorders>
            <w:gridSpan w:val="2"/>
          </w:tcPr>
          <w:p>
            <w:pPr>
              <w:ind w:left="60"/>
              <w:spacing w:after="0"/>
              <w:rPr>
                <w:sz w:val="20"/>
                <w:szCs w:val="20"/>
                <w:color w:val="auto"/>
              </w:rPr>
            </w:pPr>
            <w:r>
              <w:rPr>
                <w:rFonts w:ascii="Arial" w:cs="Arial" w:eastAsia="Arial" w:hAnsi="Arial"/>
                <w:sz w:val="16"/>
                <w:szCs w:val="16"/>
                <w:color w:val="auto"/>
              </w:rPr>
              <w:t>Christopher M. Temple</w:t>
            </w:r>
            <w:r>
              <w:rPr>
                <w:rFonts w:ascii="Arial" w:cs="Arial" w:eastAsia="Arial" w:hAnsi="Arial"/>
                <w:sz w:val="19"/>
                <w:szCs w:val="19"/>
                <w:color w:val="auto"/>
                <w:vertAlign w:val="superscript"/>
              </w:rPr>
              <w:t>(11)</w:t>
            </w:r>
            <w:r>
              <w:rPr>
                <w:rFonts w:ascii="Arial" w:cs="Arial" w:eastAsia="Arial" w:hAnsi="Arial"/>
                <w:sz w:val="16"/>
                <w:szCs w:val="16"/>
                <w:color w:val="auto"/>
              </w:rPr>
              <w:t>​</w:t>
            </w:r>
          </w:p>
        </w:tc>
        <w:tc>
          <w:tcPr>
            <w:tcW w:w="240" w:type="dxa"/>
            <w:vAlign w:val="bottom"/>
            <w:tcBorders>
              <w:bottom w:val="single" w:sz="8" w:color="424E6A"/>
            </w:tcBorders>
          </w:tcPr>
          <w:p>
            <w:pPr>
              <w:spacing w:after="0"/>
              <w:rPr>
                <w:sz w:val="22"/>
                <w:szCs w:val="22"/>
                <w:color w:val="auto"/>
              </w:rPr>
            </w:pPr>
          </w:p>
        </w:tc>
        <w:tc>
          <w:tcPr>
            <w:tcW w:w="1340" w:type="dxa"/>
            <w:vAlign w:val="bottom"/>
            <w:tcBorders>
              <w:bottom w:val="single" w:sz="8" w:color="424E6A"/>
              <w:right w:val="single" w:sz="8" w:color="424E6A"/>
            </w:tcBorders>
          </w:tcPr>
          <w:p>
            <w:pPr>
              <w:jc w:val="right"/>
              <w:ind w:right="34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24E6A"/>
              <w:right w:val="single" w:sz="8" w:color="424E6A"/>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24E6A"/>
              <w:right w:val="single" w:sz="8" w:color="424E6A"/>
            </w:tcBorders>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140" w:type="dxa"/>
            <w:vAlign w:val="bottom"/>
            <w:tcBorders>
              <w:left w:val="single" w:sz="8" w:color="424E6A"/>
              <w:bottom w:val="single" w:sz="8" w:color="424E6A"/>
              <w:right w:val="single" w:sz="8" w:color="424E6A"/>
            </w:tcBorders>
            <w:gridSpan w:val="2"/>
            <w:shd w:val="clear" w:color="auto" w:fill="D9DCE1"/>
          </w:tcPr>
          <w:p>
            <w:pPr>
              <w:ind w:left="60"/>
              <w:spacing w:after="0"/>
              <w:rPr>
                <w:sz w:val="20"/>
                <w:szCs w:val="20"/>
                <w:color w:val="auto"/>
              </w:rPr>
            </w:pPr>
            <w:r>
              <w:rPr>
                <w:rFonts w:ascii="Arial" w:cs="Arial" w:eastAsia="Arial" w:hAnsi="Arial"/>
                <w:sz w:val="16"/>
                <w:szCs w:val="16"/>
                <w:color w:val="auto"/>
              </w:rPr>
              <w:t>Lawrence M. Ziemba</w:t>
            </w:r>
            <w:r>
              <w:rPr>
                <w:rFonts w:ascii="Arial" w:cs="Arial" w:eastAsia="Arial" w:hAnsi="Arial"/>
                <w:sz w:val="19"/>
                <w:szCs w:val="19"/>
                <w:color w:val="auto"/>
                <w:vertAlign w:val="superscript"/>
              </w:rPr>
              <w:t>(11)</w:t>
            </w:r>
            <w:r>
              <w:rPr>
                <w:rFonts w:ascii="Arial" w:cs="Arial" w:eastAsia="Arial" w:hAnsi="Arial"/>
                <w:sz w:val="16"/>
                <w:szCs w:val="16"/>
                <w:color w:val="auto"/>
              </w:rPr>
              <w:t>​</w:t>
            </w:r>
          </w:p>
        </w:tc>
        <w:tc>
          <w:tcPr>
            <w:tcW w:w="1580" w:type="dxa"/>
            <w:vAlign w:val="bottom"/>
            <w:tcBorders>
              <w:bottom w:val="single" w:sz="8" w:color="424E6A"/>
              <w:right w:val="single" w:sz="8" w:color="424E6A"/>
            </w:tcBorders>
            <w:gridSpan w:val="2"/>
            <w:shd w:val="clear" w:color="auto" w:fill="D9DCE1"/>
          </w:tcPr>
          <w:p>
            <w:pPr>
              <w:jc w:val="right"/>
              <w:ind w:right="341"/>
              <w:spacing w:after="0"/>
              <w:rPr>
                <w:sz w:val="20"/>
                <w:szCs w:val="20"/>
                <w:color w:val="auto"/>
              </w:rPr>
            </w:pPr>
            <w:r>
              <w:rPr>
                <w:rFonts w:ascii="Arial" w:cs="Arial" w:eastAsia="Arial" w:hAnsi="Arial"/>
                <w:sz w:val="16"/>
                <w:szCs w:val="16"/>
                <w:color w:val="auto"/>
              </w:rPr>
              <w:t>2,346</w:t>
            </w:r>
          </w:p>
        </w:tc>
        <w:tc>
          <w:tcPr>
            <w:tcW w:w="1300" w:type="dxa"/>
            <w:vAlign w:val="bottom"/>
            <w:tcBorders>
              <w:bottom w:val="single" w:sz="8" w:color="424E6A"/>
              <w:right w:val="single" w:sz="8" w:color="424E6A"/>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24E6A"/>
              <w:right w:val="single" w:sz="8" w:color="424E6A"/>
            </w:tcBorders>
            <w:shd w:val="clear" w:color="auto" w:fill="D9DCE1"/>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140" w:type="dxa"/>
            <w:vAlign w:val="bottom"/>
            <w:tcBorders>
              <w:left w:val="single" w:sz="8" w:color="424E6A"/>
              <w:right w:val="single" w:sz="8" w:color="424E6A"/>
            </w:tcBorders>
            <w:gridSpan w:val="2"/>
          </w:tcPr>
          <w:p>
            <w:pPr>
              <w:ind w:left="60"/>
              <w:spacing w:after="0"/>
              <w:rPr>
                <w:sz w:val="20"/>
                <w:szCs w:val="20"/>
                <w:color w:val="auto"/>
              </w:rPr>
            </w:pPr>
            <w:r>
              <w:rPr>
                <w:rFonts w:ascii="Arial" w:cs="Arial" w:eastAsia="Arial" w:hAnsi="Arial"/>
                <w:sz w:val="16"/>
                <w:szCs w:val="16"/>
                <w:color w:val="auto"/>
              </w:rPr>
              <w:t>All directors and executive</w:t>
            </w:r>
          </w:p>
        </w:tc>
        <w:tc>
          <w:tcPr>
            <w:tcW w:w="240" w:type="dxa"/>
            <w:vAlign w:val="bottom"/>
          </w:tcPr>
          <w:p>
            <w:pPr>
              <w:spacing w:after="0"/>
              <w:rPr>
                <w:sz w:val="16"/>
                <w:szCs w:val="16"/>
                <w:color w:val="auto"/>
              </w:rPr>
            </w:pPr>
          </w:p>
        </w:tc>
        <w:tc>
          <w:tcPr>
            <w:tcW w:w="1340" w:type="dxa"/>
            <w:vAlign w:val="bottom"/>
            <w:tcBorders>
              <w:right w:val="single" w:sz="8" w:color="424E6A"/>
            </w:tcBorders>
          </w:tcPr>
          <w:p>
            <w:pPr>
              <w:spacing w:after="0"/>
              <w:rPr>
                <w:sz w:val="16"/>
                <w:szCs w:val="16"/>
                <w:color w:val="auto"/>
              </w:rPr>
            </w:pPr>
          </w:p>
        </w:tc>
        <w:tc>
          <w:tcPr>
            <w:tcW w:w="1300" w:type="dxa"/>
            <w:vAlign w:val="bottom"/>
            <w:tcBorders>
              <w:right w:val="single" w:sz="8" w:color="424E6A"/>
            </w:tcBorders>
          </w:tcPr>
          <w:p>
            <w:pPr>
              <w:spacing w:after="0"/>
              <w:rPr>
                <w:sz w:val="16"/>
                <w:szCs w:val="16"/>
                <w:color w:val="auto"/>
              </w:rPr>
            </w:pPr>
          </w:p>
        </w:tc>
        <w:tc>
          <w:tcPr>
            <w:tcW w:w="1320" w:type="dxa"/>
            <w:vAlign w:val="bottom"/>
            <w:tcBorders>
              <w:right w:val="single" w:sz="8" w:color="424E6A"/>
            </w:tcBorders>
          </w:tcPr>
          <w:p>
            <w:pPr>
              <w:spacing w:after="0"/>
              <w:rPr>
                <w:sz w:val="16"/>
                <w:szCs w:val="16"/>
                <w:color w:val="auto"/>
              </w:rPr>
            </w:pPr>
          </w:p>
        </w:tc>
        <w:tc>
          <w:tcPr>
            <w:tcW w:w="1320" w:type="dxa"/>
            <w:vAlign w:val="bottom"/>
            <w:tcBorders>
              <w:right w:val="single" w:sz="8" w:color="424E6A"/>
            </w:tcBorders>
          </w:tcPr>
          <w:p>
            <w:pPr>
              <w:spacing w:after="0"/>
              <w:rPr>
                <w:sz w:val="16"/>
                <w:szCs w:val="16"/>
                <w:color w:val="auto"/>
              </w:rPr>
            </w:pPr>
          </w:p>
        </w:tc>
        <w:tc>
          <w:tcPr>
            <w:tcW w:w="1420" w:type="dxa"/>
            <w:vAlign w:val="bottom"/>
            <w:tcBorders>
              <w:right w:val="single" w:sz="8" w:color="424E6A"/>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40" w:type="dxa"/>
            <w:vAlign w:val="bottom"/>
            <w:tcBorders>
              <w:left w:val="single" w:sz="8" w:color="424E6A"/>
              <w:right w:val="single" w:sz="8" w:color="424E6A"/>
            </w:tcBorders>
            <w:gridSpan w:val="2"/>
          </w:tcPr>
          <w:p>
            <w:pPr>
              <w:ind w:left="220"/>
              <w:spacing w:after="0"/>
              <w:rPr>
                <w:sz w:val="20"/>
                <w:szCs w:val="20"/>
                <w:color w:val="auto"/>
              </w:rPr>
            </w:pPr>
            <w:r>
              <w:rPr>
                <w:rFonts w:ascii="Arial" w:cs="Arial" w:eastAsia="Arial" w:hAnsi="Arial"/>
                <w:sz w:val="16"/>
                <w:szCs w:val="16"/>
                <w:color w:val="auto"/>
              </w:rPr>
              <w:t>officers as a group</w:t>
            </w:r>
          </w:p>
        </w:tc>
        <w:tc>
          <w:tcPr>
            <w:tcW w:w="1580" w:type="dxa"/>
            <w:vAlign w:val="bottom"/>
            <w:tcBorders>
              <w:right w:val="single" w:sz="8" w:color="424E6A"/>
            </w:tcBorders>
            <w:gridSpan w:val="2"/>
            <w:vMerge w:val="restart"/>
          </w:tcPr>
          <w:p>
            <w:pPr>
              <w:jc w:val="right"/>
              <w:ind w:right="41"/>
              <w:spacing w:after="0"/>
              <w:rPr>
                <w:sz w:val="20"/>
                <w:szCs w:val="20"/>
                <w:color w:val="auto"/>
              </w:rPr>
            </w:pPr>
            <w:r>
              <w:rPr>
                <w:rFonts w:ascii="Arial" w:cs="Arial" w:eastAsia="Arial" w:hAnsi="Arial"/>
                <w:sz w:val="16"/>
                <w:szCs w:val="16"/>
                <w:color w:val="auto"/>
              </w:rPr>
              <w:t>5,231,004</w:t>
            </w:r>
            <w:r>
              <w:rPr>
                <w:rFonts w:ascii="Arial" w:cs="Arial" w:eastAsia="Arial" w:hAnsi="Arial"/>
                <w:sz w:val="19"/>
                <w:szCs w:val="19"/>
                <w:color w:val="auto"/>
                <w:vertAlign w:val="superscript"/>
              </w:rPr>
              <w:t>(9)(10)</w:t>
            </w:r>
          </w:p>
        </w:tc>
        <w:tc>
          <w:tcPr>
            <w:tcW w:w="1300" w:type="dxa"/>
            <w:vAlign w:val="bottom"/>
            <w:tcBorders>
              <w:right w:val="single" w:sz="8" w:color="424E6A"/>
            </w:tcBorders>
          </w:tcPr>
          <w:p>
            <w:pPr>
              <w:spacing w:after="0"/>
              <w:rPr>
                <w:sz w:val="16"/>
                <w:szCs w:val="16"/>
                <w:color w:val="auto"/>
              </w:rPr>
            </w:pPr>
          </w:p>
        </w:tc>
        <w:tc>
          <w:tcPr>
            <w:tcW w:w="1320" w:type="dxa"/>
            <w:vAlign w:val="bottom"/>
            <w:tcBorders>
              <w:right w:val="single" w:sz="8" w:color="424E6A"/>
            </w:tcBorders>
            <w:vMerge w:val="restart"/>
          </w:tcPr>
          <w:p>
            <w:pPr>
              <w:jc w:val="right"/>
              <w:spacing w:after="0"/>
              <w:rPr>
                <w:sz w:val="20"/>
                <w:szCs w:val="20"/>
                <w:color w:val="auto"/>
              </w:rPr>
            </w:pPr>
            <w:r>
              <w:rPr>
                <w:rFonts w:ascii="Arial" w:cs="Arial" w:eastAsia="Arial" w:hAnsi="Arial"/>
                <w:sz w:val="16"/>
                <w:szCs w:val="16"/>
                <w:color w:val="auto"/>
              </w:rPr>
              <w:t>45,733,379</w:t>
            </w:r>
            <w:r>
              <w:rPr>
                <w:rFonts w:ascii="Arial" w:cs="Arial" w:eastAsia="Arial" w:hAnsi="Arial"/>
                <w:sz w:val="19"/>
                <w:szCs w:val="19"/>
                <w:color w:val="auto"/>
                <w:vertAlign w:val="superscript"/>
              </w:rPr>
              <w:t>(10)</w:t>
            </w:r>
          </w:p>
        </w:tc>
        <w:tc>
          <w:tcPr>
            <w:tcW w:w="1320" w:type="dxa"/>
            <w:vAlign w:val="bottom"/>
            <w:tcBorders>
              <w:right w:val="single" w:sz="8" w:color="424E6A"/>
            </w:tcBorders>
          </w:tcPr>
          <w:p>
            <w:pPr>
              <w:spacing w:after="0"/>
              <w:rPr>
                <w:sz w:val="16"/>
                <w:szCs w:val="16"/>
                <w:color w:val="auto"/>
              </w:rPr>
            </w:pPr>
          </w:p>
        </w:tc>
        <w:tc>
          <w:tcPr>
            <w:tcW w:w="1420" w:type="dxa"/>
            <w:vAlign w:val="bottom"/>
            <w:tcBorders>
              <w:right w:val="single" w:sz="8" w:color="424E6A"/>
            </w:tcBorders>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140" w:type="dxa"/>
            <w:vAlign w:val="bottom"/>
            <w:tcBorders>
              <w:left w:val="single" w:sz="8" w:color="424E6A"/>
              <w:bottom w:val="single" w:sz="8" w:color="424E6A"/>
              <w:right w:val="single" w:sz="8" w:color="424E6A"/>
            </w:tcBorders>
            <w:gridSpan w:val="2"/>
          </w:tcPr>
          <w:p>
            <w:pPr>
              <w:ind w:left="220"/>
              <w:spacing w:after="0"/>
              <w:rPr>
                <w:sz w:val="20"/>
                <w:szCs w:val="20"/>
                <w:color w:val="auto"/>
              </w:rPr>
            </w:pPr>
            <w:r>
              <w:rPr>
                <w:rFonts w:ascii="Arial" w:cs="Arial" w:eastAsia="Arial" w:hAnsi="Arial"/>
                <w:sz w:val="16"/>
                <w:szCs w:val="16"/>
                <w:color w:val="auto"/>
              </w:rPr>
              <w:t>(17 persons)</w:t>
            </w:r>
            <w:r>
              <w:rPr>
                <w:rFonts w:ascii="Arial" w:cs="Arial" w:eastAsia="Arial" w:hAnsi="Arial"/>
                <w:sz w:val="19"/>
                <w:szCs w:val="19"/>
                <w:color w:val="auto"/>
                <w:vertAlign w:val="superscript"/>
              </w:rPr>
              <w:t>(11 )</w:t>
            </w:r>
          </w:p>
        </w:tc>
        <w:tc>
          <w:tcPr>
            <w:tcW w:w="1580" w:type="dxa"/>
            <w:vAlign w:val="bottom"/>
            <w:tcBorders>
              <w:bottom w:val="single" w:sz="8" w:color="424E6A"/>
              <w:right w:val="single" w:sz="8" w:color="424E6A"/>
            </w:tcBorders>
            <w:gridSpan w:val="2"/>
            <w:vMerge w:val="continue"/>
          </w:tcPr>
          <w:p>
            <w:pPr>
              <w:spacing w:after="0"/>
              <w:rPr>
                <w:sz w:val="21"/>
                <w:szCs w:val="21"/>
                <w:color w:val="auto"/>
              </w:rPr>
            </w:pPr>
          </w:p>
        </w:tc>
        <w:tc>
          <w:tcPr>
            <w:tcW w:w="1300" w:type="dxa"/>
            <w:vAlign w:val="bottom"/>
            <w:tcBorders>
              <w:bottom w:val="single" w:sz="8" w:color="424E6A"/>
              <w:right w:val="single" w:sz="8" w:color="424E6A"/>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24E6A"/>
              <w:right w:val="single" w:sz="8" w:color="424E6A"/>
            </w:tcBorders>
            <w:vMerge w:val="continue"/>
          </w:tcPr>
          <w:p>
            <w:pPr>
              <w:spacing w:after="0"/>
              <w:rPr>
                <w:sz w:val="21"/>
                <w:szCs w:val="21"/>
                <w:color w:val="auto"/>
              </w:rPr>
            </w:pPr>
          </w:p>
        </w:tc>
        <w:tc>
          <w:tcPr>
            <w:tcW w:w="1320" w:type="dxa"/>
            <w:vAlign w:val="bottom"/>
            <w:tcBorders>
              <w:bottom w:val="single" w:sz="8" w:color="424E6A"/>
              <w:right w:val="single" w:sz="8" w:color="424E6A"/>
            </w:tcBorders>
          </w:tcPr>
          <w:p>
            <w:pPr>
              <w:jc w:val="right"/>
              <w:ind w:right="280"/>
              <w:spacing w:after="0"/>
              <w:rPr>
                <w:sz w:val="20"/>
                <w:szCs w:val="20"/>
                <w:color w:val="auto"/>
              </w:rPr>
            </w:pPr>
            <w:r>
              <w:rPr>
                <w:rFonts w:ascii="Arial" w:cs="Arial" w:eastAsia="Arial" w:hAnsi="Arial"/>
                <w:sz w:val="16"/>
                <w:szCs w:val="16"/>
                <w:color w:val="auto"/>
              </w:rPr>
              <w:t>64.3%</w:t>
            </w:r>
          </w:p>
        </w:tc>
        <w:tc>
          <w:tcPr>
            <w:tcW w:w="1420" w:type="dxa"/>
            <w:vAlign w:val="bottom"/>
            <w:tcBorders>
              <w:bottom w:val="single" w:sz="8" w:color="424E6A"/>
              <w:right w:val="single" w:sz="8" w:color="424E6A"/>
            </w:tcBorders>
          </w:tcPr>
          <w:p>
            <w:pPr>
              <w:jc w:val="right"/>
              <w:ind w:right="321"/>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20" w:hanging="360"/>
        <w:spacing w:after="0"/>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Less than 1%.</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1159" w:hanging="360"/>
        <w:spacing w:after="0" w:line="277" w:lineRule="auto"/>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Common Unit Equivalents include outstanding common units and Series A preferred units combined.</w:t>
      </w:r>
    </w:p>
    <w:p>
      <w:pPr>
        <w:spacing w:after="0" w:line="35" w:lineRule="exact"/>
        <w:rPr>
          <w:sz w:val="20"/>
          <w:szCs w:val="20"/>
          <w:color w:val="auto"/>
        </w:rPr>
      </w:pPr>
    </w:p>
    <w:p>
      <w:pPr>
        <w:ind w:left="1620" w:right="459" w:hanging="360"/>
        <w:spacing w:after="0" w:line="232" w:lineRule="auto"/>
        <w:tabs>
          <w:tab w:leader="none" w:pos="162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The Series A preferred units vote on an as-converted basis with the common units and have certain other class voting rights with respect to any amendment to our partnership agreement that would adversely affect any rights, preferences or privileges of the Series A preferred units. The Series A preferred units are convertible, generally on a one-for-one basis and subject to customary anti-dilution adjustments, at any time by the holders or by us.</w:t>
      </w:r>
    </w:p>
    <w:p>
      <w:pPr>
        <w:spacing w:after="0" w:line="47" w:lineRule="exact"/>
        <w:rPr>
          <w:rFonts w:ascii="Arial" w:cs="Arial" w:eastAsia="Arial" w:hAnsi="Arial"/>
          <w:sz w:val="27"/>
          <w:szCs w:val="27"/>
          <w:color w:val="auto"/>
          <w:vertAlign w:val="superscript"/>
        </w:rPr>
      </w:pPr>
    </w:p>
    <w:p>
      <w:pPr>
        <w:ind w:left="1620" w:right="419" w:hanging="360"/>
        <w:spacing w:after="0" w:line="233" w:lineRule="auto"/>
        <w:tabs>
          <w:tab w:leader="none" w:pos="1620" w:val="left"/>
        </w:tabs>
        <w:numPr>
          <w:ilvl w:val="0"/>
          <w:numId w:val="79"/>
        </w:numPr>
        <w:rPr>
          <w:rFonts w:ascii="Arial" w:cs="Arial" w:eastAsia="Arial" w:hAnsi="Arial"/>
          <w:sz w:val="26"/>
          <w:szCs w:val="26"/>
          <w:color w:val="auto"/>
          <w:vertAlign w:val="superscript"/>
        </w:rPr>
      </w:pPr>
      <w:r>
        <w:rPr>
          <w:rFonts w:ascii="Arial" w:cs="Arial" w:eastAsia="Arial" w:hAnsi="Arial"/>
          <w:sz w:val="17"/>
          <w:szCs w:val="17"/>
          <w:color w:val="auto"/>
        </w:rPr>
        <w:t>The address for this holder is 333 Clay Street, Suite 1600, Houston, Texas 77002. The number of common units owned by Plains AAP equals the number of outstanding Class A and Class B shares of PAGP (241,002,428). Plains AAP is not entitled to vote these units in the election of directors.</w:t>
      </w:r>
    </w:p>
    <w:p>
      <w:pPr>
        <w:spacing w:after="0" w:line="45" w:lineRule="exact"/>
        <w:rPr>
          <w:rFonts w:ascii="Arial" w:cs="Arial" w:eastAsia="Arial" w:hAnsi="Arial"/>
          <w:sz w:val="26"/>
          <w:szCs w:val="26"/>
          <w:color w:val="auto"/>
          <w:vertAlign w:val="superscript"/>
        </w:rPr>
      </w:pPr>
    </w:p>
    <w:p>
      <w:pPr>
        <w:ind w:left="1620" w:right="539" w:hanging="360"/>
        <w:spacing w:after="0" w:line="222" w:lineRule="auto"/>
        <w:tabs>
          <w:tab w:leader="none" w:pos="162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Reflects beneficial ownership as of December 31, 2022 as reported in a Schedule 13G filed with the SEC on February 13, 2023. The address of this holder is 1290 Broadway, Suite 1000, Denver, Colorado 80203.</w:t>
      </w:r>
    </w:p>
    <w:p>
      <w:pPr>
        <w:spacing w:after="0" w:line="58" w:lineRule="exact"/>
        <w:rPr>
          <w:rFonts w:ascii="Arial" w:cs="Arial" w:eastAsia="Arial" w:hAnsi="Arial"/>
          <w:sz w:val="27"/>
          <w:szCs w:val="27"/>
          <w:color w:val="auto"/>
          <w:vertAlign w:val="superscript"/>
        </w:rPr>
      </w:pPr>
    </w:p>
    <w:p>
      <w:pPr>
        <w:ind w:left="1620" w:right="439" w:hanging="360"/>
        <w:spacing w:after="0" w:line="235" w:lineRule="auto"/>
        <w:tabs>
          <w:tab w:leader="none" w:pos="162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The Series A preferred units are owned by funds managed by EnCap Partners, LLC, whose address is 9651 Katy Freeway, 6th Floor, Houston, Texas 77024. Gary R. Petersen may be deemed to be the beneficial owner of the Series A preferred units owned by these holders by virtue of being a member of EnCap Partners, LLC, the managing member of each holder’s general partner. Mr. Petersen disclaims beneficial ownership of the Series A preferred units except to the extent of his pecuniary interest therein.</w:t>
      </w:r>
    </w:p>
    <w:p>
      <w:pPr>
        <w:spacing w:after="0" w:line="46" w:lineRule="exact"/>
        <w:rPr>
          <w:rFonts w:ascii="Arial" w:cs="Arial" w:eastAsia="Arial" w:hAnsi="Arial"/>
          <w:sz w:val="27"/>
          <w:szCs w:val="27"/>
          <w:color w:val="auto"/>
          <w:vertAlign w:val="superscript"/>
        </w:rPr>
      </w:pPr>
    </w:p>
    <w:p>
      <w:pPr>
        <w:ind w:left="1620" w:right="519" w:hanging="360"/>
        <w:spacing w:after="0" w:line="235" w:lineRule="auto"/>
        <w:tabs>
          <w:tab w:leader="none" w:pos="162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2229 San Felipe, Suite 1300, Houston, Texas 77019. John T. Raymond has sole voting and dispositive power over the Series A preferred units and may be deemed to be the beneficial owner of the Series A preferred units owned by the holder by virtue of being the sole member of the general partner of the holder’s manager. Mr. Raymond disclaims beneficial ownership of the Series A preferred units except to the extent of his pecuniary interest therein.</w:t>
      </w:r>
    </w:p>
    <w:p>
      <w:pPr>
        <w:spacing w:after="0" w:line="1" w:lineRule="exact"/>
        <w:rPr>
          <w:rFonts w:ascii="Arial" w:cs="Arial" w:eastAsia="Arial" w:hAnsi="Arial"/>
          <w:sz w:val="27"/>
          <w:szCs w:val="27"/>
          <w:color w:val="auto"/>
          <w:vertAlign w:val="superscript"/>
        </w:rPr>
      </w:pPr>
    </w:p>
    <w:p>
      <w:pPr>
        <w:ind w:left="1620" w:hanging="360"/>
        <w:spacing w:after="0" w:line="219" w:lineRule="auto"/>
        <w:tabs>
          <w:tab w:leader="none" w:pos="162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600 Travis, Suite 6000, Houston, Texas 77002.</w:t>
      </w:r>
    </w:p>
    <w:p>
      <w:pPr>
        <w:spacing w:after="0" w:line="89" w:lineRule="exact"/>
        <w:rPr>
          <w:rFonts w:ascii="Arial" w:cs="Arial" w:eastAsia="Arial" w:hAnsi="Arial"/>
          <w:sz w:val="27"/>
          <w:szCs w:val="27"/>
          <w:color w:val="auto"/>
          <w:vertAlign w:val="superscript"/>
        </w:rPr>
      </w:pPr>
    </w:p>
    <w:p>
      <w:pPr>
        <w:ind w:left="1620" w:right="759" w:hanging="360"/>
        <w:spacing w:after="0" w:line="202" w:lineRule="auto"/>
        <w:tabs>
          <w:tab w:leader="none" w:pos="162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The Series A preferred units are owned by funds managed by Stonepeak Partners LLC, whose address is 550 W. 34th Street, 48th Floor, New York, New York 10001.</w:t>
      </w:r>
    </w:p>
    <w:p>
      <w:pPr>
        <w:spacing w:after="0" w:line="11" w:lineRule="exact"/>
        <w:rPr>
          <w:rFonts w:ascii="Arial" w:cs="Arial" w:eastAsia="Arial" w:hAnsi="Arial"/>
          <w:sz w:val="27"/>
          <w:szCs w:val="27"/>
          <w:color w:val="auto"/>
          <w:vertAlign w:val="superscript"/>
        </w:rPr>
      </w:pPr>
    </w:p>
    <w:p>
      <w:pPr>
        <w:ind w:left="1620" w:right="439" w:hanging="360"/>
        <w:spacing w:after="0" w:line="233" w:lineRule="auto"/>
        <w:tabs>
          <w:tab w:leader="none" w:pos="162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c/o Goldman Sachs AIMS, 111 South Main,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Salt Lake City, UT 84111.</w:t>
      </w:r>
    </w:p>
    <w:p>
      <w:pPr>
        <w:spacing w:after="0" w:line="44" w:lineRule="exact"/>
        <w:rPr>
          <w:rFonts w:ascii="Arial" w:cs="Arial" w:eastAsia="Arial" w:hAnsi="Arial"/>
          <w:sz w:val="27"/>
          <w:szCs w:val="27"/>
          <w:color w:val="auto"/>
          <w:vertAlign w:val="superscript"/>
        </w:rPr>
      </w:pPr>
    </w:p>
    <w:p>
      <w:pPr>
        <w:ind w:left="1620" w:right="919" w:hanging="360"/>
        <w:spacing w:after="0" w:line="210" w:lineRule="auto"/>
        <w:tabs>
          <w:tab w:leader="none" w:pos="162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Does not include unvested phantom units granted under our Long-Term Incentive Plans. See “Executive Compensation — Outstanding Equity Awards at Fiscal Year-End”.</w:t>
      </w:r>
    </w:p>
    <w:p>
      <w:pPr>
        <w:spacing w:after="0" w:line="60" w:lineRule="exact"/>
        <w:rPr>
          <w:rFonts w:ascii="Arial" w:cs="Arial" w:eastAsia="Arial" w:hAnsi="Arial"/>
          <w:sz w:val="27"/>
          <w:szCs w:val="27"/>
          <w:color w:val="auto"/>
          <w:vertAlign w:val="superscript"/>
        </w:rPr>
      </w:pPr>
    </w:p>
    <w:p>
      <w:pPr>
        <w:ind w:left="1620" w:right="419" w:hanging="360"/>
        <w:spacing w:after="0" w:line="210" w:lineRule="auto"/>
        <w:tabs>
          <w:tab w:leader="none" w:pos="162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Consistent with our policies that prohibit pledging of company securities, to our knowledge, no units were pledged by directors or Named Executive Officers as of March 27, 2023.</w:t>
      </w:r>
    </w:p>
    <w:p>
      <w:pPr>
        <w:spacing w:after="0" w:line="46" w:lineRule="exact"/>
        <w:rPr>
          <w:rFonts w:ascii="Arial" w:cs="Arial" w:eastAsia="Arial" w:hAnsi="Arial"/>
          <w:sz w:val="27"/>
          <w:szCs w:val="27"/>
          <w:color w:val="auto"/>
          <w:vertAlign w:val="superscript"/>
        </w:rPr>
      </w:pPr>
    </w:p>
    <w:p>
      <w:pPr>
        <w:ind w:left="1620" w:right="439" w:hanging="360"/>
        <w:spacing w:after="0" w:line="235" w:lineRule="auto"/>
        <w:tabs>
          <w:tab w:leader="none" w:pos="162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In addition to owning the common units or Series A preferred units as shown in the table above, certain of our Named Executive Officers and directors also own PAGP Class A shares or PAGP Class B shares and are entitled to vote those shares in the election of directors at the PAGP Annual Meeting. Information regarding the beneficial ownership of PAGP and PAA voting securities (exclusive of unvested equity awards) by our Named Executive Officers, directors and all director and executive officers as a group is reflected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340" w:type="dxa"/>
            <w:vAlign w:val="bottom"/>
            <w:tcBorders>
              <w:left w:val="single" w:sz="8" w:color="424E6A"/>
            </w:tcBorders>
            <w:shd w:val="clear" w:color="auto" w:fill="424E6A"/>
          </w:tcPr>
          <w:p>
            <w:pPr>
              <w:spacing w:after="0"/>
              <w:rPr>
                <w:sz w:val="21"/>
                <w:szCs w:val="21"/>
                <w:color w:val="auto"/>
              </w:rPr>
            </w:pPr>
          </w:p>
        </w:tc>
        <w:tc>
          <w:tcPr>
            <w:tcW w:w="100" w:type="dxa"/>
            <w:vAlign w:val="bottom"/>
            <w:tcBorders>
              <w:right w:val="single" w:sz="8" w:color="424E6A"/>
            </w:tcBorders>
            <w:shd w:val="clear" w:color="auto" w:fill="424E6A"/>
          </w:tcPr>
          <w:p>
            <w:pPr>
              <w:spacing w:after="0"/>
              <w:rPr>
                <w:sz w:val="21"/>
                <w:szCs w:val="21"/>
                <w:color w:val="auto"/>
              </w:rPr>
            </w:pPr>
          </w:p>
        </w:tc>
        <w:tc>
          <w:tcPr>
            <w:tcW w:w="280" w:type="dxa"/>
            <w:vAlign w:val="bottom"/>
            <w:shd w:val="clear" w:color="auto" w:fill="424E6A"/>
          </w:tcPr>
          <w:p>
            <w:pPr>
              <w:spacing w:after="0"/>
              <w:rPr>
                <w:sz w:val="21"/>
                <w:szCs w:val="21"/>
                <w:color w:val="auto"/>
              </w:rPr>
            </w:pPr>
          </w:p>
        </w:tc>
        <w:tc>
          <w:tcPr>
            <w:tcW w:w="840" w:type="dxa"/>
            <w:vAlign w:val="bottom"/>
            <w:shd w:val="clear" w:color="auto" w:fill="424E6A"/>
          </w:tcPr>
          <w:p>
            <w:pPr>
              <w:spacing w:after="0"/>
              <w:rPr>
                <w:sz w:val="21"/>
                <w:szCs w:val="21"/>
                <w:color w:val="auto"/>
              </w:rPr>
            </w:pPr>
          </w:p>
        </w:tc>
        <w:tc>
          <w:tcPr>
            <w:tcW w:w="180" w:type="dxa"/>
            <w:vAlign w:val="bottom"/>
            <w:tcBorders>
              <w:right w:val="single" w:sz="8" w:color="424E6A"/>
            </w:tcBorders>
            <w:shd w:val="clear" w:color="auto" w:fill="424E6A"/>
          </w:tcPr>
          <w:p>
            <w:pPr>
              <w:spacing w:after="0"/>
              <w:rPr>
                <w:sz w:val="21"/>
                <w:szCs w:val="21"/>
                <w:color w:val="auto"/>
              </w:rPr>
            </w:pPr>
          </w:p>
        </w:tc>
        <w:tc>
          <w:tcPr>
            <w:tcW w:w="220" w:type="dxa"/>
            <w:vAlign w:val="bottom"/>
            <w:shd w:val="clear" w:color="auto" w:fill="424E6A"/>
          </w:tcPr>
          <w:p>
            <w:pPr>
              <w:spacing w:after="0"/>
              <w:rPr>
                <w:sz w:val="21"/>
                <w:szCs w:val="21"/>
                <w:color w:val="auto"/>
              </w:rPr>
            </w:pPr>
          </w:p>
        </w:tc>
        <w:tc>
          <w:tcPr>
            <w:tcW w:w="780" w:type="dxa"/>
            <w:vAlign w:val="bottom"/>
            <w:tcBorders>
              <w:right w:val="single" w:sz="8" w:color="424E6A"/>
            </w:tcBorders>
            <w:shd w:val="clear" w:color="auto" w:fill="424E6A"/>
          </w:tcPr>
          <w:p>
            <w:pPr>
              <w:spacing w:after="0"/>
              <w:rPr>
                <w:sz w:val="21"/>
                <w:szCs w:val="21"/>
                <w:color w:val="auto"/>
              </w:rPr>
            </w:pPr>
          </w:p>
        </w:tc>
        <w:tc>
          <w:tcPr>
            <w:tcW w:w="220" w:type="dxa"/>
            <w:vAlign w:val="bottom"/>
            <w:shd w:val="clear" w:color="auto" w:fill="424E6A"/>
          </w:tcPr>
          <w:p>
            <w:pPr>
              <w:spacing w:after="0"/>
              <w:rPr>
                <w:sz w:val="21"/>
                <w:szCs w:val="21"/>
                <w:color w:val="auto"/>
              </w:rPr>
            </w:pPr>
          </w:p>
        </w:tc>
        <w:tc>
          <w:tcPr>
            <w:tcW w:w="860" w:type="dxa"/>
            <w:vAlign w:val="bottom"/>
            <w:tcBorders>
              <w:right w:val="single" w:sz="8" w:color="424E6A"/>
            </w:tcBorders>
            <w:shd w:val="clear" w:color="auto" w:fill="424E6A"/>
          </w:tcPr>
          <w:p>
            <w:pPr>
              <w:spacing w:after="0"/>
              <w:rPr>
                <w:sz w:val="21"/>
                <w:szCs w:val="21"/>
                <w:color w:val="auto"/>
              </w:rPr>
            </w:pPr>
          </w:p>
        </w:tc>
        <w:tc>
          <w:tcPr>
            <w:tcW w:w="240" w:type="dxa"/>
            <w:vAlign w:val="bottom"/>
            <w:shd w:val="clear" w:color="auto" w:fill="424E6A"/>
          </w:tcPr>
          <w:p>
            <w:pPr>
              <w:spacing w:after="0"/>
              <w:rPr>
                <w:sz w:val="21"/>
                <w:szCs w:val="21"/>
                <w:color w:val="auto"/>
              </w:rPr>
            </w:pPr>
          </w:p>
        </w:tc>
        <w:tc>
          <w:tcPr>
            <w:tcW w:w="720" w:type="dxa"/>
            <w:vAlign w:val="bottom"/>
            <w:shd w:val="clear" w:color="auto" w:fill="424E6A"/>
          </w:tcPr>
          <w:p>
            <w:pPr>
              <w:jc w:val="center"/>
              <w:ind w:right="68"/>
              <w:spacing w:after="0"/>
              <w:rPr>
                <w:sz w:val="20"/>
                <w:szCs w:val="20"/>
                <w:color w:val="auto"/>
              </w:rPr>
            </w:pPr>
            <w:r>
              <w:rPr>
                <w:rFonts w:ascii="Arial" w:cs="Arial" w:eastAsia="Arial" w:hAnsi="Arial"/>
                <w:sz w:val="14"/>
                <w:szCs w:val="14"/>
                <w:b w:val="1"/>
                <w:bCs w:val="1"/>
                <w:color w:val="FFFFFF"/>
              </w:rPr>
              <w:t>Total</w:t>
            </w:r>
          </w:p>
        </w:tc>
        <w:tc>
          <w:tcPr>
            <w:tcW w:w="160" w:type="dxa"/>
            <w:vAlign w:val="bottom"/>
            <w:tcBorders>
              <w:right w:val="single" w:sz="8" w:color="424E6A"/>
            </w:tcBorders>
            <w:shd w:val="clear" w:color="auto" w:fill="424E6A"/>
          </w:tcPr>
          <w:p>
            <w:pPr>
              <w:spacing w:after="0"/>
              <w:rPr>
                <w:sz w:val="21"/>
                <w:szCs w:val="21"/>
                <w:color w:val="auto"/>
              </w:rPr>
            </w:pPr>
          </w:p>
        </w:tc>
        <w:tc>
          <w:tcPr>
            <w:tcW w:w="260" w:type="dxa"/>
            <w:vAlign w:val="bottom"/>
            <w:shd w:val="clear" w:color="auto" w:fill="424E6A"/>
          </w:tcPr>
          <w:p>
            <w:pPr>
              <w:spacing w:after="0"/>
              <w:rPr>
                <w:sz w:val="21"/>
                <w:szCs w:val="21"/>
                <w:color w:val="auto"/>
              </w:rPr>
            </w:pPr>
          </w:p>
        </w:tc>
        <w:tc>
          <w:tcPr>
            <w:tcW w:w="680" w:type="dxa"/>
            <w:vAlign w:val="bottom"/>
            <w:shd w:val="clear" w:color="auto" w:fill="424E6A"/>
          </w:tcPr>
          <w:p>
            <w:pPr>
              <w:spacing w:after="0"/>
              <w:rPr>
                <w:sz w:val="21"/>
                <w:szCs w:val="21"/>
                <w:color w:val="auto"/>
              </w:rPr>
            </w:pPr>
          </w:p>
        </w:tc>
        <w:tc>
          <w:tcPr>
            <w:tcW w:w="160" w:type="dxa"/>
            <w:vAlign w:val="bottom"/>
            <w:tcBorders>
              <w:right w:val="single" w:sz="8" w:color="424E6A"/>
            </w:tcBorders>
            <w:shd w:val="clear" w:color="auto" w:fill="424E6A"/>
          </w:tcPr>
          <w:p>
            <w:pPr>
              <w:spacing w:after="0"/>
              <w:rPr>
                <w:sz w:val="21"/>
                <w:szCs w:val="21"/>
                <w:color w:val="auto"/>
              </w:rPr>
            </w:pPr>
          </w:p>
        </w:tc>
        <w:tc>
          <w:tcPr>
            <w:tcW w:w="140" w:type="dxa"/>
            <w:vAlign w:val="bottom"/>
            <w:shd w:val="clear" w:color="auto" w:fill="424E6A"/>
          </w:tcPr>
          <w:p>
            <w:pPr>
              <w:spacing w:after="0"/>
              <w:rPr>
                <w:sz w:val="21"/>
                <w:szCs w:val="21"/>
                <w:color w:val="auto"/>
              </w:rPr>
            </w:pPr>
          </w:p>
        </w:tc>
        <w:tc>
          <w:tcPr>
            <w:tcW w:w="340" w:type="dxa"/>
            <w:vAlign w:val="bottom"/>
            <w:shd w:val="clear" w:color="auto" w:fill="424E6A"/>
          </w:tcPr>
          <w:p>
            <w:pPr>
              <w:spacing w:after="0"/>
              <w:rPr>
                <w:sz w:val="21"/>
                <w:szCs w:val="21"/>
                <w:color w:val="auto"/>
              </w:rPr>
            </w:pPr>
          </w:p>
        </w:tc>
        <w:tc>
          <w:tcPr>
            <w:tcW w:w="480" w:type="dxa"/>
            <w:vAlign w:val="bottom"/>
            <w:shd w:val="clear" w:color="auto" w:fill="424E6A"/>
          </w:tcPr>
          <w:p>
            <w:pPr>
              <w:spacing w:after="0"/>
              <w:rPr>
                <w:sz w:val="21"/>
                <w:szCs w:val="21"/>
                <w:color w:val="auto"/>
              </w:rPr>
            </w:pPr>
          </w:p>
        </w:tc>
        <w:tc>
          <w:tcPr>
            <w:tcW w:w="220" w:type="dxa"/>
            <w:vAlign w:val="bottom"/>
            <w:tcBorders>
              <w:right w:val="single" w:sz="8" w:color="424E6A"/>
            </w:tcBorders>
            <w:shd w:val="clear" w:color="auto" w:fill="424E6A"/>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424E6A"/>
            </w:tcBorders>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84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6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720" w:type="dxa"/>
            <w:vAlign w:val="bottom"/>
            <w:shd w:val="clear" w:color="auto" w:fill="424E6A"/>
          </w:tcPr>
          <w:p>
            <w:pPr>
              <w:jc w:val="center"/>
              <w:ind w:right="68"/>
              <w:spacing w:after="0"/>
              <w:rPr>
                <w:sz w:val="20"/>
                <w:szCs w:val="20"/>
                <w:color w:val="auto"/>
              </w:rPr>
            </w:pPr>
            <w:r>
              <w:rPr>
                <w:rFonts w:ascii="Arial" w:cs="Arial" w:eastAsia="Arial" w:hAnsi="Arial"/>
                <w:sz w:val="14"/>
                <w:szCs w:val="14"/>
                <w:b w:val="1"/>
                <w:bCs w:val="1"/>
                <w:color w:val="FFFFFF"/>
                <w:w w:val="95"/>
              </w:rPr>
              <w:t>PAGP</w:t>
            </w:r>
          </w:p>
        </w:tc>
        <w:tc>
          <w:tcPr>
            <w:tcW w:w="16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680" w:type="dxa"/>
            <w:vAlign w:val="bottom"/>
            <w:shd w:val="clear" w:color="auto" w:fill="424E6A"/>
          </w:tcPr>
          <w:p>
            <w:pPr>
              <w:jc w:val="center"/>
              <w:ind w:right="108"/>
              <w:spacing w:after="0"/>
              <w:rPr>
                <w:sz w:val="20"/>
                <w:szCs w:val="20"/>
                <w:color w:val="auto"/>
              </w:rPr>
            </w:pPr>
            <w:r>
              <w:rPr>
                <w:rFonts w:ascii="Arial" w:cs="Arial" w:eastAsia="Arial" w:hAnsi="Arial"/>
                <w:sz w:val="14"/>
                <w:szCs w:val="14"/>
                <w:b w:val="1"/>
                <w:bCs w:val="1"/>
                <w:color w:val="FFFFFF"/>
              </w:rPr>
              <w:t>Total</w:t>
            </w:r>
          </w:p>
        </w:tc>
        <w:tc>
          <w:tcPr>
            <w:tcW w:w="1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8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424E6A"/>
            </w:tcBorders>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1120" w:type="dxa"/>
            <w:vAlign w:val="bottom"/>
            <w:gridSpan w:val="2"/>
            <w:shd w:val="clear" w:color="auto" w:fill="424E6A"/>
          </w:tcPr>
          <w:p>
            <w:pPr>
              <w:ind w:left="240"/>
              <w:spacing w:after="0"/>
              <w:rPr>
                <w:sz w:val="20"/>
                <w:szCs w:val="20"/>
                <w:color w:val="auto"/>
              </w:rPr>
            </w:pPr>
            <w:r>
              <w:rPr>
                <w:rFonts w:ascii="Arial" w:cs="Arial" w:eastAsia="Arial" w:hAnsi="Arial"/>
                <w:sz w:val="14"/>
                <w:szCs w:val="14"/>
                <w:b w:val="1"/>
                <w:bCs w:val="1"/>
                <w:color w:val="FFFFFF"/>
              </w:rPr>
              <w:t>Total PAA</w:t>
            </w: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6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720" w:type="dxa"/>
            <w:vAlign w:val="bottom"/>
            <w:shd w:val="clear" w:color="auto" w:fill="424E6A"/>
          </w:tcPr>
          <w:p>
            <w:pPr>
              <w:jc w:val="center"/>
              <w:ind w:right="88"/>
              <w:spacing w:after="0"/>
              <w:rPr>
                <w:sz w:val="20"/>
                <w:szCs w:val="20"/>
                <w:color w:val="auto"/>
              </w:rPr>
            </w:pPr>
            <w:r>
              <w:rPr>
                <w:rFonts w:ascii="Arial" w:cs="Arial" w:eastAsia="Arial" w:hAnsi="Arial"/>
                <w:sz w:val="14"/>
                <w:szCs w:val="14"/>
                <w:b w:val="1"/>
                <w:bCs w:val="1"/>
                <w:color w:val="FFFFFF"/>
              </w:rPr>
              <w:t>Class A</w:t>
            </w:r>
          </w:p>
        </w:tc>
        <w:tc>
          <w:tcPr>
            <w:tcW w:w="160" w:type="dxa"/>
            <w:vAlign w:val="bottom"/>
            <w:tcBorders>
              <w:right w:val="single" w:sz="8" w:color="424E6A"/>
            </w:tcBorders>
            <w:shd w:val="clear" w:color="auto" w:fill="424E6A"/>
          </w:tcPr>
          <w:p>
            <w:pPr>
              <w:spacing w:after="0"/>
              <w:rPr>
                <w:sz w:val="14"/>
                <w:szCs w:val="14"/>
                <w:color w:val="auto"/>
              </w:rPr>
            </w:pPr>
          </w:p>
        </w:tc>
        <w:tc>
          <w:tcPr>
            <w:tcW w:w="940" w:type="dxa"/>
            <w:vAlign w:val="bottom"/>
            <w:gridSpan w:val="2"/>
            <w:shd w:val="clear" w:color="auto" w:fill="424E6A"/>
          </w:tcPr>
          <w:p>
            <w:pPr>
              <w:jc w:val="center"/>
              <w:ind w:left="10"/>
              <w:spacing w:after="0"/>
              <w:rPr>
                <w:sz w:val="20"/>
                <w:szCs w:val="20"/>
                <w:color w:val="auto"/>
              </w:rPr>
            </w:pPr>
            <w:r>
              <w:rPr>
                <w:rFonts w:ascii="Arial" w:cs="Arial" w:eastAsia="Arial" w:hAnsi="Arial"/>
                <w:sz w:val="14"/>
                <w:szCs w:val="14"/>
                <w:b w:val="1"/>
                <w:bCs w:val="1"/>
                <w:color w:val="FFFFFF"/>
              </w:rPr>
              <w:t>Combined</w:t>
            </w:r>
          </w:p>
        </w:tc>
        <w:tc>
          <w:tcPr>
            <w:tcW w:w="1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340" w:type="dxa"/>
            <w:vAlign w:val="bottom"/>
            <w:shd w:val="clear" w:color="auto" w:fill="424E6A"/>
          </w:tcPr>
          <w:p>
            <w:pPr>
              <w:spacing w:after="0"/>
              <w:rPr>
                <w:sz w:val="14"/>
                <w:szCs w:val="14"/>
                <w:color w:val="auto"/>
              </w:rPr>
            </w:pPr>
          </w:p>
        </w:tc>
        <w:tc>
          <w:tcPr>
            <w:tcW w:w="480" w:type="dxa"/>
            <w:vAlign w:val="bottom"/>
            <w:shd w:val="clear" w:color="auto" w:fill="424E6A"/>
          </w:tcPr>
          <w:p>
            <w:pPr>
              <w:jc w:val="center"/>
              <w:ind w:right="248"/>
              <w:spacing w:after="0"/>
              <w:rPr>
                <w:sz w:val="20"/>
                <w:szCs w:val="20"/>
                <w:color w:val="auto"/>
              </w:rPr>
            </w:pPr>
            <w:r>
              <w:rPr>
                <w:rFonts w:ascii="Arial" w:cs="Arial" w:eastAsia="Arial" w:hAnsi="Arial"/>
                <w:sz w:val="14"/>
                <w:szCs w:val="14"/>
                <w:b w:val="1"/>
                <w:bCs w:val="1"/>
                <w:color w:val="FFFFFF"/>
                <w:w w:val="90"/>
              </w:rPr>
              <w:t>of</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424E6A"/>
            </w:tcBorders>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11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Common and</w:t>
            </w: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80" w:type="dxa"/>
            <w:vAlign w:val="bottom"/>
            <w:tcBorders>
              <w:right w:val="single" w:sz="8" w:color="424E6A"/>
            </w:tcBorders>
            <w:shd w:val="clear" w:color="auto" w:fill="424E6A"/>
          </w:tcPr>
          <w:p>
            <w:pPr>
              <w:jc w:val="center"/>
              <w:ind w:right="188"/>
              <w:spacing w:after="0"/>
              <w:rPr>
                <w:sz w:val="20"/>
                <w:szCs w:val="20"/>
                <w:color w:val="auto"/>
              </w:rPr>
            </w:pPr>
            <w:r>
              <w:rPr>
                <w:rFonts w:ascii="Arial" w:cs="Arial" w:eastAsia="Arial" w:hAnsi="Arial"/>
                <w:sz w:val="14"/>
                <w:szCs w:val="14"/>
                <w:b w:val="1"/>
                <w:bCs w:val="1"/>
                <w:color w:val="FFFFFF"/>
              </w:rPr>
              <w:t>PAGP</w:t>
            </w:r>
          </w:p>
        </w:tc>
        <w:tc>
          <w:tcPr>
            <w:tcW w:w="220" w:type="dxa"/>
            <w:vAlign w:val="bottom"/>
            <w:shd w:val="clear" w:color="auto" w:fill="424E6A"/>
          </w:tcPr>
          <w:p>
            <w:pPr>
              <w:spacing w:after="0"/>
              <w:rPr>
                <w:sz w:val="14"/>
                <w:szCs w:val="14"/>
                <w:color w:val="auto"/>
              </w:rPr>
            </w:pPr>
          </w:p>
        </w:tc>
        <w:tc>
          <w:tcPr>
            <w:tcW w:w="860" w:type="dxa"/>
            <w:vAlign w:val="bottom"/>
            <w:tcBorders>
              <w:right w:val="single" w:sz="8" w:color="424E6A"/>
            </w:tcBorders>
            <w:shd w:val="clear" w:color="auto" w:fill="424E6A"/>
          </w:tcPr>
          <w:p>
            <w:pPr>
              <w:jc w:val="center"/>
              <w:ind w:right="188"/>
              <w:spacing w:after="0"/>
              <w:rPr>
                <w:sz w:val="20"/>
                <w:szCs w:val="20"/>
                <w:color w:val="auto"/>
              </w:rPr>
            </w:pPr>
            <w:r>
              <w:rPr>
                <w:rFonts w:ascii="Arial" w:cs="Arial" w:eastAsia="Arial" w:hAnsi="Arial"/>
                <w:sz w:val="14"/>
                <w:szCs w:val="14"/>
                <w:b w:val="1"/>
                <w:bCs w:val="1"/>
                <w:color w:val="FFFFFF"/>
              </w:rPr>
              <w:t>PAGP</w:t>
            </w:r>
          </w:p>
        </w:tc>
        <w:tc>
          <w:tcPr>
            <w:tcW w:w="240" w:type="dxa"/>
            <w:vAlign w:val="bottom"/>
            <w:shd w:val="clear" w:color="auto" w:fill="424E6A"/>
          </w:tcPr>
          <w:p>
            <w:pPr>
              <w:spacing w:after="0"/>
              <w:rPr>
                <w:sz w:val="14"/>
                <w:szCs w:val="14"/>
                <w:color w:val="auto"/>
              </w:rPr>
            </w:pPr>
          </w:p>
        </w:tc>
        <w:tc>
          <w:tcPr>
            <w:tcW w:w="720" w:type="dxa"/>
            <w:vAlign w:val="bottom"/>
            <w:shd w:val="clear" w:color="auto" w:fill="424E6A"/>
          </w:tcPr>
          <w:p>
            <w:pPr>
              <w:jc w:val="center"/>
              <w:ind w:right="68"/>
              <w:spacing w:after="0"/>
              <w:rPr>
                <w:sz w:val="20"/>
                <w:szCs w:val="20"/>
                <w:color w:val="auto"/>
              </w:rPr>
            </w:pPr>
            <w:r>
              <w:rPr>
                <w:rFonts w:ascii="Arial" w:cs="Arial" w:eastAsia="Arial" w:hAnsi="Arial"/>
                <w:sz w:val="14"/>
                <w:szCs w:val="14"/>
                <w:b w:val="1"/>
                <w:bCs w:val="1"/>
                <w:color w:val="FFFFFF"/>
              </w:rPr>
              <w:t>and</w:t>
            </w:r>
          </w:p>
        </w:tc>
        <w:tc>
          <w:tcPr>
            <w:tcW w:w="16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680" w:type="dxa"/>
            <w:vAlign w:val="bottom"/>
            <w:shd w:val="clear" w:color="auto" w:fill="424E6A"/>
          </w:tcPr>
          <w:p>
            <w:pPr>
              <w:jc w:val="right"/>
              <w:ind w:right="128"/>
              <w:spacing w:after="0"/>
              <w:rPr>
                <w:sz w:val="20"/>
                <w:szCs w:val="20"/>
                <w:color w:val="auto"/>
              </w:rPr>
            </w:pPr>
            <w:r>
              <w:rPr>
                <w:rFonts w:ascii="Arial" w:cs="Arial" w:eastAsia="Arial" w:hAnsi="Arial"/>
                <w:sz w:val="14"/>
                <w:szCs w:val="14"/>
                <w:b w:val="1"/>
                <w:bCs w:val="1"/>
                <w:color w:val="FFFFFF"/>
              </w:rPr>
              <w:t>PAA/​</w:t>
            </w:r>
          </w:p>
        </w:tc>
        <w:tc>
          <w:tcPr>
            <w:tcW w:w="1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8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Overall</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424E6A"/>
            </w:tcBorders>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840" w:type="dxa"/>
            <w:vAlign w:val="bottom"/>
            <w:shd w:val="clear" w:color="auto" w:fill="424E6A"/>
          </w:tcPr>
          <w:p>
            <w:pPr>
              <w:jc w:val="center"/>
              <w:ind w:right="168"/>
              <w:spacing w:after="0"/>
              <w:rPr>
                <w:sz w:val="20"/>
                <w:szCs w:val="20"/>
                <w:color w:val="auto"/>
              </w:rPr>
            </w:pPr>
            <w:r>
              <w:rPr>
                <w:rFonts w:ascii="Arial" w:cs="Arial" w:eastAsia="Arial" w:hAnsi="Arial"/>
                <w:sz w:val="14"/>
                <w:szCs w:val="14"/>
                <w:b w:val="1"/>
                <w:bCs w:val="1"/>
                <w:color w:val="FFFFFF"/>
                <w:w w:val="99"/>
              </w:rPr>
              <w:t>Series A</w:t>
            </w: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80" w:type="dxa"/>
            <w:vAlign w:val="bottom"/>
            <w:tcBorders>
              <w:right w:val="single" w:sz="8" w:color="424E6A"/>
            </w:tcBorders>
            <w:shd w:val="clear" w:color="auto" w:fill="424E6A"/>
          </w:tcPr>
          <w:p>
            <w:pPr>
              <w:jc w:val="center"/>
              <w:ind w:right="188"/>
              <w:spacing w:after="0"/>
              <w:rPr>
                <w:sz w:val="20"/>
                <w:szCs w:val="20"/>
                <w:color w:val="auto"/>
              </w:rPr>
            </w:pPr>
            <w:r>
              <w:rPr>
                <w:rFonts w:ascii="Arial" w:cs="Arial" w:eastAsia="Arial" w:hAnsi="Arial"/>
                <w:sz w:val="14"/>
                <w:szCs w:val="14"/>
                <w:b w:val="1"/>
                <w:bCs w:val="1"/>
                <w:color w:val="FFFFFF"/>
              </w:rPr>
              <w:t>Class A</w:t>
            </w:r>
          </w:p>
        </w:tc>
        <w:tc>
          <w:tcPr>
            <w:tcW w:w="220" w:type="dxa"/>
            <w:vAlign w:val="bottom"/>
            <w:shd w:val="clear" w:color="auto" w:fill="424E6A"/>
          </w:tcPr>
          <w:p>
            <w:pPr>
              <w:spacing w:after="0"/>
              <w:rPr>
                <w:sz w:val="14"/>
                <w:szCs w:val="14"/>
                <w:color w:val="auto"/>
              </w:rPr>
            </w:pPr>
          </w:p>
        </w:tc>
        <w:tc>
          <w:tcPr>
            <w:tcW w:w="860" w:type="dxa"/>
            <w:vAlign w:val="bottom"/>
            <w:tcBorders>
              <w:right w:val="single" w:sz="8" w:color="424E6A"/>
            </w:tcBorders>
            <w:shd w:val="clear" w:color="auto" w:fill="424E6A"/>
          </w:tcPr>
          <w:p>
            <w:pPr>
              <w:jc w:val="center"/>
              <w:ind w:right="188"/>
              <w:spacing w:after="0"/>
              <w:rPr>
                <w:sz w:val="20"/>
                <w:szCs w:val="20"/>
                <w:color w:val="auto"/>
              </w:rPr>
            </w:pPr>
            <w:r>
              <w:rPr>
                <w:rFonts w:ascii="Arial" w:cs="Arial" w:eastAsia="Arial" w:hAnsi="Arial"/>
                <w:sz w:val="14"/>
                <w:szCs w:val="14"/>
                <w:b w:val="1"/>
                <w:bCs w:val="1"/>
                <w:color w:val="FFFFFF"/>
              </w:rPr>
              <w:t>Class B</w:t>
            </w:r>
          </w:p>
        </w:tc>
        <w:tc>
          <w:tcPr>
            <w:tcW w:w="240" w:type="dxa"/>
            <w:vAlign w:val="bottom"/>
            <w:shd w:val="clear" w:color="auto" w:fill="424E6A"/>
          </w:tcPr>
          <w:p>
            <w:pPr>
              <w:spacing w:after="0"/>
              <w:rPr>
                <w:sz w:val="14"/>
                <w:szCs w:val="14"/>
                <w:color w:val="auto"/>
              </w:rPr>
            </w:pPr>
          </w:p>
        </w:tc>
        <w:tc>
          <w:tcPr>
            <w:tcW w:w="720" w:type="dxa"/>
            <w:vAlign w:val="bottom"/>
            <w:shd w:val="clear" w:color="auto" w:fill="424E6A"/>
          </w:tcPr>
          <w:p>
            <w:pPr>
              <w:jc w:val="center"/>
              <w:ind w:right="88"/>
              <w:spacing w:after="0"/>
              <w:rPr>
                <w:sz w:val="20"/>
                <w:szCs w:val="20"/>
                <w:color w:val="auto"/>
              </w:rPr>
            </w:pPr>
            <w:r>
              <w:rPr>
                <w:rFonts w:ascii="Arial" w:cs="Arial" w:eastAsia="Arial" w:hAnsi="Arial"/>
                <w:sz w:val="14"/>
                <w:szCs w:val="14"/>
                <w:b w:val="1"/>
                <w:bCs w:val="1"/>
                <w:color w:val="FFFFFF"/>
              </w:rPr>
              <w:t>Class B</w:t>
            </w:r>
          </w:p>
        </w:tc>
        <w:tc>
          <w:tcPr>
            <w:tcW w:w="16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680" w:type="dxa"/>
            <w:vAlign w:val="bottom"/>
            <w:shd w:val="clear" w:color="auto" w:fill="424E6A"/>
          </w:tcPr>
          <w:p>
            <w:pPr>
              <w:jc w:val="center"/>
              <w:ind w:right="88"/>
              <w:spacing w:after="0"/>
              <w:rPr>
                <w:sz w:val="20"/>
                <w:szCs w:val="20"/>
                <w:color w:val="auto"/>
              </w:rPr>
            </w:pPr>
            <w:r>
              <w:rPr>
                <w:rFonts w:ascii="Arial" w:cs="Arial" w:eastAsia="Arial" w:hAnsi="Arial"/>
                <w:sz w:val="14"/>
                <w:szCs w:val="14"/>
                <w:b w:val="1"/>
                <w:bCs w:val="1"/>
                <w:color w:val="FFFFFF"/>
              </w:rPr>
              <w:t>PAGP</w:t>
            </w:r>
          </w:p>
        </w:tc>
        <w:tc>
          <w:tcPr>
            <w:tcW w:w="1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8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Voting</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4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Name</w:t>
            </w:r>
          </w:p>
        </w:tc>
        <w:tc>
          <w:tcPr>
            <w:tcW w:w="10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120" w:type="dxa"/>
            <w:vAlign w:val="bottom"/>
            <w:gridSpan w:val="2"/>
            <w:shd w:val="clear" w:color="auto" w:fill="424E6A"/>
          </w:tcPr>
          <w:p>
            <w:pPr>
              <w:jc w:val="center"/>
              <w:ind w:left="9"/>
              <w:spacing w:after="0"/>
              <w:rPr>
                <w:sz w:val="20"/>
                <w:szCs w:val="20"/>
                <w:color w:val="auto"/>
              </w:rPr>
            </w:pPr>
            <w:r>
              <w:rPr>
                <w:rFonts w:ascii="Arial" w:cs="Arial" w:eastAsia="Arial" w:hAnsi="Arial"/>
                <w:sz w:val="14"/>
                <w:szCs w:val="14"/>
                <w:b w:val="1"/>
                <w:bCs w:val="1"/>
                <w:color w:val="FFFFFF"/>
              </w:rPr>
              <w:t>Preferred Units</w:t>
            </w:r>
          </w:p>
        </w:tc>
        <w:tc>
          <w:tcPr>
            <w:tcW w:w="180" w:type="dxa"/>
            <w:vAlign w:val="bottom"/>
            <w:tcBorders>
              <w:right w:val="single" w:sz="8" w:color="424E6A"/>
            </w:tcBorders>
            <w:shd w:val="clear" w:color="auto" w:fill="424E6A"/>
          </w:tcPr>
          <w:p>
            <w:pPr>
              <w:spacing w:after="0"/>
              <w:rPr>
                <w:sz w:val="18"/>
                <w:szCs w:val="18"/>
                <w:color w:val="auto"/>
              </w:rPr>
            </w:pPr>
          </w:p>
        </w:tc>
        <w:tc>
          <w:tcPr>
            <w:tcW w:w="220" w:type="dxa"/>
            <w:vAlign w:val="bottom"/>
            <w:shd w:val="clear" w:color="auto" w:fill="424E6A"/>
          </w:tcPr>
          <w:p>
            <w:pPr>
              <w:spacing w:after="0"/>
              <w:rPr>
                <w:sz w:val="18"/>
                <w:szCs w:val="18"/>
                <w:color w:val="auto"/>
              </w:rPr>
            </w:pPr>
          </w:p>
        </w:tc>
        <w:tc>
          <w:tcPr>
            <w:tcW w:w="780" w:type="dxa"/>
            <w:vAlign w:val="bottom"/>
            <w:tcBorders>
              <w:right w:val="single" w:sz="8" w:color="424E6A"/>
            </w:tcBorders>
            <w:shd w:val="clear" w:color="auto" w:fill="424E6A"/>
          </w:tcPr>
          <w:p>
            <w:pPr>
              <w:jc w:val="center"/>
              <w:ind w:right="148"/>
              <w:spacing w:after="0"/>
              <w:rPr>
                <w:sz w:val="20"/>
                <w:szCs w:val="20"/>
                <w:color w:val="auto"/>
              </w:rPr>
            </w:pPr>
            <w:r>
              <w:rPr>
                <w:rFonts w:ascii="Arial" w:cs="Arial" w:eastAsia="Arial" w:hAnsi="Arial"/>
                <w:sz w:val="14"/>
                <w:szCs w:val="14"/>
                <w:b w:val="1"/>
                <w:bCs w:val="1"/>
                <w:color w:val="FFFFFF"/>
              </w:rPr>
              <w:t>Shares</w:t>
            </w:r>
          </w:p>
        </w:tc>
        <w:tc>
          <w:tcPr>
            <w:tcW w:w="220" w:type="dxa"/>
            <w:vAlign w:val="bottom"/>
            <w:shd w:val="clear" w:color="auto" w:fill="424E6A"/>
          </w:tcPr>
          <w:p>
            <w:pPr>
              <w:spacing w:after="0"/>
              <w:rPr>
                <w:sz w:val="18"/>
                <w:szCs w:val="18"/>
                <w:color w:val="auto"/>
              </w:rPr>
            </w:pPr>
          </w:p>
        </w:tc>
        <w:tc>
          <w:tcPr>
            <w:tcW w:w="860" w:type="dxa"/>
            <w:vAlign w:val="bottom"/>
            <w:tcBorders>
              <w:right w:val="single" w:sz="8" w:color="424E6A"/>
            </w:tcBorders>
            <w:shd w:val="clear" w:color="auto" w:fill="424E6A"/>
          </w:tcPr>
          <w:p>
            <w:pPr>
              <w:jc w:val="center"/>
              <w:ind w:right="148"/>
              <w:spacing w:after="0"/>
              <w:rPr>
                <w:sz w:val="20"/>
                <w:szCs w:val="20"/>
                <w:color w:val="auto"/>
              </w:rPr>
            </w:pPr>
            <w:r>
              <w:rPr>
                <w:rFonts w:ascii="Arial" w:cs="Arial" w:eastAsia="Arial" w:hAnsi="Arial"/>
                <w:sz w:val="14"/>
                <w:szCs w:val="14"/>
                <w:b w:val="1"/>
                <w:bCs w:val="1"/>
                <w:color w:val="FFFFFF"/>
              </w:rPr>
              <w:t>Shares</w:t>
            </w:r>
          </w:p>
        </w:tc>
        <w:tc>
          <w:tcPr>
            <w:tcW w:w="240" w:type="dxa"/>
            <w:vAlign w:val="bottom"/>
            <w:shd w:val="clear" w:color="auto" w:fill="424E6A"/>
          </w:tcPr>
          <w:p>
            <w:pPr>
              <w:ind w:left="80"/>
              <w:spacing w:after="0"/>
              <w:rPr>
                <w:sz w:val="20"/>
                <w:szCs w:val="20"/>
                <w:color w:val="auto"/>
              </w:rPr>
            </w:pPr>
            <w:r>
              <w:rPr>
                <w:rFonts w:ascii="Arial" w:cs="Arial" w:eastAsia="Arial" w:hAnsi="Arial"/>
                <w:sz w:val="14"/>
                <w:szCs w:val="14"/>
                <w:b w:val="1"/>
                <w:bCs w:val="1"/>
                <w:color w:val="FFFFFF"/>
              </w:rPr>
              <w:t>​</w:t>
            </w:r>
          </w:p>
        </w:tc>
        <w:tc>
          <w:tcPr>
            <w:tcW w:w="720" w:type="dxa"/>
            <w:vAlign w:val="bottom"/>
            <w:shd w:val="clear" w:color="auto" w:fill="424E6A"/>
          </w:tcPr>
          <w:p>
            <w:pPr>
              <w:jc w:val="center"/>
              <w:ind w:right="48"/>
              <w:spacing w:after="0"/>
              <w:rPr>
                <w:sz w:val="20"/>
                <w:szCs w:val="20"/>
                <w:color w:val="auto"/>
              </w:rPr>
            </w:pPr>
            <w:r>
              <w:rPr>
                <w:rFonts w:ascii="Arial" w:cs="Arial" w:eastAsia="Arial" w:hAnsi="Arial"/>
                <w:sz w:val="14"/>
                <w:szCs w:val="14"/>
                <w:b w:val="1"/>
                <w:bCs w:val="1"/>
                <w:color w:val="FFFFFF"/>
              </w:rPr>
              <w:t>Shares</w:t>
            </w:r>
          </w:p>
        </w:tc>
        <w:tc>
          <w:tcPr>
            <w:tcW w:w="16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940" w:type="dxa"/>
            <w:vAlign w:val="bottom"/>
            <w:gridSpan w:val="2"/>
            <w:shd w:val="clear" w:color="auto" w:fill="424E6A"/>
          </w:tcPr>
          <w:p>
            <w:pPr>
              <w:ind w:left="8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Ownership</w:t>
            </w:r>
          </w:p>
        </w:tc>
        <w:tc>
          <w:tcPr>
            <w:tcW w:w="160" w:type="dxa"/>
            <w:vAlign w:val="bottom"/>
            <w:tcBorders>
              <w:righ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w:t>
            </w:r>
          </w:p>
        </w:tc>
        <w:tc>
          <w:tcPr>
            <w:tcW w:w="140" w:type="dxa"/>
            <w:vAlign w:val="bottom"/>
            <w:shd w:val="clear" w:color="auto" w:fill="424E6A"/>
          </w:tcPr>
          <w:p>
            <w:pPr>
              <w:ind w:left="80"/>
              <w:spacing w:after="0"/>
              <w:rPr>
                <w:sz w:val="20"/>
                <w:szCs w:val="20"/>
                <w:color w:val="auto"/>
              </w:rPr>
            </w:pPr>
            <w:r>
              <w:rPr>
                <w:rFonts w:ascii="Arial" w:cs="Arial" w:eastAsia="Arial" w:hAnsi="Arial"/>
                <w:sz w:val="14"/>
                <w:szCs w:val="14"/>
                <w:b w:val="1"/>
                <w:bCs w:val="1"/>
                <w:color w:val="FFFFFF"/>
              </w:rPr>
              <w:t>​</w:t>
            </w:r>
          </w:p>
        </w:tc>
        <w:tc>
          <w:tcPr>
            <w:tcW w:w="8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Interests</w:t>
            </w:r>
          </w:p>
        </w:tc>
        <w:tc>
          <w:tcPr>
            <w:tcW w:w="220" w:type="dxa"/>
            <w:vAlign w:val="bottom"/>
            <w:tcBorders>
              <w:right w:val="single" w:sz="8" w:color="424E6A"/>
            </w:tcBorders>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4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Willie Chiang</w:t>
            </w:r>
          </w:p>
        </w:tc>
        <w:tc>
          <w:tcPr>
            <w:tcW w:w="10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shd w:val="clear" w:color="auto" w:fill="D9DCE1"/>
          </w:tcPr>
          <w:p>
            <w:pPr>
              <w:ind w:left="2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shd w:val="clear" w:color="auto" w:fill="D9DCE1"/>
          </w:tcPr>
          <w:p>
            <w:pPr>
              <w:jc w:val="right"/>
              <w:ind w:right="88"/>
              <w:spacing w:after="0"/>
              <w:rPr>
                <w:sz w:val="20"/>
                <w:szCs w:val="20"/>
                <w:color w:val="auto"/>
              </w:rPr>
            </w:pPr>
            <w:r>
              <w:rPr>
                <w:rFonts w:ascii="Arial" w:cs="Arial" w:eastAsia="Arial" w:hAnsi="Arial"/>
                <w:sz w:val="14"/>
                <w:szCs w:val="14"/>
                <w:color w:val="auto"/>
              </w:rPr>
              <w:t>331,784</w:t>
            </w:r>
          </w:p>
        </w:tc>
        <w:tc>
          <w:tcPr>
            <w:tcW w:w="18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24E6A"/>
              <w:right w:val="single" w:sz="8" w:color="424E6A"/>
            </w:tcBorders>
            <w:shd w:val="clear" w:color="auto" w:fill="D9DCE1"/>
          </w:tcPr>
          <w:p>
            <w:pPr>
              <w:jc w:val="right"/>
              <w:ind w:right="108"/>
              <w:spacing w:after="0"/>
              <w:rPr>
                <w:sz w:val="20"/>
                <w:szCs w:val="20"/>
                <w:color w:val="auto"/>
              </w:rPr>
            </w:pPr>
            <w:r>
              <w:rPr>
                <w:rFonts w:ascii="Arial" w:cs="Arial" w:eastAsia="Arial" w:hAnsi="Arial"/>
                <w:sz w:val="14"/>
                <w:szCs w:val="14"/>
                <w:color w:val="auto"/>
              </w:rPr>
              <w:t>241,704</w:t>
            </w:r>
          </w:p>
        </w:tc>
        <w:tc>
          <w:tcPr>
            <w:tcW w:w="22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24E6A"/>
              <w:right w:val="single" w:sz="8" w:color="424E6A"/>
            </w:tcBorders>
            <w:shd w:val="clear" w:color="auto" w:fill="D9DCE1"/>
          </w:tcPr>
          <w:p>
            <w:pPr>
              <w:jc w:val="right"/>
              <w:ind w:right="108"/>
              <w:spacing w:after="0"/>
              <w:rPr>
                <w:sz w:val="20"/>
                <w:szCs w:val="20"/>
                <w:color w:val="auto"/>
              </w:rPr>
            </w:pPr>
            <w:r>
              <w:rPr>
                <w:rFonts w:ascii="Arial" w:cs="Arial" w:eastAsia="Arial" w:hAnsi="Arial"/>
                <w:sz w:val="14"/>
                <w:szCs w:val="14"/>
                <w:color w:val="auto"/>
              </w:rPr>
              <w:t>353,489</w:t>
            </w:r>
          </w:p>
        </w:tc>
        <w:tc>
          <w:tcPr>
            <w:tcW w:w="2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595,193</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926,977</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shd w:val="clear" w:color="auto" w:fill="D9DCE1"/>
          </w:tcPr>
          <w:p>
            <w:pPr>
              <w:ind w:left="28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424E6A"/>
            </w:tcBorders>
            <w:shd w:val="clear" w:color="auto" w:fill="D9DCE1"/>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4"/>
                <w:szCs w:val="14"/>
                <w:color w:val="auto"/>
              </w:rPr>
              <w:t>Harry Pefanis</w:t>
            </w:r>
          </w:p>
        </w:tc>
        <w:tc>
          <w:tcPr>
            <w:tcW w:w="10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420,194</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424E6A"/>
              <w:right w:val="single" w:sz="8" w:color="424E6A"/>
            </w:tcBorders>
            <w:gridSpan w:val="2"/>
          </w:tcPr>
          <w:p>
            <w:pPr>
              <w:jc w:val="right"/>
              <w:ind w:right="10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1,108,653</w:t>
            </w:r>
          </w:p>
        </w:tc>
        <w:tc>
          <w:tcPr>
            <w:tcW w:w="1080" w:type="dxa"/>
            <w:vAlign w:val="bottom"/>
            <w:tcBorders>
              <w:bottom w:val="single" w:sz="8" w:color="424E6A"/>
              <w:right w:val="single" w:sz="8" w:color="424E6A"/>
            </w:tcBorders>
            <w:gridSpan w:val="2"/>
          </w:tcPr>
          <w:p>
            <w:pPr>
              <w:jc w:val="right"/>
              <w:ind w:right="10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2,268,988</w:t>
            </w:r>
          </w:p>
        </w:tc>
        <w:tc>
          <w:tcPr>
            <w:tcW w:w="96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 3,377,641</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 3,797,835</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424E6A"/>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Al Swanson</w:t>
            </w:r>
          </w:p>
        </w:tc>
        <w:tc>
          <w:tcPr>
            <w:tcW w:w="10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shd w:val="clear" w:color="auto" w:fill="D9DCE1"/>
          </w:tcPr>
          <w:p>
            <w:pPr>
              <w:ind w:left="2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shd w:val="clear" w:color="auto" w:fill="D9DCE1"/>
          </w:tcPr>
          <w:p>
            <w:pPr>
              <w:jc w:val="right"/>
              <w:ind w:right="88"/>
              <w:spacing w:after="0"/>
              <w:rPr>
                <w:sz w:val="20"/>
                <w:szCs w:val="20"/>
                <w:color w:val="auto"/>
              </w:rPr>
            </w:pPr>
            <w:r>
              <w:rPr>
                <w:rFonts w:ascii="Arial" w:cs="Arial" w:eastAsia="Arial" w:hAnsi="Arial"/>
                <w:sz w:val="14"/>
                <w:szCs w:val="14"/>
                <w:color w:val="auto"/>
              </w:rPr>
              <w:t>288,855</w:t>
            </w:r>
          </w:p>
        </w:tc>
        <w:tc>
          <w:tcPr>
            <w:tcW w:w="18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424E6A"/>
              <w:right w:val="single" w:sz="8" w:color="424E6A"/>
            </w:tcBorders>
            <w:gridSpan w:val="2"/>
            <w:shd w:val="clear" w:color="auto" w:fill="D9DCE1"/>
          </w:tcPr>
          <w:p>
            <w:pPr>
              <w:jc w:val="right"/>
              <w:ind w:right="10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1,351,839</w:t>
            </w:r>
          </w:p>
        </w:tc>
        <w:tc>
          <w:tcPr>
            <w:tcW w:w="22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24E6A"/>
              <w:right w:val="single" w:sz="8" w:color="424E6A"/>
            </w:tcBorders>
            <w:shd w:val="clear" w:color="auto" w:fill="D9DCE1"/>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24E6A"/>
            </w:tcBorders>
            <w:gridSpan w:val="2"/>
            <w:shd w:val="clear" w:color="auto" w:fill="D9DCE1"/>
          </w:tcPr>
          <w:p>
            <w:pPr>
              <w:ind w:left="8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 1,351,839</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24E6A"/>
            </w:tcBorders>
            <w:gridSpan w:val="2"/>
            <w:shd w:val="clear" w:color="auto" w:fill="D9DCE1"/>
          </w:tcPr>
          <w:p>
            <w:pPr>
              <w:jc w:val="right"/>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 1,640,694</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shd w:val="clear" w:color="auto" w:fill="D9DCE1"/>
          </w:tcPr>
          <w:p>
            <w:pPr>
              <w:ind w:left="28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424E6A"/>
            </w:tcBorders>
            <w:shd w:val="clear" w:color="auto" w:fill="D9DCE1"/>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4"/>
                <w:szCs w:val="14"/>
                <w:color w:val="auto"/>
              </w:rPr>
              <w:t>Richard McGee</w:t>
            </w:r>
          </w:p>
        </w:tc>
        <w:tc>
          <w:tcPr>
            <w:tcW w:w="10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293,307</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24E6A"/>
              <w:right w:val="single" w:sz="8" w:color="424E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24E6A"/>
              <w:right w:val="single" w:sz="8" w:color="424E6A"/>
            </w:tcBorders>
          </w:tcPr>
          <w:p>
            <w:pPr>
              <w:jc w:val="right"/>
              <w:ind w:right="108"/>
              <w:spacing w:after="0"/>
              <w:rPr>
                <w:sz w:val="20"/>
                <w:szCs w:val="20"/>
                <w:color w:val="auto"/>
              </w:rPr>
            </w:pPr>
            <w:r>
              <w:rPr>
                <w:rFonts w:ascii="Arial" w:cs="Arial" w:eastAsia="Arial" w:hAnsi="Arial"/>
                <w:sz w:val="14"/>
                <w:szCs w:val="14"/>
                <w:color w:val="auto"/>
              </w:rPr>
              <w:t>429,346</w:t>
            </w:r>
          </w:p>
        </w:tc>
        <w:tc>
          <w:tcPr>
            <w:tcW w:w="2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429,346</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722,653</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424E6A"/>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Chris Chandler</w:t>
            </w:r>
          </w:p>
        </w:tc>
        <w:tc>
          <w:tcPr>
            <w:tcW w:w="10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shd w:val="clear" w:color="auto" w:fill="D9DCE1"/>
          </w:tcPr>
          <w:p>
            <w:pPr>
              <w:ind w:left="2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shd w:val="clear" w:color="auto" w:fill="D9DCE1"/>
          </w:tcPr>
          <w:p>
            <w:pPr>
              <w:jc w:val="right"/>
              <w:ind w:right="88"/>
              <w:spacing w:after="0"/>
              <w:rPr>
                <w:sz w:val="20"/>
                <w:szCs w:val="20"/>
                <w:color w:val="auto"/>
              </w:rPr>
            </w:pPr>
            <w:r>
              <w:rPr>
                <w:rFonts w:ascii="Arial" w:cs="Arial" w:eastAsia="Arial" w:hAnsi="Arial"/>
                <w:sz w:val="14"/>
                <w:szCs w:val="14"/>
                <w:color w:val="auto"/>
              </w:rPr>
              <w:t>149,846</w:t>
            </w:r>
          </w:p>
        </w:tc>
        <w:tc>
          <w:tcPr>
            <w:tcW w:w="18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24E6A"/>
              <w:right w:val="single" w:sz="8" w:color="424E6A"/>
            </w:tcBorders>
            <w:shd w:val="clear" w:color="auto" w:fill="D9DCE1"/>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24E6A"/>
              <w:right w:val="single" w:sz="8" w:color="424E6A"/>
            </w:tcBorders>
            <w:shd w:val="clear" w:color="auto" w:fill="D9DCE1"/>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149,846</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shd w:val="clear" w:color="auto" w:fill="D9DCE1"/>
          </w:tcPr>
          <w:p>
            <w:pPr>
              <w:ind w:left="28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424E6A"/>
            </w:tcBorders>
            <w:shd w:val="clear" w:color="auto" w:fill="D9DCE1"/>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4"/>
                <w:szCs w:val="14"/>
                <w:color w:val="auto"/>
              </w:rPr>
              <w:t>Jeremy Goebel</w:t>
            </w:r>
          </w:p>
        </w:tc>
        <w:tc>
          <w:tcPr>
            <w:tcW w:w="10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209,878</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24E6A"/>
              <w:right w:val="single" w:sz="8" w:color="424E6A"/>
            </w:tcBorders>
          </w:tcPr>
          <w:p>
            <w:pPr>
              <w:jc w:val="right"/>
              <w:ind w:right="108"/>
              <w:spacing w:after="0"/>
              <w:rPr>
                <w:sz w:val="20"/>
                <w:szCs w:val="20"/>
                <w:color w:val="auto"/>
              </w:rPr>
            </w:pPr>
            <w:r>
              <w:rPr>
                <w:rFonts w:ascii="Arial" w:cs="Arial" w:eastAsia="Arial" w:hAnsi="Arial"/>
                <w:sz w:val="14"/>
                <w:szCs w:val="14"/>
                <w:color w:val="auto"/>
              </w:rPr>
              <w:t>1,314</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24E6A"/>
              <w:right w:val="single" w:sz="8" w:color="424E6A"/>
            </w:tcBorders>
          </w:tcPr>
          <w:p>
            <w:pPr>
              <w:jc w:val="right"/>
              <w:ind w:right="108"/>
              <w:spacing w:after="0"/>
              <w:rPr>
                <w:sz w:val="20"/>
                <w:szCs w:val="20"/>
                <w:color w:val="auto"/>
              </w:rPr>
            </w:pPr>
            <w:r>
              <w:rPr>
                <w:rFonts w:ascii="Arial" w:cs="Arial" w:eastAsia="Arial" w:hAnsi="Arial"/>
                <w:sz w:val="14"/>
                <w:szCs w:val="14"/>
                <w:color w:val="auto"/>
              </w:rPr>
              <w:t>35,350</w:t>
            </w:r>
          </w:p>
        </w:tc>
        <w:tc>
          <w:tcPr>
            <w:tcW w:w="2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36,664</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246,542</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424E6A"/>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Greg Armstrong</w:t>
            </w:r>
          </w:p>
        </w:tc>
        <w:tc>
          <w:tcPr>
            <w:tcW w:w="10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424E6A"/>
            </w:tcBorders>
            <w:gridSpan w:val="2"/>
            <w:shd w:val="clear" w:color="auto" w:fill="D9DCE1"/>
          </w:tcPr>
          <w:p>
            <w:pPr>
              <w:jc w:val="right"/>
              <w:ind w:right="8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1,508,418</w:t>
            </w:r>
          </w:p>
        </w:tc>
        <w:tc>
          <w:tcPr>
            <w:tcW w:w="18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424E6A"/>
              <w:right w:val="single" w:sz="8" w:color="424E6A"/>
            </w:tcBorders>
            <w:gridSpan w:val="2"/>
            <w:shd w:val="clear" w:color="auto" w:fill="D9DCE1"/>
          </w:tcPr>
          <w:p>
            <w:pPr>
              <w:jc w:val="right"/>
              <w:ind w:right="10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1,865,812</w:t>
            </w:r>
          </w:p>
        </w:tc>
        <w:tc>
          <w:tcPr>
            <w:tcW w:w="1080" w:type="dxa"/>
            <w:vAlign w:val="bottom"/>
            <w:tcBorders>
              <w:bottom w:val="single" w:sz="8" w:color="424E6A"/>
              <w:right w:val="single" w:sz="8" w:color="424E6A"/>
            </w:tcBorders>
            <w:gridSpan w:val="2"/>
            <w:shd w:val="clear" w:color="auto" w:fill="D9DCE1"/>
          </w:tcPr>
          <w:p>
            <w:pPr>
              <w:jc w:val="right"/>
              <w:ind w:right="10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4,492,268</w:t>
            </w:r>
          </w:p>
        </w:tc>
        <w:tc>
          <w:tcPr>
            <w:tcW w:w="960" w:type="dxa"/>
            <w:vAlign w:val="bottom"/>
            <w:tcBorders>
              <w:bottom w:val="single" w:sz="8" w:color="424E6A"/>
            </w:tcBorders>
            <w:gridSpan w:val="2"/>
            <w:shd w:val="clear" w:color="auto" w:fill="D9DCE1"/>
          </w:tcPr>
          <w:p>
            <w:pPr>
              <w:ind w:left="8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 6,358,080</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24E6A"/>
            </w:tcBorders>
            <w:gridSpan w:val="2"/>
            <w:shd w:val="clear" w:color="auto" w:fill="D9DCE1"/>
          </w:tcPr>
          <w:p>
            <w:pPr>
              <w:jc w:val="right"/>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 7,866,498</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24E6A"/>
            </w:tcBorders>
            <w:gridSpan w:val="2"/>
            <w:shd w:val="clear" w:color="auto" w:fill="D9DCE1"/>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1.0%</w:t>
            </w:r>
          </w:p>
        </w:tc>
        <w:tc>
          <w:tcPr>
            <w:tcW w:w="2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4"/>
                <w:szCs w:val="14"/>
                <w:color w:val="auto"/>
              </w:rPr>
              <w:t>Victor Burk</w:t>
            </w:r>
          </w:p>
        </w:tc>
        <w:tc>
          <w:tcPr>
            <w:tcW w:w="10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37,043</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24E6A"/>
              <w:right w:val="single" w:sz="8" w:color="424E6A"/>
            </w:tcBorders>
          </w:tcPr>
          <w:p>
            <w:pPr>
              <w:jc w:val="right"/>
              <w:ind w:right="108"/>
              <w:spacing w:after="0"/>
              <w:rPr>
                <w:sz w:val="20"/>
                <w:szCs w:val="20"/>
                <w:color w:val="auto"/>
              </w:rPr>
            </w:pPr>
            <w:r>
              <w:rPr>
                <w:rFonts w:ascii="Arial" w:cs="Arial" w:eastAsia="Arial" w:hAnsi="Arial"/>
                <w:sz w:val="14"/>
                <w:szCs w:val="14"/>
                <w:color w:val="auto"/>
              </w:rPr>
              <w:t>12,013</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24E6A"/>
              <w:right w:val="single" w:sz="8" w:color="424E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12,013</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49,056</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424E6A"/>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Ellen DeSanctis</w:t>
            </w:r>
          </w:p>
        </w:tc>
        <w:tc>
          <w:tcPr>
            <w:tcW w:w="10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shd w:val="clear" w:color="auto" w:fill="D9DCE1"/>
          </w:tcPr>
          <w:p>
            <w:pPr>
              <w:ind w:left="2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shd w:val="clear" w:color="auto" w:fill="D9DCE1"/>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24E6A"/>
              <w:right w:val="single" w:sz="8" w:color="424E6A"/>
            </w:tcBorders>
            <w:shd w:val="clear" w:color="auto" w:fill="D9DCE1"/>
          </w:tcPr>
          <w:p>
            <w:pPr>
              <w:jc w:val="right"/>
              <w:ind w:right="108"/>
              <w:spacing w:after="0"/>
              <w:rPr>
                <w:sz w:val="20"/>
                <w:szCs w:val="20"/>
                <w:color w:val="auto"/>
              </w:rPr>
            </w:pPr>
            <w:r>
              <w:rPr>
                <w:rFonts w:ascii="Arial" w:cs="Arial" w:eastAsia="Arial" w:hAnsi="Arial"/>
                <w:sz w:val="14"/>
                <w:szCs w:val="14"/>
                <w:color w:val="auto"/>
              </w:rPr>
              <w:t>10,000</w:t>
            </w:r>
          </w:p>
        </w:tc>
        <w:tc>
          <w:tcPr>
            <w:tcW w:w="22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24E6A"/>
              <w:right w:val="single" w:sz="8" w:color="424E6A"/>
            </w:tcBorders>
            <w:shd w:val="clear" w:color="auto" w:fill="D9DCE1"/>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10,000</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10,000</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shd w:val="clear" w:color="auto" w:fill="D9DCE1"/>
          </w:tcPr>
          <w:p>
            <w:pPr>
              <w:ind w:left="28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424E6A"/>
            </w:tcBorders>
            <w:shd w:val="clear" w:color="auto" w:fill="D9DCE1"/>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4"/>
                <w:szCs w:val="14"/>
                <w:color w:val="auto"/>
              </w:rPr>
              <w:t>Kevin McCarthy</w:t>
            </w:r>
          </w:p>
        </w:tc>
        <w:tc>
          <w:tcPr>
            <w:tcW w:w="10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200,000</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24E6A"/>
              <w:right w:val="single" w:sz="8" w:color="424E6A"/>
            </w:tcBorders>
          </w:tcPr>
          <w:p>
            <w:pPr>
              <w:jc w:val="right"/>
              <w:ind w:right="108"/>
              <w:spacing w:after="0"/>
              <w:rPr>
                <w:sz w:val="20"/>
                <w:szCs w:val="20"/>
                <w:color w:val="auto"/>
              </w:rPr>
            </w:pPr>
            <w:r>
              <w:rPr>
                <w:rFonts w:ascii="Arial" w:cs="Arial" w:eastAsia="Arial" w:hAnsi="Arial"/>
                <w:sz w:val="14"/>
                <w:szCs w:val="14"/>
                <w:color w:val="auto"/>
              </w:rPr>
              <w:t>99,069</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24E6A"/>
              <w:right w:val="single" w:sz="8" w:color="424E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99,069</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299,069</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424E6A"/>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Gary Petersen</w:t>
            </w:r>
          </w:p>
        </w:tc>
        <w:tc>
          <w:tcPr>
            <w:tcW w:w="10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424E6A"/>
            </w:tcBorders>
            <w:gridSpan w:val="2"/>
            <w:shd w:val="clear" w:color="auto" w:fill="D9DCE1"/>
          </w:tcPr>
          <w:p>
            <w:pPr>
              <w:jc w:val="right"/>
              <w:ind w:right="8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25,425,320</w:t>
            </w:r>
          </w:p>
        </w:tc>
        <w:tc>
          <w:tcPr>
            <w:tcW w:w="18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24E6A"/>
              <w:right w:val="single" w:sz="8" w:color="424E6A"/>
            </w:tcBorders>
            <w:shd w:val="clear" w:color="auto" w:fill="D9DCE1"/>
          </w:tcPr>
          <w:p>
            <w:pPr>
              <w:jc w:val="right"/>
              <w:ind w:right="108"/>
              <w:spacing w:after="0"/>
              <w:rPr>
                <w:sz w:val="20"/>
                <w:szCs w:val="20"/>
                <w:color w:val="auto"/>
              </w:rPr>
            </w:pPr>
            <w:r>
              <w:rPr>
                <w:rFonts w:ascii="Arial" w:cs="Arial" w:eastAsia="Arial" w:hAnsi="Arial"/>
                <w:sz w:val="14"/>
                <w:szCs w:val="14"/>
                <w:color w:val="auto"/>
              </w:rPr>
              <w:t>8,634</w:t>
            </w:r>
          </w:p>
        </w:tc>
        <w:tc>
          <w:tcPr>
            <w:tcW w:w="22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24E6A"/>
              <w:right w:val="single" w:sz="8" w:color="424E6A"/>
            </w:tcBorders>
            <w:shd w:val="clear" w:color="auto" w:fill="D9DCE1"/>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8,634</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24E6A"/>
            </w:tcBorders>
            <w:gridSpan w:val="2"/>
            <w:shd w:val="clear" w:color="auto" w:fill="D9DCE1"/>
          </w:tcPr>
          <w:p>
            <w:pPr>
              <w:jc w:val="right"/>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25,433,954</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24E6A"/>
            </w:tcBorders>
            <w:gridSpan w:val="2"/>
            <w:shd w:val="clear" w:color="auto" w:fill="D9DCE1"/>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3.3%</w:t>
            </w:r>
          </w:p>
        </w:tc>
        <w:tc>
          <w:tcPr>
            <w:tcW w:w="2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4"/>
                <w:szCs w:val="14"/>
                <w:color w:val="auto"/>
              </w:rPr>
              <w:t>Alexandra Pruner</w:t>
            </w:r>
          </w:p>
        </w:tc>
        <w:tc>
          <w:tcPr>
            <w:tcW w:w="10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24E6A"/>
              <w:right w:val="single" w:sz="8" w:color="424E6A"/>
            </w:tcBorders>
          </w:tcPr>
          <w:p>
            <w:pPr>
              <w:jc w:val="right"/>
              <w:ind w:right="108"/>
              <w:spacing w:after="0"/>
              <w:rPr>
                <w:sz w:val="20"/>
                <w:szCs w:val="20"/>
                <w:color w:val="auto"/>
              </w:rPr>
            </w:pPr>
            <w:r>
              <w:rPr>
                <w:rFonts w:ascii="Arial" w:cs="Arial" w:eastAsia="Arial" w:hAnsi="Arial"/>
                <w:sz w:val="14"/>
                <w:szCs w:val="14"/>
                <w:color w:val="auto"/>
              </w:rPr>
              <w:t>21,384</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24E6A"/>
              <w:right w:val="single" w:sz="8" w:color="424E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21,384</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21,384</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424E6A"/>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John Raymond</w:t>
            </w:r>
          </w:p>
        </w:tc>
        <w:tc>
          <w:tcPr>
            <w:tcW w:w="10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424E6A"/>
            </w:tcBorders>
            <w:gridSpan w:val="2"/>
            <w:shd w:val="clear" w:color="auto" w:fill="D9DCE1"/>
          </w:tcPr>
          <w:p>
            <w:pPr>
              <w:jc w:val="right"/>
              <w:ind w:right="8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21,978,875</w:t>
            </w:r>
          </w:p>
        </w:tc>
        <w:tc>
          <w:tcPr>
            <w:tcW w:w="18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24E6A"/>
              <w:right w:val="single" w:sz="8" w:color="424E6A"/>
            </w:tcBorders>
            <w:shd w:val="clear" w:color="auto" w:fill="D9DCE1"/>
          </w:tcPr>
          <w:p>
            <w:pPr>
              <w:jc w:val="right"/>
              <w:ind w:right="108"/>
              <w:spacing w:after="0"/>
              <w:rPr>
                <w:sz w:val="20"/>
                <w:szCs w:val="20"/>
                <w:color w:val="auto"/>
              </w:rPr>
            </w:pPr>
            <w:r>
              <w:rPr>
                <w:rFonts w:ascii="Arial" w:cs="Arial" w:eastAsia="Arial" w:hAnsi="Arial"/>
                <w:sz w:val="14"/>
                <w:szCs w:val="14"/>
                <w:color w:val="auto"/>
              </w:rPr>
              <w:t>256,934</w:t>
            </w:r>
          </w:p>
        </w:tc>
        <w:tc>
          <w:tcPr>
            <w:tcW w:w="1080" w:type="dxa"/>
            <w:vAlign w:val="bottom"/>
            <w:tcBorders>
              <w:bottom w:val="single" w:sz="8" w:color="424E6A"/>
              <w:right w:val="single" w:sz="8" w:color="424E6A"/>
            </w:tcBorders>
            <w:gridSpan w:val="2"/>
            <w:shd w:val="clear" w:color="auto" w:fill="D9DCE1"/>
          </w:tcPr>
          <w:p>
            <w:pPr>
              <w:jc w:val="right"/>
              <w:ind w:right="10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11,458,736</w:t>
            </w:r>
          </w:p>
        </w:tc>
        <w:tc>
          <w:tcPr>
            <w:tcW w:w="960" w:type="dxa"/>
            <w:vAlign w:val="bottom"/>
            <w:tcBorders>
              <w:bottom w:val="single" w:sz="8" w:color="424E6A"/>
            </w:tcBorders>
            <w:gridSpan w:val="2"/>
            <w:shd w:val="clear" w:color="auto" w:fill="D9DCE1"/>
          </w:tcPr>
          <w:p>
            <w:pPr>
              <w:ind w:left="8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11,715,670</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24E6A"/>
            </w:tcBorders>
            <w:gridSpan w:val="2"/>
            <w:shd w:val="clear" w:color="auto" w:fill="D9DCE1"/>
          </w:tcPr>
          <w:p>
            <w:pPr>
              <w:jc w:val="right"/>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33,694,545</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24E6A"/>
            </w:tcBorders>
            <w:gridSpan w:val="2"/>
            <w:shd w:val="clear" w:color="auto" w:fill="D9DCE1"/>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4.4%</w:t>
            </w:r>
          </w:p>
        </w:tc>
        <w:tc>
          <w:tcPr>
            <w:tcW w:w="2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4"/>
                <w:szCs w:val="14"/>
                <w:color w:val="auto"/>
              </w:rPr>
              <w:t>Bobby Shackouls</w:t>
            </w:r>
          </w:p>
        </w:tc>
        <w:tc>
          <w:tcPr>
            <w:tcW w:w="10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35,033</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24E6A"/>
              <w:right w:val="single" w:sz="8" w:color="424E6A"/>
            </w:tcBorders>
          </w:tcPr>
          <w:p>
            <w:pPr>
              <w:jc w:val="right"/>
              <w:ind w:right="108"/>
              <w:spacing w:after="0"/>
              <w:rPr>
                <w:sz w:val="20"/>
                <w:szCs w:val="20"/>
                <w:color w:val="auto"/>
              </w:rPr>
            </w:pPr>
            <w:r>
              <w:rPr>
                <w:rFonts w:ascii="Arial" w:cs="Arial" w:eastAsia="Arial" w:hAnsi="Arial"/>
                <w:sz w:val="14"/>
                <w:szCs w:val="14"/>
                <w:color w:val="auto"/>
              </w:rPr>
              <w:t>13,891</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24E6A"/>
              <w:right w:val="single" w:sz="8" w:color="424E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13,891</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48,924</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424E6A"/>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Chris Temple</w:t>
            </w:r>
          </w:p>
        </w:tc>
        <w:tc>
          <w:tcPr>
            <w:tcW w:w="10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shd w:val="clear" w:color="auto" w:fill="D9DCE1"/>
          </w:tcPr>
          <w:p>
            <w:pPr>
              <w:ind w:left="2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shd w:val="clear" w:color="auto" w:fill="D9DCE1"/>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24E6A"/>
              <w:right w:val="single" w:sz="8" w:color="424E6A"/>
            </w:tcBorders>
            <w:shd w:val="clear" w:color="auto" w:fill="D9DCE1"/>
          </w:tcPr>
          <w:p>
            <w:pPr>
              <w:jc w:val="right"/>
              <w:ind w:right="108"/>
              <w:spacing w:after="0"/>
              <w:rPr>
                <w:sz w:val="20"/>
                <w:szCs w:val="20"/>
                <w:color w:val="auto"/>
              </w:rPr>
            </w:pPr>
            <w:r>
              <w:rPr>
                <w:rFonts w:ascii="Arial" w:cs="Arial" w:eastAsia="Arial" w:hAnsi="Arial"/>
                <w:sz w:val="14"/>
                <w:szCs w:val="14"/>
                <w:color w:val="auto"/>
              </w:rPr>
              <w:t>23,629</w:t>
            </w:r>
          </w:p>
        </w:tc>
        <w:tc>
          <w:tcPr>
            <w:tcW w:w="22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24E6A"/>
              <w:right w:val="single" w:sz="8" w:color="424E6A"/>
            </w:tcBorders>
            <w:shd w:val="clear" w:color="auto" w:fill="D9DCE1"/>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23,629</w:t>
            </w: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23,629</w:t>
            </w: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shd w:val="clear" w:color="auto" w:fill="D9DCE1"/>
          </w:tcPr>
          <w:p>
            <w:pPr>
              <w:ind w:left="28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424E6A"/>
            </w:tcBorders>
            <w:shd w:val="clear" w:color="auto" w:fill="D9DCE1"/>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3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4"/>
                <w:szCs w:val="14"/>
                <w:color w:val="auto"/>
              </w:rPr>
              <w:t>Lawrence Ziemba</w:t>
            </w:r>
          </w:p>
        </w:tc>
        <w:tc>
          <w:tcPr>
            <w:tcW w:w="10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24E6A"/>
            </w:tcBorders>
          </w:tcPr>
          <w:p>
            <w:pPr>
              <w:ind w:left="2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24E6A"/>
            </w:tcBorders>
          </w:tcPr>
          <w:p>
            <w:pPr>
              <w:jc w:val="right"/>
              <w:ind w:right="88"/>
              <w:spacing w:after="0"/>
              <w:rPr>
                <w:sz w:val="20"/>
                <w:szCs w:val="20"/>
                <w:color w:val="auto"/>
              </w:rPr>
            </w:pPr>
            <w:r>
              <w:rPr>
                <w:rFonts w:ascii="Arial" w:cs="Arial" w:eastAsia="Arial" w:hAnsi="Arial"/>
                <w:sz w:val="14"/>
                <w:szCs w:val="14"/>
                <w:color w:val="auto"/>
              </w:rPr>
              <w:t>2,346</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424E6A"/>
              <w:right w:val="single" w:sz="8" w:color="424E6A"/>
            </w:tcBorders>
          </w:tcPr>
          <w:p>
            <w:pPr>
              <w:jc w:val="right"/>
              <w:ind w:right="108"/>
              <w:spacing w:after="0"/>
              <w:rPr>
                <w:sz w:val="20"/>
                <w:szCs w:val="20"/>
                <w:color w:val="auto"/>
              </w:rPr>
            </w:pPr>
            <w:r>
              <w:rPr>
                <w:rFonts w:ascii="Arial" w:cs="Arial" w:eastAsia="Arial" w:hAnsi="Arial"/>
                <w:sz w:val="14"/>
                <w:szCs w:val="14"/>
                <w:color w:val="auto"/>
              </w:rPr>
              <w:t>27,010</w:t>
            </w:r>
          </w:p>
        </w:tc>
        <w:tc>
          <w:tcPr>
            <w:tcW w:w="220" w:type="dxa"/>
            <w:vAlign w:val="bottom"/>
            <w:tcBorders>
              <w:bottom w:val="single" w:sz="8" w:color="424E6A"/>
            </w:tcBorders>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24E6A"/>
              <w:right w:val="single" w:sz="8" w:color="424E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27,010</w:t>
            </w:r>
          </w:p>
        </w:tc>
        <w:tc>
          <w:tcPr>
            <w:tcW w:w="16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29,356</w:t>
            </w:r>
          </w:p>
        </w:tc>
        <w:tc>
          <w:tcPr>
            <w:tcW w:w="16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8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424E6A"/>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1340" w:type="dxa"/>
            <w:vAlign w:val="bottom"/>
            <w:tcBorders>
              <w:left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All directors and</w:t>
            </w:r>
          </w:p>
        </w:tc>
        <w:tc>
          <w:tcPr>
            <w:tcW w:w="100" w:type="dxa"/>
            <w:vAlign w:val="bottom"/>
            <w:tcBorders>
              <w:right w:val="single" w:sz="8" w:color="424E6A"/>
            </w:tcBorders>
            <w:shd w:val="clear" w:color="auto" w:fill="D9DCE1"/>
          </w:tcPr>
          <w:p>
            <w:pPr>
              <w:spacing w:after="0"/>
              <w:rPr>
                <w:sz w:val="15"/>
                <w:szCs w:val="15"/>
                <w:color w:val="auto"/>
              </w:rPr>
            </w:pPr>
          </w:p>
        </w:tc>
        <w:tc>
          <w:tcPr>
            <w:tcW w:w="280" w:type="dxa"/>
            <w:vAlign w:val="bottom"/>
            <w:shd w:val="clear" w:color="auto" w:fill="D9DCE1"/>
          </w:tcPr>
          <w:p>
            <w:pPr>
              <w:spacing w:after="0"/>
              <w:rPr>
                <w:sz w:val="15"/>
                <w:szCs w:val="15"/>
                <w:color w:val="auto"/>
              </w:rPr>
            </w:pPr>
          </w:p>
        </w:tc>
        <w:tc>
          <w:tcPr>
            <w:tcW w:w="840" w:type="dxa"/>
            <w:vAlign w:val="bottom"/>
            <w:shd w:val="clear" w:color="auto" w:fill="D9DCE1"/>
          </w:tcPr>
          <w:p>
            <w:pPr>
              <w:spacing w:after="0"/>
              <w:rPr>
                <w:sz w:val="15"/>
                <w:szCs w:val="15"/>
                <w:color w:val="auto"/>
              </w:rPr>
            </w:pPr>
          </w:p>
        </w:tc>
        <w:tc>
          <w:tcPr>
            <w:tcW w:w="180" w:type="dxa"/>
            <w:vAlign w:val="bottom"/>
            <w:tcBorders>
              <w:right w:val="single" w:sz="8" w:color="424E6A"/>
            </w:tcBorders>
            <w:shd w:val="clear" w:color="auto" w:fill="D9DCE1"/>
          </w:tcPr>
          <w:p>
            <w:pPr>
              <w:spacing w:after="0"/>
              <w:rPr>
                <w:sz w:val="15"/>
                <w:szCs w:val="15"/>
                <w:color w:val="auto"/>
              </w:rPr>
            </w:pPr>
          </w:p>
        </w:tc>
        <w:tc>
          <w:tcPr>
            <w:tcW w:w="220" w:type="dxa"/>
            <w:vAlign w:val="bottom"/>
            <w:shd w:val="clear" w:color="auto" w:fill="D9DCE1"/>
          </w:tcPr>
          <w:p>
            <w:pPr>
              <w:spacing w:after="0"/>
              <w:rPr>
                <w:sz w:val="15"/>
                <w:szCs w:val="15"/>
                <w:color w:val="auto"/>
              </w:rPr>
            </w:pPr>
          </w:p>
        </w:tc>
        <w:tc>
          <w:tcPr>
            <w:tcW w:w="780" w:type="dxa"/>
            <w:vAlign w:val="bottom"/>
            <w:tcBorders>
              <w:right w:val="single" w:sz="8" w:color="424E6A"/>
            </w:tcBorders>
            <w:shd w:val="clear" w:color="auto" w:fill="D9DCE1"/>
          </w:tcPr>
          <w:p>
            <w:pPr>
              <w:spacing w:after="0"/>
              <w:rPr>
                <w:sz w:val="15"/>
                <w:szCs w:val="15"/>
                <w:color w:val="auto"/>
              </w:rPr>
            </w:pPr>
          </w:p>
        </w:tc>
        <w:tc>
          <w:tcPr>
            <w:tcW w:w="220" w:type="dxa"/>
            <w:vAlign w:val="bottom"/>
            <w:shd w:val="clear" w:color="auto" w:fill="D9DCE1"/>
          </w:tcPr>
          <w:p>
            <w:pPr>
              <w:spacing w:after="0"/>
              <w:rPr>
                <w:sz w:val="15"/>
                <w:szCs w:val="15"/>
                <w:color w:val="auto"/>
              </w:rPr>
            </w:pPr>
          </w:p>
        </w:tc>
        <w:tc>
          <w:tcPr>
            <w:tcW w:w="860" w:type="dxa"/>
            <w:vAlign w:val="bottom"/>
            <w:tcBorders>
              <w:right w:val="single" w:sz="8" w:color="424E6A"/>
            </w:tcBorders>
            <w:shd w:val="clear" w:color="auto" w:fill="D9DCE1"/>
          </w:tcPr>
          <w:p>
            <w:pPr>
              <w:spacing w:after="0"/>
              <w:rPr>
                <w:sz w:val="15"/>
                <w:szCs w:val="15"/>
                <w:color w:val="auto"/>
              </w:rPr>
            </w:pPr>
          </w:p>
        </w:tc>
        <w:tc>
          <w:tcPr>
            <w:tcW w:w="240" w:type="dxa"/>
            <w:vAlign w:val="bottom"/>
            <w:shd w:val="clear" w:color="auto" w:fill="D9DCE1"/>
          </w:tcPr>
          <w:p>
            <w:pPr>
              <w:spacing w:after="0"/>
              <w:rPr>
                <w:sz w:val="15"/>
                <w:szCs w:val="15"/>
                <w:color w:val="auto"/>
              </w:rPr>
            </w:pPr>
          </w:p>
        </w:tc>
        <w:tc>
          <w:tcPr>
            <w:tcW w:w="720" w:type="dxa"/>
            <w:vAlign w:val="bottom"/>
            <w:shd w:val="clear" w:color="auto" w:fill="D9DCE1"/>
          </w:tcPr>
          <w:p>
            <w:pPr>
              <w:spacing w:after="0"/>
              <w:rPr>
                <w:sz w:val="15"/>
                <w:szCs w:val="15"/>
                <w:color w:val="auto"/>
              </w:rPr>
            </w:pPr>
          </w:p>
        </w:tc>
        <w:tc>
          <w:tcPr>
            <w:tcW w:w="160" w:type="dxa"/>
            <w:vAlign w:val="bottom"/>
            <w:tcBorders>
              <w:right w:val="single" w:sz="8" w:color="424E6A"/>
            </w:tcBorders>
            <w:shd w:val="clear" w:color="auto" w:fill="D9DCE1"/>
          </w:tcPr>
          <w:p>
            <w:pPr>
              <w:spacing w:after="0"/>
              <w:rPr>
                <w:sz w:val="15"/>
                <w:szCs w:val="15"/>
                <w:color w:val="auto"/>
              </w:rPr>
            </w:pPr>
          </w:p>
        </w:tc>
        <w:tc>
          <w:tcPr>
            <w:tcW w:w="260" w:type="dxa"/>
            <w:vAlign w:val="bottom"/>
            <w:shd w:val="clear" w:color="auto" w:fill="D9DCE1"/>
          </w:tcPr>
          <w:p>
            <w:pPr>
              <w:spacing w:after="0"/>
              <w:rPr>
                <w:sz w:val="15"/>
                <w:szCs w:val="15"/>
                <w:color w:val="auto"/>
              </w:rPr>
            </w:pPr>
          </w:p>
        </w:tc>
        <w:tc>
          <w:tcPr>
            <w:tcW w:w="680" w:type="dxa"/>
            <w:vAlign w:val="bottom"/>
            <w:shd w:val="clear" w:color="auto" w:fill="D9DCE1"/>
          </w:tcPr>
          <w:p>
            <w:pPr>
              <w:spacing w:after="0"/>
              <w:rPr>
                <w:sz w:val="15"/>
                <w:szCs w:val="15"/>
                <w:color w:val="auto"/>
              </w:rPr>
            </w:pPr>
          </w:p>
        </w:tc>
        <w:tc>
          <w:tcPr>
            <w:tcW w:w="160" w:type="dxa"/>
            <w:vAlign w:val="bottom"/>
            <w:tcBorders>
              <w:right w:val="single" w:sz="8" w:color="424E6A"/>
            </w:tcBorders>
            <w:shd w:val="clear" w:color="auto" w:fill="D9DCE1"/>
          </w:tcPr>
          <w:p>
            <w:pPr>
              <w:spacing w:after="0"/>
              <w:rPr>
                <w:sz w:val="15"/>
                <w:szCs w:val="15"/>
                <w:color w:val="auto"/>
              </w:rPr>
            </w:pPr>
          </w:p>
        </w:tc>
        <w:tc>
          <w:tcPr>
            <w:tcW w:w="140" w:type="dxa"/>
            <w:vAlign w:val="bottom"/>
            <w:shd w:val="clear" w:color="auto" w:fill="D9DCE1"/>
          </w:tcPr>
          <w:p>
            <w:pPr>
              <w:spacing w:after="0"/>
              <w:rPr>
                <w:sz w:val="15"/>
                <w:szCs w:val="15"/>
                <w:color w:val="auto"/>
              </w:rPr>
            </w:pPr>
          </w:p>
        </w:tc>
        <w:tc>
          <w:tcPr>
            <w:tcW w:w="340" w:type="dxa"/>
            <w:vAlign w:val="bottom"/>
            <w:shd w:val="clear" w:color="auto" w:fill="D9DCE1"/>
          </w:tcPr>
          <w:p>
            <w:pPr>
              <w:spacing w:after="0"/>
              <w:rPr>
                <w:sz w:val="15"/>
                <w:szCs w:val="15"/>
                <w:color w:val="auto"/>
              </w:rPr>
            </w:pPr>
          </w:p>
        </w:tc>
        <w:tc>
          <w:tcPr>
            <w:tcW w:w="480" w:type="dxa"/>
            <w:vAlign w:val="bottom"/>
            <w:shd w:val="clear" w:color="auto" w:fill="D9DCE1"/>
          </w:tcPr>
          <w:p>
            <w:pPr>
              <w:spacing w:after="0"/>
              <w:rPr>
                <w:sz w:val="15"/>
                <w:szCs w:val="15"/>
                <w:color w:val="auto"/>
              </w:rPr>
            </w:pPr>
          </w:p>
        </w:tc>
        <w:tc>
          <w:tcPr>
            <w:tcW w:w="220" w:type="dxa"/>
            <w:vAlign w:val="bottom"/>
            <w:tcBorders>
              <w:right w:val="single" w:sz="8" w:color="424E6A"/>
            </w:tcBorders>
            <w:shd w:val="clear" w:color="auto" w:fill="D9DCE1"/>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40" w:type="dxa"/>
            <w:vAlign w:val="bottom"/>
            <w:tcBorders>
              <w:left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executive officers</w:t>
            </w:r>
          </w:p>
        </w:tc>
        <w:tc>
          <w:tcPr>
            <w:tcW w:w="100" w:type="dxa"/>
            <w:vAlign w:val="bottom"/>
            <w:tcBorders>
              <w:right w:val="single" w:sz="8" w:color="424E6A"/>
            </w:tcBorders>
            <w:shd w:val="clear" w:color="auto" w:fill="D9DCE1"/>
          </w:tcPr>
          <w:p>
            <w:pPr>
              <w:spacing w:after="0"/>
              <w:rPr>
                <w:sz w:val="15"/>
                <w:szCs w:val="15"/>
                <w:color w:val="auto"/>
              </w:rPr>
            </w:pPr>
          </w:p>
        </w:tc>
        <w:tc>
          <w:tcPr>
            <w:tcW w:w="280" w:type="dxa"/>
            <w:vAlign w:val="bottom"/>
            <w:shd w:val="clear" w:color="auto" w:fill="D9DCE1"/>
          </w:tcPr>
          <w:p>
            <w:pPr>
              <w:spacing w:after="0"/>
              <w:rPr>
                <w:sz w:val="15"/>
                <w:szCs w:val="15"/>
                <w:color w:val="auto"/>
              </w:rPr>
            </w:pPr>
          </w:p>
        </w:tc>
        <w:tc>
          <w:tcPr>
            <w:tcW w:w="840" w:type="dxa"/>
            <w:vAlign w:val="bottom"/>
            <w:shd w:val="clear" w:color="auto" w:fill="D9DCE1"/>
          </w:tcPr>
          <w:p>
            <w:pPr>
              <w:spacing w:after="0"/>
              <w:rPr>
                <w:sz w:val="15"/>
                <w:szCs w:val="15"/>
                <w:color w:val="auto"/>
              </w:rPr>
            </w:pPr>
          </w:p>
        </w:tc>
        <w:tc>
          <w:tcPr>
            <w:tcW w:w="180" w:type="dxa"/>
            <w:vAlign w:val="bottom"/>
            <w:tcBorders>
              <w:right w:val="single" w:sz="8" w:color="424E6A"/>
            </w:tcBorders>
            <w:shd w:val="clear" w:color="auto" w:fill="D9DCE1"/>
          </w:tcPr>
          <w:p>
            <w:pPr>
              <w:spacing w:after="0"/>
              <w:rPr>
                <w:sz w:val="15"/>
                <w:szCs w:val="15"/>
                <w:color w:val="auto"/>
              </w:rPr>
            </w:pPr>
          </w:p>
        </w:tc>
        <w:tc>
          <w:tcPr>
            <w:tcW w:w="220" w:type="dxa"/>
            <w:vAlign w:val="bottom"/>
            <w:shd w:val="clear" w:color="auto" w:fill="D9DCE1"/>
          </w:tcPr>
          <w:p>
            <w:pPr>
              <w:spacing w:after="0"/>
              <w:rPr>
                <w:sz w:val="15"/>
                <w:szCs w:val="15"/>
                <w:color w:val="auto"/>
              </w:rPr>
            </w:pPr>
          </w:p>
        </w:tc>
        <w:tc>
          <w:tcPr>
            <w:tcW w:w="780" w:type="dxa"/>
            <w:vAlign w:val="bottom"/>
            <w:tcBorders>
              <w:right w:val="single" w:sz="8" w:color="424E6A"/>
            </w:tcBorders>
            <w:shd w:val="clear" w:color="auto" w:fill="D9DCE1"/>
          </w:tcPr>
          <w:p>
            <w:pPr>
              <w:spacing w:after="0"/>
              <w:rPr>
                <w:sz w:val="15"/>
                <w:szCs w:val="15"/>
                <w:color w:val="auto"/>
              </w:rPr>
            </w:pPr>
          </w:p>
        </w:tc>
        <w:tc>
          <w:tcPr>
            <w:tcW w:w="220" w:type="dxa"/>
            <w:vAlign w:val="bottom"/>
            <w:shd w:val="clear" w:color="auto" w:fill="D9DCE1"/>
          </w:tcPr>
          <w:p>
            <w:pPr>
              <w:spacing w:after="0"/>
              <w:rPr>
                <w:sz w:val="15"/>
                <w:szCs w:val="15"/>
                <w:color w:val="auto"/>
              </w:rPr>
            </w:pPr>
          </w:p>
        </w:tc>
        <w:tc>
          <w:tcPr>
            <w:tcW w:w="860" w:type="dxa"/>
            <w:vAlign w:val="bottom"/>
            <w:tcBorders>
              <w:right w:val="single" w:sz="8" w:color="424E6A"/>
            </w:tcBorders>
            <w:shd w:val="clear" w:color="auto" w:fill="D9DCE1"/>
          </w:tcPr>
          <w:p>
            <w:pPr>
              <w:spacing w:after="0"/>
              <w:rPr>
                <w:sz w:val="15"/>
                <w:szCs w:val="15"/>
                <w:color w:val="auto"/>
              </w:rPr>
            </w:pPr>
          </w:p>
        </w:tc>
        <w:tc>
          <w:tcPr>
            <w:tcW w:w="240" w:type="dxa"/>
            <w:vAlign w:val="bottom"/>
            <w:shd w:val="clear" w:color="auto" w:fill="D9DCE1"/>
          </w:tcPr>
          <w:p>
            <w:pPr>
              <w:spacing w:after="0"/>
              <w:rPr>
                <w:sz w:val="15"/>
                <w:szCs w:val="15"/>
                <w:color w:val="auto"/>
              </w:rPr>
            </w:pPr>
          </w:p>
        </w:tc>
        <w:tc>
          <w:tcPr>
            <w:tcW w:w="720" w:type="dxa"/>
            <w:vAlign w:val="bottom"/>
            <w:shd w:val="clear" w:color="auto" w:fill="D9DCE1"/>
          </w:tcPr>
          <w:p>
            <w:pPr>
              <w:spacing w:after="0"/>
              <w:rPr>
                <w:sz w:val="15"/>
                <w:szCs w:val="15"/>
                <w:color w:val="auto"/>
              </w:rPr>
            </w:pPr>
          </w:p>
        </w:tc>
        <w:tc>
          <w:tcPr>
            <w:tcW w:w="160" w:type="dxa"/>
            <w:vAlign w:val="bottom"/>
            <w:tcBorders>
              <w:right w:val="single" w:sz="8" w:color="424E6A"/>
            </w:tcBorders>
            <w:shd w:val="clear" w:color="auto" w:fill="D9DCE1"/>
          </w:tcPr>
          <w:p>
            <w:pPr>
              <w:spacing w:after="0"/>
              <w:rPr>
                <w:sz w:val="15"/>
                <w:szCs w:val="15"/>
                <w:color w:val="auto"/>
              </w:rPr>
            </w:pPr>
          </w:p>
        </w:tc>
        <w:tc>
          <w:tcPr>
            <w:tcW w:w="260" w:type="dxa"/>
            <w:vAlign w:val="bottom"/>
            <w:shd w:val="clear" w:color="auto" w:fill="D9DCE1"/>
          </w:tcPr>
          <w:p>
            <w:pPr>
              <w:spacing w:after="0"/>
              <w:rPr>
                <w:sz w:val="15"/>
                <w:szCs w:val="15"/>
                <w:color w:val="auto"/>
              </w:rPr>
            </w:pPr>
          </w:p>
        </w:tc>
        <w:tc>
          <w:tcPr>
            <w:tcW w:w="680" w:type="dxa"/>
            <w:vAlign w:val="bottom"/>
            <w:shd w:val="clear" w:color="auto" w:fill="D9DCE1"/>
          </w:tcPr>
          <w:p>
            <w:pPr>
              <w:spacing w:after="0"/>
              <w:rPr>
                <w:sz w:val="15"/>
                <w:szCs w:val="15"/>
                <w:color w:val="auto"/>
              </w:rPr>
            </w:pPr>
          </w:p>
        </w:tc>
        <w:tc>
          <w:tcPr>
            <w:tcW w:w="160" w:type="dxa"/>
            <w:vAlign w:val="bottom"/>
            <w:tcBorders>
              <w:right w:val="single" w:sz="8" w:color="424E6A"/>
            </w:tcBorders>
            <w:shd w:val="clear" w:color="auto" w:fill="D9DCE1"/>
          </w:tcPr>
          <w:p>
            <w:pPr>
              <w:spacing w:after="0"/>
              <w:rPr>
                <w:sz w:val="15"/>
                <w:szCs w:val="15"/>
                <w:color w:val="auto"/>
              </w:rPr>
            </w:pPr>
          </w:p>
        </w:tc>
        <w:tc>
          <w:tcPr>
            <w:tcW w:w="140" w:type="dxa"/>
            <w:vAlign w:val="bottom"/>
            <w:shd w:val="clear" w:color="auto" w:fill="D9DCE1"/>
          </w:tcPr>
          <w:p>
            <w:pPr>
              <w:spacing w:after="0"/>
              <w:rPr>
                <w:sz w:val="15"/>
                <w:szCs w:val="15"/>
                <w:color w:val="auto"/>
              </w:rPr>
            </w:pPr>
          </w:p>
        </w:tc>
        <w:tc>
          <w:tcPr>
            <w:tcW w:w="340" w:type="dxa"/>
            <w:vAlign w:val="bottom"/>
            <w:shd w:val="clear" w:color="auto" w:fill="D9DCE1"/>
          </w:tcPr>
          <w:p>
            <w:pPr>
              <w:spacing w:after="0"/>
              <w:rPr>
                <w:sz w:val="15"/>
                <w:szCs w:val="15"/>
                <w:color w:val="auto"/>
              </w:rPr>
            </w:pPr>
          </w:p>
        </w:tc>
        <w:tc>
          <w:tcPr>
            <w:tcW w:w="480" w:type="dxa"/>
            <w:vAlign w:val="bottom"/>
            <w:shd w:val="clear" w:color="auto" w:fill="D9DCE1"/>
          </w:tcPr>
          <w:p>
            <w:pPr>
              <w:spacing w:after="0"/>
              <w:rPr>
                <w:sz w:val="15"/>
                <w:szCs w:val="15"/>
                <w:color w:val="auto"/>
              </w:rPr>
            </w:pPr>
          </w:p>
        </w:tc>
        <w:tc>
          <w:tcPr>
            <w:tcW w:w="220" w:type="dxa"/>
            <w:vAlign w:val="bottom"/>
            <w:tcBorders>
              <w:right w:val="single" w:sz="8" w:color="424E6A"/>
            </w:tcBorders>
            <w:shd w:val="clear" w:color="auto" w:fill="D9DCE1"/>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40" w:type="dxa"/>
            <w:vAlign w:val="bottom"/>
            <w:tcBorders>
              <w:left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as a group</w:t>
            </w:r>
          </w:p>
        </w:tc>
        <w:tc>
          <w:tcPr>
            <w:tcW w:w="100" w:type="dxa"/>
            <w:vAlign w:val="bottom"/>
            <w:tcBorders>
              <w:right w:val="single" w:sz="8" w:color="424E6A"/>
            </w:tcBorders>
            <w:shd w:val="clear" w:color="auto" w:fill="D9DCE1"/>
          </w:tcPr>
          <w:p>
            <w:pPr>
              <w:spacing w:after="0"/>
              <w:rPr>
                <w:sz w:val="15"/>
                <w:szCs w:val="15"/>
                <w:color w:val="auto"/>
              </w:rPr>
            </w:pPr>
          </w:p>
        </w:tc>
        <w:tc>
          <w:tcPr>
            <w:tcW w:w="1120" w:type="dxa"/>
            <w:vAlign w:val="bottom"/>
            <w:gridSpan w:val="2"/>
            <w:vMerge w:val="restart"/>
            <w:shd w:val="clear" w:color="auto" w:fill="D9DCE1"/>
          </w:tcPr>
          <w:p>
            <w:pPr>
              <w:jc w:val="right"/>
              <w:ind w:right="88"/>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50,964,383</w:t>
            </w:r>
          </w:p>
        </w:tc>
        <w:tc>
          <w:tcPr>
            <w:tcW w:w="180" w:type="dxa"/>
            <w:vAlign w:val="bottom"/>
            <w:tcBorders>
              <w:right w:val="single" w:sz="8" w:color="424E6A"/>
            </w:tcBorders>
            <w:shd w:val="clear" w:color="auto" w:fill="D9DCE1"/>
          </w:tcPr>
          <w:p>
            <w:pPr>
              <w:spacing w:after="0"/>
              <w:rPr>
                <w:sz w:val="15"/>
                <w:szCs w:val="15"/>
                <w:color w:val="auto"/>
              </w:rPr>
            </w:pPr>
          </w:p>
        </w:tc>
        <w:tc>
          <w:tcPr>
            <w:tcW w:w="1000" w:type="dxa"/>
            <w:vAlign w:val="bottom"/>
            <w:tcBorders>
              <w:right w:val="single" w:sz="8" w:color="424E6A"/>
            </w:tcBorders>
            <w:gridSpan w:val="2"/>
            <w:vMerge w:val="restart"/>
            <w:shd w:val="clear" w:color="auto" w:fill="D9DCE1"/>
          </w:tcPr>
          <w:p>
            <w:pPr>
              <w:jc w:val="right"/>
              <w:ind w:right="108"/>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5,041,886</w:t>
            </w:r>
          </w:p>
        </w:tc>
        <w:tc>
          <w:tcPr>
            <w:tcW w:w="1080" w:type="dxa"/>
            <w:vAlign w:val="bottom"/>
            <w:tcBorders>
              <w:right w:val="single" w:sz="8" w:color="424E6A"/>
            </w:tcBorders>
            <w:gridSpan w:val="2"/>
            <w:vMerge w:val="restart"/>
            <w:shd w:val="clear" w:color="auto" w:fill="D9DCE1"/>
          </w:tcPr>
          <w:p>
            <w:pPr>
              <w:jc w:val="right"/>
              <w:ind w:right="108"/>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19,184,581</w:t>
            </w:r>
          </w:p>
        </w:tc>
        <w:tc>
          <w:tcPr>
            <w:tcW w:w="960" w:type="dxa"/>
            <w:vAlign w:val="bottom"/>
            <w:gridSpan w:val="2"/>
            <w:vMerge w:val="restart"/>
            <w:shd w:val="clear" w:color="auto" w:fill="D9DCE1"/>
          </w:tcPr>
          <w:p>
            <w:pPr>
              <w:ind w:left="80"/>
              <w:spacing w:after="0"/>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24,226,467</w:t>
            </w:r>
          </w:p>
        </w:tc>
        <w:tc>
          <w:tcPr>
            <w:tcW w:w="160" w:type="dxa"/>
            <w:vAlign w:val="bottom"/>
            <w:tcBorders>
              <w:right w:val="single" w:sz="8" w:color="424E6A"/>
            </w:tcBorders>
            <w:shd w:val="clear" w:color="auto" w:fill="D9DCE1"/>
          </w:tcPr>
          <w:p>
            <w:pPr>
              <w:spacing w:after="0"/>
              <w:rPr>
                <w:sz w:val="15"/>
                <w:szCs w:val="15"/>
                <w:color w:val="auto"/>
              </w:rPr>
            </w:pPr>
          </w:p>
        </w:tc>
        <w:tc>
          <w:tcPr>
            <w:tcW w:w="940" w:type="dxa"/>
            <w:vAlign w:val="bottom"/>
            <w:gridSpan w:val="2"/>
            <w:vMerge w:val="restart"/>
            <w:shd w:val="clear" w:color="auto" w:fill="D9DCE1"/>
          </w:tcPr>
          <w:p>
            <w:pPr>
              <w:jc w:val="right"/>
              <w:spacing w:after="0"/>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75,190,850</w:t>
            </w:r>
          </w:p>
        </w:tc>
        <w:tc>
          <w:tcPr>
            <w:tcW w:w="160" w:type="dxa"/>
            <w:vAlign w:val="bottom"/>
            <w:tcBorders>
              <w:right w:val="single" w:sz="8" w:color="424E6A"/>
            </w:tcBorders>
            <w:shd w:val="clear" w:color="auto" w:fill="D9DCE1"/>
          </w:tcPr>
          <w:p>
            <w:pPr>
              <w:spacing w:after="0"/>
              <w:rPr>
                <w:sz w:val="15"/>
                <w:szCs w:val="15"/>
                <w:color w:val="auto"/>
              </w:rPr>
            </w:pPr>
          </w:p>
        </w:tc>
        <w:tc>
          <w:tcPr>
            <w:tcW w:w="140" w:type="dxa"/>
            <w:vAlign w:val="bottom"/>
            <w:shd w:val="clear" w:color="auto" w:fill="D9DCE1"/>
          </w:tcPr>
          <w:p>
            <w:pPr>
              <w:spacing w:after="0"/>
              <w:rPr>
                <w:sz w:val="15"/>
                <w:szCs w:val="15"/>
                <w:color w:val="auto"/>
              </w:rPr>
            </w:pPr>
          </w:p>
        </w:tc>
        <w:tc>
          <w:tcPr>
            <w:tcW w:w="820" w:type="dxa"/>
            <w:vAlign w:val="bottom"/>
            <w:gridSpan w:val="2"/>
            <w:vMerge w:val="restart"/>
            <w:shd w:val="clear" w:color="auto" w:fill="D9DCE1"/>
          </w:tcPr>
          <w:p>
            <w:pPr>
              <w:ind w:left="2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9.8%</w:t>
            </w:r>
          </w:p>
        </w:tc>
        <w:tc>
          <w:tcPr>
            <w:tcW w:w="220" w:type="dxa"/>
            <w:vAlign w:val="bottom"/>
            <w:tcBorders>
              <w:right w:val="single" w:sz="8" w:color="424E6A"/>
            </w:tcBorders>
            <w:shd w:val="clear" w:color="auto" w:fill="D9DCE1"/>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340" w:type="dxa"/>
            <w:vAlign w:val="bottom"/>
            <w:tcBorders>
              <w:left w:val="single" w:sz="8" w:color="424E6A"/>
              <w:bottom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(17 persons)</w:t>
            </w:r>
          </w:p>
        </w:tc>
        <w:tc>
          <w:tcPr>
            <w:tcW w:w="10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424E6A"/>
            </w:tcBorders>
            <w:gridSpan w:val="2"/>
            <w:vMerge w:val="continue"/>
            <w:shd w:val="clear" w:color="auto" w:fill="D9DCE1"/>
          </w:tcPr>
          <w:p>
            <w:pPr>
              <w:spacing w:after="0"/>
              <w:rPr>
                <w:sz w:val="18"/>
                <w:szCs w:val="18"/>
                <w:color w:val="auto"/>
              </w:rPr>
            </w:pPr>
          </w:p>
        </w:tc>
        <w:tc>
          <w:tcPr>
            <w:tcW w:w="18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424E6A"/>
              <w:right w:val="single" w:sz="8" w:color="424E6A"/>
            </w:tcBorders>
            <w:gridSpan w:val="2"/>
            <w:vMerge w:val="continue"/>
            <w:shd w:val="clear" w:color="auto" w:fill="D9DCE1"/>
          </w:tcPr>
          <w:p>
            <w:pPr>
              <w:spacing w:after="0"/>
              <w:rPr>
                <w:sz w:val="18"/>
                <w:szCs w:val="18"/>
                <w:color w:val="auto"/>
              </w:rPr>
            </w:pPr>
          </w:p>
        </w:tc>
        <w:tc>
          <w:tcPr>
            <w:tcW w:w="1080" w:type="dxa"/>
            <w:vAlign w:val="bottom"/>
            <w:tcBorders>
              <w:bottom w:val="single" w:sz="8" w:color="424E6A"/>
              <w:right w:val="single" w:sz="8" w:color="424E6A"/>
            </w:tcBorders>
            <w:gridSpan w:val="2"/>
            <w:vMerge w:val="continue"/>
            <w:shd w:val="clear" w:color="auto" w:fill="D9DCE1"/>
          </w:tcPr>
          <w:p>
            <w:pPr>
              <w:spacing w:after="0"/>
              <w:rPr>
                <w:sz w:val="18"/>
                <w:szCs w:val="18"/>
                <w:color w:val="auto"/>
              </w:rPr>
            </w:pPr>
          </w:p>
        </w:tc>
        <w:tc>
          <w:tcPr>
            <w:tcW w:w="960" w:type="dxa"/>
            <w:vAlign w:val="bottom"/>
            <w:tcBorders>
              <w:bottom w:val="single" w:sz="8" w:color="424E6A"/>
            </w:tcBorders>
            <w:gridSpan w:val="2"/>
            <w:vMerge w:val="continue"/>
            <w:shd w:val="clear" w:color="auto" w:fill="D9DCE1"/>
          </w:tcPr>
          <w:p>
            <w:pPr>
              <w:spacing w:after="0"/>
              <w:rPr>
                <w:sz w:val="18"/>
                <w:szCs w:val="18"/>
                <w:color w:val="auto"/>
              </w:rPr>
            </w:pPr>
          </w:p>
        </w:tc>
        <w:tc>
          <w:tcPr>
            <w:tcW w:w="16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24E6A"/>
            </w:tcBorders>
            <w:gridSpan w:val="2"/>
            <w:vMerge w:val="continue"/>
            <w:shd w:val="clear" w:color="auto" w:fill="D9DCE1"/>
          </w:tcPr>
          <w:p>
            <w:pPr>
              <w:spacing w:after="0"/>
              <w:rPr>
                <w:sz w:val="18"/>
                <w:szCs w:val="18"/>
                <w:color w:val="auto"/>
              </w:rPr>
            </w:pPr>
          </w:p>
        </w:tc>
        <w:tc>
          <w:tcPr>
            <w:tcW w:w="16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24E6A"/>
            </w:tcBorders>
            <w:gridSpan w:val="2"/>
            <w:vMerge w:val="continue"/>
            <w:shd w:val="clear" w:color="auto" w:fill="D9DCE1"/>
          </w:tcPr>
          <w:p>
            <w:pPr>
              <w:spacing w:after="0"/>
              <w:rPr>
                <w:sz w:val="18"/>
                <w:szCs w:val="18"/>
                <w:color w:val="auto"/>
              </w:rPr>
            </w:pPr>
          </w:p>
        </w:tc>
        <w:tc>
          <w:tcPr>
            <w:tcW w:w="2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123444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20" w:hanging="360"/>
        <w:spacing w:after="0"/>
        <w:tabs>
          <w:tab w:leader="none" w:pos="1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Beneficial Ownership of General Partner Interest</w:t>
      </w:r>
    </w:p>
    <w:p>
      <w:pPr>
        <w:spacing w:after="0" w:line="15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Plains AAP owns a significant limited partner interest in us and, indirectly through its 100% member interest in PAA GP LLC, our non-economic general partner interest. GP LLC owns the non-economic general partner interest in Plains AAP. The Class A limited partners of Plains AAP collectively own 100% of the economic interests in Plains AAP. The following table sets forth the percentage ownership of the Class A limited partners of Plains AAP, including certain of our directors and Named Executive Officers, as of March 27, 2023:</w:t>
      </w:r>
    </w:p>
    <w:p>
      <w:pPr>
        <w:spacing w:after="0" w:line="160"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160" w:type="dxa"/>
            <w:vAlign w:val="bottom"/>
            <w:tcBorders>
              <w:left w:val="single" w:sz="8" w:color="424E6A"/>
            </w:tcBorders>
            <w:shd w:val="clear" w:color="auto" w:fill="424E6A"/>
          </w:tcPr>
          <w:p>
            <w:pPr>
              <w:spacing w:after="0"/>
              <w:rPr>
                <w:sz w:val="21"/>
                <w:szCs w:val="21"/>
                <w:color w:val="auto"/>
              </w:rPr>
            </w:pPr>
          </w:p>
        </w:tc>
        <w:tc>
          <w:tcPr>
            <w:tcW w:w="4920" w:type="dxa"/>
            <w:vAlign w:val="bottom"/>
            <w:shd w:val="clear" w:color="auto" w:fill="424E6A"/>
          </w:tcPr>
          <w:p>
            <w:pPr>
              <w:spacing w:after="0"/>
              <w:rPr>
                <w:sz w:val="21"/>
                <w:szCs w:val="21"/>
                <w:color w:val="auto"/>
              </w:rPr>
            </w:pPr>
          </w:p>
        </w:tc>
        <w:tc>
          <w:tcPr>
            <w:tcW w:w="1980" w:type="dxa"/>
            <w:vAlign w:val="bottom"/>
            <w:tcBorders>
              <w:right w:val="single" w:sz="8" w:color="424E6A"/>
            </w:tcBorders>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260" w:type="dxa"/>
            <w:vAlign w:val="bottom"/>
            <w:tcBorders>
              <w:right w:val="single" w:sz="8" w:color="424E6A"/>
            </w:tcBorders>
            <w:shd w:val="clear" w:color="auto" w:fill="424E6A"/>
          </w:tcPr>
          <w:p>
            <w:pPr>
              <w:spacing w:after="0"/>
              <w:rPr>
                <w:sz w:val="21"/>
                <w:szCs w:val="21"/>
                <w:color w:val="auto"/>
              </w:rPr>
            </w:pPr>
          </w:p>
        </w:tc>
      </w:tr>
      <w:tr>
        <w:trPr>
          <w:trHeight w:val="162"/>
        </w:trPr>
        <w:tc>
          <w:tcPr>
            <w:tcW w:w="160" w:type="dxa"/>
            <w:vAlign w:val="bottom"/>
            <w:tcBorders>
              <w:left w:val="single" w:sz="8" w:color="424E6A"/>
            </w:tcBorders>
            <w:shd w:val="clear" w:color="auto" w:fill="424E6A"/>
          </w:tcPr>
          <w:p>
            <w:pPr>
              <w:spacing w:after="0"/>
              <w:rPr>
                <w:sz w:val="14"/>
                <w:szCs w:val="14"/>
                <w:color w:val="auto"/>
              </w:rPr>
            </w:pPr>
          </w:p>
        </w:tc>
        <w:tc>
          <w:tcPr>
            <w:tcW w:w="4920" w:type="dxa"/>
            <w:vAlign w:val="bottom"/>
            <w:shd w:val="clear" w:color="auto" w:fill="424E6A"/>
          </w:tcPr>
          <w:p>
            <w:pPr>
              <w:spacing w:after="0"/>
              <w:rPr>
                <w:sz w:val="14"/>
                <w:szCs w:val="14"/>
                <w:color w:val="auto"/>
              </w:rPr>
            </w:pPr>
          </w:p>
        </w:tc>
        <w:tc>
          <w:tcPr>
            <w:tcW w:w="19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Ownership</w:t>
            </w:r>
          </w:p>
        </w:tc>
        <w:tc>
          <w:tcPr>
            <w:tcW w:w="260" w:type="dxa"/>
            <w:vAlign w:val="bottom"/>
            <w:tcBorders>
              <w:right w:val="single" w:sz="8" w:color="424E6A"/>
            </w:tcBorders>
            <w:shd w:val="clear" w:color="auto" w:fill="424E6A"/>
          </w:tcPr>
          <w:p>
            <w:pPr>
              <w:spacing w:after="0"/>
              <w:rPr>
                <w:sz w:val="14"/>
                <w:szCs w:val="14"/>
                <w:color w:val="auto"/>
              </w:rPr>
            </w:pPr>
          </w:p>
        </w:tc>
      </w:tr>
      <w:tr>
        <w:trPr>
          <w:trHeight w:val="162"/>
        </w:trPr>
        <w:tc>
          <w:tcPr>
            <w:tcW w:w="160" w:type="dxa"/>
            <w:vAlign w:val="bottom"/>
            <w:tcBorders>
              <w:left w:val="single" w:sz="8" w:color="424E6A"/>
            </w:tcBorders>
            <w:shd w:val="clear" w:color="auto" w:fill="424E6A"/>
          </w:tcPr>
          <w:p>
            <w:pPr>
              <w:spacing w:after="0"/>
              <w:rPr>
                <w:sz w:val="14"/>
                <w:szCs w:val="14"/>
                <w:color w:val="auto"/>
              </w:rPr>
            </w:pPr>
          </w:p>
        </w:tc>
        <w:tc>
          <w:tcPr>
            <w:tcW w:w="4920" w:type="dxa"/>
            <w:vAlign w:val="bottom"/>
            <w:shd w:val="clear" w:color="auto" w:fill="424E6A"/>
          </w:tcPr>
          <w:p>
            <w:pPr>
              <w:spacing w:after="0"/>
              <w:rPr>
                <w:sz w:val="14"/>
                <w:szCs w:val="14"/>
                <w:color w:val="auto"/>
              </w:rPr>
            </w:pPr>
          </w:p>
        </w:tc>
        <w:tc>
          <w:tcPr>
            <w:tcW w:w="19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540" w:type="dxa"/>
            <w:vAlign w:val="bottom"/>
            <w:shd w:val="clear" w:color="auto" w:fill="424E6A"/>
          </w:tcPr>
          <w:p>
            <w:pPr>
              <w:jc w:val="center"/>
              <w:ind w:right="194"/>
              <w:spacing w:after="0"/>
              <w:rPr>
                <w:sz w:val="20"/>
                <w:szCs w:val="20"/>
                <w:color w:val="auto"/>
              </w:rPr>
            </w:pPr>
            <w:r>
              <w:rPr>
                <w:rFonts w:ascii="Arial" w:cs="Arial" w:eastAsia="Arial" w:hAnsi="Arial"/>
                <w:sz w:val="14"/>
                <w:szCs w:val="14"/>
                <w:b w:val="1"/>
                <w:bCs w:val="1"/>
                <w:color w:val="FFFFFF"/>
              </w:rPr>
              <w:t>of</w:t>
            </w:r>
          </w:p>
        </w:tc>
        <w:tc>
          <w:tcPr>
            <w:tcW w:w="260" w:type="dxa"/>
            <w:vAlign w:val="bottom"/>
            <w:tcBorders>
              <w:right w:val="single" w:sz="8" w:color="424E6A"/>
            </w:tcBorders>
            <w:shd w:val="clear" w:color="auto" w:fill="424E6A"/>
          </w:tcPr>
          <w:p>
            <w:pPr>
              <w:spacing w:after="0"/>
              <w:rPr>
                <w:sz w:val="14"/>
                <w:szCs w:val="14"/>
                <w:color w:val="auto"/>
              </w:rPr>
            </w:pPr>
          </w:p>
        </w:tc>
      </w:tr>
      <w:tr>
        <w:trPr>
          <w:trHeight w:val="162"/>
        </w:trPr>
        <w:tc>
          <w:tcPr>
            <w:tcW w:w="160" w:type="dxa"/>
            <w:vAlign w:val="bottom"/>
            <w:tcBorders>
              <w:left w:val="single" w:sz="8" w:color="424E6A"/>
            </w:tcBorders>
            <w:shd w:val="clear" w:color="auto" w:fill="424E6A"/>
          </w:tcPr>
          <w:p>
            <w:pPr>
              <w:spacing w:after="0"/>
              <w:rPr>
                <w:sz w:val="14"/>
                <w:szCs w:val="14"/>
                <w:color w:val="auto"/>
              </w:rPr>
            </w:pPr>
          </w:p>
        </w:tc>
        <w:tc>
          <w:tcPr>
            <w:tcW w:w="4920" w:type="dxa"/>
            <w:vAlign w:val="bottom"/>
            <w:shd w:val="clear" w:color="auto" w:fill="424E6A"/>
          </w:tcPr>
          <w:p>
            <w:pPr>
              <w:spacing w:after="0"/>
              <w:rPr>
                <w:sz w:val="14"/>
                <w:szCs w:val="14"/>
                <w:color w:val="auto"/>
              </w:rPr>
            </w:pPr>
          </w:p>
        </w:tc>
        <w:tc>
          <w:tcPr>
            <w:tcW w:w="19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800" w:type="dxa"/>
            <w:vAlign w:val="bottom"/>
            <w:gridSpan w:val="2"/>
            <w:shd w:val="clear" w:color="auto" w:fill="424E6A"/>
          </w:tcPr>
          <w:p>
            <w:pPr>
              <w:ind w:left="180"/>
              <w:spacing w:after="0"/>
              <w:rPr>
                <w:sz w:val="20"/>
                <w:szCs w:val="20"/>
                <w:color w:val="auto"/>
              </w:rPr>
            </w:pPr>
            <w:r>
              <w:rPr>
                <w:rFonts w:ascii="Arial" w:cs="Arial" w:eastAsia="Arial" w:hAnsi="Arial"/>
                <w:sz w:val="14"/>
                <w:szCs w:val="14"/>
                <w:b w:val="1"/>
                <w:bCs w:val="1"/>
                <w:color w:val="FFFFFF"/>
              </w:rPr>
              <w:t>Plains</w:t>
            </w:r>
          </w:p>
        </w:tc>
        <w:tc>
          <w:tcPr>
            <w:tcW w:w="260" w:type="dxa"/>
            <w:vAlign w:val="bottom"/>
            <w:tcBorders>
              <w:right w:val="single" w:sz="8" w:color="424E6A"/>
            </w:tcBorders>
            <w:shd w:val="clear" w:color="auto" w:fill="424E6A"/>
          </w:tcPr>
          <w:p>
            <w:pPr>
              <w:spacing w:after="0"/>
              <w:rPr>
                <w:sz w:val="14"/>
                <w:szCs w:val="14"/>
                <w:color w:val="auto"/>
              </w:rPr>
            </w:pPr>
          </w:p>
        </w:tc>
      </w:tr>
      <w:tr>
        <w:trPr>
          <w:trHeight w:val="162"/>
        </w:trPr>
        <w:tc>
          <w:tcPr>
            <w:tcW w:w="160" w:type="dxa"/>
            <w:vAlign w:val="bottom"/>
            <w:tcBorders>
              <w:left w:val="single" w:sz="8" w:color="424E6A"/>
            </w:tcBorders>
            <w:shd w:val="clear" w:color="auto" w:fill="424E6A"/>
          </w:tcPr>
          <w:p>
            <w:pPr>
              <w:spacing w:after="0"/>
              <w:rPr>
                <w:sz w:val="14"/>
                <w:szCs w:val="14"/>
                <w:color w:val="auto"/>
              </w:rPr>
            </w:pPr>
          </w:p>
        </w:tc>
        <w:tc>
          <w:tcPr>
            <w:tcW w:w="4920" w:type="dxa"/>
            <w:vAlign w:val="bottom"/>
            <w:shd w:val="clear" w:color="auto" w:fill="424E6A"/>
          </w:tcPr>
          <w:p>
            <w:pPr>
              <w:spacing w:after="0"/>
              <w:rPr>
                <w:sz w:val="14"/>
                <w:szCs w:val="14"/>
                <w:color w:val="auto"/>
              </w:rPr>
            </w:pPr>
          </w:p>
        </w:tc>
        <w:tc>
          <w:tcPr>
            <w:tcW w:w="19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5"/>
              </w:rPr>
              <w:t>AAP, L.P.</w:t>
            </w:r>
          </w:p>
        </w:tc>
        <w:tc>
          <w:tcPr>
            <w:tcW w:w="260" w:type="dxa"/>
            <w:vAlign w:val="bottom"/>
            <w:tcBorders>
              <w:right w:val="single" w:sz="8" w:color="424E6A"/>
            </w:tcBorders>
            <w:shd w:val="clear" w:color="auto" w:fill="424E6A"/>
          </w:tcPr>
          <w:p>
            <w:pPr>
              <w:spacing w:after="0"/>
              <w:rPr>
                <w:sz w:val="14"/>
                <w:szCs w:val="14"/>
                <w:color w:val="auto"/>
              </w:rPr>
            </w:pPr>
          </w:p>
        </w:tc>
      </w:tr>
      <w:tr>
        <w:trPr>
          <w:trHeight w:val="162"/>
        </w:trPr>
        <w:tc>
          <w:tcPr>
            <w:tcW w:w="5080" w:type="dxa"/>
            <w:vAlign w:val="bottom"/>
            <w:tcBorders>
              <w:left w:val="single" w:sz="8" w:color="424E6A"/>
            </w:tcBorders>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Name of Owner and Address</w:t>
            </w:r>
          </w:p>
        </w:tc>
        <w:tc>
          <w:tcPr>
            <w:tcW w:w="19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Class A LP</w:t>
            </w:r>
          </w:p>
        </w:tc>
        <w:tc>
          <w:tcPr>
            <w:tcW w:w="260" w:type="dxa"/>
            <w:vAlign w:val="bottom"/>
            <w:tcBorders>
              <w:right w:val="single" w:sz="8" w:color="424E6A"/>
            </w:tcBorders>
            <w:shd w:val="clear" w:color="auto" w:fill="424E6A"/>
          </w:tcPr>
          <w:p>
            <w:pPr>
              <w:spacing w:after="0"/>
              <w:rPr>
                <w:sz w:val="14"/>
                <w:szCs w:val="14"/>
                <w:color w:val="auto"/>
              </w:rPr>
            </w:pPr>
          </w:p>
        </w:tc>
      </w:tr>
      <w:tr>
        <w:trPr>
          <w:trHeight w:val="212"/>
        </w:trPr>
        <w:tc>
          <w:tcPr>
            <w:tcW w:w="5080" w:type="dxa"/>
            <w:vAlign w:val="bottom"/>
            <w:tcBorders>
              <w:left w:val="single" w:sz="8" w:color="424E6A"/>
            </w:tcBorders>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(in the case of Owners of more than 5%)</w:t>
            </w:r>
          </w:p>
        </w:tc>
        <w:tc>
          <w:tcPr>
            <w:tcW w:w="1980" w:type="dxa"/>
            <w:vAlign w:val="bottom"/>
            <w:tcBorders>
              <w:right w:val="single" w:sz="8" w:color="424E6A"/>
            </w:tcBorders>
            <w:shd w:val="clear" w:color="auto" w:fill="424E6A"/>
          </w:tcPr>
          <w:p>
            <w:pPr>
              <w:spacing w:after="0"/>
              <w:rPr>
                <w:sz w:val="18"/>
                <w:szCs w:val="18"/>
                <w:color w:val="auto"/>
              </w:rPr>
            </w:pPr>
          </w:p>
        </w:tc>
        <w:tc>
          <w:tcPr>
            <w:tcW w:w="100" w:type="dxa"/>
            <w:vAlign w:val="bottom"/>
            <w:shd w:val="clear" w:color="auto" w:fill="424E6A"/>
          </w:tcPr>
          <w:p>
            <w:pPr>
              <w:spacing w:after="0"/>
              <w:rPr>
                <w:sz w:val="18"/>
                <w:szCs w:val="18"/>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6"/>
              </w:rPr>
              <w:t xml:space="preserve">Interest </w:t>
            </w:r>
            <w:r>
              <w:rPr>
                <w:rFonts w:ascii="Arial" w:cs="Arial" w:eastAsia="Arial" w:hAnsi="Arial"/>
                <w:sz w:val="17"/>
                <w:szCs w:val="17"/>
                <w:b w:val="1"/>
                <w:bCs w:val="1"/>
                <w:color w:val="FFFFFF"/>
                <w:w w:val="96"/>
                <w:vertAlign w:val="superscript"/>
              </w:rPr>
              <w:t>(1)</w:t>
            </w:r>
          </w:p>
        </w:tc>
        <w:tc>
          <w:tcPr>
            <w:tcW w:w="260" w:type="dxa"/>
            <w:vAlign w:val="bottom"/>
            <w:tcBorders>
              <w:right w:val="single" w:sz="8" w:color="424E6A"/>
            </w:tcBorders>
            <w:shd w:val="clear" w:color="auto" w:fill="424E6A"/>
          </w:tcPr>
          <w:p>
            <w:pPr>
              <w:spacing w:after="0"/>
              <w:rPr>
                <w:sz w:val="18"/>
                <w:szCs w:val="18"/>
                <w:color w:val="auto"/>
              </w:rPr>
            </w:pPr>
          </w:p>
        </w:tc>
      </w:tr>
      <w:tr>
        <w:trPr>
          <w:trHeight w:val="256"/>
        </w:trPr>
        <w:tc>
          <w:tcPr>
            <w:tcW w:w="5080" w:type="dxa"/>
            <w:vAlign w:val="bottom"/>
            <w:tcBorders>
              <w:left w:val="single" w:sz="8" w:color="424E6A"/>
              <w:bottom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Plains GP Holdings, L.P.</w:t>
            </w:r>
          </w:p>
        </w:tc>
        <w:tc>
          <w:tcPr>
            <w:tcW w:w="1980" w:type="dxa"/>
            <w:vAlign w:val="bottom"/>
            <w:tcBorders>
              <w:bottom w:val="single" w:sz="8" w:color="424E6A"/>
              <w:right w:val="single" w:sz="8" w:color="424E6A"/>
            </w:tcBorders>
            <w:shd w:val="clear" w:color="auto" w:fill="D9DCE1"/>
          </w:tcPr>
          <w:p>
            <w:pPr>
              <w:ind w:left="1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shd w:val="clear" w:color="auto" w:fill="D9DCE1"/>
          </w:tcPr>
          <w:p>
            <w:pPr>
              <w:jc w:val="right"/>
              <w:ind w:right="11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80.67%</w:t>
            </w:r>
            <w:r>
              <w:rPr>
                <w:rFonts w:ascii="Arial" w:cs="Arial" w:eastAsia="Arial" w:hAnsi="Arial"/>
                <w:sz w:val="29"/>
                <w:szCs w:val="29"/>
                <w:color w:val="auto"/>
                <w:vertAlign w:val="subscript"/>
              </w:rPr>
              <w:t>​</w:t>
            </w:r>
          </w:p>
        </w:tc>
      </w:tr>
      <w:tr>
        <w:trPr>
          <w:trHeight w:val="250"/>
        </w:trPr>
        <w:tc>
          <w:tcPr>
            <w:tcW w:w="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49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333 Clay Street, Suite 1600</w:t>
            </w:r>
          </w:p>
        </w:tc>
        <w:tc>
          <w:tcPr>
            <w:tcW w:w="1980" w:type="dxa"/>
            <w:vAlign w:val="bottom"/>
            <w:tcBorders>
              <w:bottom w:val="single" w:sz="8" w:color="424E6A"/>
              <w:right w:val="single" w:sz="8" w:color="424E6A"/>
            </w:tcBorders>
          </w:tcPr>
          <w:p>
            <w:pPr>
              <w:ind w:left="1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tcPr>
          <w:p>
            <w:pPr>
              <w:spacing w:after="0"/>
              <w:rPr>
                <w:sz w:val="21"/>
                <w:szCs w:val="21"/>
                <w:color w:val="auto"/>
              </w:rPr>
            </w:pPr>
          </w:p>
        </w:tc>
        <w:tc>
          <w:tcPr>
            <w:tcW w:w="260" w:type="dxa"/>
            <w:vAlign w:val="bottom"/>
            <w:tcBorders>
              <w:bottom w:val="single" w:sz="8" w:color="424E6A"/>
              <w:right w:val="single" w:sz="8" w:color="424E6A"/>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49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Houston, TX 77002</w:t>
            </w:r>
          </w:p>
        </w:tc>
        <w:tc>
          <w:tcPr>
            <w:tcW w:w="1980" w:type="dxa"/>
            <w:vAlign w:val="bottom"/>
            <w:tcBorders>
              <w:bottom w:val="single" w:sz="8" w:color="424E6A"/>
              <w:right w:val="single" w:sz="8" w:color="424E6A"/>
            </w:tcBorders>
          </w:tcPr>
          <w:p>
            <w:pPr>
              <w:ind w:left="1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tcPr>
          <w:p>
            <w:pPr>
              <w:spacing w:after="0"/>
              <w:rPr>
                <w:sz w:val="21"/>
                <w:szCs w:val="21"/>
                <w:color w:val="auto"/>
              </w:rPr>
            </w:pPr>
          </w:p>
        </w:tc>
        <w:tc>
          <w:tcPr>
            <w:tcW w:w="260" w:type="dxa"/>
            <w:vAlign w:val="bottom"/>
            <w:tcBorders>
              <w:bottom w:val="single" w:sz="8" w:color="424E6A"/>
              <w:right w:val="single" w:sz="8" w:color="424E6A"/>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508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KAFU Holdings (QP), L.P. and Affiliates</w:t>
            </w:r>
          </w:p>
        </w:tc>
        <w:tc>
          <w:tcPr>
            <w:tcW w:w="1980" w:type="dxa"/>
            <w:vAlign w:val="bottom"/>
            <w:tcBorders>
              <w:bottom w:val="single" w:sz="8" w:color="424E6A"/>
              <w:right w:val="single" w:sz="8" w:color="424E6A"/>
            </w:tcBorders>
            <w:shd w:val="clear" w:color="auto" w:fill="D9DCE1"/>
          </w:tcPr>
          <w:p>
            <w:pPr>
              <w:ind w:left="1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shd w:val="clear" w:color="auto" w:fill="D9DCE1"/>
          </w:tcPr>
          <w:p>
            <w:pPr>
              <w:jc w:val="right"/>
              <w:ind w:right="11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5.79%</w:t>
            </w:r>
            <w:r>
              <w:rPr>
                <w:rFonts w:ascii="Arial" w:cs="Arial" w:eastAsia="Arial" w:hAnsi="Arial"/>
                <w:sz w:val="28"/>
                <w:szCs w:val="28"/>
                <w:color w:val="auto"/>
                <w:vertAlign w:val="subscript"/>
              </w:rPr>
              <w:t>​</w:t>
            </w:r>
          </w:p>
        </w:tc>
      </w:tr>
      <w:tr>
        <w:trPr>
          <w:trHeight w:val="250"/>
        </w:trPr>
        <w:tc>
          <w:tcPr>
            <w:tcW w:w="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49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1800 Avenue of the Stars, 3rd Floor</w:t>
            </w:r>
          </w:p>
        </w:tc>
        <w:tc>
          <w:tcPr>
            <w:tcW w:w="1980" w:type="dxa"/>
            <w:vAlign w:val="bottom"/>
            <w:tcBorders>
              <w:bottom w:val="single" w:sz="8" w:color="424E6A"/>
              <w:right w:val="single" w:sz="8" w:color="424E6A"/>
            </w:tcBorders>
          </w:tcPr>
          <w:p>
            <w:pPr>
              <w:ind w:left="1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tcPr>
          <w:p>
            <w:pPr>
              <w:spacing w:after="0"/>
              <w:rPr>
                <w:sz w:val="21"/>
                <w:szCs w:val="21"/>
                <w:color w:val="auto"/>
              </w:rPr>
            </w:pPr>
          </w:p>
        </w:tc>
        <w:tc>
          <w:tcPr>
            <w:tcW w:w="260" w:type="dxa"/>
            <w:vAlign w:val="bottom"/>
            <w:tcBorders>
              <w:bottom w:val="single" w:sz="8" w:color="424E6A"/>
              <w:right w:val="single" w:sz="8" w:color="424E6A"/>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49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Los Angeles, CA 90067</w:t>
            </w:r>
          </w:p>
        </w:tc>
        <w:tc>
          <w:tcPr>
            <w:tcW w:w="1980" w:type="dxa"/>
            <w:vAlign w:val="bottom"/>
            <w:tcBorders>
              <w:bottom w:val="single" w:sz="8" w:color="424E6A"/>
              <w:right w:val="single" w:sz="8" w:color="424E6A"/>
            </w:tcBorders>
          </w:tcPr>
          <w:p>
            <w:pPr>
              <w:ind w:left="1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tcPr>
          <w:p>
            <w:pPr>
              <w:spacing w:after="0"/>
              <w:rPr>
                <w:sz w:val="21"/>
                <w:szCs w:val="21"/>
                <w:color w:val="auto"/>
              </w:rPr>
            </w:pPr>
          </w:p>
        </w:tc>
        <w:tc>
          <w:tcPr>
            <w:tcW w:w="260" w:type="dxa"/>
            <w:vAlign w:val="bottom"/>
            <w:tcBorders>
              <w:bottom w:val="single" w:sz="8" w:color="424E6A"/>
              <w:right w:val="single" w:sz="8" w:color="424E6A"/>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508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Lynx Holdings I, LLC</w:t>
            </w:r>
          </w:p>
        </w:tc>
        <w:tc>
          <w:tcPr>
            <w:tcW w:w="1980" w:type="dxa"/>
            <w:vAlign w:val="bottom"/>
            <w:tcBorders>
              <w:bottom w:val="single" w:sz="8" w:color="424E6A"/>
              <w:right w:val="single" w:sz="8" w:color="424E6A"/>
            </w:tcBorders>
            <w:shd w:val="clear" w:color="auto" w:fill="D9DCE1"/>
          </w:tcPr>
          <w:p>
            <w:pPr>
              <w:ind w:left="1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shd w:val="clear" w:color="auto" w:fill="D9DCE1"/>
          </w:tcPr>
          <w:p>
            <w:pPr>
              <w:jc w:val="right"/>
              <w:ind w:right="11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1.32%</w:t>
            </w:r>
            <w:r>
              <w:rPr>
                <w:rFonts w:ascii="Arial" w:cs="Arial" w:eastAsia="Arial" w:hAnsi="Arial"/>
                <w:sz w:val="28"/>
                <w:szCs w:val="28"/>
                <w:color w:val="auto"/>
                <w:vertAlign w:val="subscript"/>
              </w:rPr>
              <w:t>​</w:t>
            </w:r>
          </w:p>
        </w:tc>
      </w:tr>
      <w:tr>
        <w:trPr>
          <w:trHeight w:val="250"/>
        </w:trPr>
        <w:tc>
          <w:tcPr>
            <w:tcW w:w="508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John T. Raymond</w:t>
            </w:r>
          </w:p>
        </w:tc>
        <w:tc>
          <w:tcPr>
            <w:tcW w:w="1980" w:type="dxa"/>
            <w:vAlign w:val="bottom"/>
            <w:tcBorders>
              <w:bottom w:val="single" w:sz="8" w:color="424E6A"/>
              <w:right w:val="single" w:sz="8" w:color="424E6A"/>
            </w:tcBorders>
          </w:tcPr>
          <w:p>
            <w:pPr>
              <w:ind w:left="1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tcPr>
          <w:p>
            <w:pPr>
              <w:jc w:val="right"/>
              <w:ind w:right="11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3.43%</w:t>
            </w:r>
            <w:r>
              <w:rPr>
                <w:rFonts w:ascii="Arial" w:cs="Arial" w:eastAsia="Arial" w:hAnsi="Arial"/>
                <w:sz w:val="28"/>
                <w:szCs w:val="28"/>
                <w:color w:val="auto"/>
                <w:vertAlign w:val="subscript"/>
              </w:rPr>
              <w:t>​</w:t>
            </w:r>
          </w:p>
        </w:tc>
      </w:tr>
      <w:tr>
        <w:trPr>
          <w:trHeight w:val="250"/>
        </w:trPr>
        <w:tc>
          <w:tcPr>
            <w:tcW w:w="508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Greg L. Armstrong</w:t>
            </w:r>
          </w:p>
        </w:tc>
        <w:tc>
          <w:tcPr>
            <w:tcW w:w="1980" w:type="dxa"/>
            <w:vAlign w:val="bottom"/>
            <w:tcBorders>
              <w:bottom w:val="single" w:sz="8" w:color="424E6A"/>
              <w:right w:val="single" w:sz="8" w:color="424E6A"/>
            </w:tcBorders>
            <w:shd w:val="clear" w:color="auto" w:fill="D9DCE1"/>
          </w:tcPr>
          <w:p>
            <w:pPr>
              <w:ind w:left="1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shd w:val="clear" w:color="auto" w:fill="D9DCE1"/>
          </w:tcPr>
          <w:p>
            <w:pPr>
              <w:jc w:val="right"/>
              <w:ind w:right="11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1.86%</w:t>
            </w:r>
            <w:r>
              <w:rPr>
                <w:rFonts w:ascii="Arial" w:cs="Arial" w:eastAsia="Arial" w:hAnsi="Arial"/>
                <w:sz w:val="28"/>
                <w:szCs w:val="28"/>
                <w:color w:val="auto"/>
                <w:vertAlign w:val="subscript"/>
              </w:rPr>
              <w:t>​</w:t>
            </w:r>
          </w:p>
        </w:tc>
      </w:tr>
      <w:tr>
        <w:trPr>
          <w:trHeight w:val="250"/>
        </w:trPr>
        <w:tc>
          <w:tcPr>
            <w:tcW w:w="508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Willie Chiang</w:t>
            </w:r>
          </w:p>
        </w:tc>
        <w:tc>
          <w:tcPr>
            <w:tcW w:w="1980" w:type="dxa"/>
            <w:vAlign w:val="bottom"/>
            <w:tcBorders>
              <w:bottom w:val="single" w:sz="8" w:color="424E6A"/>
              <w:right w:val="single" w:sz="8" w:color="424E6A"/>
            </w:tcBorders>
          </w:tcPr>
          <w:p>
            <w:pPr>
              <w:ind w:left="1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right w:val="single" w:sz="8" w:color="424E6A"/>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508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Harry N. Pefanis</w:t>
            </w:r>
          </w:p>
        </w:tc>
        <w:tc>
          <w:tcPr>
            <w:tcW w:w="1980" w:type="dxa"/>
            <w:vAlign w:val="bottom"/>
            <w:tcBorders>
              <w:bottom w:val="single" w:sz="8" w:color="424E6A"/>
              <w:right w:val="single" w:sz="8" w:color="424E6A"/>
            </w:tcBorders>
            <w:shd w:val="clear" w:color="auto" w:fill="D9DCE1"/>
          </w:tcPr>
          <w:p>
            <w:pPr>
              <w:ind w:left="1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shd w:val="clear" w:color="auto" w:fill="D9DCE1"/>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right w:val="single" w:sz="8" w:color="424E6A"/>
            </w:tcBorders>
            <w:shd w:val="clear" w:color="auto" w:fill="D9DCE1"/>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508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1980" w:type="dxa"/>
            <w:vAlign w:val="bottom"/>
            <w:tcBorders>
              <w:bottom w:val="single" w:sz="8" w:color="424E6A"/>
              <w:right w:val="single" w:sz="8" w:color="424E6A"/>
            </w:tcBorders>
          </w:tcPr>
          <w:p>
            <w:pPr>
              <w:ind w:left="1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right w:val="single" w:sz="8" w:color="424E6A"/>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508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1980" w:type="dxa"/>
            <w:vAlign w:val="bottom"/>
            <w:tcBorders>
              <w:bottom w:val="single" w:sz="8" w:color="424E6A"/>
              <w:right w:val="single" w:sz="8" w:color="424E6A"/>
            </w:tcBorders>
            <w:shd w:val="clear" w:color="auto" w:fill="D9DCE1"/>
          </w:tcPr>
          <w:p>
            <w:pPr>
              <w:ind w:left="1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shd w:val="clear" w:color="auto" w:fill="D9DCE1"/>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right w:val="single" w:sz="8" w:color="424E6A"/>
            </w:tcBorders>
            <w:shd w:val="clear" w:color="auto" w:fill="D9DCE1"/>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508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Various Individual and Other Investors</w:t>
            </w:r>
          </w:p>
        </w:tc>
        <w:tc>
          <w:tcPr>
            <w:tcW w:w="1980" w:type="dxa"/>
            <w:vAlign w:val="bottom"/>
            <w:tcBorders>
              <w:bottom w:val="single" w:sz="8" w:color="424E6A"/>
              <w:right w:val="single" w:sz="8" w:color="424E6A"/>
            </w:tcBorders>
          </w:tcPr>
          <w:p>
            <w:pPr>
              <w:ind w:left="1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tcPr>
          <w:p>
            <w:pPr>
              <w:jc w:val="right"/>
              <w:ind w:right="11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5.64%</w:t>
            </w:r>
            <w:r>
              <w:rPr>
                <w:rFonts w:ascii="Arial" w:cs="Arial" w:eastAsia="Arial" w:hAnsi="Arial"/>
                <w:sz w:val="28"/>
                <w:szCs w:val="28"/>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180340</wp:posOffset>
            </wp:positionV>
            <wp:extent cx="12344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20" w:hanging="360"/>
        <w:spacing w:after="0"/>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1620" w:right="579" w:hanging="360"/>
        <w:spacing w:after="0" w:line="210" w:lineRule="auto"/>
        <w:tabs>
          <w:tab w:leader="none" w:pos="1620" w:val="left"/>
        </w:tabs>
        <w:numPr>
          <w:ilvl w:val="0"/>
          <w:numId w:val="82"/>
        </w:numPr>
        <w:rPr>
          <w:rFonts w:ascii="Arial" w:cs="Arial" w:eastAsia="Arial" w:hAnsi="Arial"/>
          <w:sz w:val="27"/>
          <w:szCs w:val="27"/>
          <w:color w:val="auto"/>
          <w:vertAlign w:val="superscript"/>
        </w:rPr>
      </w:pPr>
      <w:r>
        <w:rPr>
          <w:rFonts w:ascii="Arial" w:cs="Arial" w:eastAsia="Arial" w:hAnsi="Arial"/>
          <w:sz w:val="18"/>
          <w:szCs w:val="18"/>
          <w:color w:val="auto"/>
        </w:rPr>
        <w:t>Plains AAP owns approximately 241.0 million PAA common units and a 100% member interest in PAA GP LLC, which owns our non-economic general partner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EQUITY COMPENSATION PLAN INFORMATION TABLE</w:t>
      </w:r>
    </w:p>
    <w:p>
      <w:pPr>
        <w:spacing w:after="0" w:line="158"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8"/>
          <w:szCs w:val="18"/>
          <w:color w:val="auto"/>
        </w:rPr>
        <w:t>The following table sets forth certain information with respect to our equity compensation plans as of December 31, 2022. For a description of these plans, see “Certain Relationships and Related Transactions — Equity-Based Long-Term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94615</wp:posOffset>
            </wp:positionV>
            <wp:extent cx="34290" cy="10801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1080135"/>
                    </a:xfrm>
                    <a:prstGeom prst="rect">
                      <a:avLst/>
                    </a:prstGeom>
                    <a:noFill/>
                  </pic:spPr>
                </pic:pic>
              </a:graphicData>
            </a:graphic>
          </wp:anchor>
        </w:drawing>
      </w:r>
    </w:p>
    <w:p>
      <w:pPr>
        <w:spacing w:after="0" w:line="109" w:lineRule="exact"/>
        <w:rPr>
          <w:sz w:val="20"/>
          <w:szCs w:val="20"/>
          <w:color w:val="auto"/>
        </w:rPr>
      </w:pPr>
    </w:p>
    <w:tbl>
      <w:tblPr>
        <w:tblLayout w:type="fixed"/>
        <w:tblInd w:w="1260" w:type="dxa"/>
        <w:tblCellMar>
          <w:top w:w="0" w:type="dxa"/>
          <w:left w:w="0" w:type="dxa"/>
          <w:bottom w:w="0" w:type="dxa"/>
          <w:right w:w="0" w:type="dxa"/>
        </w:tblCellMar>
      </w:tblPr>
      <w:tr>
        <w:trPr>
          <w:trHeight w:val="355"/>
        </w:trPr>
        <w:tc>
          <w:tcPr>
            <w:tcW w:w="20" w:type="dxa"/>
            <w:vAlign w:val="bottom"/>
            <w:tcBorders>
              <w:top w:val="single" w:sz="8" w:color="424E6A"/>
            </w:tcBorders>
          </w:tcPr>
          <w:p>
            <w:pPr>
              <w:spacing w:after="0"/>
              <w:rPr>
                <w:sz w:val="24"/>
                <w:szCs w:val="24"/>
                <w:color w:val="auto"/>
              </w:rPr>
            </w:pPr>
          </w:p>
        </w:tc>
        <w:tc>
          <w:tcPr>
            <w:tcW w:w="140" w:type="dxa"/>
            <w:vAlign w:val="bottom"/>
            <w:tcBorders>
              <w:top w:val="single" w:sz="8" w:color="424E6A"/>
            </w:tcBorders>
            <w:shd w:val="clear" w:color="auto" w:fill="424E6A"/>
          </w:tcPr>
          <w:p>
            <w:pPr>
              <w:spacing w:after="0"/>
              <w:rPr>
                <w:sz w:val="24"/>
                <w:szCs w:val="24"/>
                <w:color w:val="auto"/>
              </w:rPr>
            </w:pPr>
          </w:p>
        </w:tc>
        <w:tc>
          <w:tcPr>
            <w:tcW w:w="2960" w:type="dxa"/>
            <w:vAlign w:val="bottom"/>
            <w:tcBorders>
              <w:top w:val="single" w:sz="8" w:color="424E6A"/>
            </w:tcBorders>
            <w:shd w:val="clear" w:color="auto" w:fill="424E6A"/>
          </w:tcPr>
          <w:p>
            <w:pPr>
              <w:spacing w:after="0"/>
              <w:rPr>
                <w:sz w:val="24"/>
                <w:szCs w:val="24"/>
                <w:color w:val="auto"/>
              </w:rPr>
            </w:pPr>
          </w:p>
        </w:tc>
        <w:tc>
          <w:tcPr>
            <w:tcW w:w="180" w:type="dxa"/>
            <w:vAlign w:val="bottom"/>
            <w:tcBorders>
              <w:top w:val="single" w:sz="8" w:color="424E6A"/>
              <w:right w:val="single" w:sz="8" w:color="424E6A"/>
            </w:tcBorders>
            <w:shd w:val="clear" w:color="auto" w:fill="424E6A"/>
          </w:tcPr>
          <w:p>
            <w:pPr>
              <w:spacing w:after="0"/>
              <w:rPr>
                <w:sz w:val="24"/>
                <w:szCs w:val="24"/>
                <w:color w:val="auto"/>
              </w:rPr>
            </w:pPr>
          </w:p>
        </w:tc>
        <w:tc>
          <w:tcPr>
            <w:tcW w:w="100" w:type="dxa"/>
            <w:vAlign w:val="bottom"/>
            <w:tcBorders>
              <w:top w:val="single" w:sz="8" w:color="424E6A"/>
            </w:tcBorders>
            <w:shd w:val="clear" w:color="auto" w:fill="424E6A"/>
          </w:tcPr>
          <w:p>
            <w:pPr>
              <w:spacing w:after="0"/>
              <w:rPr>
                <w:sz w:val="24"/>
                <w:szCs w:val="24"/>
                <w:color w:val="auto"/>
              </w:rPr>
            </w:pPr>
          </w:p>
        </w:tc>
        <w:tc>
          <w:tcPr>
            <w:tcW w:w="1020" w:type="dxa"/>
            <w:vAlign w:val="bottom"/>
            <w:tcBorders>
              <w:top w:val="single" w:sz="8" w:color="424E6A"/>
            </w:tcBorders>
            <w:shd w:val="clear" w:color="auto" w:fill="424E6A"/>
          </w:tcPr>
          <w:p>
            <w:pPr>
              <w:spacing w:after="0"/>
              <w:rPr>
                <w:sz w:val="24"/>
                <w:szCs w:val="24"/>
                <w:color w:val="auto"/>
              </w:rPr>
            </w:pPr>
          </w:p>
        </w:tc>
        <w:tc>
          <w:tcPr>
            <w:tcW w:w="220" w:type="dxa"/>
            <w:vAlign w:val="bottom"/>
            <w:tcBorders>
              <w:top w:val="single" w:sz="8" w:color="424E6A"/>
            </w:tcBorders>
            <w:shd w:val="clear" w:color="auto" w:fill="424E6A"/>
          </w:tcPr>
          <w:p>
            <w:pPr>
              <w:spacing w:after="0"/>
              <w:rPr>
                <w:sz w:val="24"/>
                <w:szCs w:val="24"/>
                <w:color w:val="auto"/>
              </w:rPr>
            </w:pPr>
          </w:p>
        </w:tc>
        <w:tc>
          <w:tcPr>
            <w:tcW w:w="260" w:type="dxa"/>
            <w:vAlign w:val="bottom"/>
            <w:tcBorders>
              <w:top w:val="single" w:sz="8" w:color="424E6A"/>
              <w:right w:val="single" w:sz="8" w:color="424E6A"/>
            </w:tcBorders>
            <w:shd w:val="clear" w:color="auto" w:fill="424E6A"/>
          </w:tcPr>
          <w:p>
            <w:pPr>
              <w:spacing w:after="0"/>
              <w:rPr>
                <w:sz w:val="24"/>
                <w:szCs w:val="24"/>
                <w:color w:val="auto"/>
              </w:rPr>
            </w:pPr>
          </w:p>
        </w:tc>
        <w:tc>
          <w:tcPr>
            <w:tcW w:w="1460" w:type="dxa"/>
            <w:vAlign w:val="bottom"/>
            <w:tcBorders>
              <w:top w:val="single" w:sz="8" w:color="424E6A"/>
            </w:tcBorders>
            <w:shd w:val="clear" w:color="auto" w:fill="424E6A"/>
          </w:tcPr>
          <w:p>
            <w:pPr>
              <w:spacing w:after="0"/>
              <w:rPr>
                <w:sz w:val="24"/>
                <w:szCs w:val="24"/>
                <w:color w:val="auto"/>
              </w:rPr>
            </w:pPr>
          </w:p>
        </w:tc>
        <w:tc>
          <w:tcPr>
            <w:tcW w:w="260" w:type="dxa"/>
            <w:vAlign w:val="bottom"/>
            <w:tcBorders>
              <w:top w:val="single" w:sz="8" w:color="424E6A"/>
              <w:right w:val="single" w:sz="8" w:color="424E6A"/>
            </w:tcBorders>
            <w:shd w:val="clear" w:color="auto" w:fill="424E6A"/>
          </w:tcPr>
          <w:p>
            <w:pPr>
              <w:spacing w:after="0"/>
              <w:rPr>
                <w:sz w:val="24"/>
                <w:szCs w:val="24"/>
                <w:color w:val="auto"/>
              </w:rPr>
            </w:pPr>
          </w:p>
        </w:tc>
        <w:tc>
          <w:tcPr>
            <w:tcW w:w="320" w:type="dxa"/>
            <w:vAlign w:val="bottom"/>
            <w:tcBorders>
              <w:top w:val="single" w:sz="8" w:color="424E6A"/>
            </w:tcBorders>
            <w:shd w:val="clear" w:color="auto" w:fill="424E6A"/>
          </w:tcPr>
          <w:p>
            <w:pPr>
              <w:spacing w:after="0"/>
              <w:rPr>
                <w:sz w:val="24"/>
                <w:szCs w:val="24"/>
                <w:color w:val="auto"/>
              </w:rPr>
            </w:pPr>
          </w:p>
        </w:tc>
        <w:tc>
          <w:tcPr>
            <w:tcW w:w="860" w:type="dxa"/>
            <w:vAlign w:val="bottom"/>
            <w:tcBorders>
              <w:top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w:t>
            </w:r>
          </w:p>
        </w:tc>
        <w:tc>
          <w:tcPr>
            <w:tcW w:w="140" w:type="dxa"/>
            <w:vAlign w:val="bottom"/>
            <w:tcBorders>
              <w:top w:val="single" w:sz="8" w:color="424E6A"/>
            </w:tcBorders>
            <w:shd w:val="clear" w:color="auto" w:fill="424E6A"/>
          </w:tcPr>
          <w:p>
            <w:pPr>
              <w:spacing w:after="0"/>
              <w:rPr>
                <w:sz w:val="24"/>
                <w:szCs w:val="24"/>
                <w:color w:val="auto"/>
              </w:rPr>
            </w:pPr>
          </w:p>
        </w:tc>
        <w:tc>
          <w:tcPr>
            <w:tcW w:w="280" w:type="dxa"/>
            <w:vAlign w:val="bottom"/>
            <w:tcBorders>
              <w:top w:val="single" w:sz="8" w:color="424E6A"/>
              <w:right w:val="single" w:sz="8" w:color="424E6A"/>
            </w:tcBorders>
            <w:shd w:val="clear" w:color="auto" w:fill="424E6A"/>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9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 Units</w:t>
            </w: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spacing w:after="0"/>
              <w:rPr>
                <w:sz w:val="14"/>
                <w:szCs w:val="14"/>
                <w:color w:val="auto"/>
              </w:rPr>
            </w:pPr>
          </w:p>
        </w:tc>
        <w:tc>
          <w:tcPr>
            <w:tcW w:w="260" w:type="dxa"/>
            <w:vAlign w:val="bottom"/>
            <w:tcBorders>
              <w:right w:val="single" w:sz="8" w:color="424E6A"/>
            </w:tcBorders>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8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Units</w:t>
            </w:r>
          </w:p>
        </w:tc>
        <w:tc>
          <w:tcPr>
            <w:tcW w:w="140" w:type="dxa"/>
            <w:vAlign w:val="bottom"/>
            <w:shd w:val="clear" w:color="auto" w:fill="424E6A"/>
          </w:tcPr>
          <w:p>
            <w:pPr>
              <w:spacing w:after="0"/>
              <w:rPr>
                <w:sz w:val="14"/>
                <w:szCs w:val="14"/>
                <w:color w:val="auto"/>
              </w:rPr>
            </w:pP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9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to be Issued upon</w:t>
            </w: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jc w:val="center"/>
              <w:ind w:left="108"/>
              <w:spacing w:after="0"/>
              <w:rPr>
                <w:sz w:val="20"/>
                <w:szCs w:val="20"/>
                <w:color w:val="auto"/>
              </w:rPr>
            </w:pPr>
            <w:r>
              <w:rPr>
                <w:rFonts w:ascii="Arial" w:cs="Arial" w:eastAsia="Arial" w:hAnsi="Arial"/>
                <w:sz w:val="14"/>
                <w:szCs w:val="14"/>
                <w:b w:val="1"/>
                <w:bCs w:val="1"/>
                <w:color w:val="FFFFFF"/>
              </w:rPr>
              <w:t>Weighted Average</w:t>
            </w:r>
          </w:p>
        </w:tc>
        <w:tc>
          <w:tcPr>
            <w:tcW w:w="260" w:type="dxa"/>
            <w:vAlign w:val="bottom"/>
            <w:tcBorders>
              <w:right w:val="single" w:sz="8" w:color="424E6A"/>
            </w:tcBorders>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8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Remaining</w:t>
            </w:r>
          </w:p>
        </w:tc>
        <w:tc>
          <w:tcPr>
            <w:tcW w:w="140" w:type="dxa"/>
            <w:vAlign w:val="bottom"/>
            <w:shd w:val="clear" w:color="auto" w:fill="424E6A"/>
          </w:tcPr>
          <w:p>
            <w:pPr>
              <w:spacing w:after="0"/>
              <w:rPr>
                <w:sz w:val="14"/>
                <w:szCs w:val="14"/>
                <w:color w:val="auto"/>
              </w:rPr>
            </w:pP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9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Exercise/Vesting</w:t>
            </w: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jc w:val="center"/>
              <w:ind w:left="108"/>
              <w:spacing w:after="0"/>
              <w:rPr>
                <w:sz w:val="20"/>
                <w:szCs w:val="20"/>
                <w:color w:val="auto"/>
              </w:rPr>
            </w:pPr>
            <w:r>
              <w:rPr>
                <w:rFonts w:ascii="Arial" w:cs="Arial" w:eastAsia="Arial" w:hAnsi="Arial"/>
                <w:sz w:val="14"/>
                <w:szCs w:val="14"/>
                <w:b w:val="1"/>
                <w:bCs w:val="1"/>
                <w:color w:val="FFFFFF"/>
              </w:rPr>
              <w:t>Exercise Price of</w:t>
            </w:r>
          </w:p>
        </w:tc>
        <w:tc>
          <w:tcPr>
            <w:tcW w:w="260" w:type="dxa"/>
            <w:vAlign w:val="bottom"/>
            <w:tcBorders>
              <w:right w:val="single" w:sz="8" w:color="424E6A"/>
            </w:tcBorders>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ind w:right="33"/>
              <w:spacing w:after="0"/>
              <w:rPr>
                <w:sz w:val="20"/>
                <w:szCs w:val="20"/>
                <w:color w:val="auto"/>
              </w:rPr>
            </w:pPr>
            <w:r>
              <w:rPr>
                <w:rFonts w:ascii="Arial" w:cs="Arial" w:eastAsia="Arial" w:hAnsi="Arial"/>
                <w:sz w:val="14"/>
                <w:szCs w:val="14"/>
                <w:b w:val="1"/>
                <w:bCs w:val="1"/>
                <w:color w:val="FFFFFF"/>
              </w:rPr>
              <w:t>Available for</w:t>
            </w: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9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Outstanding</w:t>
            </w: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jc w:val="center"/>
              <w:ind w:left="108"/>
              <w:spacing w:after="0"/>
              <w:rPr>
                <w:sz w:val="20"/>
                <w:szCs w:val="20"/>
                <w:color w:val="auto"/>
              </w:rPr>
            </w:pPr>
            <w:r>
              <w:rPr>
                <w:rFonts w:ascii="Arial" w:cs="Arial" w:eastAsia="Arial" w:hAnsi="Arial"/>
                <w:sz w:val="14"/>
                <w:szCs w:val="14"/>
                <w:b w:val="1"/>
                <w:bCs w:val="1"/>
                <w:color w:val="FFFFFF"/>
              </w:rPr>
              <w:t>Outstanding</w:t>
            </w:r>
          </w:p>
        </w:tc>
        <w:tc>
          <w:tcPr>
            <w:tcW w:w="260" w:type="dxa"/>
            <w:vAlign w:val="bottom"/>
            <w:tcBorders>
              <w:right w:val="single" w:sz="8" w:color="424E6A"/>
            </w:tcBorders>
            <w:shd w:val="clear" w:color="auto" w:fill="424E6A"/>
          </w:tcPr>
          <w:p>
            <w:pPr>
              <w:spacing w:after="0"/>
              <w:rPr>
                <w:sz w:val="14"/>
                <w:szCs w:val="14"/>
                <w:color w:val="auto"/>
              </w:rPr>
            </w:pPr>
          </w:p>
        </w:tc>
        <w:tc>
          <w:tcPr>
            <w:tcW w:w="1320" w:type="dxa"/>
            <w:vAlign w:val="bottom"/>
            <w:gridSpan w:val="3"/>
            <w:shd w:val="clear" w:color="auto" w:fill="424E6A"/>
          </w:tcPr>
          <w:p>
            <w:pPr>
              <w:jc w:val="center"/>
              <w:ind w:left="138"/>
              <w:spacing w:after="0"/>
              <w:rPr>
                <w:sz w:val="20"/>
                <w:szCs w:val="20"/>
                <w:color w:val="auto"/>
              </w:rPr>
            </w:pPr>
            <w:r>
              <w:rPr>
                <w:rFonts w:ascii="Arial" w:cs="Arial" w:eastAsia="Arial" w:hAnsi="Arial"/>
                <w:sz w:val="14"/>
                <w:szCs w:val="14"/>
                <w:b w:val="1"/>
                <w:bCs w:val="1"/>
                <w:color w:val="FFFFFF"/>
              </w:rPr>
              <w:t>Future Issuance</w:t>
            </w: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9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ind w:left="124"/>
              <w:spacing w:after="0"/>
              <w:rPr>
                <w:sz w:val="20"/>
                <w:szCs w:val="20"/>
                <w:color w:val="auto"/>
              </w:rPr>
            </w:pPr>
            <w:r>
              <w:rPr>
                <w:rFonts w:ascii="Arial" w:cs="Arial" w:eastAsia="Arial" w:hAnsi="Arial"/>
                <w:sz w:val="14"/>
                <w:szCs w:val="14"/>
                <w:b w:val="1"/>
                <w:bCs w:val="1"/>
                <w:color w:val="FFFFFF"/>
              </w:rPr>
              <w:t>Options,</w:t>
            </w:r>
          </w:p>
        </w:tc>
        <w:tc>
          <w:tcPr>
            <w:tcW w:w="220" w:type="dxa"/>
            <w:vAlign w:val="bottom"/>
            <w:shd w:val="clear" w:color="auto" w:fill="424E6A"/>
          </w:tcPr>
          <w:p>
            <w:pPr>
              <w:spacing w:after="0"/>
              <w:rPr>
                <w:sz w:val="14"/>
                <w:szCs w:val="14"/>
                <w:color w:val="auto"/>
              </w:rPr>
            </w:pP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jc w:val="center"/>
              <w:ind w:left="128"/>
              <w:spacing w:after="0"/>
              <w:rPr>
                <w:sz w:val="20"/>
                <w:szCs w:val="20"/>
                <w:color w:val="auto"/>
              </w:rPr>
            </w:pPr>
            <w:r>
              <w:rPr>
                <w:rFonts w:ascii="Arial" w:cs="Arial" w:eastAsia="Arial" w:hAnsi="Arial"/>
                <w:sz w:val="14"/>
                <w:szCs w:val="14"/>
                <w:b w:val="1"/>
                <w:bCs w:val="1"/>
                <w:color w:val="FFFFFF"/>
              </w:rPr>
              <w:t>Options,</w:t>
            </w:r>
          </w:p>
        </w:tc>
        <w:tc>
          <w:tcPr>
            <w:tcW w:w="260" w:type="dxa"/>
            <w:vAlign w:val="bottom"/>
            <w:tcBorders>
              <w:right w:val="single" w:sz="8" w:color="424E6A"/>
            </w:tcBorders>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ind w:right="53"/>
              <w:spacing w:after="0"/>
              <w:rPr>
                <w:sz w:val="20"/>
                <w:szCs w:val="20"/>
                <w:color w:val="auto"/>
              </w:rPr>
            </w:pPr>
            <w:r>
              <w:rPr>
                <w:rFonts w:ascii="Arial" w:cs="Arial" w:eastAsia="Arial" w:hAnsi="Arial"/>
                <w:sz w:val="14"/>
                <w:szCs w:val="14"/>
                <w:b w:val="1"/>
                <w:bCs w:val="1"/>
                <w:color w:val="FFFFFF"/>
              </w:rPr>
              <w:t>under Equity</w:t>
            </w: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9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Warrants and</w:t>
            </w: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jc w:val="center"/>
              <w:ind w:left="108"/>
              <w:spacing w:after="0"/>
              <w:rPr>
                <w:sz w:val="20"/>
                <w:szCs w:val="20"/>
                <w:color w:val="auto"/>
              </w:rPr>
            </w:pPr>
            <w:r>
              <w:rPr>
                <w:rFonts w:ascii="Arial" w:cs="Arial" w:eastAsia="Arial" w:hAnsi="Arial"/>
                <w:sz w:val="14"/>
                <w:szCs w:val="14"/>
                <w:b w:val="1"/>
                <w:bCs w:val="1"/>
                <w:color w:val="FFFFFF"/>
              </w:rPr>
              <w:t>Warrants and</w:t>
            </w:r>
          </w:p>
        </w:tc>
        <w:tc>
          <w:tcPr>
            <w:tcW w:w="260" w:type="dxa"/>
            <w:vAlign w:val="bottom"/>
            <w:tcBorders>
              <w:right w:val="single" w:sz="8" w:color="424E6A"/>
            </w:tcBorders>
            <w:shd w:val="clear" w:color="auto" w:fill="424E6A"/>
          </w:tcPr>
          <w:p>
            <w:pPr>
              <w:spacing w:after="0"/>
              <w:rPr>
                <w:sz w:val="14"/>
                <w:szCs w:val="14"/>
                <w:color w:val="auto"/>
              </w:rPr>
            </w:pPr>
          </w:p>
        </w:tc>
        <w:tc>
          <w:tcPr>
            <w:tcW w:w="1320" w:type="dxa"/>
            <w:vAlign w:val="bottom"/>
            <w:gridSpan w:val="3"/>
            <w:shd w:val="clear" w:color="auto" w:fill="424E6A"/>
          </w:tcPr>
          <w:p>
            <w:pPr>
              <w:jc w:val="center"/>
              <w:ind w:left="118"/>
              <w:spacing w:after="0"/>
              <w:rPr>
                <w:sz w:val="20"/>
                <w:szCs w:val="20"/>
                <w:color w:val="auto"/>
              </w:rPr>
            </w:pPr>
            <w:r>
              <w:rPr>
                <w:rFonts w:ascii="Arial" w:cs="Arial" w:eastAsia="Arial" w:hAnsi="Arial"/>
                <w:sz w:val="14"/>
                <w:szCs w:val="14"/>
                <w:b w:val="1"/>
                <w:bCs w:val="1"/>
                <w:color w:val="FFFFFF"/>
              </w:rPr>
              <w:t>Compensation</w:t>
            </w: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9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ind w:left="104"/>
              <w:spacing w:after="0"/>
              <w:rPr>
                <w:sz w:val="20"/>
                <w:szCs w:val="20"/>
                <w:color w:val="auto"/>
              </w:rPr>
            </w:pPr>
            <w:r>
              <w:rPr>
                <w:rFonts w:ascii="Arial" w:cs="Arial" w:eastAsia="Arial" w:hAnsi="Arial"/>
                <w:sz w:val="14"/>
                <w:szCs w:val="14"/>
                <w:b w:val="1"/>
                <w:bCs w:val="1"/>
                <w:color w:val="FFFFFF"/>
              </w:rPr>
              <w:t>Rights</w:t>
            </w:r>
          </w:p>
        </w:tc>
        <w:tc>
          <w:tcPr>
            <w:tcW w:w="220" w:type="dxa"/>
            <w:vAlign w:val="bottom"/>
            <w:shd w:val="clear" w:color="auto" w:fill="424E6A"/>
          </w:tcPr>
          <w:p>
            <w:pPr>
              <w:spacing w:after="0"/>
              <w:rPr>
                <w:sz w:val="14"/>
                <w:szCs w:val="14"/>
                <w:color w:val="auto"/>
              </w:rPr>
            </w:pPr>
          </w:p>
        </w:tc>
        <w:tc>
          <w:tcPr>
            <w:tcW w:w="260" w:type="dxa"/>
            <w:vAlign w:val="bottom"/>
            <w:tcBorders>
              <w:right w:val="single" w:sz="8" w:color="424E6A"/>
            </w:tcBorders>
            <w:shd w:val="clear" w:color="auto" w:fill="424E6A"/>
          </w:tcPr>
          <w:p>
            <w:pPr>
              <w:spacing w:after="0"/>
              <w:rPr>
                <w:sz w:val="14"/>
                <w:szCs w:val="14"/>
                <w:color w:val="auto"/>
              </w:rPr>
            </w:pPr>
          </w:p>
        </w:tc>
        <w:tc>
          <w:tcPr>
            <w:tcW w:w="1460" w:type="dxa"/>
            <w:vAlign w:val="bottom"/>
            <w:shd w:val="clear" w:color="auto" w:fill="424E6A"/>
          </w:tcPr>
          <w:p>
            <w:pPr>
              <w:jc w:val="center"/>
              <w:ind w:left="108"/>
              <w:spacing w:after="0"/>
              <w:rPr>
                <w:sz w:val="20"/>
                <w:szCs w:val="20"/>
                <w:color w:val="auto"/>
              </w:rPr>
            </w:pPr>
            <w:r>
              <w:rPr>
                <w:rFonts w:ascii="Arial" w:cs="Arial" w:eastAsia="Arial" w:hAnsi="Arial"/>
                <w:sz w:val="14"/>
                <w:szCs w:val="14"/>
                <w:b w:val="1"/>
                <w:bCs w:val="1"/>
                <w:color w:val="FFFFFF"/>
              </w:rPr>
              <w:t>Rights</w:t>
            </w:r>
          </w:p>
        </w:tc>
        <w:tc>
          <w:tcPr>
            <w:tcW w:w="260" w:type="dxa"/>
            <w:vAlign w:val="bottom"/>
            <w:tcBorders>
              <w:right w:val="single" w:sz="8" w:color="424E6A"/>
            </w:tcBorders>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8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Plans</w:t>
            </w:r>
          </w:p>
        </w:tc>
        <w:tc>
          <w:tcPr>
            <w:tcW w:w="140" w:type="dxa"/>
            <w:vAlign w:val="bottom"/>
            <w:shd w:val="clear" w:color="auto" w:fill="424E6A"/>
          </w:tcPr>
          <w:p>
            <w:pPr>
              <w:spacing w:after="0"/>
              <w:rPr>
                <w:sz w:val="14"/>
                <w:szCs w:val="14"/>
                <w:color w:val="auto"/>
              </w:rPr>
            </w:pPr>
          </w:p>
        </w:tc>
        <w:tc>
          <w:tcPr>
            <w:tcW w:w="2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424E6A"/>
            </w:tcBorders>
          </w:tcPr>
          <w:p>
            <w:pPr>
              <w:spacing w:after="0"/>
              <w:rPr>
                <w:sz w:val="17"/>
                <w:szCs w:val="17"/>
                <w:color w:val="auto"/>
              </w:rPr>
            </w:pPr>
          </w:p>
        </w:tc>
        <w:tc>
          <w:tcPr>
            <w:tcW w:w="3100" w:type="dxa"/>
            <w:vAlign w:val="bottom"/>
            <w:tcBorders>
              <w:bottom w:val="single" w:sz="8" w:color="424E6A"/>
            </w:tcBorders>
            <w:gridSpan w:val="2"/>
            <w:shd w:val="clear" w:color="auto" w:fill="424E6A"/>
          </w:tcPr>
          <w:p>
            <w:pPr>
              <w:ind w:left="2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Plan Category</w:t>
            </w:r>
          </w:p>
        </w:tc>
        <w:tc>
          <w:tcPr>
            <w:tcW w:w="280" w:type="dxa"/>
            <w:vAlign w:val="bottom"/>
            <w:tcBorders>
              <w:bottom w:val="single" w:sz="8" w:color="424E6A"/>
            </w:tcBorders>
            <w:gridSpan w:val="2"/>
            <w:shd w:val="clear" w:color="auto" w:fill="424E6A"/>
          </w:tcPr>
          <w:p>
            <w:pPr>
              <w:ind w:left="120"/>
              <w:spacing w:after="0"/>
              <w:rPr>
                <w:sz w:val="20"/>
                <w:szCs w:val="20"/>
                <w:color w:val="auto"/>
              </w:rPr>
            </w:pPr>
            <w:r>
              <w:rPr>
                <w:rFonts w:ascii="Arial" w:cs="Arial" w:eastAsia="Arial" w:hAnsi="Arial"/>
                <w:sz w:val="14"/>
                <w:szCs w:val="14"/>
                <w:b w:val="1"/>
                <w:bCs w:val="1"/>
                <w:color w:val="FFFFFF"/>
              </w:rPr>
              <w:t>​ ​</w:t>
            </w:r>
          </w:p>
        </w:tc>
        <w:tc>
          <w:tcPr>
            <w:tcW w:w="1020" w:type="dxa"/>
            <w:vAlign w:val="bottom"/>
            <w:tcBorders>
              <w:bottom w:val="single" w:sz="8" w:color="424E6A"/>
            </w:tcBorders>
            <w:shd w:val="clear" w:color="auto" w:fill="424E6A"/>
          </w:tcPr>
          <w:p>
            <w:pPr>
              <w:jc w:val="center"/>
              <w:ind w:left="164"/>
              <w:spacing w:after="0"/>
              <w:rPr>
                <w:sz w:val="20"/>
                <w:szCs w:val="20"/>
                <w:color w:val="auto"/>
              </w:rPr>
            </w:pPr>
            <w:r>
              <w:rPr>
                <w:rFonts w:ascii="Arial" w:cs="Arial" w:eastAsia="Arial" w:hAnsi="Arial"/>
                <w:sz w:val="14"/>
                <w:szCs w:val="14"/>
                <w:b w:val="1"/>
                <w:bCs w:val="1"/>
                <w:color w:val="FFFFFF"/>
              </w:rPr>
              <w:t>(a)</w:t>
            </w:r>
          </w:p>
        </w:tc>
        <w:tc>
          <w:tcPr>
            <w:tcW w:w="220" w:type="dxa"/>
            <w:vAlign w:val="bottom"/>
            <w:tcBorders>
              <w:bottom w:val="single" w:sz="8" w:color="424E6A"/>
            </w:tcBorders>
            <w:shd w:val="clear" w:color="auto" w:fill="424E6A"/>
          </w:tcPr>
          <w:p>
            <w:pPr>
              <w:spacing w:after="0"/>
              <w:rPr>
                <w:sz w:val="17"/>
                <w:szCs w:val="17"/>
                <w:color w:val="auto"/>
              </w:rPr>
            </w:pPr>
          </w:p>
        </w:tc>
        <w:tc>
          <w:tcPr>
            <w:tcW w:w="260" w:type="dxa"/>
            <w:vAlign w:val="bottom"/>
            <w:tcBorders>
              <w:bottom w:val="single" w:sz="8" w:color="424E6A"/>
              <w:right w:val="single" w:sz="8" w:color="424E6A"/>
            </w:tcBorders>
            <w:shd w:val="clear" w:color="auto" w:fill="424E6A"/>
          </w:tcPr>
          <w:p>
            <w:pPr>
              <w:spacing w:after="0"/>
              <w:rPr>
                <w:sz w:val="17"/>
                <w:szCs w:val="17"/>
                <w:color w:val="auto"/>
              </w:rPr>
            </w:pPr>
          </w:p>
        </w:tc>
        <w:tc>
          <w:tcPr>
            <w:tcW w:w="1460" w:type="dxa"/>
            <w:vAlign w:val="bottom"/>
            <w:tcBorders>
              <w:bottom w:val="single" w:sz="8" w:color="424E6A"/>
            </w:tcBorders>
            <w:shd w:val="clear" w:color="auto" w:fill="424E6A"/>
          </w:tcPr>
          <w:p>
            <w:pPr>
              <w:jc w:val="center"/>
              <w:ind w:left="168"/>
              <w:spacing w:after="0"/>
              <w:rPr>
                <w:sz w:val="20"/>
                <w:szCs w:val="20"/>
                <w:color w:val="auto"/>
              </w:rPr>
            </w:pPr>
            <w:r>
              <w:rPr>
                <w:rFonts w:ascii="Arial" w:cs="Arial" w:eastAsia="Arial" w:hAnsi="Arial"/>
                <w:sz w:val="14"/>
                <w:szCs w:val="14"/>
                <w:b w:val="1"/>
                <w:bCs w:val="1"/>
                <w:color w:val="FFFFFF"/>
              </w:rPr>
              <w:t>(b)</w:t>
            </w:r>
          </w:p>
        </w:tc>
        <w:tc>
          <w:tcPr>
            <w:tcW w:w="260" w:type="dxa"/>
            <w:vAlign w:val="bottom"/>
            <w:tcBorders>
              <w:bottom w:val="single" w:sz="8" w:color="424E6A"/>
              <w:right w:val="single" w:sz="8" w:color="424E6A"/>
            </w:tcBorders>
            <w:shd w:val="clear" w:color="auto" w:fill="424E6A"/>
          </w:tcPr>
          <w:p>
            <w:pPr>
              <w:spacing w:after="0"/>
              <w:rPr>
                <w:sz w:val="17"/>
                <w:szCs w:val="17"/>
                <w:color w:val="auto"/>
              </w:rPr>
            </w:pPr>
          </w:p>
        </w:tc>
        <w:tc>
          <w:tcPr>
            <w:tcW w:w="320" w:type="dxa"/>
            <w:vAlign w:val="bottom"/>
            <w:tcBorders>
              <w:bottom w:val="single" w:sz="8" w:color="424E6A"/>
            </w:tcBorders>
            <w:shd w:val="clear" w:color="auto" w:fill="424E6A"/>
          </w:tcPr>
          <w:p>
            <w:pPr>
              <w:spacing w:after="0"/>
              <w:rPr>
                <w:sz w:val="17"/>
                <w:szCs w:val="17"/>
                <w:color w:val="auto"/>
              </w:rPr>
            </w:pPr>
          </w:p>
        </w:tc>
        <w:tc>
          <w:tcPr>
            <w:tcW w:w="860" w:type="dxa"/>
            <w:vAlign w:val="bottom"/>
            <w:tcBorders>
              <w:bottom w:val="single" w:sz="8" w:color="424E6A"/>
            </w:tcBorders>
            <w:shd w:val="clear" w:color="auto" w:fill="424E6A"/>
          </w:tcPr>
          <w:p>
            <w:pPr>
              <w:jc w:val="center"/>
              <w:ind w:left="6"/>
              <w:spacing w:after="0"/>
              <w:rPr>
                <w:sz w:val="20"/>
                <w:szCs w:val="20"/>
                <w:color w:val="auto"/>
              </w:rPr>
            </w:pPr>
            <w:r>
              <w:rPr>
                <w:rFonts w:ascii="Arial" w:cs="Arial" w:eastAsia="Arial" w:hAnsi="Arial"/>
                <w:sz w:val="14"/>
                <w:szCs w:val="14"/>
                <w:b w:val="1"/>
                <w:bCs w:val="1"/>
                <w:color w:val="FFFFFF"/>
              </w:rPr>
              <w:t>(c)</w:t>
            </w:r>
          </w:p>
        </w:tc>
        <w:tc>
          <w:tcPr>
            <w:tcW w:w="140" w:type="dxa"/>
            <w:vAlign w:val="bottom"/>
            <w:tcBorders>
              <w:bottom w:val="single" w:sz="8" w:color="424E6A"/>
            </w:tcBorders>
            <w:shd w:val="clear" w:color="auto" w:fill="424E6A"/>
          </w:tcPr>
          <w:p>
            <w:pPr>
              <w:spacing w:after="0"/>
              <w:rPr>
                <w:sz w:val="17"/>
                <w:szCs w:val="17"/>
                <w:color w:val="auto"/>
              </w:rPr>
            </w:pPr>
          </w:p>
        </w:tc>
        <w:tc>
          <w:tcPr>
            <w:tcW w:w="280" w:type="dxa"/>
            <w:vAlign w:val="bottom"/>
            <w:tcBorders>
              <w:bottom w:val="single" w:sz="8" w:color="424E6A"/>
              <w:right w:val="single" w:sz="8" w:color="424E6A"/>
            </w:tcBorders>
            <w:shd w:val="clear" w:color="auto" w:fill="424E6A"/>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424E6A"/>
          </w:tcPr>
          <w:p>
            <w:pPr>
              <w:spacing w:after="0"/>
              <w:rPr>
                <w:sz w:val="17"/>
                <w:szCs w:val="17"/>
                <w:color w:val="auto"/>
              </w:rPr>
            </w:pPr>
          </w:p>
        </w:tc>
        <w:tc>
          <w:tcPr>
            <w:tcW w:w="3100" w:type="dxa"/>
            <w:vAlign w:val="bottom"/>
            <w:gridSpan w:val="2"/>
            <w:shd w:val="clear" w:color="auto" w:fill="D9DCE1"/>
          </w:tcPr>
          <w:p>
            <w:pPr>
              <w:ind w:left="40"/>
              <w:spacing w:after="0" w:line="204" w:lineRule="exact"/>
              <w:rPr>
                <w:sz w:val="20"/>
                <w:szCs w:val="20"/>
                <w:color w:val="auto"/>
              </w:rPr>
            </w:pPr>
            <w:r>
              <w:rPr>
                <w:rFonts w:ascii="Arial" w:cs="Arial" w:eastAsia="Arial" w:hAnsi="Arial"/>
                <w:sz w:val="18"/>
                <w:szCs w:val="18"/>
                <w:color w:val="auto"/>
              </w:rPr>
              <w:t>Equity compensation plans approved</w:t>
            </w:r>
          </w:p>
        </w:tc>
        <w:tc>
          <w:tcPr>
            <w:tcW w:w="180" w:type="dxa"/>
            <w:vAlign w:val="bottom"/>
            <w:tcBorders>
              <w:right w:val="single" w:sz="8" w:color="424E6A"/>
            </w:tcBorders>
            <w:shd w:val="clear" w:color="auto" w:fill="D9DCE1"/>
          </w:tcPr>
          <w:p>
            <w:pPr>
              <w:spacing w:after="0"/>
              <w:rPr>
                <w:sz w:val="17"/>
                <w:szCs w:val="17"/>
                <w:color w:val="auto"/>
              </w:rPr>
            </w:pPr>
          </w:p>
        </w:tc>
        <w:tc>
          <w:tcPr>
            <w:tcW w:w="100" w:type="dxa"/>
            <w:vAlign w:val="bottom"/>
            <w:shd w:val="clear" w:color="auto" w:fill="D9DCE1"/>
          </w:tcPr>
          <w:p>
            <w:pPr>
              <w:spacing w:after="0"/>
              <w:rPr>
                <w:sz w:val="17"/>
                <w:szCs w:val="17"/>
                <w:color w:val="auto"/>
              </w:rPr>
            </w:pPr>
          </w:p>
        </w:tc>
        <w:tc>
          <w:tcPr>
            <w:tcW w:w="1020" w:type="dxa"/>
            <w:vAlign w:val="bottom"/>
            <w:shd w:val="clear" w:color="auto" w:fill="D9DCE1"/>
          </w:tcPr>
          <w:p>
            <w:pPr>
              <w:spacing w:after="0"/>
              <w:rPr>
                <w:sz w:val="17"/>
                <w:szCs w:val="17"/>
                <w:color w:val="auto"/>
              </w:rPr>
            </w:pPr>
          </w:p>
        </w:tc>
        <w:tc>
          <w:tcPr>
            <w:tcW w:w="220" w:type="dxa"/>
            <w:vAlign w:val="bottom"/>
            <w:shd w:val="clear" w:color="auto" w:fill="D9DCE1"/>
          </w:tcPr>
          <w:p>
            <w:pPr>
              <w:spacing w:after="0"/>
              <w:rPr>
                <w:sz w:val="17"/>
                <w:szCs w:val="17"/>
                <w:color w:val="auto"/>
              </w:rPr>
            </w:pPr>
          </w:p>
        </w:tc>
        <w:tc>
          <w:tcPr>
            <w:tcW w:w="260" w:type="dxa"/>
            <w:vAlign w:val="bottom"/>
            <w:tcBorders>
              <w:right w:val="single" w:sz="8" w:color="424E6A"/>
            </w:tcBorders>
            <w:shd w:val="clear" w:color="auto" w:fill="D9DCE1"/>
          </w:tcPr>
          <w:p>
            <w:pPr>
              <w:spacing w:after="0"/>
              <w:rPr>
                <w:sz w:val="17"/>
                <w:szCs w:val="17"/>
                <w:color w:val="auto"/>
              </w:rPr>
            </w:pPr>
          </w:p>
        </w:tc>
        <w:tc>
          <w:tcPr>
            <w:tcW w:w="1460" w:type="dxa"/>
            <w:vAlign w:val="bottom"/>
            <w:shd w:val="clear" w:color="auto" w:fill="D9DCE1"/>
          </w:tcPr>
          <w:p>
            <w:pPr>
              <w:spacing w:after="0"/>
              <w:rPr>
                <w:sz w:val="17"/>
                <w:szCs w:val="17"/>
                <w:color w:val="auto"/>
              </w:rPr>
            </w:pPr>
          </w:p>
        </w:tc>
        <w:tc>
          <w:tcPr>
            <w:tcW w:w="260" w:type="dxa"/>
            <w:vAlign w:val="bottom"/>
            <w:tcBorders>
              <w:right w:val="single" w:sz="8" w:color="424E6A"/>
            </w:tcBorders>
            <w:shd w:val="clear" w:color="auto" w:fill="D9DCE1"/>
          </w:tcPr>
          <w:p>
            <w:pPr>
              <w:spacing w:after="0"/>
              <w:rPr>
                <w:sz w:val="17"/>
                <w:szCs w:val="17"/>
                <w:color w:val="auto"/>
              </w:rPr>
            </w:pPr>
          </w:p>
        </w:tc>
        <w:tc>
          <w:tcPr>
            <w:tcW w:w="320" w:type="dxa"/>
            <w:vAlign w:val="bottom"/>
            <w:shd w:val="clear" w:color="auto" w:fill="D9DCE1"/>
          </w:tcPr>
          <w:p>
            <w:pPr>
              <w:spacing w:after="0"/>
              <w:rPr>
                <w:sz w:val="17"/>
                <w:szCs w:val="17"/>
                <w:color w:val="auto"/>
              </w:rPr>
            </w:pPr>
          </w:p>
        </w:tc>
        <w:tc>
          <w:tcPr>
            <w:tcW w:w="860" w:type="dxa"/>
            <w:vAlign w:val="bottom"/>
            <w:shd w:val="clear" w:color="auto" w:fill="D9DCE1"/>
          </w:tcPr>
          <w:p>
            <w:pPr>
              <w:spacing w:after="0"/>
              <w:rPr>
                <w:sz w:val="17"/>
                <w:szCs w:val="17"/>
                <w:color w:val="auto"/>
              </w:rPr>
            </w:pPr>
          </w:p>
        </w:tc>
        <w:tc>
          <w:tcPr>
            <w:tcW w:w="140" w:type="dxa"/>
            <w:vAlign w:val="bottom"/>
            <w:shd w:val="clear" w:color="auto" w:fill="D9DCE1"/>
          </w:tcPr>
          <w:p>
            <w:pPr>
              <w:spacing w:after="0"/>
              <w:rPr>
                <w:sz w:val="17"/>
                <w:szCs w:val="17"/>
                <w:color w:val="auto"/>
              </w:rPr>
            </w:pPr>
          </w:p>
        </w:tc>
        <w:tc>
          <w:tcPr>
            <w:tcW w:w="280" w:type="dxa"/>
            <w:vAlign w:val="bottom"/>
            <w:tcBorders>
              <w:right w:val="single" w:sz="8" w:color="424E6A"/>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 w:type="dxa"/>
            <w:vAlign w:val="bottom"/>
            <w:tcBorders>
              <w:bottom w:val="single" w:sz="8" w:color="424E6A"/>
            </w:tcBorders>
            <w:shd w:val="clear" w:color="auto" w:fill="424E6A"/>
          </w:tcPr>
          <w:p>
            <w:pPr>
              <w:spacing w:after="0"/>
              <w:rPr>
                <w:sz w:val="22"/>
                <w:szCs w:val="22"/>
                <w:color w:val="auto"/>
              </w:rPr>
            </w:pP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96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by unitholders:</w:t>
            </w:r>
          </w:p>
        </w:tc>
        <w:tc>
          <w:tcPr>
            <w:tcW w:w="18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shd w:val="clear" w:color="auto" w:fill="D9DCE1"/>
          </w:tcPr>
          <w:p>
            <w:pPr>
              <w:spacing w:after="0"/>
              <w:rPr>
                <w:sz w:val="22"/>
                <w:szCs w:val="22"/>
                <w:color w:val="auto"/>
              </w:rPr>
            </w:pPr>
          </w:p>
        </w:tc>
        <w:tc>
          <w:tcPr>
            <w:tcW w:w="26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shd w:val="clear" w:color="auto" w:fill="D9DCE1"/>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shd w:val="clear" w:color="auto" w:fill="D9DCE1"/>
          </w:tcPr>
          <w:p>
            <w:pPr>
              <w:ind w:lef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28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shd w:val="clear" w:color="auto" w:fill="424E6A"/>
          </w:tcPr>
          <w:p>
            <w:pPr>
              <w:spacing w:after="0"/>
              <w:rPr>
                <w:sz w:val="10"/>
                <w:szCs w:val="10"/>
                <w:color w:val="auto"/>
              </w:rPr>
            </w:pPr>
          </w:p>
        </w:tc>
        <w:tc>
          <w:tcPr>
            <w:tcW w:w="3100" w:type="dxa"/>
            <w:vAlign w:val="bottom"/>
            <w:gridSpan w:val="2"/>
            <w:vMerge w:val="restart"/>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2021 Long Term Incentive Plan</w:t>
            </w:r>
          </w:p>
        </w:tc>
        <w:tc>
          <w:tcPr>
            <w:tcW w:w="180" w:type="dxa"/>
            <w:vAlign w:val="bottom"/>
            <w:tcBorders>
              <w:right w:val="single" w:sz="8" w:color="424E6A"/>
            </w:tcBorders>
            <w:vMerge w:val="restart"/>
          </w:tcPr>
          <w:p>
            <w:pPr>
              <w:ind w:left="1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10,726,985</w:t>
            </w:r>
          </w:p>
        </w:tc>
        <w:tc>
          <w:tcPr>
            <w:tcW w:w="220" w:type="dxa"/>
            <w:vAlign w:val="bottom"/>
          </w:tcPr>
          <w:p>
            <w:pPr>
              <w:jc w:val="right"/>
              <w:spacing w:after="0" w:line="115" w:lineRule="exact"/>
              <w:rPr>
                <w:sz w:val="20"/>
                <w:szCs w:val="20"/>
                <w:color w:val="auto"/>
              </w:rPr>
            </w:pPr>
            <w:r>
              <w:rPr>
                <w:rFonts w:ascii="Arial" w:cs="Arial" w:eastAsia="Arial" w:hAnsi="Arial"/>
                <w:sz w:val="13"/>
                <w:szCs w:val="13"/>
                <w:color w:val="auto"/>
                <w:w w:val="87"/>
              </w:rPr>
              <w:t>(1)</w:t>
            </w:r>
          </w:p>
        </w:tc>
        <w:tc>
          <w:tcPr>
            <w:tcW w:w="26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940"/>
              <w:spacing w:after="0" w:line="115" w:lineRule="exact"/>
              <w:rPr>
                <w:sz w:val="20"/>
                <w:szCs w:val="20"/>
                <w:color w:val="auto"/>
              </w:rPr>
            </w:pPr>
            <w:r>
              <w:rPr>
                <w:rFonts w:ascii="Arial" w:cs="Arial" w:eastAsia="Arial" w:hAnsi="Arial"/>
                <w:sz w:val="13"/>
                <w:szCs w:val="13"/>
                <w:color w:val="auto"/>
              </w:rPr>
              <w:t>(2)</w:t>
            </w:r>
          </w:p>
        </w:tc>
        <w:tc>
          <w:tcPr>
            <w:tcW w:w="26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ind w:left="2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17,321,618</w:t>
            </w:r>
          </w:p>
        </w:tc>
        <w:tc>
          <w:tcPr>
            <w:tcW w:w="420" w:type="dxa"/>
            <w:vAlign w:val="bottom"/>
            <w:tcBorders>
              <w:right w:val="single" w:sz="8" w:color="424E6A"/>
            </w:tcBorders>
            <w:gridSpan w:val="2"/>
          </w:tcPr>
          <w:p>
            <w:pPr>
              <w:jc w:val="right"/>
              <w:ind w:right="13"/>
              <w:spacing w:after="0" w:line="115" w:lineRule="exact"/>
              <w:rPr>
                <w:sz w:val="20"/>
                <w:szCs w:val="20"/>
                <w:color w:val="auto"/>
              </w:rPr>
            </w:pPr>
            <w:r>
              <w:rPr>
                <w:rFonts w:ascii="Arial" w:cs="Arial" w:eastAsia="Arial" w:hAnsi="Arial"/>
                <w:sz w:val="13"/>
                <w:szCs w:val="13"/>
                <w:color w:val="auto"/>
                <w:w w:val="94"/>
              </w:rPr>
              <w:t>(3)(4)</w:t>
            </w:r>
          </w:p>
        </w:tc>
        <w:tc>
          <w:tcPr>
            <w:tcW w:w="0" w:type="dxa"/>
            <w:vAlign w:val="bottom"/>
          </w:tcPr>
          <w:p>
            <w:pPr>
              <w:spacing w:after="0"/>
              <w:rPr>
                <w:sz w:val="1"/>
                <w:szCs w:val="1"/>
                <w:color w:val="auto"/>
              </w:rPr>
            </w:pPr>
          </w:p>
        </w:tc>
      </w:tr>
      <w:tr>
        <w:trPr>
          <w:trHeight w:val="148"/>
        </w:trPr>
        <w:tc>
          <w:tcPr>
            <w:tcW w:w="20" w:type="dxa"/>
            <w:vAlign w:val="bottom"/>
            <w:tcBorders>
              <w:bottom w:val="single" w:sz="8" w:color="424E6A"/>
            </w:tcBorders>
            <w:shd w:val="clear" w:color="auto" w:fill="424E6A"/>
          </w:tcPr>
          <w:p>
            <w:pPr>
              <w:spacing w:after="0"/>
              <w:rPr>
                <w:sz w:val="12"/>
                <w:szCs w:val="12"/>
                <w:color w:val="auto"/>
              </w:rPr>
            </w:pPr>
          </w:p>
        </w:tc>
        <w:tc>
          <w:tcPr>
            <w:tcW w:w="3100" w:type="dxa"/>
            <w:vAlign w:val="bottom"/>
            <w:tcBorders>
              <w:bottom w:val="single" w:sz="8" w:color="424E6A"/>
            </w:tcBorders>
            <w:gridSpan w:val="2"/>
            <w:vMerge w:val="continue"/>
          </w:tcPr>
          <w:p>
            <w:pPr>
              <w:spacing w:after="0"/>
              <w:rPr>
                <w:sz w:val="12"/>
                <w:szCs w:val="12"/>
                <w:color w:val="auto"/>
              </w:rPr>
            </w:pPr>
          </w:p>
        </w:tc>
        <w:tc>
          <w:tcPr>
            <w:tcW w:w="180" w:type="dxa"/>
            <w:vAlign w:val="bottom"/>
            <w:tcBorders>
              <w:bottom w:val="single" w:sz="8" w:color="424E6A"/>
              <w:right w:val="single" w:sz="8" w:color="424E6A"/>
            </w:tcBorders>
            <w:vMerge w:val="continue"/>
          </w:tcPr>
          <w:p>
            <w:pPr>
              <w:spacing w:after="0"/>
              <w:rPr>
                <w:sz w:val="12"/>
                <w:szCs w:val="12"/>
                <w:color w:val="auto"/>
              </w:rPr>
            </w:pPr>
          </w:p>
        </w:tc>
        <w:tc>
          <w:tcPr>
            <w:tcW w:w="100" w:type="dxa"/>
            <w:vAlign w:val="bottom"/>
            <w:tcBorders>
              <w:bottom w:val="single" w:sz="8" w:color="424E6A"/>
            </w:tcBorders>
            <w:vMerge w:val="continue"/>
          </w:tcPr>
          <w:p>
            <w:pPr>
              <w:spacing w:after="0"/>
              <w:rPr>
                <w:sz w:val="12"/>
                <w:szCs w:val="12"/>
                <w:color w:val="auto"/>
              </w:rPr>
            </w:pPr>
          </w:p>
        </w:tc>
        <w:tc>
          <w:tcPr>
            <w:tcW w:w="1020" w:type="dxa"/>
            <w:vAlign w:val="bottom"/>
            <w:tcBorders>
              <w:bottom w:val="single" w:sz="8" w:color="424E6A"/>
            </w:tcBorders>
            <w:vMerge w:val="continue"/>
          </w:tcPr>
          <w:p>
            <w:pPr>
              <w:spacing w:after="0"/>
              <w:rPr>
                <w:sz w:val="12"/>
                <w:szCs w:val="12"/>
                <w:color w:val="auto"/>
              </w:rPr>
            </w:pPr>
          </w:p>
        </w:tc>
        <w:tc>
          <w:tcPr>
            <w:tcW w:w="220" w:type="dxa"/>
            <w:vAlign w:val="bottom"/>
            <w:tcBorders>
              <w:bottom w:val="single" w:sz="8" w:color="424E6A"/>
            </w:tcBorders>
          </w:tcPr>
          <w:p>
            <w:pPr>
              <w:spacing w:after="0"/>
              <w:rPr>
                <w:sz w:val="12"/>
                <w:szCs w:val="12"/>
                <w:color w:val="auto"/>
              </w:rPr>
            </w:pPr>
          </w:p>
        </w:tc>
        <w:tc>
          <w:tcPr>
            <w:tcW w:w="260" w:type="dxa"/>
            <w:vAlign w:val="bottom"/>
            <w:tcBorders>
              <w:bottom w:val="single" w:sz="8" w:color="424E6A"/>
              <w:right w:val="single" w:sz="8" w:color="424E6A"/>
            </w:tcBorders>
            <w:vMerge w:val="continue"/>
          </w:tcPr>
          <w:p>
            <w:pPr>
              <w:spacing w:after="0"/>
              <w:rPr>
                <w:sz w:val="12"/>
                <w:szCs w:val="12"/>
                <w:color w:val="auto"/>
              </w:rPr>
            </w:pPr>
          </w:p>
        </w:tc>
        <w:tc>
          <w:tcPr>
            <w:tcW w:w="1460" w:type="dxa"/>
            <w:vAlign w:val="bottom"/>
            <w:tcBorders>
              <w:bottom w:val="single" w:sz="8" w:color="424E6A"/>
            </w:tcBorders>
          </w:tcPr>
          <w:p>
            <w:pPr>
              <w:ind w:left="62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11"/>
                <w:szCs w:val="11"/>
                <w:color w:val="auto"/>
              </w:rPr>
              <w:t>N/A</w:t>
            </w:r>
          </w:p>
        </w:tc>
        <w:tc>
          <w:tcPr>
            <w:tcW w:w="260" w:type="dxa"/>
            <w:vAlign w:val="bottom"/>
            <w:tcBorders>
              <w:bottom w:val="single" w:sz="8" w:color="424E6A"/>
              <w:right w:val="single" w:sz="8" w:color="424E6A"/>
            </w:tcBorders>
            <w:vMerge w:val="continue"/>
          </w:tcPr>
          <w:p>
            <w:pPr>
              <w:spacing w:after="0"/>
              <w:rPr>
                <w:sz w:val="12"/>
                <w:szCs w:val="12"/>
                <w:color w:val="auto"/>
              </w:rPr>
            </w:pPr>
          </w:p>
        </w:tc>
        <w:tc>
          <w:tcPr>
            <w:tcW w:w="1180" w:type="dxa"/>
            <w:vAlign w:val="bottom"/>
            <w:tcBorders>
              <w:bottom w:val="single" w:sz="8" w:color="424E6A"/>
            </w:tcBorders>
            <w:gridSpan w:val="2"/>
            <w:vMerge w:val="continue"/>
          </w:tcPr>
          <w:p>
            <w:pPr>
              <w:spacing w:after="0"/>
              <w:rPr>
                <w:sz w:val="12"/>
                <w:szCs w:val="12"/>
                <w:color w:val="auto"/>
              </w:rPr>
            </w:pPr>
          </w:p>
        </w:tc>
        <w:tc>
          <w:tcPr>
            <w:tcW w:w="140" w:type="dxa"/>
            <w:vAlign w:val="bottom"/>
            <w:tcBorders>
              <w:bottom w:val="single" w:sz="8" w:color="424E6A"/>
            </w:tcBorders>
          </w:tcPr>
          <w:p>
            <w:pPr>
              <w:spacing w:after="0"/>
              <w:rPr>
                <w:sz w:val="12"/>
                <w:szCs w:val="12"/>
                <w:color w:val="auto"/>
              </w:rPr>
            </w:pPr>
          </w:p>
        </w:tc>
        <w:tc>
          <w:tcPr>
            <w:tcW w:w="280" w:type="dxa"/>
            <w:vAlign w:val="bottom"/>
            <w:tcBorders>
              <w:bottom w:val="single" w:sz="8" w:color="424E6A"/>
              <w:right w:val="single" w:sz="8" w:color="424E6A"/>
            </w:tcBorders>
          </w:tcPr>
          <w:p>
            <w:pPr>
              <w:ind w:left="20"/>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shd w:val="clear" w:color="auto" w:fill="424E6A"/>
          </w:tcPr>
          <w:p>
            <w:pPr>
              <w:spacing w:after="0"/>
              <w:rPr>
                <w:sz w:val="17"/>
                <w:szCs w:val="17"/>
                <w:color w:val="auto"/>
              </w:rPr>
            </w:pPr>
          </w:p>
        </w:tc>
        <w:tc>
          <w:tcPr>
            <w:tcW w:w="3100" w:type="dxa"/>
            <w:vAlign w:val="bottom"/>
            <w:gridSpan w:val="2"/>
            <w:shd w:val="clear" w:color="auto" w:fill="D9DCE1"/>
          </w:tcPr>
          <w:p>
            <w:pPr>
              <w:ind w:left="40"/>
              <w:spacing w:after="0" w:line="204" w:lineRule="exact"/>
              <w:rPr>
                <w:sz w:val="20"/>
                <w:szCs w:val="20"/>
                <w:color w:val="auto"/>
              </w:rPr>
            </w:pPr>
            <w:r>
              <w:rPr>
                <w:rFonts w:ascii="Arial" w:cs="Arial" w:eastAsia="Arial" w:hAnsi="Arial"/>
                <w:sz w:val="18"/>
                <w:szCs w:val="18"/>
                <w:color w:val="auto"/>
              </w:rPr>
              <w:t>Equity compensation plans not</w:t>
            </w:r>
          </w:p>
        </w:tc>
        <w:tc>
          <w:tcPr>
            <w:tcW w:w="180" w:type="dxa"/>
            <w:vAlign w:val="bottom"/>
            <w:tcBorders>
              <w:right w:val="single" w:sz="8" w:color="424E6A"/>
            </w:tcBorders>
            <w:shd w:val="clear" w:color="auto" w:fill="D9DCE1"/>
          </w:tcPr>
          <w:p>
            <w:pPr>
              <w:spacing w:after="0"/>
              <w:rPr>
                <w:sz w:val="17"/>
                <w:szCs w:val="17"/>
                <w:color w:val="auto"/>
              </w:rPr>
            </w:pPr>
          </w:p>
        </w:tc>
        <w:tc>
          <w:tcPr>
            <w:tcW w:w="100" w:type="dxa"/>
            <w:vAlign w:val="bottom"/>
            <w:shd w:val="clear" w:color="auto" w:fill="D9DCE1"/>
          </w:tcPr>
          <w:p>
            <w:pPr>
              <w:spacing w:after="0"/>
              <w:rPr>
                <w:sz w:val="17"/>
                <w:szCs w:val="17"/>
                <w:color w:val="auto"/>
              </w:rPr>
            </w:pPr>
          </w:p>
        </w:tc>
        <w:tc>
          <w:tcPr>
            <w:tcW w:w="1020" w:type="dxa"/>
            <w:vAlign w:val="bottom"/>
            <w:shd w:val="clear" w:color="auto" w:fill="D9DCE1"/>
          </w:tcPr>
          <w:p>
            <w:pPr>
              <w:spacing w:after="0"/>
              <w:rPr>
                <w:sz w:val="17"/>
                <w:szCs w:val="17"/>
                <w:color w:val="auto"/>
              </w:rPr>
            </w:pPr>
          </w:p>
        </w:tc>
        <w:tc>
          <w:tcPr>
            <w:tcW w:w="220" w:type="dxa"/>
            <w:vAlign w:val="bottom"/>
            <w:shd w:val="clear" w:color="auto" w:fill="D9DCE1"/>
          </w:tcPr>
          <w:p>
            <w:pPr>
              <w:spacing w:after="0"/>
              <w:rPr>
                <w:sz w:val="17"/>
                <w:szCs w:val="17"/>
                <w:color w:val="auto"/>
              </w:rPr>
            </w:pPr>
          </w:p>
        </w:tc>
        <w:tc>
          <w:tcPr>
            <w:tcW w:w="260" w:type="dxa"/>
            <w:vAlign w:val="bottom"/>
            <w:tcBorders>
              <w:right w:val="single" w:sz="8" w:color="424E6A"/>
            </w:tcBorders>
            <w:shd w:val="clear" w:color="auto" w:fill="D9DCE1"/>
          </w:tcPr>
          <w:p>
            <w:pPr>
              <w:spacing w:after="0"/>
              <w:rPr>
                <w:sz w:val="17"/>
                <w:szCs w:val="17"/>
                <w:color w:val="auto"/>
              </w:rPr>
            </w:pPr>
          </w:p>
        </w:tc>
        <w:tc>
          <w:tcPr>
            <w:tcW w:w="1460" w:type="dxa"/>
            <w:vAlign w:val="bottom"/>
            <w:shd w:val="clear" w:color="auto" w:fill="D9DCE1"/>
          </w:tcPr>
          <w:p>
            <w:pPr>
              <w:spacing w:after="0"/>
              <w:rPr>
                <w:sz w:val="17"/>
                <w:szCs w:val="17"/>
                <w:color w:val="auto"/>
              </w:rPr>
            </w:pPr>
          </w:p>
        </w:tc>
        <w:tc>
          <w:tcPr>
            <w:tcW w:w="260" w:type="dxa"/>
            <w:vAlign w:val="bottom"/>
            <w:tcBorders>
              <w:right w:val="single" w:sz="8" w:color="424E6A"/>
            </w:tcBorders>
            <w:shd w:val="clear" w:color="auto" w:fill="D9DCE1"/>
          </w:tcPr>
          <w:p>
            <w:pPr>
              <w:spacing w:after="0"/>
              <w:rPr>
                <w:sz w:val="17"/>
                <w:szCs w:val="17"/>
                <w:color w:val="auto"/>
              </w:rPr>
            </w:pPr>
          </w:p>
        </w:tc>
        <w:tc>
          <w:tcPr>
            <w:tcW w:w="320" w:type="dxa"/>
            <w:vAlign w:val="bottom"/>
            <w:shd w:val="clear" w:color="auto" w:fill="D9DCE1"/>
          </w:tcPr>
          <w:p>
            <w:pPr>
              <w:spacing w:after="0"/>
              <w:rPr>
                <w:sz w:val="17"/>
                <w:szCs w:val="17"/>
                <w:color w:val="auto"/>
              </w:rPr>
            </w:pPr>
          </w:p>
        </w:tc>
        <w:tc>
          <w:tcPr>
            <w:tcW w:w="860" w:type="dxa"/>
            <w:vAlign w:val="bottom"/>
            <w:shd w:val="clear" w:color="auto" w:fill="D9DCE1"/>
          </w:tcPr>
          <w:p>
            <w:pPr>
              <w:spacing w:after="0"/>
              <w:rPr>
                <w:sz w:val="17"/>
                <w:szCs w:val="17"/>
                <w:color w:val="auto"/>
              </w:rPr>
            </w:pPr>
          </w:p>
        </w:tc>
        <w:tc>
          <w:tcPr>
            <w:tcW w:w="140" w:type="dxa"/>
            <w:vAlign w:val="bottom"/>
            <w:shd w:val="clear" w:color="auto" w:fill="D9DCE1"/>
          </w:tcPr>
          <w:p>
            <w:pPr>
              <w:spacing w:after="0"/>
              <w:rPr>
                <w:sz w:val="17"/>
                <w:szCs w:val="17"/>
                <w:color w:val="auto"/>
              </w:rPr>
            </w:pPr>
          </w:p>
        </w:tc>
        <w:tc>
          <w:tcPr>
            <w:tcW w:w="280" w:type="dxa"/>
            <w:vAlign w:val="bottom"/>
            <w:tcBorders>
              <w:right w:val="single" w:sz="8" w:color="424E6A"/>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 w:type="dxa"/>
            <w:vAlign w:val="bottom"/>
            <w:tcBorders>
              <w:bottom w:val="single" w:sz="8" w:color="424E6A"/>
            </w:tcBorders>
            <w:shd w:val="clear" w:color="auto" w:fill="424E6A"/>
          </w:tcPr>
          <w:p>
            <w:pPr>
              <w:spacing w:after="0"/>
              <w:rPr>
                <w:sz w:val="22"/>
                <w:szCs w:val="22"/>
                <w:color w:val="auto"/>
              </w:rPr>
            </w:pP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96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approved by unitholders:</w:t>
            </w:r>
          </w:p>
        </w:tc>
        <w:tc>
          <w:tcPr>
            <w:tcW w:w="18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shd w:val="clear" w:color="auto" w:fill="D9DCE1"/>
          </w:tcPr>
          <w:p>
            <w:pPr>
              <w:spacing w:after="0"/>
              <w:rPr>
                <w:sz w:val="22"/>
                <w:szCs w:val="22"/>
                <w:color w:val="auto"/>
              </w:rPr>
            </w:pPr>
          </w:p>
        </w:tc>
        <w:tc>
          <w:tcPr>
            <w:tcW w:w="26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shd w:val="clear" w:color="auto" w:fill="D9DCE1"/>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shd w:val="clear" w:color="auto" w:fill="D9DCE1"/>
          </w:tcPr>
          <w:p>
            <w:pPr>
              <w:ind w:lef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28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shd w:val="clear" w:color="auto" w:fill="424E6A"/>
          </w:tcPr>
          <w:p>
            <w:pPr>
              <w:spacing w:after="0"/>
              <w:rPr>
                <w:sz w:val="10"/>
                <w:szCs w:val="10"/>
                <w:color w:val="auto"/>
              </w:rPr>
            </w:pPr>
          </w:p>
        </w:tc>
        <w:tc>
          <w:tcPr>
            <w:tcW w:w="3100" w:type="dxa"/>
            <w:vAlign w:val="bottom"/>
            <w:gridSpan w:val="2"/>
            <w:vMerge w:val="restart"/>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PNG Successor Plan</w:t>
            </w:r>
          </w:p>
        </w:tc>
        <w:tc>
          <w:tcPr>
            <w:tcW w:w="180" w:type="dxa"/>
            <w:vAlign w:val="bottom"/>
            <w:tcBorders>
              <w:right w:val="single" w:sz="8" w:color="424E6A"/>
            </w:tcBorders>
            <w:vMerge w:val="restart"/>
          </w:tcPr>
          <w:p>
            <w:pPr>
              <w:ind w:left="1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400,335</w:t>
            </w:r>
          </w:p>
        </w:tc>
        <w:tc>
          <w:tcPr>
            <w:tcW w:w="220" w:type="dxa"/>
            <w:vAlign w:val="bottom"/>
          </w:tcPr>
          <w:p>
            <w:pPr>
              <w:jc w:val="right"/>
              <w:spacing w:after="0" w:line="115" w:lineRule="exact"/>
              <w:rPr>
                <w:sz w:val="20"/>
                <w:szCs w:val="20"/>
                <w:color w:val="auto"/>
              </w:rPr>
            </w:pPr>
            <w:r>
              <w:rPr>
                <w:rFonts w:ascii="Arial" w:cs="Arial" w:eastAsia="Arial" w:hAnsi="Arial"/>
                <w:sz w:val="13"/>
                <w:szCs w:val="13"/>
                <w:color w:val="auto"/>
                <w:w w:val="87"/>
              </w:rPr>
              <w:t>(4)</w:t>
            </w:r>
          </w:p>
        </w:tc>
        <w:tc>
          <w:tcPr>
            <w:tcW w:w="26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940"/>
              <w:spacing w:after="0" w:line="115" w:lineRule="exact"/>
              <w:rPr>
                <w:sz w:val="20"/>
                <w:szCs w:val="20"/>
                <w:color w:val="auto"/>
              </w:rPr>
            </w:pPr>
            <w:r>
              <w:rPr>
                <w:rFonts w:ascii="Arial" w:cs="Arial" w:eastAsia="Arial" w:hAnsi="Arial"/>
                <w:sz w:val="13"/>
                <w:szCs w:val="13"/>
                <w:color w:val="auto"/>
              </w:rPr>
              <w:t>(2)</w:t>
            </w:r>
          </w:p>
        </w:tc>
        <w:tc>
          <w:tcPr>
            <w:tcW w:w="26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3,049</w:t>
            </w:r>
          </w:p>
        </w:tc>
        <w:tc>
          <w:tcPr>
            <w:tcW w:w="420" w:type="dxa"/>
            <w:vAlign w:val="bottom"/>
            <w:tcBorders>
              <w:right w:val="single" w:sz="8" w:color="424E6A"/>
            </w:tcBorders>
            <w:gridSpan w:val="2"/>
          </w:tcPr>
          <w:p>
            <w:pPr>
              <w:jc w:val="right"/>
              <w:ind w:right="13"/>
              <w:spacing w:after="0" w:line="115" w:lineRule="exact"/>
              <w:rPr>
                <w:sz w:val="20"/>
                <w:szCs w:val="20"/>
                <w:color w:val="auto"/>
              </w:rPr>
            </w:pPr>
            <w:r>
              <w:rPr>
                <w:rFonts w:ascii="Arial" w:cs="Arial" w:eastAsia="Arial" w:hAnsi="Arial"/>
                <w:sz w:val="13"/>
                <w:szCs w:val="13"/>
                <w:color w:val="auto"/>
                <w:w w:val="94"/>
              </w:rPr>
              <w:t>(3)(4)</w:t>
            </w:r>
          </w:p>
        </w:tc>
        <w:tc>
          <w:tcPr>
            <w:tcW w:w="0" w:type="dxa"/>
            <w:vAlign w:val="bottom"/>
          </w:tcPr>
          <w:p>
            <w:pPr>
              <w:spacing w:after="0"/>
              <w:rPr>
                <w:sz w:val="1"/>
                <w:szCs w:val="1"/>
                <w:color w:val="auto"/>
              </w:rPr>
            </w:pPr>
          </w:p>
        </w:tc>
      </w:tr>
      <w:tr>
        <w:trPr>
          <w:trHeight w:val="148"/>
        </w:trPr>
        <w:tc>
          <w:tcPr>
            <w:tcW w:w="20" w:type="dxa"/>
            <w:vAlign w:val="bottom"/>
            <w:tcBorders>
              <w:bottom w:val="single" w:sz="8" w:color="424E6A"/>
            </w:tcBorders>
            <w:shd w:val="clear" w:color="auto" w:fill="424E6A"/>
          </w:tcPr>
          <w:p>
            <w:pPr>
              <w:spacing w:after="0"/>
              <w:rPr>
                <w:sz w:val="12"/>
                <w:szCs w:val="12"/>
                <w:color w:val="auto"/>
              </w:rPr>
            </w:pPr>
          </w:p>
        </w:tc>
        <w:tc>
          <w:tcPr>
            <w:tcW w:w="3100" w:type="dxa"/>
            <w:vAlign w:val="bottom"/>
            <w:tcBorders>
              <w:bottom w:val="single" w:sz="8" w:color="424E6A"/>
            </w:tcBorders>
            <w:gridSpan w:val="2"/>
            <w:vMerge w:val="continue"/>
          </w:tcPr>
          <w:p>
            <w:pPr>
              <w:spacing w:after="0"/>
              <w:rPr>
                <w:sz w:val="12"/>
                <w:szCs w:val="12"/>
                <w:color w:val="auto"/>
              </w:rPr>
            </w:pPr>
          </w:p>
        </w:tc>
        <w:tc>
          <w:tcPr>
            <w:tcW w:w="180" w:type="dxa"/>
            <w:vAlign w:val="bottom"/>
            <w:tcBorders>
              <w:bottom w:val="single" w:sz="8" w:color="424E6A"/>
              <w:right w:val="single" w:sz="8" w:color="424E6A"/>
            </w:tcBorders>
            <w:vMerge w:val="continue"/>
          </w:tcPr>
          <w:p>
            <w:pPr>
              <w:spacing w:after="0"/>
              <w:rPr>
                <w:sz w:val="12"/>
                <w:szCs w:val="12"/>
                <w:color w:val="auto"/>
              </w:rPr>
            </w:pPr>
          </w:p>
        </w:tc>
        <w:tc>
          <w:tcPr>
            <w:tcW w:w="100" w:type="dxa"/>
            <w:vAlign w:val="bottom"/>
            <w:tcBorders>
              <w:bottom w:val="single" w:sz="8" w:color="424E6A"/>
            </w:tcBorders>
            <w:vMerge w:val="continue"/>
          </w:tcPr>
          <w:p>
            <w:pPr>
              <w:spacing w:after="0"/>
              <w:rPr>
                <w:sz w:val="12"/>
                <w:szCs w:val="12"/>
                <w:color w:val="auto"/>
              </w:rPr>
            </w:pPr>
          </w:p>
        </w:tc>
        <w:tc>
          <w:tcPr>
            <w:tcW w:w="1020" w:type="dxa"/>
            <w:vAlign w:val="bottom"/>
            <w:tcBorders>
              <w:bottom w:val="single" w:sz="8" w:color="424E6A"/>
            </w:tcBorders>
            <w:vMerge w:val="continue"/>
          </w:tcPr>
          <w:p>
            <w:pPr>
              <w:spacing w:after="0"/>
              <w:rPr>
                <w:sz w:val="12"/>
                <w:szCs w:val="12"/>
                <w:color w:val="auto"/>
              </w:rPr>
            </w:pPr>
          </w:p>
        </w:tc>
        <w:tc>
          <w:tcPr>
            <w:tcW w:w="220" w:type="dxa"/>
            <w:vAlign w:val="bottom"/>
            <w:tcBorders>
              <w:bottom w:val="single" w:sz="8" w:color="424E6A"/>
            </w:tcBorders>
          </w:tcPr>
          <w:p>
            <w:pPr>
              <w:spacing w:after="0"/>
              <w:rPr>
                <w:sz w:val="12"/>
                <w:szCs w:val="12"/>
                <w:color w:val="auto"/>
              </w:rPr>
            </w:pPr>
          </w:p>
        </w:tc>
        <w:tc>
          <w:tcPr>
            <w:tcW w:w="260" w:type="dxa"/>
            <w:vAlign w:val="bottom"/>
            <w:tcBorders>
              <w:bottom w:val="single" w:sz="8" w:color="424E6A"/>
              <w:right w:val="single" w:sz="8" w:color="424E6A"/>
            </w:tcBorders>
            <w:vMerge w:val="continue"/>
          </w:tcPr>
          <w:p>
            <w:pPr>
              <w:spacing w:after="0"/>
              <w:rPr>
                <w:sz w:val="12"/>
                <w:szCs w:val="12"/>
                <w:color w:val="auto"/>
              </w:rPr>
            </w:pPr>
          </w:p>
        </w:tc>
        <w:tc>
          <w:tcPr>
            <w:tcW w:w="1460" w:type="dxa"/>
            <w:vAlign w:val="bottom"/>
            <w:tcBorders>
              <w:bottom w:val="single" w:sz="8" w:color="424E6A"/>
            </w:tcBorders>
          </w:tcPr>
          <w:p>
            <w:pPr>
              <w:ind w:left="62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11"/>
                <w:szCs w:val="11"/>
                <w:color w:val="auto"/>
              </w:rPr>
              <w:t>N/A</w:t>
            </w:r>
          </w:p>
        </w:tc>
        <w:tc>
          <w:tcPr>
            <w:tcW w:w="260" w:type="dxa"/>
            <w:vAlign w:val="bottom"/>
            <w:tcBorders>
              <w:bottom w:val="single" w:sz="8" w:color="424E6A"/>
              <w:right w:val="single" w:sz="8" w:color="424E6A"/>
            </w:tcBorders>
            <w:vMerge w:val="continue"/>
          </w:tcPr>
          <w:p>
            <w:pPr>
              <w:spacing w:after="0"/>
              <w:rPr>
                <w:sz w:val="12"/>
                <w:szCs w:val="12"/>
                <w:color w:val="auto"/>
              </w:rPr>
            </w:pPr>
          </w:p>
        </w:tc>
        <w:tc>
          <w:tcPr>
            <w:tcW w:w="320" w:type="dxa"/>
            <w:vAlign w:val="bottom"/>
            <w:tcBorders>
              <w:bottom w:val="single" w:sz="8" w:color="424E6A"/>
            </w:tcBorders>
            <w:vMerge w:val="continue"/>
          </w:tcPr>
          <w:p>
            <w:pPr>
              <w:spacing w:after="0"/>
              <w:rPr>
                <w:sz w:val="12"/>
                <w:szCs w:val="12"/>
                <w:color w:val="auto"/>
              </w:rPr>
            </w:pPr>
          </w:p>
        </w:tc>
        <w:tc>
          <w:tcPr>
            <w:tcW w:w="860" w:type="dxa"/>
            <w:vAlign w:val="bottom"/>
            <w:tcBorders>
              <w:bottom w:val="single" w:sz="8" w:color="424E6A"/>
            </w:tcBorders>
            <w:vMerge w:val="continue"/>
          </w:tcPr>
          <w:p>
            <w:pPr>
              <w:spacing w:after="0"/>
              <w:rPr>
                <w:sz w:val="12"/>
                <w:szCs w:val="12"/>
                <w:color w:val="auto"/>
              </w:rPr>
            </w:pPr>
          </w:p>
        </w:tc>
        <w:tc>
          <w:tcPr>
            <w:tcW w:w="140" w:type="dxa"/>
            <w:vAlign w:val="bottom"/>
            <w:tcBorders>
              <w:bottom w:val="single" w:sz="8" w:color="424E6A"/>
            </w:tcBorders>
          </w:tcPr>
          <w:p>
            <w:pPr>
              <w:spacing w:after="0"/>
              <w:rPr>
                <w:sz w:val="12"/>
                <w:szCs w:val="12"/>
                <w:color w:val="auto"/>
              </w:rPr>
            </w:pPr>
          </w:p>
        </w:tc>
        <w:tc>
          <w:tcPr>
            <w:tcW w:w="280" w:type="dxa"/>
            <w:vAlign w:val="bottom"/>
            <w:tcBorders>
              <w:bottom w:val="single" w:sz="8" w:color="424E6A"/>
              <w:right w:val="single" w:sz="8" w:color="424E6A"/>
            </w:tcBorders>
          </w:tcPr>
          <w:p>
            <w:pPr>
              <w:ind w:left="20"/>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248285</wp:posOffset>
            </wp:positionV>
            <wp:extent cx="12344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620" w:right="419" w:hanging="360"/>
        <w:spacing w:after="0"/>
        <w:tabs>
          <w:tab w:leader="none" w:pos="1620" w:val="left"/>
        </w:tabs>
        <w:numPr>
          <w:ilvl w:val="0"/>
          <w:numId w:val="83"/>
        </w:numPr>
        <w:rPr>
          <w:rFonts w:ascii="Arial" w:cs="Arial" w:eastAsia="Arial" w:hAnsi="Arial"/>
          <w:sz w:val="27"/>
          <w:szCs w:val="27"/>
          <w:color w:val="auto"/>
          <w:vertAlign w:val="superscript"/>
        </w:rPr>
      </w:pPr>
      <w:r>
        <w:rPr>
          <w:rFonts w:ascii="Arial" w:cs="Arial" w:eastAsia="Arial" w:hAnsi="Arial"/>
          <w:sz w:val="18"/>
          <w:szCs w:val="18"/>
          <w:color w:val="auto"/>
        </w:rPr>
        <w:t>The 2021 Long-Term Incentive Plan (the “2021 Plan”), which was approved by our unitholders in May 2021, amended, restated and renamed the 2013 Long-Term Incentive Plan (the “2013 Plan” or “prior plan”). The 2021 Plan contemplates the issuance or delivery of up to 28,786,102 common units to satisfy awards under the plan, which amount is net of 9,063,516 common units previously issued under the prior plan. The number of units presented in column (a) assumes that all outstanding grants will be satisfied by the issuance of new units upon vesting unless such grants are by their terms payable only in cash. Some portion of the phantom units may be settled in cash or will be withheld for taxes. Any units not issued upon vesting will become “available for future issuance” under column (c).</w:t>
      </w:r>
    </w:p>
    <w:p>
      <w:pPr>
        <w:spacing w:after="0" w:line="45" w:lineRule="exact"/>
        <w:rPr>
          <w:rFonts w:ascii="Arial" w:cs="Arial" w:eastAsia="Arial" w:hAnsi="Arial"/>
          <w:sz w:val="27"/>
          <w:szCs w:val="27"/>
          <w:color w:val="auto"/>
          <w:vertAlign w:val="superscript"/>
        </w:rPr>
      </w:pPr>
    </w:p>
    <w:p>
      <w:pPr>
        <w:ind w:left="1620" w:right="559" w:hanging="360"/>
        <w:spacing w:after="0" w:line="210" w:lineRule="auto"/>
        <w:tabs>
          <w:tab w:leader="none" w:pos="1620" w:val="left"/>
        </w:tabs>
        <w:numPr>
          <w:ilvl w:val="0"/>
          <w:numId w:val="83"/>
        </w:numPr>
        <w:rPr>
          <w:rFonts w:ascii="Arial" w:cs="Arial" w:eastAsia="Arial" w:hAnsi="Arial"/>
          <w:sz w:val="27"/>
          <w:szCs w:val="27"/>
          <w:color w:val="auto"/>
          <w:vertAlign w:val="superscript"/>
        </w:rPr>
      </w:pPr>
      <w:r>
        <w:rPr>
          <w:rFonts w:ascii="Arial" w:cs="Arial" w:eastAsia="Arial" w:hAnsi="Arial"/>
          <w:sz w:val="18"/>
          <w:szCs w:val="18"/>
          <w:color w:val="auto"/>
        </w:rPr>
        <w:t>Phantom unit awards under the 2021 Plan and PNG Successor Plan (defined below) vest without payment by recipients.</w:t>
      </w:r>
    </w:p>
    <w:p>
      <w:pPr>
        <w:spacing w:after="0" w:line="60" w:lineRule="exact"/>
        <w:rPr>
          <w:rFonts w:ascii="Arial" w:cs="Arial" w:eastAsia="Arial" w:hAnsi="Arial"/>
          <w:sz w:val="27"/>
          <w:szCs w:val="27"/>
          <w:color w:val="auto"/>
          <w:vertAlign w:val="superscript"/>
        </w:rPr>
      </w:pPr>
    </w:p>
    <w:p>
      <w:pPr>
        <w:ind w:left="1620" w:right="579" w:hanging="360"/>
        <w:spacing w:after="0" w:line="222" w:lineRule="auto"/>
        <w:tabs>
          <w:tab w:leader="none" w:pos="1620" w:val="left"/>
        </w:tabs>
        <w:numPr>
          <w:ilvl w:val="0"/>
          <w:numId w:val="83"/>
        </w:numPr>
        <w:rPr>
          <w:rFonts w:ascii="Arial" w:cs="Arial" w:eastAsia="Arial" w:hAnsi="Arial"/>
          <w:sz w:val="27"/>
          <w:szCs w:val="27"/>
          <w:color w:val="auto"/>
          <w:vertAlign w:val="superscript"/>
        </w:rPr>
      </w:pPr>
      <w:r>
        <w:rPr>
          <w:rFonts w:ascii="Arial" w:cs="Arial" w:eastAsia="Arial" w:hAnsi="Arial"/>
          <w:sz w:val="18"/>
          <w:szCs w:val="18"/>
          <w:color w:val="auto"/>
        </w:rPr>
        <w:t>In accordance with Item 201(d) of Regulation S-K, column (c) excludes the securities disclosed in column (a). However, as discussed in footnotes (1) and (4), any phantom units represented in column (a) that are not satisfied by the issuance of units become “available for future issuance.”</w:t>
      </w:r>
    </w:p>
    <w:p>
      <w:pPr>
        <w:spacing w:after="0" w:line="45" w:lineRule="exact"/>
        <w:rPr>
          <w:rFonts w:ascii="Arial" w:cs="Arial" w:eastAsia="Arial" w:hAnsi="Arial"/>
          <w:sz w:val="27"/>
          <w:szCs w:val="27"/>
          <w:color w:val="auto"/>
          <w:vertAlign w:val="superscript"/>
        </w:rPr>
      </w:pPr>
    </w:p>
    <w:p>
      <w:pPr>
        <w:ind w:left="1620" w:right="459" w:hanging="360"/>
        <w:spacing w:after="0" w:line="252" w:lineRule="auto"/>
        <w:tabs>
          <w:tab w:leader="none" w:pos="1620" w:val="left"/>
        </w:tabs>
        <w:numPr>
          <w:ilvl w:val="0"/>
          <w:numId w:val="83"/>
        </w:numPr>
        <w:rPr>
          <w:rFonts w:ascii="Arial" w:cs="Arial" w:eastAsia="Arial" w:hAnsi="Arial"/>
          <w:sz w:val="26"/>
          <w:szCs w:val="26"/>
          <w:color w:val="auto"/>
          <w:vertAlign w:val="superscript"/>
        </w:rPr>
      </w:pPr>
      <w:r>
        <w:rPr>
          <w:rFonts w:ascii="Arial" w:cs="Arial" w:eastAsia="Arial" w:hAnsi="Arial"/>
          <w:sz w:val="17"/>
          <w:szCs w:val="17"/>
          <w:color w:val="auto"/>
        </w:rPr>
        <w:t>In December 2013, in connection with the PNG Merger, we adopted and assumed the PAA Natural Gas Storage, L.P. 2010 Long Term Incentive Plan (the “PNG Legacy Plan”), and all outstanding awards of PNG phantom units were converted into comparable awards of PAA phantom units by applying the merger exchange ratio of 0.445 PAA common units for each PNG common unit and rounding down for any fractions. The GP LLC board of directors amended and restated the PNG Legacy Plan, which is now known as the PNG Successor Long-Term Incentive Plan (the “PNG Successor Plan”). The PNG Successor Plan contemplates the issuance or delivery of up to 1,319,983 units to satisfy awards under the plan, which amount is net of 15,017 common units previously issued under the PNG Legacy Plan. The number of units presented in column</w:t>
      </w:r>
    </w:p>
    <w:p>
      <w:pPr>
        <w:spacing w:after="0" w:line="6" w:lineRule="exact"/>
        <w:rPr>
          <w:rFonts w:ascii="Arial" w:cs="Arial" w:eastAsia="Arial" w:hAnsi="Arial"/>
          <w:sz w:val="26"/>
          <w:szCs w:val="26"/>
          <w:color w:val="auto"/>
          <w:vertAlign w:val="superscript"/>
        </w:rPr>
      </w:pPr>
    </w:p>
    <w:p>
      <w:pPr>
        <w:ind w:left="1620" w:right="479"/>
        <w:spacing w:after="0" w:line="255" w:lineRule="auto"/>
        <w:rPr>
          <w:rFonts w:ascii="Arial" w:cs="Arial" w:eastAsia="Arial" w:hAnsi="Arial"/>
          <w:sz w:val="26"/>
          <w:szCs w:val="26"/>
          <w:color w:val="auto"/>
          <w:vertAlign w:val="superscript"/>
        </w:rPr>
      </w:pPr>
      <w:r>
        <w:rPr>
          <w:rFonts w:ascii="Arial" w:cs="Arial" w:eastAsia="Arial" w:hAnsi="Arial"/>
          <w:sz w:val="18"/>
          <w:szCs w:val="18"/>
          <w:color w:val="auto"/>
        </w:rPr>
        <w:t>(a) assumes that all outstanding grants will be satisfied by the issuance of new units upon vesting unless such LTIPs are by their terms payable only in cash. Some portion of the phantom units may be settled in cash or will be withheld for taxes. Any units not issued upon vesting will become “available for future issuance” under column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General Partner</w:t>
      </w:r>
    </w:p>
    <w:p>
      <w:pPr>
        <w:spacing w:after="0" w:line="15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Our operations and activities are managed, and our officers and personnel are employed, by our general partner (or, in the case of our Canadian operations, Plains Midstream Canada ULC). We do not pay our general partner a management fee, but we do reimburse our general partner for all expenses incurred on our behalf (other than expenses related to the AAP Management Units). Total costs reimbursed by us to our general partner for the year ended December 31, 2022 were approximately $476 million.</w:t>
      </w:r>
    </w:p>
    <w:p>
      <w:pPr>
        <w:spacing w:after="0" w:line="115"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Our general partner owns a non-economic general partner interest in us and, as of March 27, 2023, owned approximately 241.0 million common units (representing approximately 31% of our outstanding common units and Series A preferred units combined). This limited partner interest entitles our general partner to receive quarterly distributions at the same rate as other common unitholders; however, these units are not entitled to vote in the election of directors.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Equity-Based Long-Term Incentive Plans</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w:t>
      </w:r>
    </w:p>
    <w:p>
      <w:pPr>
        <w:spacing w:after="0" w:line="142"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In May 2021, our unitholders approved the adoption of the 2021 Plan, which amended, restated and renamed the 2013 Plan. In December 2013, in connection with the PNG Merger, we adopted and assumed the PNG Legacy Plan, and all outstanding awards of PNG phantom units were converted into comparable awards of PAA phantom units by applying the merger exchange ratio of 0.445 PAA common units for each PNG common unit and rounding down for any fractions. The Board amended and restated the PNG Legacy Plan, which is now known as the PNG Successor Plan (together with the 2021 Plan, the “Plans”). The provisions of the PNG Successor Plan are substantially the same as the 2013 Plan, except that new awards under the PNG Successor Plan may only be made to employees hired after the date of the PNG Merger. Awards contemplated by the Plans include phantom units, unit appreciation rights, restricted units, options, DERs and cash awards. The 2021 Plan authorizes the grant of awards covering an aggregate of 28,786,102 common units deliverable upon vesting or exercise (as applicable) of such awards. The PNG Successor Plan authorizes the grant of awards covering an aggregate of 1,319,983 common units deliverable upon vesting or exercise (as applicable) of such awards.</w:t>
      </w:r>
    </w:p>
    <w:p>
      <w:pPr>
        <w:spacing w:after="0" w:line="11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The Plans are administered by the Compensation Committee or other Board committee appointed to administer the Plans, or by the Board. The plan administrator has the right to terminate or amend the Plans from time to time, including, subject to any applicable Nasdaq listing requirements, increasing the number of common units available for awards under the Plans. No change may be made to any outstanding grant that would materially reduce the benefits of the holder of such grant without the consent of such holder.</w:t>
      </w:r>
    </w:p>
    <w:p>
      <w:pPr>
        <w:spacing w:after="0" w:line="115"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Common units to be delivered upon the vesting and settlement of awards may be common units acquired in the open market, newly issued common units, common units acquired from us, any of our affiliates or any other person, or any combination of the foregoing. Our general partner will be entitled to reimbursement by us for the cost incurred in acquiring common units. When we issue new</w:t>
      </w:r>
    </w:p>
    <w:p>
      <w:pPr>
        <w:spacing w:after="0" w:line="2" w:lineRule="exact"/>
        <w:rPr>
          <w:sz w:val="20"/>
          <w:szCs w:val="20"/>
          <w:color w:val="auto"/>
        </w:rPr>
      </w:pPr>
    </w:p>
    <w:p>
      <w:pPr>
        <w:ind w:left="1260" w:right="739"/>
        <w:spacing w:after="0" w:line="266" w:lineRule="auto"/>
        <w:rPr>
          <w:sz w:val="20"/>
          <w:szCs w:val="20"/>
          <w:color w:val="auto"/>
        </w:rPr>
      </w:pPr>
      <w:r>
        <w:rPr>
          <w:rFonts w:ascii="Arial" w:cs="Arial" w:eastAsia="Arial" w:hAnsi="Arial"/>
          <w:sz w:val="18"/>
          <w:szCs w:val="18"/>
          <w:color w:val="auto"/>
        </w:rPr>
        <w:t>common units upon vesting and settlement of grants, the total number of common units outstanding increases.</w:t>
      </w:r>
    </w:p>
    <w:p>
      <w:pPr>
        <w:spacing w:after="0" w:line="90"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Pursuant to the terms of the 2021 Plan, if any Award is forfeited, canceled, exercised or otherwise terminated without the actual delivery of common units pursuant to such Award, or if any common units under an Award are held back to cover tax withholding, then, in either such case, any common units that are so forfeited, canceled, exercised or otherwise terminated without the actual delivery of common units or held back to cover tax withholding (excluding Restricted Unit Awards) shall be available to satisfy future Awards under the 2021 Plan. Units tendered or withheld in payment of any exercise or purchase price of an Award, units that were subject to an option or unit appreciation right but were</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79"/>
        <w:spacing w:after="0" w:line="268" w:lineRule="auto"/>
        <w:rPr>
          <w:sz w:val="20"/>
          <w:szCs w:val="20"/>
          <w:color w:val="auto"/>
        </w:rPr>
      </w:pPr>
      <w:r>
        <w:rPr>
          <w:rFonts w:ascii="Arial" w:cs="Arial" w:eastAsia="Arial" w:hAnsi="Arial"/>
          <w:sz w:val="18"/>
          <w:szCs w:val="18"/>
          <w:color w:val="auto"/>
        </w:rPr>
        <w:t>not issued or delivered as a result of the net settlement of such Award, and units repurchased on the open market with the proceeds of an option’s exercise price, will not, in each case, be available for future Awards under the 2021 Plan.</w:t>
      </w:r>
    </w:p>
    <w:p>
      <w:pPr>
        <w:spacing w:after="0" w:line="103"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As of December 31, 2022, grants of approximately 10,726,985 and 400,335 unvested phantom units were outstanding under the 2021 Plan and PNG Successor Plan, respectively, and approximately 17,321,618 and 3,049 remained available for future grant, respectively. The plan administrator may, in the future, make additional grants under the Plans to employees and directors containing such terms as the plan administrator shall determine.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Awards</w:t>
      </w:r>
    </w:p>
    <w:p>
      <w:pPr>
        <w:spacing w:after="0" w:line="156"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i w:val="1"/>
          <w:iCs w:val="1"/>
          <w:color w:val="auto"/>
        </w:rPr>
        <w:t xml:space="preserve">Phantom Units. </w:t>
      </w:r>
      <w:r>
        <w:rPr>
          <w:rFonts w:ascii="Arial" w:cs="Arial" w:eastAsia="Arial" w:hAnsi="Arial"/>
          <w:sz w:val="18"/>
          <w:szCs w:val="18"/>
          <w:color w:val="auto"/>
        </w:rPr>
        <w:t>A phantom unit entitles the grantee to receive, upon the vesting of the phantom</w:t>
      </w:r>
      <w:r>
        <w:rPr>
          <w:rFonts w:ascii="Arial" w:cs="Arial" w:eastAsia="Arial" w:hAnsi="Arial"/>
          <w:sz w:val="18"/>
          <w:szCs w:val="18"/>
          <w:i w:val="1"/>
          <w:iCs w:val="1"/>
          <w:color w:val="auto"/>
        </w:rPr>
        <w:t xml:space="preserve"> </w:t>
      </w:r>
      <w:r>
        <w:rPr>
          <w:rFonts w:ascii="Arial" w:cs="Arial" w:eastAsia="Arial" w:hAnsi="Arial"/>
          <w:sz w:val="18"/>
          <w:szCs w:val="18"/>
          <w:color w:val="auto"/>
        </w:rPr>
        <w:t>unit, a common unit (or cash equivalent, depending on the terms of the grant). The issuance of the common units upon vesting of phantom units is primarily intended to serve as a means of incentive compensation for performance. Therefore, no consideration is paid to us by the plan participants upon receipt of the common units.</w:t>
      </w:r>
    </w:p>
    <w:p>
      <w:pPr>
        <w:spacing w:after="0" w:line="9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i w:val="1"/>
          <w:iCs w:val="1"/>
          <w:color w:val="auto"/>
        </w:rPr>
        <w:t xml:space="preserve">Unit Appreciation Rights. </w:t>
      </w:r>
      <w:r>
        <w:rPr>
          <w:rFonts w:ascii="Arial" w:cs="Arial" w:eastAsia="Arial" w:hAnsi="Arial"/>
          <w:sz w:val="18"/>
          <w:szCs w:val="18"/>
          <w:color w:val="auto"/>
        </w:rPr>
        <w:t>A unit appreciation right is an award that, upon exercise, entitles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to receive the excess, if any, of the fair market value of a common unit on the exercise date over the grant price of the unit appreciation right. The excess may be paid in cash and/or common units as determined by the plan administrator in its discretion, provided that unit appreciation rights may not have an exercise price that is less than the fair market value of the common units on the date of grant. No unit appreciation rights have been granted under the Plans to date.</w:t>
      </w:r>
    </w:p>
    <w:p>
      <w:pPr>
        <w:spacing w:after="0" w:line="115" w:lineRule="exact"/>
        <w:rPr>
          <w:sz w:val="20"/>
          <w:szCs w:val="20"/>
          <w:color w:val="auto"/>
        </w:rPr>
      </w:pPr>
    </w:p>
    <w:p>
      <w:pPr>
        <w:ind w:left="1260" w:right="579" w:firstLine="360"/>
        <w:spacing w:after="0" w:line="268" w:lineRule="auto"/>
        <w:rPr>
          <w:sz w:val="20"/>
          <w:szCs w:val="20"/>
          <w:color w:val="auto"/>
        </w:rPr>
      </w:pPr>
      <w:r>
        <w:rPr>
          <w:rFonts w:ascii="Arial" w:cs="Arial" w:eastAsia="Arial" w:hAnsi="Arial"/>
          <w:sz w:val="18"/>
          <w:szCs w:val="18"/>
          <w:i w:val="1"/>
          <w:iCs w:val="1"/>
          <w:color w:val="auto"/>
        </w:rPr>
        <w:t xml:space="preserve">Restricted Unit Awards. </w:t>
      </w:r>
      <w:r>
        <w:rPr>
          <w:rFonts w:ascii="Arial" w:cs="Arial" w:eastAsia="Arial" w:hAnsi="Arial"/>
          <w:sz w:val="18"/>
          <w:szCs w:val="18"/>
          <w:color w:val="auto"/>
        </w:rPr>
        <w:t>A restricted unit is a common unit that is subject to a risk of forfeiture,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on transferability, and any other restrictions that may be imposed by the plan administrator in its discretion. No restricted unit awards have been granted under the Plans to date.</w:t>
      </w:r>
    </w:p>
    <w:p>
      <w:pPr>
        <w:spacing w:after="0" w:line="103"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Options may be granted to purchase a specific number of common units at a set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The exercise price of each option granted under the Plan will be determined by the plan administrator at the time the option is granted, provided no each option may have an exercise price that is less than the fair market value of the common units on the date of grant. No options have been granted under the Plans to date.</w:t>
      </w:r>
    </w:p>
    <w:p>
      <w:pPr>
        <w:spacing w:after="0" w:line="98"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7"/>
          <w:szCs w:val="17"/>
          <w:i w:val="1"/>
          <w:iCs w:val="1"/>
          <w:color w:val="auto"/>
        </w:rPr>
        <w:t xml:space="preserve">Distribution Equivalent Rights. </w:t>
      </w:r>
      <w:r>
        <w:rPr>
          <w:rFonts w:ascii="Arial" w:cs="Arial" w:eastAsia="Arial" w:hAnsi="Arial"/>
          <w:sz w:val="17"/>
          <w:szCs w:val="17"/>
          <w:color w:val="auto"/>
        </w:rPr>
        <w:t>Awards granted under the Plans (other than Restricted Unit Awards)</w:t>
      </w:r>
      <w:r>
        <w:rPr>
          <w:rFonts w:ascii="Arial" w:cs="Arial" w:eastAsia="Arial" w:hAnsi="Arial"/>
          <w:sz w:val="17"/>
          <w:szCs w:val="17"/>
          <w:i w:val="1"/>
          <w:iCs w:val="1"/>
          <w:color w:val="auto"/>
        </w:rPr>
        <w:t xml:space="preserve"> </w:t>
      </w:r>
      <w:r>
        <w:rPr>
          <w:rFonts w:ascii="Arial" w:cs="Arial" w:eastAsia="Arial" w:hAnsi="Arial"/>
          <w:sz w:val="17"/>
          <w:szCs w:val="17"/>
          <w:color w:val="auto"/>
        </w:rPr>
        <w:t>may include DERs. DERs entitle the grantee to a cash payment, either while the Award is outstanding or upon vesting, equal to the cash distributions paid on a unit while the Award is outstanding.</w:t>
      </w:r>
    </w:p>
    <w:p>
      <w:pPr>
        <w:spacing w:after="0" w:line="85"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8"/>
          <w:szCs w:val="18"/>
          <w:i w:val="1"/>
          <w:iCs w:val="1"/>
          <w:color w:val="auto"/>
        </w:rPr>
        <w:t xml:space="preserve">Cash Awards. </w:t>
      </w:r>
      <w:r>
        <w:rPr>
          <w:rFonts w:ascii="Arial" w:cs="Arial" w:eastAsia="Arial" w:hAnsi="Arial"/>
          <w:sz w:val="18"/>
          <w:szCs w:val="18"/>
          <w:color w:val="auto"/>
        </w:rPr>
        <w:t>Cash Awards may be granted on a free-standing basis or as an element of, as a</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 to, or in lieu of any other Award granted under the 2021 Plan.</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56"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Our General Partner or one of its affiliates are authorized to withhold from any</w:t>
      </w:r>
      <w:r>
        <w:rPr>
          <w:rFonts w:ascii="Arial" w:cs="Arial" w:eastAsia="Arial" w:hAnsi="Arial"/>
          <w:sz w:val="18"/>
          <w:szCs w:val="18"/>
          <w:i w:val="1"/>
          <w:iCs w:val="1"/>
          <w:color w:val="auto"/>
        </w:rPr>
        <w:t xml:space="preserve"> </w:t>
      </w:r>
      <w:r>
        <w:rPr>
          <w:rFonts w:ascii="Arial" w:cs="Arial" w:eastAsia="Arial" w:hAnsi="Arial"/>
          <w:sz w:val="18"/>
          <w:szCs w:val="18"/>
          <w:color w:val="auto"/>
        </w:rPr>
        <w:t>Award, from any payment due or transfer made under any Award or from any compensation or other amount owing to a plan participant, the amount (in cash, common units, other securities or other property) of any applicable taxes payable with respect to the grant of an Award, its exercise, the lapse of restrictions applicable to an Award or in connection with any payment relating to an Award or the transfer of an Award and to take such other actions as may be necessary to satisfy any tax withholding obligations with respect to an Award.</w:t>
      </w:r>
    </w:p>
    <w:p>
      <w:pPr>
        <w:spacing w:after="0" w:line="102" w:lineRule="exact"/>
        <w:rPr>
          <w:sz w:val="20"/>
          <w:szCs w:val="20"/>
          <w:color w:val="auto"/>
        </w:rPr>
      </w:pPr>
    </w:p>
    <w:p>
      <w:pPr>
        <w:ind w:left="1260" w:right="459" w:firstLine="360"/>
        <w:spacing w:after="0" w:line="287" w:lineRule="auto"/>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Except to the extent specifically provided in an Award agreement, vesting of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shall not occur solely upon a change of control.</w:t>
      </w:r>
    </w:p>
    <w:p>
      <w:pPr>
        <w:spacing w:after="0" w:line="85" w:lineRule="exact"/>
        <w:rPr>
          <w:sz w:val="20"/>
          <w:szCs w:val="20"/>
          <w:color w:val="auto"/>
        </w:rPr>
      </w:pPr>
    </w:p>
    <w:p>
      <w:pPr>
        <w:ind w:left="1260" w:right="499" w:firstLine="360"/>
        <w:spacing w:after="0" w:line="291" w:lineRule="auto"/>
        <w:rPr>
          <w:sz w:val="20"/>
          <w:szCs w:val="20"/>
          <w:color w:val="auto"/>
        </w:rPr>
      </w:pPr>
      <w:r>
        <w:rPr>
          <w:rFonts w:ascii="Arial" w:cs="Arial" w:eastAsia="Arial" w:hAnsi="Arial"/>
          <w:sz w:val="17"/>
          <w:szCs w:val="17"/>
          <w:i w:val="1"/>
          <w:iCs w:val="1"/>
          <w:color w:val="auto"/>
        </w:rPr>
        <w:t>Minimum Vesting Requirement</w:t>
      </w:r>
      <w:r>
        <w:rPr>
          <w:rFonts w:ascii="Arial" w:cs="Arial" w:eastAsia="Arial" w:hAnsi="Arial"/>
          <w:sz w:val="17"/>
          <w:szCs w:val="17"/>
          <w:color w:val="auto"/>
        </w:rPr>
        <w:t>. The 2021 Plan provides that Awards that must or may be settled</w:t>
      </w:r>
      <w:r>
        <w:rPr>
          <w:rFonts w:ascii="Arial" w:cs="Arial" w:eastAsia="Arial" w:hAnsi="Arial"/>
          <w:sz w:val="17"/>
          <w:szCs w:val="17"/>
          <w:i w:val="1"/>
          <w:iCs w:val="1"/>
          <w:color w:val="auto"/>
        </w:rPr>
        <w:t xml:space="preserve"> </w:t>
      </w:r>
      <w:r>
        <w:rPr>
          <w:rFonts w:ascii="Arial" w:cs="Arial" w:eastAsia="Arial" w:hAnsi="Arial"/>
          <w:sz w:val="17"/>
          <w:szCs w:val="17"/>
          <w:color w:val="auto"/>
        </w:rPr>
        <w:t>in units shall vest no earlier than the first anniversary of the date the Award is granted. Notwithstanding the foregoing, Awards that result in the issuance of an aggregate of up to 5% of the units available</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87" w:lineRule="auto"/>
        <w:rPr>
          <w:sz w:val="20"/>
          <w:szCs w:val="20"/>
          <w:color w:val="auto"/>
        </w:rPr>
      </w:pPr>
      <w:r>
        <w:rPr>
          <w:rFonts w:ascii="Arial" w:cs="Arial" w:eastAsia="Arial" w:hAnsi="Arial"/>
          <w:sz w:val="18"/>
          <w:szCs w:val="18"/>
          <w:color w:val="auto"/>
        </w:rPr>
        <w:t>for issuance under the 2021 Plan may be granted to one or more plan participants without regard to this minimum vesting requirement.</w:t>
      </w:r>
    </w:p>
    <w:p>
      <w:pPr>
        <w:spacing w:after="0" w:line="72" w:lineRule="exact"/>
        <w:rPr>
          <w:sz w:val="20"/>
          <w:szCs w:val="20"/>
          <w:color w:val="auto"/>
        </w:rPr>
      </w:pPr>
    </w:p>
    <w:p>
      <w:pPr>
        <w:ind w:left="1260" w:right="499" w:firstLine="360"/>
        <w:spacing w:after="0" w:line="247" w:lineRule="auto"/>
        <w:rPr>
          <w:sz w:val="20"/>
          <w:szCs w:val="20"/>
          <w:color w:val="auto"/>
        </w:rPr>
      </w:pPr>
      <w:r>
        <w:rPr>
          <w:rFonts w:ascii="Arial" w:cs="Arial" w:eastAsia="Arial" w:hAnsi="Arial"/>
          <w:sz w:val="18"/>
          <w:szCs w:val="18"/>
          <w:i w:val="1"/>
          <w:iCs w:val="1"/>
          <w:color w:val="auto"/>
        </w:rPr>
        <w:t>Equity Ownership Guidelines</w:t>
      </w:r>
      <w:r>
        <w:rPr>
          <w:rFonts w:ascii="Arial" w:cs="Arial" w:eastAsia="Arial" w:hAnsi="Arial"/>
          <w:sz w:val="18"/>
          <w:szCs w:val="18"/>
          <w:color w:val="auto"/>
        </w:rPr>
        <w:t>. The plan administrator retains the discretion under the 2021 Plan to</w:t>
      </w:r>
      <w:r>
        <w:rPr>
          <w:rFonts w:ascii="Arial" w:cs="Arial" w:eastAsia="Arial" w:hAnsi="Arial"/>
          <w:sz w:val="18"/>
          <w:szCs w:val="18"/>
          <w:i w:val="1"/>
          <w:iCs w:val="1"/>
          <w:color w:val="auto"/>
        </w:rPr>
        <w:t xml:space="preserve"> </w:t>
      </w:r>
      <w:r>
        <w:rPr>
          <w:rFonts w:ascii="Arial" w:cs="Arial" w:eastAsia="Arial" w:hAnsi="Arial"/>
          <w:sz w:val="18"/>
          <w:szCs w:val="18"/>
          <w:color w:val="auto"/>
        </w:rPr>
        <w:t>impose a holding period with respect to an Award or the units received in connection with an Award. Pursuant to the Equity Ownership Guidelines adopted by our Board in November 2020, our executive officers and Directors will be required to hold 100% of any units acquired upon vesting of Awards until the applicable ownership requirements are met.</w:t>
      </w:r>
    </w:p>
    <w:p>
      <w:pPr>
        <w:spacing w:after="0" w:line="109"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 The 2021 Plan provides that all Awards granted thereunder are subject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clawback policies that we may adopt, including any policy adopted to conform to the Dodd-Frank Wall Street Reform and Consumer Protection Act of 2010 and the rules promulgated thereunder. Pursuant to the Clawback Policy adopted by our Board in November 2020, the Company may seek from our executive officers (i) recovery of any excess performance-based compensation awarded or paid in the event of fraud or intentional or unlawful conduct that contributes to a material financial restatement that results in over-payment of performance-based compensation, and (ii) recovery or forfeiture of any performance-based compensation or unvested time-based equity awards granted or paid during the three-year period prior to discovery of detrimental conduct that results in significant financial, reputational or other harm to the Company.</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i w:val="1"/>
          <w:iCs w:val="1"/>
          <w:color w:val="auto"/>
        </w:rPr>
        <w:t>Transferability of Awards</w:t>
      </w:r>
      <w:r>
        <w:rPr>
          <w:rFonts w:ascii="Arial" w:cs="Arial" w:eastAsia="Arial" w:hAnsi="Arial"/>
          <w:sz w:val="18"/>
          <w:szCs w:val="18"/>
          <w:color w:val="auto"/>
        </w:rPr>
        <w:t>. Options and unit appreciation rights are only exercisable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during the plan participant’s lifetime, or by the person to whom the plan participant’s rights pass by will or the laws of descent and distribution. No Award or right granted under the 2021 Plan may be assigned, alienated, pledged, attached, sold or otherwise transferred or encumbered and any such purported transfer shall be void and unenforceable. Notwithstanding the foregoing, the plan administrator may, in its discretion, allow a plan participant to transfer an option or a unit appreciation right without consideration to an immediate family member or a related family trust, limited partnership, or similar entity on the terms and conditions established by the plan administrator from time to time, provided that no Award may be transferred to a third-party financial institution for value.</w:t>
      </w:r>
    </w:p>
    <w:p>
      <w:pPr>
        <w:spacing w:after="0" w:line="112"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i w:val="1"/>
          <w:iCs w:val="1"/>
          <w:color w:val="auto"/>
        </w:rPr>
        <w:t>Anti-Dilution Adjustments</w:t>
      </w:r>
      <w:r>
        <w:rPr>
          <w:rFonts w:ascii="Arial" w:cs="Arial" w:eastAsia="Arial" w:hAnsi="Arial"/>
          <w:sz w:val="18"/>
          <w:szCs w:val="18"/>
          <w:color w:val="auto"/>
        </w:rPr>
        <w:t>. Upon the occurrence of any “equity restructuring” event that could result</w:t>
      </w:r>
      <w:r>
        <w:rPr>
          <w:rFonts w:ascii="Arial" w:cs="Arial" w:eastAsia="Arial" w:hAnsi="Arial"/>
          <w:sz w:val="18"/>
          <w:szCs w:val="18"/>
          <w:i w:val="1"/>
          <w:iCs w:val="1"/>
          <w:color w:val="auto"/>
        </w:rPr>
        <w:t xml:space="preserve"> </w:t>
      </w:r>
      <w:r>
        <w:rPr>
          <w:rFonts w:ascii="Arial" w:cs="Arial" w:eastAsia="Arial" w:hAnsi="Arial"/>
          <w:sz w:val="18"/>
          <w:szCs w:val="18"/>
          <w:color w:val="auto"/>
        </w:rPr>
        <w:t>in an additional compensation expense under FASB ASC Topic 718 if adjustments to Awards with respect to such event were discretionary, the plan administrator will equitably adjust the number and type of common units covered by each outstanding Award and the terms and conditions of such Award to equitably reflect the restructuring event, and the plan administrator will adjust the number and type of common units with respect to which future Awards may be granted under the 2021 Plan. Upon the occurrence of a similar event that would not result in a FASB ASC Topic 718 accounting charge if adjustments to Awards were discretionary, the plan administrator shall have complete discretion to adjust Awards in the manner it deems appropriate. In the event the plan administrator makes any such adjustments, a corresponding and proportionate adjustment shall be made with respect to the maximum number of common units available under the 2021 Plan and the kind of units or other securities available for grant under the 2021 Plan.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Omnibus Agreement</w:t>
      </w:r>
    </w:p>
    <w:p>
      <w:pPr>
        <w:spacing w:after="0" w:line="158" w:lineRule="exact"/>
        <w:rPr>
          <w:sz w:val="20"/>
          <w:szCs w:val="20"/>
          <w:color w:val="auto"/>
        </w:rPr>
      </w:pPr>
    </w:p>
    <w:p>
      <w:pPr>
        <w:ind w:left="1260" w:right="479" w:firstLine="360"/>
        <w:spacing w:after="0" w:line="245" w:lineRule="auto"/>
        <w:rPr>
          <w:sz w:val="20"/>
          <w:szCs w:val="20"/>
          <w:color w:val="auto"/>
        </w:rPr>
      </w:pPr>
      <w:r>
        <w:rPr>
          <w:rFonts w:ascii="Arial" w:cs="Arial" w:eastAsia="Arial" w:hAnsi="Arial"/>
          <w:sz w:val="18"/>
          <w:szCs w:val="18"/>
          <w:color w:val="auto"/>
        </w:rPr>
        <w:t>In connection with the Simplification Transactions completed in November 2016, we entered into an omnibus agreement (the “Omnibus Agreement”) with PAGP, PAGP GP, Plains AAP, PAA GP LLC and GP LLC (collectively with us, the “Plains Entities”), which provides, among other things, that all direct or indirect expenses of any of the Plains Entities will be paid by us, other than income taxes, if any, of PAGP GP, PAGP, GP LLC, Plains AAP and PAA GP LLC. Such direct or indirect expenses include, but are not limited to (i) compensation and expense reimbursements for the directors of PAGP GP, (ii) director and officer liability insurance, (iii) listing exchange fees, (iv) investor relations expenses, and (v) fees related to legal, tax, financial advisory and accounting services. We paid $4.4 million of such expenses in 2022.</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w:t>
      </w:r>
    </w:p>
    <w:p>
      <w:pPr>
        <w:spacing w:after="0" w:line="158" w:lineRule="exact"/>
        <w:rPr>
          <w:sz w:val="20"/>
          <w:szCs w:val="20"/>
          <w:color w:val="auto"/>
        </w:rPr>
      </w:pPr>
    </w:p>
    <w:p>
      <w:pPr>
        <w:ind w:left="1260" w:right="839" w:firstLine="360"/>
        <w:spacing w:after="0" w:line="301" w:lineRule="auto"/>
        <w:rPr>
          <w:sz w:val="20"/>
          <w:szCs w:val="20"/>
          <w:color w:val="auto"/>
        </w:rPr>
      </w:pPr>
      <w:r>
        <w:rPr>
          <w:rFonts w:ascii="Arial" w:cs="Arial" w:eastAsia="Arial" w:hAnsi="Arial"/>
          <w:sz w:val="17"/>
          <w:szCs w:val="17"/>
          <w:color w:val="auto"/>
        </w:rPr>
        <w:t>During 2022, we purchased approximately $8.2 million of petroleum products from companies affiliated with EMG. These ordinary course transactions were conducted at prices that we believe</w:t>
      </w:r>
    </w:p>
    <w:p>
      <w:pPr>
        <w:sectPr>
          <w:pgSz w:w="11900" w:h="16838" w:orient="portrait"/>
          <w:cols w:equalWidth="0" w:num="1">
            <w:col w:w="9879"/>
          </w:cols>
          <w:pgMar w:left="580" w:top="97" w:right="1440" w:bottom="1440" w:gutter="0" w:footer="0" w:header="0"/>
        </w:sectPr>
      </w:pP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spacing w:after="0" w:line="318" w:lineRule="auto"/>
        <w:rPr>
          <w:sz w:val="20"/>
          <w:szCs w:val="20"/>
          <w:color w:val="auto"/>
        </w:rPr>
      </w:pPr>
      <w:r>
        <w:rPr>
          <w:rFonts w:ascii="Arial" w:cs="Arial" w:eastAsia="Arial" w:hAnsi="Arial"/>
          <w:sz w:val="17"/>
          <w:szCs w:val="17"/>
          <w:color w:val="auto"/>
        </w:rPr>
        <w:t>approximate market. Based on our knowledge, the amounts received during 2022 from PAA by companies affiliated with EMG ($8.2 million) did not exceed 5% of EMG’s consolidated gross revenues.</w:t>
      </w:r>
    </w:p>
    <w:p>
      <w:pPr>
        <w:spacing w:after="0" w:line="62"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During 2022, we purchased approximately $65 million of petroleum products from companies affiliated with EnCap. These ordinary course transactions were conducted at prices that we believe approximate market. Based on our knowledge, the amounts received during 2022 from PAA by companies affiliated with EnCap ($65 million) did not exceed 5% of EnCap’s consolidated gross revenues.</w:t>
      </w:r>
    </w:p>
    <w:p>
      <w:pPr>
        <w:spacing w:after="0" w:line="112" w:lineRule="exact"/>
        <w:rPr>
          <w:sz w:val="20"/>
          <w:szCs w:val="20"/>
          <w:color w:val="auto"/>
        </w:rPr>
      </w:pPr>
    </w:p>
    <w:p>
      <w:pPr>
        <w:jc w:val="both"/>
        <w:ind w:left="1260" w:right="559" w:firstLine="360"/>
        <w:spacing w:after="0" w:line="268" w:lineRule="auto"/>
        <w:rPr>
          <w:sz w:val="20"/>
          <w:szCs w:val="20"/>
          <w:color w:val="auto"/>
        </w:rPr>
      </w:pPr>
      <w:r>
        <w:rPr>
          <w:rFonts w:ascii="Arial" w:cs="Arial" w:eastAsia="Arial" w:hAnsi="Arial"/>
          <w:sz w:val="18"/>
          <w:szCs w:val="18"/>
          <w:color w:val="auto"/>
        </w:rPr>
        <w:t>An employee in our marketing department, who has been with PAA for approximately 15 years, is the daughter of Willie Chiang, our Chief Executive Officer. Mr. Chiang’s daughter’s total compensation for 2022 was approximately $200,000.</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44"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Pursuant to our Governance Guidelines, a director is expected to bring to the attention of the CEO or the Board any conflict or potential conflict of interest that may arise between the director or any affiliate of the director, on the one hand, and PAGP GP, PAA, PAGP or their respective affiliates, on the other. The resolution of any such conflict or potential conflict should, at the discretion of the Board in light of the circumstances, be determined by a majority of the disinterested directors.</w:t>
      </w:r>
    </w:p>
    <w:p>
      <w:pPr>
        <w:spacing w:after="0" w:line="11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If a conflict or potential conflict of interest arises between PAA and its limited partners, on the one hand, and our general partner and its owners and affiliates, on the other, the resolution of any such conflict or potential conflict should be addressed by the Board in accordance with the applicable provisions of the partnership agreements of PAA and PAGP. At the discretion of the Board in light of the circumstances, the resolution may be determined by the Board or by a “conflicts committee” meeting the definitional requirements for such a committee under the partnership agreements.</w:t>
      </w:r>
    </w:p>
    <w:p>
      <w:pPr>
        <w:spacing w:after="0" w:line="115"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8"/>
          <w:szCs w:val="18"/>
          <w:color w:val="auto"/>
        </w:rPr>
        <w:t>Pursuant to our Code of Business Conduct, any executive officer must avoid conflicts of interest unless approved by the Board.</w:t>
      </w:r>
    </w:p>
    <w:p>
      <w:pPr>
        <w:spacing w:after="0" w:line="7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REPORT OF THE AUDIT COMMITTEE</w:t>
      </w:r>
    </w:p>
    <w:p>
      <w:pPr>
        <w:spacing w:after="0" w:line="158" w:lineRule="exact"/>
        <w:rPr>
          <w:sz w:val="20"/>
          <w:szCs w:val="20"/>
          <w:color w:val="auto"/>
        </w:rPr>
      </w:pPr>
    </w:p>
    <w:p>
      <w:pPr>
        <w:jc w:val="both"/>
        <w:ind w:left="1260" w:right="459" w:firstLine="360"/>
        <w:spacing w:after="0" w:line="268" w:lineRule="auto"/>
        <w:rPr>
          <w:sz w:val="20"/>
          <w:szCs w:val="20"/>
          <w:color w:val="auto"/>
        </w:rPr>
      </w:pPr>
      <w:r>
        <w:rPr>
          <w:rFonts w:ascii="Arial" w:cs="Arial" w:eastAsia="Arial" w:hAnsi="Arial"/>
          <w:sz w:val="18"/>
          <w:szCs w:val="18"/>
          <w:color w:val="auto"/>
        </w:rPr>
        <w:t>The Audit Committee of our Board oversees the Partnership’s financial reporting process on behalf of the Board. Management has the primary responsibility for the financial statements and the reporting process, including the systems of internal controls.</w:t>
      </w:r>
    </w:p>
    <w:p>
      <w:pPr>
        <w:spacing w:after="0" w:line="103" w:lineRule="exact"/>
        <w:rPr>
          <w:sz w:val="20"/>
          <w:szCs w:val="20"/>
          <w:color w:val="auto"/>
        </w:rPr>
      </w:pPr>
    </w:p>
    <w:p>
      <w:pPr>
        <w:ind w:left="1260" w:right="799" w:firstLine="360"/>
        <w:spacing w:after="0" w:line="268"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our Annual Report on Form 10-K for the year ended December 31, 2022.</w:t>
      </w:r>
    </w:p>
    <w:p>
      <w:pPr>
        <w:spacing w:after="0" w:line="90"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15" w:lineRule="exact"/>
        <w:rPr>
          <w:sz w:val="20"/>
          <w:szCs w:val="20"/>
          <w:color w:val="auto"/>
        </w:rPr>
      </w:pPr>
    </w:p>
    <w:p>
      <w:pPr>
        <w:ind w:left="1260" w:right="579" w:firstLine="360"/>
        <w:spacing w:after="0" w:line="256" w:lineRule="auto"/>
        <w:rPr>
          <w:sz w:val="20"/>
          <w:szCs w:val="20"/>
          <w:color w:val="auto"/>
        </w:rPr>
      </w:pPr>
      <w:r>
        <w:rPr>
          <w:rFonts w:ascii="Arial" w:cs="Arial" w:eastAsia="Arial" w:hAnsi="Arial"/>
          <w:sz w:val="18"/>
          <w:szCs w:val="18"/>
          <w:color w:val="auto"/>
        </w:rPr>
        <w:t>The Audit Committee discussed with PricewaterhouseCoopers LLP the matters required to be discussed under applicable requirements of the Public Company Accounting Oversight Board (“PCAOB”). The Audit Committee received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from management and the Partnership.</w:t>
      </w:r>
    </w:p>
    <w:p>
      <w:pPr>
        <w:spacing w:after="0" w:line="115" w:lineRule="exact"/>
        <w:rPr>
          <w:sz w:val="20"/>
          <w:szCs w:val="20"/>
          <w:color w:val="auto"/>
        </w:rPr>
      </w:pPr>
    </w:p>
    <w:p>
      <w:pPr>
        <w:ind w:left="1260" w:right="579" w:firstLine="360"/>
        <w:spacing w:after="0" w:line="268"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that the audited financial statements be included in the Annual Report on Form 10-K for the year ended December 31, 2022 for filing with the SEC.</w:t>
      </w:r>
    </w:p>
    <w:p>
      <w:pPr>
        <w:spacing w:after="0" w:line="13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xml:space="preserve">Victor Burk, </w:t>
      </w:r>
      <w:r>
        <w:rPr>
          <w:rFonts w:ascii="Arial" w:cs="Arial" w:eastAsia="Arial" w:hAnsi="Arial"/>
          <w:sz w:val="18"/>
          <w:szCs w:val="18"/>
          <w:i w:val="1"/>
          <w:iCs w:val="1"/>
          <w:color w:val="auto"/>
        </w:rPr>
        <w:t>Chair</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Ellen R. DeSanctis</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Alexandra D. Pruner</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Lawrence M. Ziemba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and Non-Audit Fees</w:t>
      </w:r>
    </w:p>
    <w:p>
      <w:pPr>
        <w:spacing w:after="0" w:line="158" w:lineRule="exact"/>
        <w:rPr>
          <w:sz w:val="20"/>
          <w:szCs w:val="20"/>
          <w:color w:val="auto"/>
        </w:rPr>
      </w:pPr>
    </w:p>
    <w:p>
      <w:pPr>
        <w:ind w:left="1260" w:right="899" w:firstLine="360"/>
        <w:spacing w:after="0" w:line="287"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subsidiaries (in millions):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277"/>
        </w:trPr>
        <w:tc>
          <w:tcPr>
            <w:tcW w:w="100" w:type="dxa"/>
            <w:vAlign w:val="bottom"/>
            <w:tcBorders>
              <w:bottom w:val="single" w:sz="8" w:color="424E6A"/>
            </w:tcBorders>
            <w:shd w:val="clear" w:color="auto" w:fill="424E6A"/>
          </w:tcPr>
          <w:p>
            <w:pPr>
              <w:spacing w:after="0"/>
              <w:rPr>
                <w:sz w:val="24"/>
                <w:szCs w:val="24"/>
                <w:color w:val="auto"/>
              </w:rPr>
            </w:pPr>
          </w:p>
        </w:tc>
        <w:tc>
          <w:tcPr>
            <w:tcW w:w="6200" w:type="dxa"/>
            <w:vAlign w:val="bottom"/>
            <w:tcBorders>
              <w:bottom w:val="single" w:sz="8" w:color="424E6A"/>
            </w:tcBorders>
            <w:shd w:val="clear" w:color="auto" w:fill="424E6A"/>
          </w:tcPr>
          <w:p>
            <w:pPr>
              <w:spacing w:after="0"/>
              <w:rPr>
                <w:sz w:val="24"/>
                <w:szCs w:val="24"/>
                <w:color w:val="auto"/>
              </w:rPr>
            </w:pPr>
          </w:p>
        </w:tc>
        <w:tc>
          <w:tcPr>
            <w:tcW w:w="1780" w:type="dxa"/>
            <w:vAlign w:val="bottom"/>
            <w:tcBorders>
              <w:bottom w:val="single" w:sz="8" w:color="auto"/>
            </w:tcBorders>
            <w:gridSpan w:val="7"/>
            <w:shd w:val="clear" w:color="auto" w:fill="424E6A"/>
          </w:tcPr>
          <w:p>
            <w:pPr>
              <w:ind w:left="20"/>
              <w:spacing w:after="0"/>
              <w:rPr>
                <w:sz w:val="20"/>
                <w:szCs w:val="20"/>
                <w:color w:val="auto"/>
              </w:rPr>
            </w:pPr>
            <w:r>
              <w:rPr>
                <w:rFonts w:ascii="Arial" w:cs="Arial" w:eastAsia="Arial" w:hAnsi="Arial"/>
                <w:sz w:val="14"/>
                <w:szCs w:val="14"/>
                <w:b w:val="1"/>
                <w:bCs w:val="1"/>
                <w:color w:val="FFFFFF"/>
              </w:rPr>
              <w:t>Year Ended December 31,</w:t>
            </w:r>
          </w:p>
        </w:tc>
        <w:tc>
          <w:tcPr>
            <w:tcW w:w="20" w:type="dxa"/>
            <w:vAlign w:val="bottom"/>
            <w:tcBorders>
              <w:bottom w:val="single" w:sz="8" w:color="auto"/>
            </w:tcBorders>
            <w:shd w:val="clear" w:color="auto" w:fill="424E6A"/>
          </w:tcPr>
          <w:p>
            <w:pPr>
              <w:spacing w:after="0"/>
              <w:rPr>
                <w:sz w:val="24"/>
                <w:szCs w:val="24"/>
                <w:color w:val="auto"/>
              </w:rPr>
            </w:pPr>
          </w:p>
        </w:tc>
        <w:tc>
          <w:tcPr>
            <w:tcW w:w="100" w:type="dxa"/>
            <w:vAlign w:val="bottom"/>
            <w:tcBorders>
              <w:bottom w:val="single" w:sz="8" w:color="424E6A"/>
            </w:tcBorders>
            <w:shd w:val="clear" w:color="auto" w:fill="424E6A"/>
          </w:tcPr>
          <w:p>
            <w:pPr>
              <w:spacing w:after="0"/>
              <w:rPr>
                <w:sz w:val="24"/>
                <w:szCs w:val="24"/>
                <w:color w:val="auto"/>
              </w:rPr>
            </w:pPr>
          </w:p>
        </w:tc>
      </w:tr>
      <w:tr>
        <w:trPr>
          <w:trHeight w:val="243"/>
        </w:trPr>
        <w:tc>
          <w:tcPr>
            <w:tcW w:w="10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6200" w:type="dxa"/>
            <w:vAlign w:val="bottom"/>
            <w:shd w:val="clear" w:color="auto" w:fill="424E6A"/>
          </w:tcPr>
          <w:p>
            <w:pPr>
              <w:spacing w:after="0"/>
              <w:rPr>
                <w:sz w:val="21"/>
                <w:szCs w:val="21"/>
                <w:color w:val="auto"/>
              </w:rPr>
            </w:pPr>
          </w:p>
        </w:tc>
        <w:tc>
          <w:tcPr>
            <w:tcW w:w="580" w:type="dxa"/>
            <w:vAlign w:val="bottom"/>
            <w:gridSpan w:val="2"/>
            <w:shd w:val="clear" w:color="auto" w:fill="424E6A"/>
          </w:tcPr>
          <w:p>
            <w:pPr>
              <w:jc w:val="center"/>
              <w:ind w:left="119"/>
              <w:spacing w:after="0"/>
              <w:rPr>
                <w:sz w:val="20"/>
                <w:szCs w:val="20"/>
                <w:color w:val="auto"/>
              </w:rPr>
            </w:pPr>
            <w:r>
              <w:rPr>
                <w:rFonts w:ascii="Arial" w:cs="Arial" w:eastAsia="Arial" w:hAnsi="Arial"/>
                <w:sz w:val="14"/>
                <w:szCs w:val="14"/>
                <w:b w:val="1"/>
                <w:bCs w:val="1"/>
                <w:color w:val="FFFFFF"/>
                <w:w w:val="96"/>
              </w:rPr>
              <w:t>2022</w:t>
            </w:r>
          </w:p>
        </w:tc>
        <w:tc>
          <w:tcPr>
            <w:tcW w:w="100" w:type="dxa"/>
            <w:vAlign w:val="bottom"/>
            <w:shd w:val="clear" w:color="auto" w:fill="424E6A"/>
          </w:tcPr>
          <w:p>
            <w:pPr>
              <w:spacing w:after="0"/>
              <w:rPr>
                <w:sz w:val="21"/>
                <w:szCs w:val="21"/>
                <w:color w:val="auto"/>
              </w:rPr>
            </w:pPr>
          </w:p>
        </w:tc>
        <w:tc>
          <w:tcPr>
            <w:tcW w:w="540" w:type="dxa"/>
            <w:vAlign w:val="bottom"/>
            <w:shd w:val="clear" w:color="auto" w:fill="424E6A"/>
          </w:tcPr>
          <w:p>
            <w:pPr>
              <w:spacing w:after="0"/>
              <w:rPr>
                <w:sz w:val="21"/>
                <w:szCs w:val="21"/>
                <w:color w:val="auto"/>
              </w:rPr>
            </w:pPr>
          </w:p>
        </w:tc>
        <w:tc>
          <w:tcPr>
            <w:tcW w:w="3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2021</w:t>
            </w:r>
          </w:p>
        </w:tc>
        <w:tc>
          <w:tcPr>
            <w:tcW w:w="20" w:type="dxa"/>
            <w:vAlign w:val="bottom"/>
            <w:shd w:val="clear" w:color="auto" w:fill="424E6A"/>
          </w:tcPr>
          <w:p>
            <w:pPr>
              <w:spacing w:after="0"/>
              <w:rPr>
                <w:sz w:val="21"/>
                <w:szCs w:val="21"/>
                <w:color w:val="auto"/>
              </w:rPr>
            </w:pPr>
          </w:p>
        </w:tc>
        <w:tc>
          <w:tcPr>
            <w:tcW w:w="180" w:type="dxa"/>
            <w:vAlign w:val="bottom"/>
            <w:shd w:val="clear" w:color="auto" w:fill="424E6A"/>
          </w:tcPr>
          <w:p>
            <w:pPr>
              <w:spacing w:after="0"/>
              <w:rPr>
                <w:sz w:val="21"/>
                <w:szCs w:val="21"/>
                <w:color w:val="auto"/>
              </w:rPr>
            </w:pPr>
          </w:p>
        </w:tc>
        <w:tc>
          <w:tcPr>
            <w:tcW w:w="20" w:type="dxa"/>
            <w:vAlign w:val="bottom"/>
            <w:shd w:val="clear" w:color="auto" w:fill="424E6A"/>
          </w:tcPr>
          <w:p>
            <w:pPr>
              <w:spacing w:after="0"/>
              <w:rPr>
                <w:sz w:val="21"/>
                <w:szCs w:val="21"/>
                <w:color w:val="auto"/>
              </w:rPr>
            </w:pPr>
          </w:p>
        </w:tc>
        <w:tc>
          <w:tcPr>
            <w:tcW w:w="100" w:type="dxa"/>
            <w:vAlign w:val="bottom"/>
            <w:shd w:val="clear" w:color="auto" w:fill="424E6A"/>
          </w:tcPr>
          <w:p>
            <w:pPr>
              <w:spacing w:after="0"/>
              <w:rPr>
                <w:sz w:val="21"/>
                <w:szCs w:val="21"/>
                <w:color w:val="auto"/>
              </w:rPr>
            </w:pPr>
          </w:p>
        </w:tc>
      </w:tr>
      <w:tr>
        <w:trPr>
          <w:trHeight w:val="283"/>
        </w:trPr>
        <w:tc>
          <w:tcPr>
            <w:tcW w:w="6300" w:type="dxa"/>
            <w:vAlign w:val="bottom"/>
            <w:gridSpan w:val="2"/>
            <w:shd w:val="clear" w:color="auto" w:fill="D9DCE1"/>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Audit fees</w:t>
            </w:r>
            <w:r>
              <w:rPr>
                <w:rFonts w:ascii="Arial" w:cs="Arial" w:eastAsia="Arial" w:hAnsi="Arial"/>
                <w:sz w:val="21"/>
                <w:szCs w:val="21"/>
                <w:color w:val="auto"/>
                <w:vertAlign w:val="superscript"/>
              </w:rPr>
              <w:t>(1)</w:t>
            </w:r>
          </w:p>
        </w:tc>
        <w:tc>
          <w:tcPr>
            <w:tcW w:w="680" w:type="dxa"/>
            <w:vAlign w:val="bottom"/>
            <w:gridSpan w:val="3"/>
            <w:shd w:val="clear" w:color="auto" w:fill="D9DCE1"/>
          </w:tcPr>
          <w:p>
            <w:pPr>
              <w:jc w:val="center"/>
              <w:ind w:left="19"/>
              <w:spacing w:after="0"/>
              <w:rPr>
                <w:sz w:val="20"/>
                <w:szCs w:val="20"/>
                <w:color w:val="auto"/>
              </w:rPr>
            </w:pPr>
            <w:r>
              <w:rPr>
                <w:rFonts w:ascii="Arial" w:cs="Arial" w:eastAsia="Arial" w:hAnsi="Arial"/>
                <w:sz w:val="18"/>
                <w:szCs w:val="18"/>
                <w:color w:val="auto"/>
              </w:rPr>
              <w:t>​$6.1</w:t>
            </w:r>
          </w:p>
        </w:tc>
        <w:tc>
          <w:tcPr>
            <w:tcW w:w="540" w:type="dxa"/>
            <w:vAlign w:val="bottom"/>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D9DCE1"/>
          </w:tcPr>
          <w:p>
            <w:pPr>
              <w:jc w:val="center"/>
              <w:ind w:right="200"/>
              <w:spacing w:after="0"/>
              <w:rPr>
                <w:sz w:val="20"/>
                <w:szCs w:val="20"/>
                <w:color w:val="auto"/>
              </w:rPr>
            </w:pPr>
            <w:r>
              <w:rPr>
                <w:rFonts w:ascii="Arial" w:cs="Arial" w:eastAsia="Arial" w:hAnsi="Arial"/>
                <w:sz w:val="18"/>
                <w:szCs w:val="18"/>
                <w:color w:val="auto"/>
              </w:rPr>
              <w:t>​$4.5</w:t>
            </w:r>
          </w:p>
        </w:tc>
        <w:tc>
          <w:tcPr>
            <w:tcW w:w="120" w:type="dxa"/>
            <w:vAlign w:val="bottom"/>
            <w:gridSpan w:val="2"/>
            <w:shd w:val="clear" w:color="auto" w:fill="D9DCE1"/>
          </w:tcPr>
          <w:p>
            <w:pPr>
              <w:ind w:left="20"/>
              <w:spacing w:after="0"/>
              <w:rPr>
                <w:sz w:val="20"/>
                <w:szCs w:val="20"/>
                <w:color w:val="auto"/>
              </w:rPr>
            </w:pPr>
            <w:r>
              <w:rPr>
                <w:rFonts w:ascii="Arial" w:cs="Arial" w:eastAsia="Arial" w:hAnsi="Arial"/>
                <w:sz w:val="18"/>
                <w:szCs w:val="18"/>
                <w:color w:val="auto"/>
              </w:rPr>
              <w:t>​</w:t>
            </w:r>
          </w:p>
        </w:tc>
      </w:tr>
      <w:tr>
        <w:trPr>
          <w:trHeight w:val="283"/>
        </w:trPr>
        <w:tc>
          <w:tcPr>
            <w:tcW w:w="6300" w:type="dxa"/>
            <w:vAlign w:val="bottom"/>
            <w:gridSpan w:val="2"/>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Audit-related fees</w:t>
            </w:r>
            <w:r>
              <w:rPr>
                <w:rFonts w:ascii="Arial" w:cs="Arial" w:eastAsia="Arial" w:hAnsi="Arial"/>
                <w:sz w:val="21"/>
                <w:szCs w:val="21"/>
                <w:color w:val="auto"/>
                <w:vertAlign w:val="superscript"/>
              </w:rPr>
              <w:t>(2)</w:t>
            </w:r>
          </w:p>
        </w:tc>
        <w:tc>
          <w:tcPr>
            <w:tcW w:w="680" w:type="dxa"/>
            <w:vAlign w:val="bottom"/>
            <w:gridSpan w:val="3"/>
          </w:tcPr>
          <w:p>
            <w:pPr>
              <w:jc w:val="center"/>
              <w:ind w:left="19"/>
              <w:spacing w:after="0"/>
              <w:rPr>
                <w:sz w:val="20"/>
                <w:szCs w:val="20"/>
                <w:color w:val="auto"/>
              </w:rPr>
            </w:pPr>
            <w:r>
              <w:rPr>
                <w:rFonts w:ascii="Arial" w:cs="Arial" w:eastAsia="Arial" w:hAnsi="Arial"/>
                <w:sz w:val="18"/>
                <w:szCs w:val="18"/>
                <w:color w:val="auto"/>
              </w:rPr>
              <w:t>​  —</w:t>
            </w:r>
          </w:p>
        </w:tc>
        <w:tc>
          <w:tcPr>
            <w:tcW w:w="54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center"/>
              <w:ind w:right="200"/>
              <w:spacing w:after="0"/>
              <w:rPr>
                <w:sz w:val="20"/>
                <w:szCs w:val="20"/>
                <w:color w:val="auto"/>
              </w:rPr>
            </w:pPr>
            <w:r>
              <w:rPr>
                <w:rFonts w:ascii="Arial" w:cs="Arial" w:eastAsia="Arial" w:hAnsi="Arial"/>
                <w:sz w:val="18"/>
                <w:szCs w:val="18"/>
                <w:color w:val="auto"/>
              </w:rPr>
              <w:t>​ 0.9</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97"/>
        </w:trPr>
        <w:tc>
          <w:tcPr>
            <w:tcW w:w="100" w:type="dxa"/>
            <w:vAlign w:val="bottom"/>
            <w:shd w:val="clear" w:color="auto" w:fill="D9DCE1"/>
          </w:tcPr>
          <w:p>
            <w:pPr>
              <w:ind w:left="40"/>
              <w:spacing w:after="0"/>
              <w:rPr>
                <w:sz w:val="20"/>
                <w:szCs w:val="20"/>
                <w:color w:val="auto"/>
              </w:rPr>
            </w:pPr>
            <w:r>
              <w:rPr>
                <w:rFonts w:ascii="Arial" w:cs="Arial" w:eastAsia="Arial" w:hAnsi="Arial"/>
                <w:sz w:val="18"/>
                <w:szCs w:val="18"/>
                <w:color w:val="auto"/>
              </w:rPr>
              <w:t>​</w:t>
            </w:r>
          </w:p>
        </w:tc>
        <w:tc>
          <w:tcPr>
            <w:tcW w:w="6200" w:type="dxa"/>
            <w:vAlign w:val="bottom"/>
            <w:shd w:val="clear" w:color="auto" w:fill="D9DCE1"/>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200" w:type="dxa"/>
            <w:vAlign w:val="bottom"/>
            <w:shd w:val="clear" w:color="auto" w:fill="D9DCE1"/>
          </w:tcPr>
          <w:p>
            <w:pPr>
              <w:spacing w:after="0"/>
              <w:rPr>
                <w:sz w:val="24"/>
                <w:szCs w:val="24"/>
                <w:color w:val="auto"/>
              </w:rPr>
            </w:pPr>
          </w:p>
        </w:tc>
        <w:tc>
          <w:tcPr>
            <w:tcW w:w="380" w:type="dxa"/>
            <w:vAlign w:val="bottom"/>
            <w:shd w:val="clear" w:color="auto" w:fill="D9DCE1"/>
          </w:tcPr>
          <w:p>
            <w:pPr>
              <w:jc w:val="center"/>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xml:space="preserve"> 1.</w:t>
            </w:r>
            <w:r>
              <w:rPr>
                <w:rFonts w:ascii="Arial" w:cs="Arial" w:eastAsia="Arial" w:hAnsi="Arial"/>
                <w:sz w:val="18"/>
                <w:szCs w:val="18"/>
                <w:u w:val="single" w:color="auto"/>
                <w:color w:val="auto"/>
              </w:rPr>
              <w:t>6</w:t>
            </w:r>
          </w:p>
        </w:tc>
        <w:tc>
          <w:tcPr>
            <w:tcW w:w="100" w:type="dxa"/>
            <w:vAlign w:val="bottom"/>
            <w:shd w:val="clear" w:color="auto" w:fill="D9DCE1"/>
          </w:tcPr>
          <w:p>
            <w:pPr>
              <w:spacing w:after="0"/>
              <w:rPr>
                <w:sz w:val="24"/>
                <w:szCs w:val="24"/>
                <w:color w:val="auto"/>
              </w:rPr>
            </w:pPr>
          </w:p>
        </w:tc>
        <w:tc>
          <w:tcPr>
            <w:tcW w:w="540" w:type="dxa"/>
            <w:vAlign w:val="bottom"/>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D9DCE1"/>
          </w:tcPr>
          <w:p>
            <w:pPr>
              <w:jc w:val="center"/>
              <w:ind w:right="20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xml:space="preserve"> 1.</w:t>
            </w:r>
            <w:r>
              <w:rPr>
                <w:rFonts w:ascii="Arial" w:cs="Arial" w:eastAsia="Arial" w:hAnsi="Arial"/>
                <w:sz w:val="18"/>
                <w:szCs w:val="18"/>
                <w:u w:val="single" w:color="auto"/>
                <w:color w:val="auto"/>
              </w:rPr>
              <w:t>8</w:t>
            </w:r>
          </w:p>
        </w:tc>
        <w:tc>
          <w:tcPr>
            <w:tcW w:w="120" w:type="dxa"/>
            <w:vAlign w:val="bottom"/>
            <w:gridSpan w:val="2"/>
            <w:shd w:val="clear" w:color="auto" w:fill="D9DCE1"/>
          </w:tcPr>
          <w:p>
            <w:pPr>
              <w:ind w:left="20"/>
              <w:spacing w:after="0"/>
              <w:rPr>
                <w:sz w:val="20"/>
                <w:szCs w:val="20"/>
                <w:color w:val="auto"/>
              </w:rPr>
            </w:pPr>
            <w:r>
              <w:rPr>
                <w:rFonts w:ascii="Arial" w:cs="Arial" w:eastAsia="Arial" w:hAnsi="Arial"/>
                <w:sz w:val="18"/>
                <w:szCs w:val="18"/>
                <w:color w:val="auto"/>
              </w:rPr>
              <w:t>​</w:t>
            </w:r>
          </w:p>
        </w:tc>
      </w:tr>
      <w:tr>
        <w:trPr>
          <w:trHeight w:val="20"/>
        </w:trPr>
        <w:tc>
          <w:tcPr>
            <w:tcW w:w="100" w:type="dxa"/>
            <w:vAlign w:val="bottom"/>
            <w:shd w:val="clear" w:color="auto" w:fill="D9DCE1"/>
          </w:tcPr>
          <w:p>
            <w:pPr>
              <w:spacing w:after="0" w:line="20" w:lineRule="exact"/>
              <w:rPr>
                <w:sz w:val="1"/>
                <w:szCs w:val="1"/>
                <w:color w:val="auto"/>
              </w:rPr>
            </w:pPr>
          </w:p>
        </w:tc>
        <w:tc>
          <w:tcPr>
            <w:tcW w:w="6200" w:type="dxa"/>
            <w:vAlign w:val="bottom"/>
            <w:shd w:val="clear" w:color="auto" w:fill="D9DCE1"/>
          </w:tcPr>
          <w:p>
            <w:pPr>
              <w:spacing w:after="0" w:line="20" w:lineRule="exact"/>
              <w:rPr>
                <w:sz w:val="1"/>
                <w:szCs w:val="1"/>
                <w:color w:val="auto"/>
              </w:rPr>
            </w:pPr>
          </w:p>
        </w:tc>
        <w:tc>
          <w:tcPr>
            <w:tcW w:w="200" w:type="dxa"/>
            <w:vAlign w:val="bottom"/>
            <w:shd w:val="clear" w:color="auto" w:fill="D9DCE1"/>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D9DCE1"/>
          </w:tcPr>
          <w:p>
            <w:pPr>
              <w:spacing w:after="0" w:line="20" w:lineRule="exact"/>
              <w:rPr>
                <w:sz w:val="1"/>
                <w:szCs w:val="1"/>
                <w:color w:val="auto"/>
              </w:rPr>
            </w:pPr>
          </w:p>
        </w:tc>
        <w:tc>
          <w:tcPr>
            <w:tcW w:w="540" w:type="dxa"/>
            <w:vAlign w:val="bottom"/>
            <w:shd w:val="clear" w:color="auto" w:fill="D9DCE1"/>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gridSpan w:val="2"/>
            <w:shd w:val="clear" w:color="auto" w:fill="D9DCE1"/>
          </w:tcPr>
          <w:p>
            <w:pPr>
              <w:spacing w:after="0" w:line="20" w:lineRule="exact"/>
              <w:rPr>
                <w:sz w:val="1"/>
                <w:szCs w:val="1"/>
                <w:color w:val="auto"/>
              </w:rPr>
            </w:pPr>
          </w:p>
        </w:tc>
        <w:tc>
          <w:tcPr>
            <w:tcW w:w="20" w:type="dxa"/>
            <w:vAlign w:val="bottom"/>
            <w:shd w:val="clear" w:color="auto" w:fill="D9DCE1"/>
          </w:tcPr>
          <w:p>
            <w:pPr>
              <w:spacing w:after="0" w:line="20" w:lineRule="exact"/>
              <w:rPr>
                <w:sz w:val="1"/>
                <w:szCs w:val="1"/>
                <w:color w:val="auto"/>
              </w:rPr>
            </w:pPr>
          </w:p>
        </w:tc>
        <w:tc>
          <w:tcPr>
            <w:tcW w:w="100" w:type="dxa"/>
            <w:vAlign w:val="bottom"/>
            <w:shd w:val="clear" w:color="auto" w:fill="D9DCE1"/>
          </w:tcPr>
          <w:p>
            <w:pPr>
              <w:spacing w:after="0" w:line="20" w:lineRule="exact"/>
              <w:rPr>
                <w:sz w:val="1"/>
                <w:szCs w:val="1"/>
                <w:color w:val="auto"/>
              </w:rPr>
            </w:pPr>
          </w:p>
        </w:tc>
      </w:tr>
      <w:tr>
        <w:trPr>
          <w:trHeight w:val="264"/>
        </w:trPr>
        <w:tc>
          <w:tcPr>
            <w:tcW w:w="6300" w:type="dxa"/>
            <w:vAlign w:val="bottom"/>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Total</w:t>
            </w:r>
          </w:p>
        </w:tc>
        <w:tc>
          <w:tcPr>
            <w:tcW w:w="200" w:type="dxa"/>
            <w:vAlign w:val="bottom"/>
          </w:tcPr>
          <w:p>
            <w:pPr>
              <w:spacing w:after="0"/>
              <w:rPr>
                <w:sz w:val="22"/>
                <w:szCs w:val="22"/>
                <w:color w:val="auto"/>
              </w:rPr>
            </w:pPr>
          </w:p>
        </w:tc>
        <w:tc>
          <w:tcPr>
            <w:tcW w:w="380" w:type="dxa"/>
            <w:vAlign w:val="bottom"/>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7.7</w:t>
            </w:r>
          </w:p>
        </w:tc>
        <w:tc>
          <w:tcPr>
            <w:tcW w:w="100" w:type="dxa"/>
            <w:vAlign w:val="bottom"/>
          </w:tcPr>
          <w:p>
            <w:pPr>
              <w:spacing w:after="0"/>
              <w:rPr>
                <w:sz w:val="22"/>
                <w:szCs w:val="22"/>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center"/>
              <w:ind w:righ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7.2</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0"/>
        </w:trPr>
        <w:tc>
          <w:tcPr>
            <w:tcW w:w="1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197485</wp:posOffset>
            </wp:positionV>
            <wp:extent cx="12344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620" w:right="719" w:hanging="360"/>
        <w:spacing w:after="0" w:line="222" w:lineRule="auto"/>
        <w:tabs>
          <w:tab w:leader="none" w:pos="1620" w:val="left"/>
        </w:tabs>
        <w:numPr>
          <w:ilvl w:val="0"/>
          <w:numId w:val="84"/>
        </w:numPr>
        <w:rPr>
          <w:rFonts w:ascii="Arial" w:cs="Arial" w:eastAsia="Arial" w:hAnsi="Arial"/>
          <w:sz w:val="27"/>
          <w:szCs w:val="27"/>
          <w:color w:val="auto"/>
          <w:vertAlign w:val="superscript"/>
        </w:rPr>
      </w:pPr>
      <w:r>
        <w:rPr>
          <w:rFonts w:ascii="Arial" w:cs="Arial" w:eastAsia="Arial" w:hAnsi="Arial"/>
          <w:sz w:val="18"/>
          <w:szCs w:val="18"/>
          <w:color w:val="auto"/>
        </w:rPr>
        <w:t>Audit fees include those related to (a) our annual audit (including internal control evaluation and reporting), (b) the audit of certain joint ventures of which we are the operator, and (c) work performed in connection with the registration of publicly held debt and equity.</w:t>
      </w:r>
    </w:p>
    <w:p>
      <w:pPr>
        <w:spacing w:after="0" w:line="58" w:lineRule="exact"/>
        <w:rPr>
          <w:rFonts w:ascii="Arial" w:cs="Arial" w:eastAsia="Arial" w:hAnsi="Arial"/>
          <w:sz w:val="27"/>
          <w:szCs w:val="27"/>
          <w:color w:val="auto"/>
          <w:vertAlign w:val="superscript"/>
        </w:rPr>
      </w:pPr>
    </w:p>
    <w:p>
      <w:pPr>
        <w:ind w:left="1620" w:right="739" w:hanging="360"/>
        <w:spacing w:after="0" w:line="210" w:lineRule="auto"/>
        <w:tabs>
          <w:tab w:leader="none" w:pos="1620" w:val="left"/>
        </w:tabs>
        <w:numPr>
          <w:ilvl w:val="0"/>
          <w:numId w:val="84"/>
        </w:numPr>
        <w:rPr>
          <w:rFonts w:ascii="Arial" w:cs="Arial" w:eastAsia="Arial" w:hAnsi="Arial"/>
          <w:sz w:val="27"/>
          <w:szCs w:val="27"/>
          <w:color w:val="auto"/>
          <w:vertAlign w:val="superscript"/>
        </w:rPr>
      </w:pPr>
      <w:r>
        <w:rPr>
          <w:rFonts w:ascii="Arial" w:cs="Arial" w:eastAsia="Arial" w:hAnsi="Arial"/>
          <w:sz w:val="18"/>
          <w:szCs w:val="18"/>
          <w:color w:val="auto"/>
        </w:rPr>
        <w:t>Audit-related fees primarily related to an audit of financial statements prepared on a “carve-out” basis in connection with a business combination.</w:t>
      </w:r>
    </w:p>
    <w:p>
      <w:pPr>
        <w:spacing w:after="0" w:line="46" w:lineRule="exact"/>
        <w:rPr>
          <w:rFonts w:ascii="Arial" w:cs="Arial" w:eastAsia="Arial" w:hAnsi="Arial"/>
          <w:sz w:val="27"/>
          <w:szCs w:val="27"/>
          <w:color w:val="auto"/>
          <w:vertAlign w:val="superscript"/>
        </w:rPr>
      </w:pPr>
    </w:p>
    <w:p>
      <w:pPr>
        <w:ind w:left="1620" w:right="819" w:hanging="360"/>
        <w:spacing w:after="0" w:line="222" w:lineRule="auto"/>
        <w:tabs>
          <w:tab w:leader="none" w:pos="1620" w:val="left"/>
        </w:tabs>
        <w:numPr>
          <w:ilvl w:val="0"/>
          <w:numId w:val="84"/>
        </w:numPr>
        <w:rPr>
          <w:rFonts w:ascii="Arial" w:cs="Arial" w:eastAsia="Arial" w:hAnsi="Arial"/>
          <w:sz w:val="27"/>
          <w:szCs w:val="27"/>
          <w:color w:val="auto"/>
          <w:vertAlign w:val="superscript"/>
        </w:rPr>
      </w:pPr>
      <w:r>
        <w:rPr>
          <w:rFonts w:ascii="Arial" w:cs="Arial" w:eastAsia="Arial" w:hAnsi="Arial"/>
          <w:sz w:val="18"/>
          <w:szCs w:val="18"/>
          <w:color w:val="auto"/>
        </w:rPr>
        <w:t>Tax fees are primarily related to tax processing as well as the preparation of Forms K-1 for our unitholders and international tax planning work associated with the structure of our Canadian investment.</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Pre-Approval Policy</w:t>
      </w:r>
    </w:p>
    <w:p>
      <w:pPr>
        <w:spacing w:after="0" w:line="158" w:lineRule="exact"/>
        <w:rPr>
          <w:sz w:val="20"/>
          <w:szCs w:val="20"/>
          <w:color w:val="auto"/>
        </w:rPr>
      </w:pPr>
    </w:p>
    <w:p>
      <w:pPr>
        <w:ind w:left="1260" w:right="619" w:firstLine="360"/>
        <w:spacing w:after="0" w:line="254" w:lineRule="auto"/>
        <w:rPr>
          <w:sz w:val="20"/>
          <w:szCs w:val="20"/>
          <w:color w:val="auto"/>
        </w:rPr>
      </w:pPr>
      <w:r>
        <w:rPr>
          <w:rFonts w:ascii="Arial" w:cs="Arial" w:eastAsia="Arial" w:hAnsi="Arial"/>
          <w:sz w:val="18"/>
          <w:szCs w:val="18"/>
          <w:color w:val="auto"/>
        </w:rPr>
        <w:t>Our Audit Committee reviews our external financial reporting, engages our independent auditors and reviews the adequacy of our internal accounting controls. Our Audit Committee performs similar functions on PAGP’s behalf. All services provided by our independent auditor to us or to PAGP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2022 and 2021 were approved in advance by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2 — RATIFICATION OF APPOINTMENT OF INDEPENDENT REGISTERED PUBLIC</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ACCOUNTING FIRM</w:t>
      </w:r>
    </w:p>
    <w:p>
      <w:pPr>
        <w:spacing w:after="0" w:line="207" w:lineRule="exact"/>
        <w:rPr>
          <w:sz w:val="20"/>
          <w:szCs w:val="20"/>
          <w:color w:val="auto"/>
        </w:rPr>
      </w:pPr>
    </w:p>
    <w:p>
      <w:pPr>
        <w:jc w:val="center"/>
        <w:ind w:left="1920" w:right="200"/>
        <w:spacing w:after="0" w:line="265" w:lineRule="auto"/>
        <w:rPr>
          <w:sz w:val="20"/>
          <w:szCs w:val="20"/>
          <w:color w:val="auto"/>
        </w:rPr>
      </w:pPr>
      <w:r>
        <w:rPr>
          <w:rFonts w:ascii="Arial" w:cs="Arial" w:eastAsia="Arial" w:hAnsi="Arial"/>
          <w:sz w:val="18"/>
          <w:szCs w:val="18"/>
          <w:b w:val="1"/>
          <w:bCs w:val="1"/>
          <w:color w:val="auto"/>
        </w:rPr>
        <w:t>THE BOARD OF DIRECTORS UNANIMOUSLY RECOMMENDS THAT YOU VOTE “FOR” THE RATIFICATION OF THE APPOINTMENT OF PRICEWATERHOUSECOOPERS LLP AS OUR INDEPENDENT REGISTERED PUBLIC ACCOUNTING FIRM FOR THE FISCAL YEAR ENDING DECEMBER 31, 2023.</w:t>
      </w:r>
    </w:p>
    <w:p>
      <w:pPr>
        <w:spacing w:after="0" w:line="98"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The second proposal item to be voted on at the PAA Annual Meeting is ratification of the appointment of PricewaterhouseCoopers LLP as our independent registered public accounting firm for the fiscal year ending December 31, 2023. Votes cast on this proposal by our Unitholders will be “passed through” as instructions to PAA as to how PAA should vote the PAGP Class C shares that it owns at the PAGP Annual Meeting on ratification of the appointment of PricewaterhouseCoopers LLP as our and PAGP’s independent registered public accounting firm for 2023.</w:t>
      </w:r>
    </w:p>
    <w:p>
      <w:pPr>
        <w:spacing w:after="0" w:line="1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Audit Committee of the Board has appointed PricewaterhouseCoopers LLP to continue to act</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our and PAGP’s independent registered public accounting firm for the fiscal year ending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December 31, 2023. The Board has directed that such appointment be submitted to our Unitholders for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ratification at the PAA Annual Meeting.</w:t>
      </w:r>
    </w:p>
    <w:p>
      <w:pPr>
        <w:spacing w:after="0" w:line="126"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Ratification of the appointment of PricewaterhouseCoopers LLP as our and PAGP’s independent registered public accounting firm is not required. The Board, however, is submitting the appointment to our Unitholders for ratification as a good corporate governance practice. Representatives of PricewaterhouseCoopers LLP are expected to be present at the PAA Annual Meeting and will have an opportunity to make a statement if they so desire. They will also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3 — ADVISORY VOTE TO APPROVE OUR 2022 NAMED EXECUTIVE OFFICER</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COMPENSATION</w:t>
      </w:r>
    </w:p>
    <w:p>
      <w:pPr>
        <w:spacing w:after="0" w:line="194" w:lineRule="exact"/>
        <w:rPr>
          <w:sz w:val="20"/>
          <w:szCs w:val="20"/>
          <w:color w:val="auto"/>
        </w:rPr>
      </w:pPr>
    </w:p>
    <w:p>
      <w:pPr>
        <w:jc w:val="center"/>
        <w:ind w:left="1860" w:right="120"/>
        <w:spacing w:after="0" w:line="265" w:lineRule="auto"/>
        <w:rPr>
          <w:sz w:val="20"/>
          <w:szCs w:val="20"/>
          <w:color w:val="auto"/>
        </w:rPr>
      </w:pPr>
      <w:r>
        <w:rPr>
          <w:rFonts w:ascii="Arial" w:cs="Arial" w:eastAsia="Arial" w:hAnsi="Arial"/>
          <w:sz w:val="18"/>
          <w:szCs w:val="18"/>
          <w:b w:val="1"/>
          <w:bCs w:val="1"/>
          <w:color w:val="auto"/>
        </w:rPr>
        <w:t>THE BOARD UNANIMOUSLY RECOMMENDS THAT YOU VOTE, ON A NON-BINDING ADVISORY BASIS, “FOR” THE RESOLUTION APPROVING THE 2022 COMPENSATION OF THE NAMED EXECUTIVE OFFICERS AS DESCRIBED IN THIS PROXY STATEMENT.</w:t>
      </w:r>
    </w:p>
    <w:p>
      <w:pPr>
        <w:spacing w:after="0" w:line="84"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color w:val="auto"/>
        </w:rPr>
        <w:t>This proposal, commonly known as a “say-on-pay” proposal, provides our Unitholders with the opportunity to cast a pass-through advisory vote on the approval of the compensation of our Named Executive Officers.</w:t>
      </w:r>
    </w:p>
    <w:p>
      <w:pPr>
        <w:spacing w:after="0" w:line="101"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Board recognizes that executive compensation is an important matter for our Unitholders. As described in detail in the “Executive Compensation” section and elsewhere in this proxy statement, the Compensation Committee is tasked with the implementation of our executive compensation philosophy, and the core of that philosophy has been, and continues to be, to pay our executive officers based on performance. In particular, the Compensation Committee strives to attract, retain and motivate exceptional executives, to reward past performance measured against established goals and provide incentives for future performance, and to align executives’ long-term interests with the interests of our Unitholders. To do so, the Compensation Committee uses a combination of short- and long-term incentive compensation to reward near-term performance and to encourage executives’ commitment to our long-range, strategic business goals. It is the intention of the Compensation Committee that our executive officers be compensated competitively and consistently with our strategy, sound corporate governance principles and Unitholder interests and concerns.</w:t>
      </w:r>
    </w:p>
    <w:p>
      <w:pPr>
        <w:spacing w:after="0" w:line="118"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As described in the Compensation Discussion and Analysis section of this proxy statement, we believe our compensation program is effective, appropriate and strongly aligned with the long-term interests of our Unitholders and that the total compensation provided to the Named Executive Officers (including potential payouts upon a termination or change of control) is reasonable and not excessive. As you consider this Proposal 3, we urge you to read the Compensation Discussion and Analysis section of this proxy statement for additional details on executive compensation, including the more detailed information about our compensation philosophy and objectives, and to review the tabular disclosures regarding Named Executive Officer compensation together with the accompanying narrative disclosures in the Executive Compensation section of this proxy statement.</w:t>
      </w:r>
    </w:p>
    <w:p>
      <w:pPr>
        <w:spacing w:after="0" w:line="11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The Dodd-Frank Wall Street Reform and Consumer Protection Act of 2012, as well as Section 14A of the Exchange Act, and the rules promulgated thereunder, enables our Unitholders the opportunity to express their views, on an advisory basis, on the compensation of the Named Executive Officers. This vote is not intended to address any specific item of compensation, but rather the overall compensation of the Named Executive Officers and the philosophy, policies and practices described in this proxy statement.</w:t>
      </w:r>
    </w:p>
    <w:p>
      <w:pPr>
        <w:spacing w:after="0" w:line="115"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As an advisory vote, this Proposal 3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Unitholders and will carefully consider the outcome of the vote when making future compensation decisions for executive officers. In particular, to the extent there is any significant vote against the Named Executive Officers’ compensation as disclosed in this proxy statement, we will consider our Unitholders’ concerns, and the Compensation Committee will evaluate whether any actions are necessary to address those concerns.</w:t>
      </w:r>
    </w:p>
    <w:p>
      <w:pPr>
        <w:spacing w:after="0" w:line="117" w:lineRule="exact"/>
        <w:rPr>
          <w:sz w:val="20"/>
          <w:szCs w:val="20"/>
          <w:color w:val="auto"/>
        </w:rPr>
      </w:pPr>
    </w:p>
    <w:p>
      <w:pPr>
        <w:ind w:left="1260" w:right="599" w:firstLine="360"/>
        <w:spacing w:after="0" w:line="287" w:lineRule="auto"/>
        <w:rPr>
          <w:sz w:val="20"/>
          <w:szCs w:val="20"/>
          <w:color w:val="auto"/>
        </w:rPr>
      </w:pPr>
      <w:r>
        <w:rPr>
          <w:rFonts w:ascii="Arial" w:cs="Arial" w:eastAsia="Arial" w:hAnsi="Arial"/>
          <w:sz w:val="18"/>
          <w:szCs w:val="18"/>
          <w:color w:val="auto"/>
        </w:rPr>
        <w:t>For the reasons set forth above, the following resolution will be submitted for approval at the PAA Annual Meeting:</w:t>
      </w:r>
    </w:p>
    <w:p>
      <w:pPr>
        <w:spacing w:after="0" w:line="7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Named Executive Officers during and with respect to the calendar year ended December 31, 2022, as disclosed pursuant to Item 402 of Regulation S-K in PAA’s proxy statement for its 2023 Annual Meeting of Unitholders, including the Compensation Discussion and Analysis, compensation tables and accompanying narrative discussion, is hereby approved.”</w:t>
      </w: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OTHER MATTERS FOR THE PAA ANNUAL MEETING</w:t>
      </w:r>
    </w:p>
    <w:p>
      <w:pPr>
        <w:spacing w:after="0" w:line="158"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We know of no matters to be acted upon at the PAA Annual Meeting other than the proposals included in the accompanying notice and described in this proxy statement. If any other matter requiring a vote of Unitholders arises, including a question of adjourning the PAA Annual Meeting, the persons named as proxies in the proxy card will have the discretion to vote thereon according to their best judgment of what they consider to be in the best interests of PAA. The proxy card confers discretionary authority to take action with respect to any additional matters that may come before the meeting or any adjournment thereof.</w:t>
      </w:r>
    </w:p>
    <w:p>
      <w:pPr>
        <w:spacing w:after="0" w:line="175"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DIRECTOR NOMINATIONS AND UNITHOLDER PROPOSALS FOR THE 2024 ANNUAL MEETING</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PAGP GP Director Nominations</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Pursuant to Section 13.13 of our partnership agreement, any eligible Unitholder who owns common units equal in number to 10% or more of the outstanding Class A, Class B and Class C shares of PAGP, taken together as a single class, is entitled to direct our general partner to cause us to nominate one person for election as a PAGP Eligible Director in accordance with Section 13.4(c)(ii) of PAGP’s partnership agreement. Eligible Unitholders who wish to submit a director nomination for our 2024 annual meeting must deliver written notice thereof to our principal executive offices in care of the Corporate Secretary by mail to 333 Clay Street, Suite 1600, Houston, Texas 77002 no later than the close of business on February 24, 2024, nor earlier than the close of business on January 25, 2024. In the event that the date of the 2024 annual meeting is changed by more than 30 days before or more than 60 days after the one-year anniversary of the 2023 annual meeting, Unitholder notice of a director nomination must be received no earlier than the close of business on the 120th day prior to the 2024 annual meeting and not later than the close of business on the date that is the later of the (i) 90th day prior to the 2024 annual meeting or (ii) if the first public announcement of the 2024 annual meeting is less than 100 days prior to such meeting, the 10th day following the day on which public announcement of the date of the 2024 annual meeting is first made.</w:t>
      </w:r>
    </w:p>
    <w:p>
      <w:pPr>
        <w:spacing w:after="0" w:line="110"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The written notice must comply with Section 13.13 of our partnership agreement and the procedures set forth in Section 13.4(c)(ii) of PAGP’s partnership agreement, including the informational requirements included in Section 13.4(c)(ii)(A)(3). We will not entertain any nomination at the PAA Annual Meeting that does not meet the requirements set forth in our partnership agreement and PAGP’s partnership agreement. Our partnership agreement is filed as Exhibit 3.1 to our Current Report on Form 8-K filed on October 12, 2017, and PAGP’s partnership agreement is filed as Exhibit 3.2 to our Current Report on Form 8-K filed on November 21, 2016.</w:t>
      </w:r>
    </w:p>
    <w:p>
      <w:pPr>
        <w:spacing w:after="0" w:line="113"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color w:val="auto"/>
        </w:rPr>
        <w:t>In addition to satisfying the requirements under our partnership agreement and PAGP’s partnership agreement as described in the immediately preceding paragraph, to comply with the universal proxy rules under the Exchange Act, any eligible Unitholder who intends to solicit proxies in support of director nominees other than our nominees must provide written notice that sets forth the information required by Rule 14a-19 under the Exchange Act no later than March 25, 2024. However, if the date of the 2024 annual meeting is more than 30 days before or after the anniversary of the date of the 2023 annual meeting, then such written notice must be delivered by the later of (i) the tenth day following the public announcement of the date of the 2024 annual meeting is first made and (ii) the date that is 60 days prior to the date of the 2024 annual meeting.</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Unitholder Proposals</w:t>
      </w:r>
    </w:p>
    <w:p>
      <w:pPr>
        <w:spacing w:after="0" w:line="158"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Any Unitholder who, in accordance with Rule 14a-8 under the Exchange Act, wishes to submit a proposal for inclusion in our proxy statement for the 2024 annual meeting must submit their proposal in writing, along with proof of eligibility, to our principal executive offices in care of the Corporate Secretary by mail to 333 Clay Street, Suite 1600, Houston, Texas 77002. Proposal submissions must be received no later than the close of business (5:00 p.m. Central Time) on December 16, 2023, to be considered timely. SEC rules set forth standards as to what proposals are required to be included in a proxy statement for a meeting. In no event are Unitholders allowed to vote on matters that would cause the Unitholders to be deemed to take part in the management and control of our business and affairs so as to jeopardize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spacing w:after="0" w:line="287" w:lineRule="auto"/>
        <w:rPr>
          <w:sz w:val="20"/>
          <w:szCs w:val="20"/>
          <w:color w:val="auto"/>
        </w:rPr>
      </w:pPr>
      <w:r>
        <w:rPr>
          <w:rFonts w:ascii="Arial" w:cs="Arial" w:eastAsia="Arial" w:hAnsi="Arial"/>
          <w:sz w:val="18"/>
          <w:szCs w:val="18"/>
          <w:color w:val="auto"/>
        </w:rPr>
        <w:t>such Unitholder’s limited liability under the Delaware limited partnership act or the law of any other state in which we are qualified to do business.</w:t>
      </w:r>
    </w:p>
    <w:p>
      <w:pPr>
        <w:spacing w:after="0" w:line="15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HOUSEHOLDING MATTERS</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In some cases, Unitholders who share a single address will receive only one annual report and one proxy statement at that address unless we have received instructions to the contrary from any Unitholder at that address. This practice, known as “householding,” is designed to reduce our printing and postage costs. However, if a Unitholder of record residing at such an address wishes to receive a separate copy of our annual report or proxy statement or future annual reports or proxy statements (as applicable), he or she may contact our Corporate Secretary at (713) 646-4100, or write to Plains All American Pipeline, L.P., 333 Clay Street, Suite 1600, Houston, Texas 77002, attention: Corporate Secretary. We will deliver separate copies of our annual report or proxy statement promptly upon written or oral request. If you are a Unitholder of record receiving multiple copies of our annual report or proxy statement, you can request householding by contacting us in the same manner. If you own your Units through a bank, broker or other Unitholder of record, you can request additional copies of the annual report or proxy statement or request householding by contacting the Unitholder of record (i.e., your bank or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4397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843978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4054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84054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4740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847407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1."/>
      <w:numFmt w:val="decimal"/>
      <w:start w:val="1"/>
    </w:lvl>
  </w:abstractNum>
  <w:abstractNum w:abstractNumId="5">
    <w:nsid w:val="57E4CCAF"/>
    <w:multiLevelType w:val="hybridMultilevel"/>
    <w:lvl w:ilvl="0">
      <w:lvlJc w:val="left"/>
      <w:lvlText w:val="%1."/>
      <w:numFmt w:val="decimal"/>
      <w:start w:val="3"/>
    </w:lvl>
  </w:abstractNum>
  <w:abstractNum w:abstractNumId="6">
    <w:nsid w:val="7A6D8D3C"/>
    <w:multiLevelType w:val="hybridMultilevel"/>
    <w:lvl w:ilvl="0">
      <w:lvlJc w:val="left"/>
      <w:lvlText w:val="%1:"/>
      <w:numFmt w:val="upperLetter"/>
      <w:start w:val="1"/>
    </w:lvl>
  </w:abstractNum>
  <w:abstractNum w:abstractNumId="7">
    <w:nsid w:val="4B588F54"/>
    <w:multiLevelType w:val="hybridMultilevel"/>
    <w:lvl w:ilvl="0">
      <w:lvlJc w:val="left"/>
      <w:lvlText w:val="%1:"/>
      <w:numFmt w:val="upperLetter"/>
      <w:start w:val="1"/>
    </w:lvl>
    <w:lvl w:ilvl="1">
      <w:lvlJc w:val="left"/>
      <w:lvlText w:val="•"/>
      <w:numFmt w:val="bullet"/>
      <w:start w:val="1"/>
    </w:lvl>
  </w:abstractNum>
  <w:abstractNum w:abstractNumId="8">
    <w:nsid w:val="542289EC"/>
    <w:multiLevelType w:val="hybridMultilevel"/>
    <w:lvl w:ilvl="0">
      <w:lvlJc w:val="left"/>
      <w:lvlText w:val="%1:"/>
      <w:numFmt w:val="upperLetter"/>
      <w:start w:val="1"/>
    </w:lvl>
  </w:abstractNum>
  <w:abstractNum w:abstractNumId="9">
    <w:nsid w:val="6DE91B18"/>
    <w:multiLevelType w:val="hybridMultilevel"/>
    <w:lvl w:ilvl="0">
      <w:lvlJc w:val="left"/>
      <w:lvlText w:val="%1:"/>
      <w:numFmt w:val="upperLetter"/>
      <w:start w:val="1"/>
    </w:lvl>
  </w:abstractNum>
  <w:abstractNum w:abstractNumId="10">
    <w:nsid w:val="38437FDB"/>
    <w:multiLevelType w:val="hybridMultilevel"/>
    <w:lvl w:ilvl="0">
      <w:lvlJc w:val="left"/>
      <w:lvlText w:val="%1:"/>
      <w:numFmt w:val="upperLetter"/>
      <w:start w:val="1"/>
    </w:lvl>
  </w:abstractNum>
  <w:abstractNum w:abstractNumId="11">
    <w:nsid w:val="7644A45C"/>
    <w:multiLevelType w:val="hybridMultilevel"/>
    <w:lvl w:ilvl="0">
      <w:lvlJc w:val="left"/>
      <w:lvlText w:val="%1:"/>
      <w:numFmt w:val="upperLetter"/>
      <w:start w:val="1"/>
    </w:lvl>
  </w:abstractNum>
  <w:abstractNum w:abstractNumId="12">
    <w:nsid w:val="32FFF902"/>
    <w:multiLevelType w:val="hybridMultilevel"/>
    <w:lvl w:ilvl="0">
      <w:lvlJc w:val="left"/>
      <w:lvlText w:val="%1:"/>
      <w:numFmt w:val="upperLetter"/>
      <w:start w:val="1"/>
    </w:lvl>
    <w:lvl w:ilvl="1">
      <w:lvlJc w:val="left"/>
      <w:lvlText w:val="•"/>
      <w:numFmt w:val="bullet"/>
      <w:start w:val="1"/>
    </w:lvl>
  </w:abstractNum>
  <w:abstractNum w:abstractNumId="13">
    <w:nsid w:val="684A481A"/>
    <w:multiLevelType w:val="hybridMultilevel"/>
    <w:lvl w:ilvl="0">
      <w:lvlJc w:val="left"/>
      <w:lvlText w:val="%1:"/>
      <w:numFmt w:val="upperLetter"/>
      <w:start w:val="1"/>
    </w:lvl>
    <w:lvl w:ilvl="1">
      <w:lvlJc w:val="left"/>
      <w:lvlText w:val="•"/>
      <w:numFmt w:val="bullet"/>
      <w:start w:val="1"/>
    </w:lvl>
  </w:abstractNum>
  <w:abstractNum w:abstractNumId="14">
    <w:nsid w:val="579478FE"/>
    <w:multiLevelType w:val="hybridMultilevel"/>
    <w:lvl w:ilvl="0">
      <w:lvlJc w:val="left"/>
      <w:lvlText w:val="%1:"/>
      <w:numFmt w:val="upperLetter"/>
      <w:start w:val="1"/>
    </w:lvl>
  </w:abstractNum>
  <w:abstractNum w:abstractNumId="15">
    <w:nsid w:val="749ABB43"/>
    <w:multiLevelType w:val="hybridMultilevel"/>
    <w:lvl w:ilvl="0">
      <w:lvlJc w:val="left"/>
      <w:lvlText w:val="%1:"/>
      <w:numFmt w:val="upperLetter"/>
      <w:start w:val="1"/>
    </w:lvl>
    <w:lvl w:ilvl="1">
      <w:lvlJc w:val="left"/>
      <w:lvlText w:val="•"/>
      <w:numFmt w:val="bullet"/>
      <w:start w:val="1"/>
    </w:lvl>
  </w:abstractNum>
  <w:abstractNum w:abstractNumId="16">
    <w:nsid w:val="3DC240FB"/>
    <w:multiLevelType w:val="hybridMultilevel"/>
    <w:lvl w:ilvl="0">
      <w:lvlJc w:val="left"/>
      <w:lvlText w:val="%1:"/>
      <w:numFmt w:val="upperLetter"/>
      <w:start w:val="17"/>
    </w:lvl>
  </w:abstractNum>
  <w:abstractNum w:abstractNumId="17">
    <w:nsid w:val="1BA026FA"/>
    <w:multiLevelType w:val="hybridMultilevel"/>
    <w:lvl w:ilvl="0">
      <w:lvlJc w:val="left"/>
      <w:lvlText w:val="%1:"/>
      <w:numFmt w:val="upperLetter"/>
      <w:start w:val="1"/>
    </w:lvl>
  </w:abstractNum>
  <w:abstractNum w:abstractNumId="18">
    <w:nsid w:val="79A1DEAA"/>
    <w:multiLevelType w:val="hybridMultilevel"/>
    <w:lvl w:ilvl="0">
      <w:lvlJc w:val="left"/>
      <w:lvlText w:val="%1:"/>
      <w:numFmt w:val="upperLetter"/>
      <w:start w:val="1"/>
    </w:lvl>
  </w:abstractNum>
  <w:abstractNum w:abstractNumId="19">
    <w:nsid w:val="75C6C33A"/>
    <w:multiLevelType w:val="hybridMultilevel"/>
    <w:lvl w:ilvl="0">
      <w:lvlJc w:val="left"/>
      <w:lvlText w:val="%1:"/>
      <w:numFmt w:val="upperLetter"/>
      <w:start w:val="1"/>
    </w:lvl>
  </w:abstractNum>
  <w:abstractNum w:abstractNumId="20">
    <w:nsid w:val="12E685FB"/>
    <w:multiLevelType w:val="hybridMultilevel"/>
    <w:lvl w:ilvl="0">
      <w:lvlJc w:val="left"/>
      <w:lvlText w:val="%1:"/>
      <w:numFmt w:val="upperLetter"/>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1)"/>
      <w:numFmt w:val="lowerRoman"/>
      <w:start w:val="1"/>
    </w:lvl>
  </w:abstractNum>
  <w:abstractNum w:abstractNumId="37">
    <w:nsid w:val="10233C99"/>
    <w:multiLevelType w:val="hybridMultilevel"/>
    <w:lvl w:ilvl="0">
      <w:lvlJc w:val="left"/>
      <w:lvlText w:val="(%1)"/>
      <w:numFmt w:val="lowerRoman"/>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1"/>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lvl w:ilvl="1">
      <w:lvlJc w:val="left"/>
      <w:lvlText w:val="(%2)"/>
      <w:numFmt w:val="decimal"/>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1)"/>
      <w:numFmt w:val="decimal"/>
      <w:start w:val="1"/>
    </w:lvl>
  </w:abstractNum>
  <w:abstractNum w:abstractNumId="47">
    <w:nsid w:val="1DBABF00"/>
    <w:multiLevelType w:val="hybridMultilevel"/>
    <w:lvl w:ilvl="0">
      <w:lvlJc w:val="left"/>
      <w:lvlText w:val="(%1)"/>
      <w:numFmt w:val="decimal"/>
      <w:start w:val="1"/>
    </w:lvl>
  </w:abstractNum>
  <w:abstractNum w:abstractNumId="48">
    <w:nsid w:val="4AD084E9"/>
    <w:multiLevelType w:val="hybridMultilevel"/>
    <w:lvl w:ilvl="0">
      <w:lvlJc w:val="left"/>
      <w:lvlText w:val="(%1)"/>
      <w:numFmt w:val="lowerRoman"/>
      <w:start w:val="1"/>
    </w:lvl>
  </w:abstractNum>
  <w:abstractNum w:abstractNumId="49">
    <w:nsid w:val="1F48EAA1"/>
    <w:multiLevelType w:val="hybridMultilevel"/>
    <w:lvl w:ilvl="0">
      <w:lvlJc w:val="left"/>
      <w:lvlText w:val="(%1)"/>
      <w:numFmt w:val="lowerRoman"/>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1)"/>
      <w:numFmt w:val="decimal"/>
      <w:start w:val="1"/>
    </w:lvl>
  </w:abstractNum>
  <w:abstractNum w:abstractNumId="54">
    <w:nsid w:val="15014ACB"/>
    <w:multiLevelType w:val="hybridMultilevel"/>
    <w:lvl w:ilvl="0">
      <w:lvlJc w:val="left"/>
      <w:lvlText w:val="(%1)"/>
      <w:numFmt w:val="decimal"/>
      <w:start w:val="3"/>
    </w:lvl>
  </w:abstractNum>
  <w:abstractNum w:abstractNumId="55">
    <w:nsid w:val="5F5E7FD0"/>
    <w:multiLevelType w:val="hybridMultilevel"/>
    <w:lvl w:ilvl="0">
      <w:lvlJc w:val="left"/>
      <w:lvlText w:val="(%1)"/>
      <w:numFmt w:val="decimal"/>
      <w:start w:val="1"/>
    </w:lvl>
  </w:abstractNum>
  <w:abstractNum w:abstractNumId="56">
    <w:nsid w:val="98A3148"/>
    <w:multiLevelType w:val="hybridMultilevel"/>
    <w:lvl w:ilvl="0">
      <w:lvlJc w:val="left"/>
      <w:lvlText w:val="(%1)"/>
      <w:numFmt w:val="decimal"/>
      <w:start w:val="4"/>
    </w:lvl>
  </w:abstractNum>
  <w:abstractNum w:abstractNumId="57">
    <w:nsid w:val="799D0247"/>
    <w:multiLevelType w:val="hybridMultilevel"/>
    <w:lvl w:ilvl="0">
      <w:lvlJc w:val="left"/>
      <w:lvlText w:val="(%1)"/>
      <w:numFmt w:val="decimal"/>
      <w:start w:val="1"/>
    </w:lvl>
  </w:abstractNum>
  <w:abstractNum w:abstractNumId="58">
    <w:nsid w:val="6B94764"/>
    <w:multiLevelType w:val="hybridMultilevel"/>
    <w:lvl w:ilvl="0">
      <w:lvlJc w:val="left"/>
      <w:lvlText w:val="(%1)"/>
      <w:numFmt w:val="decimal"/>
      <w:start w:val="8"/>
    </w:lvl>
  </w:abstractNum>
  <w:abstractNum w:abstractNumId="59">
    <w:nsid w:val="42C296BD"/>
    <w:multiLevelType w:val="hybridMultilevel"/>
    <w:lvl w:ilvl="0">
      <w:lvlJc w:val="left"/>
      <w:lvlText w:val="(%1)"/>
      <w:numFmt w:val="decimal"/>
      <w:start w:val="1"/>
    </w:lvl>
  </w:abstractNum>
  <w:abstractNum w:abstractNumId="60">
    <w:nsid w:val="168E121F"/>
    <w:multiLevelType w:val="hybridMultilevel"/>
    <w:lvl w:ilvl="0">
      <w:lvlJc w:val="left"/>
      <w:lvlText w:val="(%1)"/>
      <w:numFmt w:val="decimal"/>
      <w:start w:val="1"/>
    </w:lvl>
  </w:abstractNum>
  <w:abstractNum w:abstractNumId="61">
    <w:nsid w:val="1EBA5D23"/>
    <w:multiLevelType w:val="hybridMultilevel"/>
    <w:lvl w:ilvl="0">
      <w:lvlJc w:val="left"/>
      <w:lvlText w:val="(%1)"/>
      <w:numFmt w:val="decimal"/>
      <w:start w:val="2"/>
    </w:lvl>
    <w:lvl w:ilvl="1">
      <w:lvlJc w:val="left"/>
      <w:lvlText w:val="(%2)"/>
      <w:numFmt w:val="lowerRoman"/>
      <w:start w:val="1"/>
    </w:lvl>
  </w:abstractNum>
  <w:abstractNum w:abstractNumId="62">
    <w:nsid w:val="661E3F1E"/>
    <w:multiLevelType w:val="hybridMultilevel"/>
    <w:lvl w:ilvl="0">
      <w:lvlJc w:val="left"/>
      <w:lvlText w:val="(%1)"/>
      <w:numFmt w:val="decimal"/>
      <w:start w:val="3"/>
    </w:lvl>
  </w:abstractNum>
  <w:abstractNum w:abstractNumId="63">
    <w:nsid w:val="5DC79EA8"/>
    <w:multiLevelType w:val="hybridMultilevel"/>
    <w:lvl w:ilvl="0">
      <w:lvlJc w:val="left"/>
      <w:lvlText w:val="(%1)"/>
      <w:numFmt w:val="decimal"/>
      <w:start w:val="4"/>
    </w:lvl>
  </w:abstractNum>
  <w:abstractNum w:abstractNumId="64">
    <w:nsid w:val="540A471C"/>
    <w:multiLevelType w:val="hybridMultilevel"/>
    <w:lvl w:ilvl="0">
      <w:lvlJc w:val="left"/>
      <w:lvlText w:val="(%1)"/>
      <w:numFmt w:val="lowerLetter"/>
      <w:start w:val="2"/>
    </w:lvl>
  </w:abstractNum>
  <w:abstractNum w:abstractNumId="65">
    <w:nsid w:val="7BD3EE7B"/>
    <w:multiLevelType w:val="hybridMultilevel"/>
    <w:lvl w:ilvl="0">
      <w:lvlJc w:val="left"/>
      <w:lvlText w:val="(%1)"/>
      <w:numFmt w:val="decimal"/>
      <w:start w:val="5"/>
    </w:lvl>
  </w:abstractNum>
  <w:abstractNum w:abstractNumId="66">
    <w:nsid w:val="51D9C564"/>
    <w:multiLevelType w:val="hybridMultilevel"/>
    <w:lvl w:ilvl="0">
      <w:lvlJc w:val="left"/>
      <w:lvlText w:val="(%1)"/>
      <w:numFmt w:val="decimal"/>
      <w:start w:val="6"/>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1)"/>
      <w:numFmt w:val="decimal"/>
      <w:start w:val="1"/>
    </w:lvl>
  </w:abstractNum>
  <w:abstractNum w:abstractNumId="70">
    <w:nsid w:val="42963E5A"/>
    <w:multiLevelType w:val="hybridMultilevel"/>
    <w:lvl w:ilvl="0">
      <w:lvlJc w:val="left"/>
      <w:lvlText w:val="(%1)"/>
      <w:numFmt w:val="lowerLetter"/>
      <w:start w:val="1"/>
    </w:lvl>
  </w:abstractNum>
  <w:abstractNum w:abstractNumId="71">
    <w:nsid w:val="A0382C5"/>
    <w:multiLevelType w:val="hybridMultilevel"/>
    <w:lvl w:ilvl="0">
      <w:lvlJc w:val="left"/>
      <w:lvlText w:val="(%1)"/>
      <w:numFmt w:val="lowerLetter"/>
      <w:start w:val="1"/>
    </w:lvl>
  </w:abstractNum>
  <w:abstractNum w:abstractNumId="72">
    <w:nsid w:val="8F2B15E"/>
    <w:multiLevelType w:val="hybridMultilevel"/>
    <w:lvl w:ilvl="0">
      <w:lvlJc w:val="left"/>
      <w:lvlText w:val="(%1)"/>
      <w:numFmt w:val="lowerLetter"/>
      <w:start w:val="1"/>
    </w:lvl>
  </w:abstractNum>
  <w:abstractNum w:abstractNumId="73">
    <w:nsid w:val="1A32234B"/>
    <w:multiLevelType w:val="hybridMultilevel"/>
    <w:lvl w:ilvl="0">
      <w:lvlJc w:val="left"/>
      <w:lvlText w:val="(%1)"/>
      <w:numFmt w:val="lowerLetter"/>
      <w:start w:val="1"/>
    </w:lvl>
  </w:abstractNum>
  <w:abstractNum w:abstractNumId="74">
    <w:nsid w:val="3B0FD379"/>
    <w:multiLevelType w:val="hybridMultilevel"/>
    <w:lvl w:ilvl="0">
      <w:lvlJc w:val="left"/>
      <w:lvlText w:val="(%1)"/>
      <w:numFmt w:val="decimal"/>
      <w:start w:val="1"/>
    </w:lvl>
  </w:abstractNum>
  <w:abstractNum w:abstractNumId="75">
    <w:nsid w:val="68EB2F63"/>
    <w:multiLevelType w:val="hybridMultilevel"/>
    <w:lvl w:ilvl="0">
      <w:lvlJc w:val="left"/>
      <w:lvlText w:val="(%1)"/>
      <w:numFmt w:val="decimal"/>
      <w:start w:val="2"/>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1)"/>
      <w:numFmt w:val="decimal"/>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1)"/>
      <w:numFmt w:val="decimal"/>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2023-04-14T05:34:16Z</dcterms:created>
  <dcterms:modified xsi:type="dcterms:W3CDTF">2023-04-14T05:34:16Z</dcterms:modified>
</cp:coreProperties>
</file>