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January 5,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Effective January 5, 2018, the Board of Directors of PAA GP Holdings LLC approved the following executive officer title changes: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 Name</w:t>
            </w:r>
          </w:p>
        </w:tc>
        <w:tc>
          <w:tcPr>
            <w:tcW w:w="3880" w:type="dxa"/>
            <w:vAlign w:val="bottom"/>
            <w:gridSpan w:val="2"/>
          </w:tcPr>
          <w:p>
            <w:pPr>
              <w:ind w:left="1400"/>
              <w:spacing w:after="0"/>
              <w:rPr>
                <w:sz w:val="20"/>
                <w:szCs w:val="20"/>
                <w:color w:val="auto"/>
              </w:rPr>
            </w:pPr>
            <w:r>
              <w:rPr>
                <w:rFonts w:ascii="Arial" w:cs="Arial" w:eastAsia="Arial" w:hAnsi="Arial"/>
                <w:sz w:val="14"/>
                <w:szCs w:val="14"/>
                <w:b w:val="1"/>
                <w:bCs w:val="1"/>
                <w:color w:val="auto"/>
              </w:rPr>
              <w:t>Previous Title</w:t>
            </w:r>
          </w:p>
        </w:tc>
        <w:tc>
          <w:tcPr>
            <w:tcW w:w="3640" w:type="dxa"/>
            <w:vAlign w:val="bottom"/>
          </w:tcPr>
          <w:p>
            <w:pPr>
              <w:ind w:left="1520"/>
              <w:spacing w:after="0"/>
              <w:rPr>
                <w:sz w:val="20"/>
                <w:szCs w:val="20"/>
                <w:color w:val="auto"/>
              </w:rPr>
            </w:pPr>
            <w:r>
              <w:rPr>
                <w:rFonts w:ascii="Arial" w:cs="Arial" w:eastAsia="Arial" w:hAnsi="Arial"/>
                <w:sz w:val="14"/>
                <w:szCs w:val="14"/>
                <w:b w:val="1"/>
                <w:bCs w:val="1"/>
                <w:color w:val="auto"/>
              </w:rPr>
              <w:t>New Title</w:t>
            </w: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Commercial Officer</w:t>
            </w:r>
          </w:p>
        </w:tc>
      </w:tr>
      <w:tr>
        <w:trPr>
          <w:trHeight w:val="202"/>
        </w:trPr>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rPr>
              <w:t>Willie Chiang</w:t>
            </w: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Executive Vice President and Chief Operating</w:t>
            </w:r>
          </w:p>
        </w:tc>
        <w:tc>
          <w:tcPr>
            <w:tcW w:w="3640" w:type="dxa"/>
            <w:vAlign w:val="bottom"/>
          </w:tcPr>
          <w:p>
            <w:pPr>
              <w:spacing w:after="0" w:line="201" w:lineRule="exact"/>
              <w:rPr>
                <w:sz w:val="20"/>
                <w:szCs w:val="20"/>
                <w:color w:val="auto"/>
              </w:rPr>
            </w:pPr>
            <w:r>
              <w:rPr>
                <w:rFonts w:ascii="Arial" w:cs="Arial" w:eastAsia="Arial" w:hAnsi="Arial"/>
                <w:sz w:val="18"/>
                <w:szCs w:val="18"/>
                <w:color w:val="auto"/>
                <w:w w:val="99"/>
              </w:rPr>
              <w:t>Executive Vice President and Chief Operating</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Officer (U.S.)</w:t>
            </w:r>
          </w:p>
        </w:tc>
        <w:tc>
          <w:tcPr>
            <w:tcW w:w="364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These changes are consistent with our previously announced management succession plan transition process.</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business experience and compensation arrangements for Messrs. Pefanis and Chiang is included in the Registrant’s Annual Report on Form 10-K for the year ended December 31, 2016 as filed with the SEC on February 23, 2017.</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544" w:right="239" w:bottom="0" w:gutter="0" w:footer="0" w:header="0"/>
          <w:type w:val="continuous"/>
        </w:sectPr>
      </w:pPr>
    </w:p>
    <w:bookmarkStart w:id="1" w:name="page2"/>
    <w:bookmarkEnd w:id="1"/>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January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2020-01-13T23:47:40Z</dcterms:created>
  <dcterms:modified xsi:type="dcterms:W3CDTF">2020-01-13T23:47:40Z</dcterms:modified>
</cp:coreProperties>
</file>