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SCHEDULE 13G</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83185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74930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72651A108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66040</wp:posOffset>
            </wp:positionV>
            <wp:extent cx="36277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Check the following box if a fee is being paid with this statement </w:t>
      </w:r>
      <w:r>
        <w:rPr>
          <w:rFonts w:ascii="MS PGothic" w:cs="MS PGothic" w:eastAsia="MS PGothic" w:hAnsi="MS PGothic"/>
          <w:sz w:val="18"/>
          <w:szCs w:val="18"/>
          <w:color w:val="auto"/>
        </w:rPr>
        <w:t>☐</w:t>
      </w:r>
      <w:r>
        <w:rPr>
          <w:rFonts w:ascii="Arial" w:cs="Arial" w:eastAsia="Arial" w:hAnsi="Arial"/>
          <w:sz w:val="18"/>
          <w:szCs w:val="18"/>
          <w:color w:val="auto"/>
        </w:rPr>
        <w: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3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w w:val="94"/>
              </w:rPr>
              <w:t>CUSIP NO. 72651A108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60" w:type="dxa"/>
            <w:vAlign w:val="bottom"/>
          </w:tcPr>
          <w:p>
            <w:pPr>
              <w:ind w:left="2880"/>
              <w:spacing w:after="0"/>
              <w:rPr>
                <w:sz w:val="20"/>
                <w:szCs w:val="20"/>
                <w:color w:val="auto"/>
              </w:rPr>
            </w:pPr>
            <w:r>
              <w:rPr>
                <w:rFonts w:ascii="Arial" w:cs="Arial" w:eastAsia="Arial" w:hAnsi="Arial"/>
                <w:sz w:val="18"/>
                <w:szCs w:val="18"/>
                <w:color w:val="auto"/>
              </w:rPr>
              <w:t>13G</w:t>
            </w:r>
          </w:p>
        </w:tc>
        <w:tc>
          <w:tcPr>
            <w:tcW w:w="5440" w:type="dxa"/>
            <w:vAlign w:val="bottom"/>
            <w:gridSpan w:val="2"/>
          </w:tcPr>
          <w:p>
            <w:pPr>
              <w:ind w:left="3840"/>
              <w:spacing w:after="0"/>
              <w:rPr>
                <w:sz w:val="20"/>
                <w:szCs w:val="20"/>
                <w:color w:val="auto"/>
              </w:rPr>
            </w:pPr>
            <w:r>
              <w:rPr>
                <w:rFonts w:ascii="Arial" w:cs="Arial" w:eastAsia="Arial" w:hAnsi="Arial"/>
                <w:sz w:val="18"/>
                <w:szCs w:val="18"/>
                <w:color w:val="auto"/>
                <w:w w:val="88"/>
              </w:rPr>
              <w:t>PAGE 2 OF 8 PAGES</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4580" w:type="dxa"/>
            <w:vAlign w:val="bottom"/>
            <w:tcBorders>
              <w:bottom w:val="single" w:sz="8" w:color="auto"/>
            </w:tcBorders>
            <w:gridSpan w:val="5"/>
          </w:tcPr>
          <w:p>
            <w:pPr>
              <w:spacing w:after="0"/>
              <w:rPr>
                <w:sz w:val="21"/>
                <w:szCs w:val="21"/>
                <w:color w:val="auto"/>
              </w:rPr>
            </w:pPr>
          </w:p>
        </w:tc>
        <w:tc>
          <w:tcPr>
            <w:tcW w:w="5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458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52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1002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S.S. or I.R.S. IDENTIFICATION NO. OF ABOVE PERSON</w:t>
            </w: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400" w:type="dxa"/>
            <w:vAlign w:val="bottom"/>
            <w:vMerge w:val="restart"/>
          </w:tcPr>
          <w:p>
            <w:pPr>
              <w:ind w:left="20"/>
              <w:spacing w:after="0"/>
              <w:rPr>
                <w:sz w:val="20"/>
                <w:szCs w:val="20"/>
                <w:color w:val="auto"/>
              </w:rPr>
            </w:pPr>
            <w:r>
              <w:rPr>
                <w:rFonts w:ascii="Arial" w:cs="Arial" w:eastAsia="Arial" w:hAnsi="Arial"/>
                <w:sz w:val="18"/>
                <w:szCs w:val="18"/>
                <w:color w:val="auto"/>
              </w:rPr>
              <w:t>(A)</w:t>
            </w:r>
          </w:p>
        </w:tc>
        <w:tc>
          <w:tcPr>
            <w:tcW w:w="4180" w:type="dxa"/>
            <w:vAlign w:val="bottom"/>
            <w:gridSpan w:val="4"/>
            <w:vMerge w:val="restart"/>
          </w:tcPr>
          <w:p>
            <w:pPr>
              <w:ind w:left="60"/>
              <w:spacing w:after="0"/>
              <w:rPr>
                <w:sz w:val="20"/>
                <w:szCs w:val="20"/>
                <w:color w:val="auto"/>
              </w:rPr>
            </w:pPr>
            <w:r>
              <w:rPr>
                <w:rFonts w:ascii="Arial" w:cs="Arial" w:eastAsia="Arial" w:hAnsi="Arial"/>
                <w:sz w:val="18"/>
                <w:szCs w:val="18"/>
                <w:color w:val="auto"/>
              </w:rPr>
              <w:t>KAYNE ANDERSON CAPITAL ADVISORS, L.P.</w:t>
            </w:r>
          </w:p>
        </w:tc>
        <w:tc>
          <w:tcPr>
            <w:tcW w:w="5220" w:type="dxa"/>
            <w:vAlign w:val="bottom"/>
            <w:vMerge w:val="restart"/>
          </w:tcPr>
          <w:p>
            <w:pPr>
              <w:jc w:val="right"/>
              <w:ind w:right="4030"/>
              <w:spacing w:after="0"/>
              <w:rPr>
                <w:sz w:val="20"/>
                <w:szCs w:val="20"/>
                <w:color w:val="auto"/>
              </w:rPr>
            </w:pPr>
            <w:r>
              <w:rPr>
                <w:rFonts w:ascii="Arial" w:cs="Arial" w:eastAsia="Arial" w:hAnsi="Arial"/>
                <w:sz w:val="18"/>
                <w:szCs w:val="18"/>
                <w:color w:val="auto"/>
              </w:rPr>
              <w:t>- 95-4486379</w:t>
            </w: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1400" w:type="dxa"/>
            <w:vAlign w:val="bottom"/>
            <w:tcBorders>
              <w:left w:val="single" w:sz="8" w:color="auto"/>
              <w:right w:val="single" w:sz="8" w:color="auto"/>
            </w:tcBorders>
          </w:tcPr>
          <w:p>
            <w:pPr>
              <w:spacing w:after="0"/>
              <w:rPr>
                <w:sz w:val="5"/>
                <w:szCs w:val="5"/>
                <w:color w:val="auto"/>
              </w:rPr>
            </w:pPr>
          </w:p>
        </w:tc>
        <w:tc>
          <w:tcPr>
            <w:tcW w:w="400" w:type="dxa"/>
            <w:vAlign w:val="bottom"/>
            <w:vMerge w:val="continue"/>
          </w:tcPr>
          <w:p>
            <w:pPr>
              <w:spacing w:after="0"/>
              <w:rPr>
                <w:sz w:val="5"/>
                <w:szCs w:val="5"/>
                <w:color w:val="auto"/>
              </w:rPr>
            </w:pPr>
          </w:p>
        </w:tc>
        <w:tc>
          <w:tcPr>
            <w:tcW w:w="4180" w:type="dxa"/>
            <w:vAlign w:val="bottom"/>
            <w:gridSpan w:val="4"/>
            <w:vMerge w:val="continue"/>
          </w:tcPr>
          <w:p>
            <w:pPr>
              <w:spacing w:after="0"/>
              <w:rPr>
                <w:sz w:val="5"/>
                <w:szCs w:val="5"/>
                <w:color w:val="auto"/>
              </w:rPr>
            </w:pPr>
          </w:p>
        </w:tc>
        <w:tc>
          <w:tcPr>
            <w:tcW w:w="5220" w:type="dxa"/>
            <w:vAlign w:val="bottom"/>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(B)</w:t>
            </w:r>
          </w:p>
        </w:tc>
        <w:tc>
          <w:tcPr>
            <w:tcW w:w="4180" w:type="dxa"/>
            <w:vAlign w:val="bottom"/>
            <w:gridSpan w:val="4"/>
          </w:tcPr>
          <w:p>
            <w:pPr>
              <w:ind w:left="100"/>
              <w:spacing w:after="0"/>
              <w:rPr>
                <w:sz w:val="20"/>
                <w:szCs w:val="20"/>
                <w:color w:val="auto"/>
              </w:rPr>
            </w:pPr>
            <w:r>
              <w:rPr>
                <w:rFonts w:ascii="Arial" w:cs="Arial" w:eastAsia="Arial" w:hAnsi="Arial"/>
                <w:sz w:val="18"/>
                <w:szCs w:val="18"/>
                <w:color w:val="auto"/>
              </w:rPr>
              <w:t>RICHARD A. KAYNE</w:t>
            </w:r>
          </w:p>
        </w:tc>
        <w:tc>
          <w:tcPr>
            <w:tcW w:w="5220" w:type="dxa"/>
            <w:vAlign w:val="bottom"/>
          </w:tcPr>
          <w:p>
            <w:pPr>
              <w:jc w:val="right"/>
              <w:ind w:right="487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0020" w:type="dxa"/>
            <w:vAlign w:val="bottom"/>
            <w:tcBorders>
              <w:bottom w:val="single" w:sz="8" w:color="auto"/>
              <w:right w:val="single" w:sz="8" w:color="auto"/>
            </w:tcBorders>
            <w:gridSpan w:val="7"/>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1002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400" w:type="dxa"/>
            <w:vAlign w:val="bottom"/>
          </w:tcPr>
          <w:p>
            <w:pPr>
              <w:ind w:left="20"/>
              <w:spacing w:after="0" w:line="207" w:lineRule="exact"/>
              <w:rPr>
                <w:sz w:val="20"/>
                <w:szCs w:val="20"/>
                <w:color w:val="auto"/>
              </w:rPr>
            </w:pPr>
            <w:r>
              <w:rPr>
                <w:rFonts w:ascii="Arial" w:cs="Arial" w:eastAsia="Arial" w:hAnsi="Arial"/>
                <w:sz w:val="18"/>
                <w:szCs w:val="18"/>
                <w:color w:val="auto"/>
                <w:w w:val="89"/>
              </w:rPr>
              <w:t>(a)</w:t>
            </w:r>
            <w:r>
              <w:rPr>
                <w:rFonts w:ascii="MS PGothic" w:cs="MS PGothic" w:eastAsia="MS PGothic" w:hAnsi="MS PGothic"/>
                <w:sz w:val="18"/>
                <w:szCs w:val="18"/>
                <w:color w:val="auto"/>
                <w:w w:val="89"/>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w w:val="89"/>
              </w:rPr>
              <w:t>(b)</w:t>
            </w:r>
            <w:r>
              <w:rPr>
                <w:rFonts w:ascii="MS PGothic" w:cs="MS PGothic" w:eastAsia="MS PGothic" w:hAnsi="MS PGothic"/>
                <w:sz w:val="18"/>
                <w:szCs w:val="18"/>
                <w:color w:val="auto"/>
                <w:w w:val="89"/>
              </w:rPr>
              <w:t>☐</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3260" w:type="dxa"/>
            <w:vAlign w:val="bottom"/>
            <w:shd w:val="clear" w:color="auto" w:fill="BFBFBF"/>
          </w:tcPr>
          <w:p>
            <w:pPr>
              <w:spacing w:after="0"/>
              <w:rPr>
                <w:sz w:val="20"/>
                <w:szCs w:val="20"/>
                <w:color w:val="auto"/>
              </w:rPr>
            </w:pPr>
          </w:p>
        </w:tc>
        <w:tc>
          <w:tcPr>
            <w:tcW w:w="522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400" w:type="dxa"/>
            <w:vAlign w:val="bottom"/>
            <w:shd w:val="clear" w:color="auto" w:fill="BFBFBF"/>
          </w:tcPr>
          <w:p>
            <w:pPr>
              <w:spacing w:after="0"/>
              <w:rPr>
                <w:sz w:val="24"/>
                <w:szCs w:val="24"/>
                <w:color w:val="auto"/>
              </w:rPr>
            </w:pPr>
          </w:p>
        </w:tc>
        <w:tc>
          <w:tcPr>
            <w:tcW w:w="26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3260" w:type="dxa"/>
            <w:vAlign w:val="bottom"/>
            <w:shd w:val="clear" w:color="auto" w:fill="BFBFBF"/>
          </w:tcPr>
          <w:p>
            <w:pPr>
              <w:spacing w:after="0"/>
              <w:rPr>
                <w:sz w:val="24"/>
                <w:szCs w:val="24"/>
                <w:color w:val="auto"/>
              </w:rPr>
            </w:pPr>
          </w:p>
        </w:tc>
        <w:tc>
          <w:tcPr>
            <w:tcW w:w="522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3260" w:type="dxa"/>
            <w:vAlign w:val="bottom"/>
            <w:tcBorders>
              <w:bottom w:val="single" w:sz="8" w:color="auto"/>
            </w:tcBorders>
            <w:shd w:val="clear" w:color="auto" w:fill="BFBFBF"/>
          </w:tcPr>
          <w:p>
            <w:pPr>
              <w:spacing w:after="0"/>
              <w:rPr>
                <w:sz w:val="23"/>
                <w:szCs w:val="23"/>
                <w:color w:val="auto"/>
              </w:rPr>
            </w:pPr>
          </w:p>
        </w:tc>
        <w:tc>
          <w:tcPr>
            <w:tcW w:w="522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58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52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right w:val="single" w:sz="8" w:color="auto"/>
            </w:tcBorders>
            <w:vMerge w:val="continue"/>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(A)</w:t>
            </w:r>
          </w:p>
        </w:tc>
        <w:tc>
          <w:tcPr>
            <w:tcW w:w="4180" w:type="dxa"/>
            <w:vAlign w:val="bottom"/>
            <w:gridSpan w:val="4"/>
          </w:tcPr>
          <w:p>
            <w:pPr>
              <w:ind w:left="20"/>
              <w:spacing w:after="0"/>
              <w:rPr>
                <w:sz w:val="20"/>
                <w:szCs w:val="20"/>
                <w:color w:val="auto"/>
              </w:rPr>
            </w:pPr>
            <w:r>
              <w:rPr>
                <w:rFonts w:ascii="Arial" w:cs="Arial" w:eastAsia="Arial" w:hAnsi="Arial"/>
                <w:sz w:val="18"/>
                <w:szCs w:val="18"/>
                <w:color w:val="auto"/>
              </w:rPr>
              <w:t>IS A CALIFORNIA LIMITED PARTNERSHIP</w:t>
            </w:r>
          </w:p>
        </w:tc>
        <w:tc>
          <w:tcPr>
            <w:tcW w:w="52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(B)</w:t>
            </w:r>
          </w:p>
        </w:tc>
        <w:tc>
          <w:tcPr>
            <w:tcW w:w="4180" w:type="dxa"/>
            <w:vAlign w:val="bottom"/>
            <w:gridSpan w:val="4"/>
          </w:tcPr>
          <w:p>
            <w:pPr>
              <w:spacing w:after="0"/>
              <w:rPr>
                <w:sz w:val="20"/>
                <w:szCs w:val="20"/>
                <w:color w:val="auto"/>
              </w:rPr>
            </w:pPr>
            <w:r>
              <w:rPr>
                <w:rFonts w:ascii="Arial" w:cs="Arial" w:eastAsia="Arial" w:hAnsi="Arial"/>
                <w:sz w:val="18"/>
                <w:szCs w:val="18"/>
                <w:color w:val="auto"/>
              </w:rPr>
              <w:t>UNITED STATES</w:t>
            </w:r>
          </w:p>
        </w:tc>
        <w:tc>
          <w:tcPr>
            <w:tcW w:w="52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52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52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(A) 0</w:t>
            </w:r>
          </w:p>
        </w:tc>
        <w:tc>
          <w:tcPr>
            <w:tcW w:w="52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(B) 549,917</w:t>
            </w:r>
          </w:p>
        </w:tc>
        <w:tc>
          <w:tcPr>
            <w:tcW w:w="52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52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gridSpan w:val="2"/>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52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gridSpan w:val="2"/>
            <w:vMerge w:val="continue"/>
          </w:tcPr>
          <w:p>
            <w:pPr>
              <w:spacing w:after="0"/>
              <w:rPr>
                <w:sz w:val="21"/>
                <w:szCs w:val="21"/>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(A) 7,219,041</w:t>
            </w:r>
          </w:p>
        </w:tc>
        <w:tc>
          <w:tcPr>
            <w:tcW w:w="52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800" w:type="dxa"/>
            <w:vAlign w:val="bottom"/>
            <w:tcBorders>
              <w:left w:val="single" w:sz="8" w:color="auto"/>
            </w:tcBorders>
            <w:gridSpan w:val="2"/>
          </w:tcPr>
          <w:p>
            <w:pPr>
              <w:jc w:val="center"/>
              <w:ind w:left="129"/>
              <w:spacing w:after="0"/>
              <w:rPr>
                <w:sz w:val="20"/>
                <w:szCs w:val="20"/>
                <w:color w:val="auto"/>
              </w:rPr>
            </w:pPr>
            <w:r>
              <w:rPr>
                <w:rFonts w:ascii="Arial" w:cs="Arial" w:eastAsia="Arial" w:hAnsi="Arial"/>
                <w:sz w:val="18"/>
                <w:szCs w:val="18"/>
                <w:b w:val="1"/>
                <w:bCs w:val="1"/>
                <w:color w:val="auto"/>
              </w:rPr>
              <w:t>BENEFICIALLY</w:t>
            </w:r>
          </w:p>
        </w:tc>
        <w:tc>
          <w:tcPr>
            <w:tcW w:w="2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(B) 7,219,041</w:t>
            </w:r>
          </w:p>
        </w:tc>
        <w:tc>
          <w:tcPr>
            <w:tcW w:w="52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gridSpan w:val="3"/>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3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522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3260" w:type="dxa"/>
            <w:vAlign w:val="bottom"/>
            <w:vMerge w:val="continue"/>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3260" w:type="dxa"/>
            <w:vAlign w:val="bottom"/>
          </w:tcPr>
          <w:p>
            <w:pPr>
              <w:spacing w:after="0"/>
              <w:rPr>
                <w:sz w:val="4"/>
                <w:szCs w:val="4"/>
                <w:color w:val="auto"/>
              </w:rPr>
            </w:pPr>
          </w:p>
        </w:tc>
        <w:tc>
          <w:tcPr>
            <w:tcW w:w="522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4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(A) 0</w:t>
            </w:r>
          </w:p>
        </w:tc>
        <w:tc>
          <w:tcPr>
            <w:tcW w:w="52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(B) 549,917</w:t>
            </w:r>
          </w:p>
        </w:tc>
        <w:tc>
          <w:tcPr>
            <w:tcW w:w="52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52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52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(A) 7,219,041</w:t>
            </w:r>
          </w:p>
        </w:tc>
        <w:tc>
          <w:tcPr>
            <w:tcW w:w="52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(B) 7,219,041</w:t>
            </w:r>
          </w:p>
        </w:tc>
        <w:tc>
          <w:tcPr>
            <w:tcW w:w="52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870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8"/>
                <w:szCs w:val="18"/>
                <w:color w:val="auto"/>
              </w:rPr>
              <w:t>(A) 7,219,041</w:t>
            </w:r>
          </w:p>
        </w:tc>
        <w:tc>
          <w:tcPr>
            <w:tcW w:w="3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320" w:type="dxa"/>
            <w:vAlign w:val="bottom"/>
            <w:gridSpan w:val="4"/>
          </w:tcPr>
          <w:p>
            <w:pPr>
              <w:ind w:left="20"/>
              <w:spacing w:after="0"/>
              <w:rPr>
                <w:sz w:val="20"/>
                <w:szCs w:val="20"/>
                <w:color w:val="auto"/>
              </w:rPr>
            </w:pPr>
            <w:r>
              <w:rPr>
                <w:rFonts w:ascii="Arial" w:cs="Arial" w:eastAsia="Arial" w:hAnsi="Arial"/>
                <w:sz w:val="18"/>
                <w:szCs w:val="18"/>
                <w:color w:val="auto"/>
              </w:rPr>
              <w:t>(B) 7,768,958</w:t>
            </w:r>
          </w:p>
        </w:tc>
        <w:tc>
          <w:tcPr>
            <w:tcW w:w="32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70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40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4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60" w:type="dxa"/>
            <w:vAlign w:val="bottom"/>
          </w:tcPr>
          <w:p>
            <w:pPr>
              <w:spacing w:after="0"/>
              <w:rPr>
                <w:sz w:val="6"/>
                <w:szCs w:val="6"/>
                <w:color w:val="auto"/>
              </w:rPr>
            </w:pPr>
          </w:p>
        </w:tc>
        <w:tc>
          <w:tcPr>
            <w:tcW w:w="522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70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auto"/>
                <w:w w:val="99"/>
              </w:rPr>
              <w:t>(A) 7.16%</w:t>
            </w:r>
          </w:p>
        </w:tc>
        <w:tc>
          <w:tcPr>
            <w:tcW w:w="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auto"/>
                <w:w w:val="99"/>
              </w:rPr>
              <w:t>(B) 7.71%</w:t>
            </w:r>
          </w:p>
        </w:tc>
        <w:tc>
          <w:tcPr>
            <w:tcW w:w="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52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458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52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auto"/>
              </w:rPr>
              <w:t>(A) IA</w:t>
            </w:r>
          </w:p>
        </w:tc>
        <w:tc>
          <w:tcPr>
            <w:tcW w:w="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auto"/>
              </w:rPr>
              <w:t>(B) IN</w:t>
            </w:r>
          </w:p>
        </w:tc>
        <w:tc>
          <w:tcPr>
            <w:tcW w:w="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70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00" w:type="dxa"/>
            <w:vAlign w:val="bottom"/>
            <w:gridSpan w:val="3"/>
          </w:tcPr>
          <w:p>
            <w:pPr>
              <w:ind w:left="1140"/>
              <w:spacing w:after="0"/>
              <w:rPr>
                <w:sz w:val="20"/>
                <w:szCs w:val="20"/>
                <w:color w:val="auto"/>
              </w:rPr>
            </w:pPr>
            <w:r>
              <w:rPr>
                <w:rFonts w:ascii="Arial" w:cs="Arial" w:eastAsia="Arial" w:hAnsi="Arial"/>
                <w:sz w:val="18"/>
                <w:szCs w:val="18"/>
                <w:color w:val="auto"/>
              </w:rPr>
              <w:t>*SEE INSTRUCTIONS BEFORE FILLING OUT!</w:t>
            </w:r>
          </w:p>
        </w:tc>
        <w:tc>
          <w:tcPr>
            <w:tcW w:w="0" w:type="dxa"/>
            <w:vAlign w:val="bottom"/>
          </w:tcPr>
          <w:p>
            <w:pPr>
              <w:spacing w:after="0"/>
              <w:rPr>
                <w:sz w:val="1"/>
                <w:szCs w:val="1"/>
                <w:color w:val="auto"/>
              </w:rPr>
            </w:pPr>
          </w:p>
        </w:tc>
      </w:tr>
      <w:tr>
        <w:trPr>
          <w:trHeight w:val="555"/>
        </w:trPr>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00" w:type="dxa"/>
            <w:vAlign w:val="bottom"/>
            <w:gridSpan w:val="3"/>
          </w:tcPr>
          <w:p>
            <w:pPr>
              <w:ind w:left="2600"/>
              <w:spacing w:after="0"/>
              <w:rPr>
                <w:sz w:val="20"/>
                <w:szCs w:val="20"/>
                <w:color w:val="auto"/>
              </w:rPr>
            </w:pPr>
            <w:r>
              <w:rPr>
                <w:rFonts w:ascii="Arial" w:cs="Arial" w:eastAsia="Arial" w:hAnsi="Arial"/>
                <w:sz w:val="14"/>
                <w:szCs w:val="14"/>
                <w:color w:val="auto"/>
              </w:rPr>
              <w:t>PAGE 2 OF 8</w:t>
            </w: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5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920" w:type="dxa"/>
            <w:vAlign w:val="bottom"/>
          </w:tcPr>
          <w:p>
            <w:pPr>
              <w:ind w:left="192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00" w:type="dxa"/>
            <w:vAlign w:val="bottom"/>
          </w:tcPr>
          <w:p>
            <w:pPr>
              <w:spacing w:after="0"/>
              <w:rPr>
                <w:sz w:val="20"/>
                <w:szCs w:val="20"/>
                <w:color w:val="auto"/>
              </w:rPr>
            </w:pPr>
            <w:r>
              <w:rPr>
                <w:rFonts w:ascii="Arial" w:cs="Arial" w:eastAsia="Arial" w:hAnsi="Arial"/>
                <w:sz w:val="18"/>
                <w:szCs w:val="18"/>
                <w:color w:val="auto"/>
              </w:rPr>
              <w:t>Item 1.</w:t>
            </w:r>
          </w:p>
        </w:tc>
        <w:tc>
          <w:tcPr>
            <w:tcW w:w="440" w:type="dxa"/>
            <w:vAlign w:val="bottom"/>
          </w:tcPr>
          <w:p>
            <w:pPr>
              <w:ind w:left="100"/>
              <w:spacing w:after="0"/>
              <w:rPr>
                <w:sz w:val="20"/>
                <w:szCs w:val="20"/>
                <w:color w:val="auto"/>
              </w:rPr>
            </w:pPr>
            <w:r>
              <w:rPr>
                <w:rFonts w:ascii="Arial" w:cs="Arial" w:eastAsia="Arial" w:hAnsi="Arial"/>
                <w:sz w:val="18"/>
                <w:szCs w:val="18"/>
                <w:color w:val="auto"/>
              </w:rPr>
              <w:t>(a)</w:t>
            </w:r>
          </w:p>
        </w:tc>
        <w:tc>
          <w:tcPr>
            <w:tcW w:w="1800" w:type="dxa"/>
            <w:vAlign w:val="bottom"/>
          </w:tcPr>
          <w:p>
            <w:pPr>
              <w:ind w:left="120"/>
              <w:spacing w:after="0"/>
              <w:rPr>
                <w:sz w:val="20"/>
                <w:szCs w:val="20"/>
                <w:color w:val="auto"/>
              </w:rPr>
            </w:pPr>
            <w:r>
              <w:rPr>
                <w:rFonts w:ascii="Arial" w:cs="Arial" w:eastAsia="Arial" w:hAnsi="Arial"/>
                <w:sz w:val="18"/>
                <w:szCs w:val="18"/>
                <w:color w:val="auto"/>
              </w:rPr>
              <w:t>Issuer:</w:t>
            </w:r>
          </w:p>
        </w:tc>
        <w:tc>
          <w:tcPr>
            <w:tcW w:w="3920" w:type="dxa"/>
            <w:vAlign w:val="bottom"/>
          </w:tcPr>
          <w:p>
            <w:pPr>
              <w:ind w:left="600"/>
              <w:spacing w:after="0"/>
              <w:rPr>
                <w:sz w:val="20"/>
                <w:szCs w:val="20"/>
                <w:color w:val="auto"/>
              </w:rPr>
            </w:pPr>
            <w:r>
              <w:rPr>
                <w:rFonts w:ascii="Arial" w:cs="Arial" w:eastAsia="Arial" w:hAnsi="Arial"/>
                <w:sz w:val="18"/>
                <w:szCs w:val="18"/>
                <w:color w:val="auto"/>
              </w:rPr>
              <w:t>Plains GP Holdings, L.P.</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(b)</w:t>
            </w:r>
          </w:p>
        </w:tc>
        <w:tc>
          <w:tcPr>
            <w:tcW w:w="1800" w:type="dxa"/>
            <w:vAlign w:val="bottom"/>
          </w:tcPr>
          <w:p>
            <w:pPr>
              <w:ind w:left="120"/>
              <w:spacing w:after="0"/>
              <w:rPr>
                <w:sz w:val="20"/>
                <w:szCs w:val="20"/>
                <w:color w:val="auto"/>
              </w:rPr>
            </w:pPr>
            <w:r>
              <w:rPr>
                <w:rFonts w:ascii="Arial" w:cs="Arial" w:eastAsia="Arial" w:hAnsi="Arial"/>
                <w:sz w:val="18"/>
                <w:szCs w:val="18"/>
                <w:color w:val="auto"/>
              </w:rPr>
              <w:t>Address:</w:t>
            </w:r>
          </w:p>
        </w:tc>
        <w:tc>
          <w:tcPr>
            <w:tcW w:w="3920" w:type="dxa"/>
            <w:vAlign w:val="bottom"/>
          </w:tcPr>
          <w:p>
            <w:pPr>
              <w:ind w:left="600"/>
              <w:spacing w:after="0"/>
              <w:rPr>
                <w:sz w:val="20"/>
                <w:szCs w:val="20"/>
                <w:color w:val="auto"/>
              </w:rPr>
            </w:pPr>
            <w:r>
              <w:rPr>
                <w:rFonts w:ascii="Arial" w:cs="Arial" w:eastAsia="Arial" w:hAnsi="Arial"/>
                <w:sz w:val="18"/>
                <w:szCs w:val="18"/>
                <w:color w:val="auto"/>
              </w:rPr>
              <w:t>333 Clay Street Suite 1600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920" w:type="dxa"/>
            <w:vAlign w:val="bottom"/>
          </w:tcPr>
          <w:p>
            <w:pPr>
              <w:ind w:left="600"/>
              <w:spacing w:after="0"/>
              <w:rPr>
                <w:sz w:val="20"/>
                <w:szCs w:val="20"/>
                <w:color w:val="auto"/>
              </w:rPr>
            </w:pPr>
            <w:r>
              <w:rPr>
                <w:rFonts w:ascii="Arial" w:cs="Arial" w:eastAsia="Arial" w:hAnsi="Arial"/>
                <w:sz w:val="18"/>
                <w:szCs w:val="18"/>
                <w:color w:val="auto"/>
              </w:rPr>
              <w:t>Houston, TX 77002</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Item 2.</w:t>
            </w:r>
          </w:p>
        </w:tc>
        <w:tc>
          <w:tcPr>
            <w:tcW w:w="440" w:type="dxa"/>
            <w:vAlign w:val="bottom"/>
          </w:tcPr>
          <w:p>
            <w:pPr>
              <w:ind w:left="100"/>
              <w:spacing w:after="0"/>
              <w:rPr>
                <w:sz w:val="20"/>
                <w:szCs w:val="20"/>
                <w:color w:val="auto"/>
              </w:rPr>
            </w:pPr>
            <w:r>
              <w:rPr>
                <w:rFonts w:ascii="Arial" w:cs="Arial" w:eastAsia="Arial" w:hAnsi="Arial"/>
                <w:sz w:val="18"/>
                <w:szCs w:val="18"/>
                <w:color w:val="auto"/>
              </w:rPr>
              <w:t>(a)</w:t>
            </w:r>
          </w:p>
        </w:tc>
        <w:tc>
          <w:tcPr>
            <w:tcW w:w="1800" w:type="dxa"/>
            <w:vAlign w:val="bottom"/>
          </w:tcPr>
          <w:p>
            <w:pPr>
              <w:ind w:left="120"/>
              <w:spacing w:after="0"/>
              <w:rPr>
                <w:sz w:val="20"/>
                <w:szCs w:val="20"/>
                <w:color w:val="auto"/>
              </w:rPr>
            </w:pPr>
            <w:r>
              <w:rPr>
                <w:rFonts w:ascii="Arial" w:cs="Arial" w:eastAsia="Arial" w:hAnsi="Arial"/>
                <w:sz w:val="18"/>
                <w:szCs w:val="18"/>
                <w:color w:val="auto"/>
              </w:rPr>
              <w:t>Filing Persons:</w:t>
            </w:r>
          </w:p>
        </w:tc>
        <w:tc>
          <w:tcPr>
            <w:tcW w:w="3920" w:type="dxa"/>
            <w:vAlign w:val="bottom"/>
          </w:tcPr>
          <w:p>
            <w:pPr>
              <w:ind w:left="600"/>
              <w:spacing w:after="0"/>
              <w:rPr>
                <w:sz w:val="20"/>
                <w:szCs w:val="20"/>
                <w:color w:val="auto"/>
              </w:rPr>
            </w:pPr>
            <w:r>
              <w:rPr>
                <w:rFonts w:ascii="Arial" w:cs="Arial" w:eastAsia="Arial" w:hAnsi="Arial"/>
                <w:sz w:val="18"/>
                <w:szCs w:val="18"/>
                <w:color w:val="auto"/>
              </w:rPr>
              <w:t>Kayne Anderson</w:t>
            </w:r>
          </w:p>
        </w:tc>
        <w:tc>
          <w:tcPr>
            <w:tcW w:w="2000" w:type="dxa"/>
            <w:vAlign w:val="bottom"/>
          </w:tcPr>
          <w:p>
            <w:pPr>
              <w:ind w:left="100"/>
              <w:spacing w:after="0"/>
              <w:rPr>
                <w:sz w:val="20"/>
                <w:szCs w:val="20"/>
                <w:color w:val="auto"/>
              </w:rPr>
            </w:pPr>
            <w:r>
              <w:rPr>
                <w:rFonts w:ascii="Arial" w:cs="Arial" w:eastAsia="Arial" w:hAnsi="Arial"/>
                <w:sz w:val="18"/>
                <w:szCs w:val="18"/>
                <w:color w:val="auto"/>
              </w:rPr>
              <w:t>Richard A. Kayne</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920" w:type="dxa"/>
            <w:vAlign w:val="bottom"/>
          </w:tcPr>
          <w:p>
            <w:pPr>
              <w:ind w:left="600"/>
              <w:spacing w:after="0"/>
              <w:rPr>
                <w:sz w:val="20"/>
                <w:szCs w:val="20"/>
                <w:color w:val="auto"/>
              </w:rPr>
            </w:pPr>
            <w:r>
              <w:rPr>
                <w:rFonts w:ascii="Arial" w:cs="Arial" w:eastAsia="Arial" w:hAnsi="Arial"/>
                <w:sz w:val="18"/>
                <w:szCs w:val="18"/>
                <w:color w:val="auto"/>
              </w:rPr>
              <w:t>Capital Advisors, L.P.</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(b)</w:t>
            </w:r>
          </w:p>
        </w:tc>
        <w:tc>
          <w:tcPr>
            <w:tcW w:w="1800" w:type="dxa"/>
            <w:vAlign w:val="bottom"/>
          </w:tcPr>
          <w:p>
            <w:pPr>
              <w:ind w:left="120"/>
              <w:spacing w:after="0"/>
              <w:rPr>
                <w:sz w:val="20"/>
                <w:szCs w:val="20"/>
                <w:color w:val="auto"/>
              </w:rPr>
            </w:pPr>
            <w:r>
              <w:rPr>
                <w:rFonts w:ascii="Arial" w:cs="Arial" w:eastAsia="Arial" w:hAnsi="Arial"/>
                <w:sz w:val="18"/>
                <w:szCs w:val="18"/>
                <w:color w:val="auto"/>
              </w:rPr>
              <w:t>Addresses:</w:t>
            </w:r>
          </w:p>
        </w:tc>
        <w:tc>
          <w:tcPr>
            <w:tcW w:w="3920" w:type="dxa"/>
            <w:vAlign w:val="bottom"/>
          </w:tcPr>
          <w:p>
            <w:pPr>
              <w:ind w:left="600"/>
              <w:spacing w:after="0"/>
              <w:rPr>
                <w:sz w:val="20"/>
                <w:szCs w:val="20"/>
                <w:color w:val="auto"/>
              </w:rPr>
            </w:pPr>
            <w:r>
              <w:rPr>
                <w:rFonts w:ascii="Arial" w:cs="Arial" w:eastAsia="Arial" w:hAnsi="Arial"/>
                <w:sz w:val="18"/>
                <w:szCs w:val="18"/>
                <w:color w:val="auto"/>
              </w:rPr>
              <w:t>1800 Avenue of the Stars,</w:t>
            </w:r>
          </w:p>
        </w:tc>
        <w:tc>
          <w:tcPr>
            <w:tcW w:w="2000" w:type="dxa"/>
            <w:vAlign w:val="bottom"/>
          </w:tcPr>
          <w:p>
            <w:pPr>
              <w:ind w:left="100"/>
              <w:spacing w:after="0"/>
              <w:rPr>
                <w:sz w:val="20"/>
                <w:szCs w:val="20"/>
                <w:color w:val="auto"/>
              </w:rPr>
            </w:pPr>
            <w:r>
              <w:rPr>
                <w:rFonts w:ascii="Arial" w:cs="Arial" w:eastAsia="Arial" w:hAnsi="Arial"/>
                <w:sz w:val="18"/>
                <w:szCs w:val="18"/>
                <w:color w:val="auto"/>
                <w:w w:val="90"/>
              </w:rPr>
              <w:t>1800 Avenue of the Stars,</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920" w:type="dxa"/>
            <w:vAlign w:val="bottom"/>
          </w:tcPr>
          <w:p>
            <w:pPr>
              <w:ind w:left="600"/>
              <w:spacing w:after="0"/>
              <w:rPr>
                <w:sz w:val="20"/>
                <w:szCs w:val="20"/>
                <w:color w:val="auto"/>
              </w:rPr>
            </w:pPr>
            <w:r>
              <w:rPr>
                <w:rFonts w:ascii="Arial" w:cs="Arial" w:eastAsia="Arial" w:hAnsi="Arial"/>
                <w:sz w:val="18"/>
                <w:szCs w:val="18"/>
                <w:color w:val="auto"/>
              </w:rPr>
              <w:t>Third Floor</w:t>
            </w:r>
          </w:p>
        </w:tc>
        <w:tc>
          <w:tcPr>
            <w:tcW w:w="2000" w:type="dxa"/>
            <w:vAlign w:val="bottom"/>
          </w:tcPr>
          <w:p>
            <w:pPr>
              <w:ind w:left="100"/>
              <w:spacing w:after="0"/>
              <w:rPr>
                <w:sz w:val="20"/>
                <w:szCs w:val="20"/>
                <w:color w:val="auto"/>
              </w:rPr>
            </w:pPr>
            <w:r>
              <w:rPr>
                <w:rFonts w:ascii="Arial" w:cs="Arial" w:eastAsia="Arial" w:hAnsi="Arial"/>
                <w:sz w:val="18"/>
                <w:szCs w:val="18"/>
                <w:color w:val="auto"/>
              </w:rPr>
              <w:t>Third Floor</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920" w:type="dxa"/>
            <w:vAlign w:val="bottom"/>
          </w:tcPr>
          <w:p>
            <w:pPr>
              <w:ind w:left="600"/>
              <w:spacing w:after="0"/>
              <w:rPr>
                <w:sz w:val="20"/>
                <w:szCs w:val="20"/>
                <w:color w:val="auto"/>
              </w:rPr>
            </w:pPr>
            <w:r>
              <w:rPr>
                <w:rFonts w:ascii="Arial" w:cs="Arial" w:eastAsia="Arial" w:hAnsi="Arial"/>
                <w:sz w:val="18"/>
                <w:szCs w:val="18"/>
                <w:color w:val="auto"/>
              </w:rPr>
              <w:t>Los Angeles, CA 90067</w:t>
            </w:r>
          </w:p>
        </w:tc>
        <w:tc>
          <w:tcPr>
            <w:tcW w:w="2000" w:type="dxa"/>
            <w:vAlign w:val="bottom"/>
          </w:tcPr>
          <w:p>
            <w:pPr>
              <w:ind w:left="100"/>
              <w:spacing w:after="0"/>
              <w:rPr>
                <w:sz w:val="20"/>
                <w:szCs w:val="20"/>
                <w:color w:val="auto"/>
              </w:rPr>
            </w:pPr>
            <w:r>
              <w:rPr>
                <w:rFonts w:ascii="Arial" w:cs="Arial" w:eastAsia="Arial" w:hAnsi="Arial"/>
                <w:sz w:val="18"/>
                <w:szCs w:val="18"/>
                <w:color w:val="auto"/>
                <w:w w:val="99"/>
              </w:rPr>
              <w:t>Los Angeles, CA 90067</w:t>
            </w:r>
          </w:p>
        </w:tc>
        <w:tc>
          <w:tcPr>
            <w:tcW w:w="0" w:type="dxa"/>
            <w:vAlign w:val="bottom"/>
          </w:tcPr>
          <w:p>
            <w:pPr>
              <w:spacing w:after="0"/>
              <w:rPr>
                <w:sz w:val="1"/>
                <w:szCs w:val="1"/>
                <w:color w:val="auto"/>
              </w:rPr>
            </w:pPr>
          </w:p>
        </w:tc>
      </w:tr>
      <w:tr>
        <w:trPr>
          <w:trHeight w:val="418"/>
        </w:trPr>
        <w:tc>
          <w:tcPr>
            <w:tcW w:w="60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(c)</w:t>
            </w:r>
          </w:p>
        </w:tc>
        <w:tc>
          <w:tcPr>
            <w:tcW w:w="1800" w:type="dxa"/>
            <w:vAlign w:val="bottom"/>
          </w:tcPr>
          <w:p>
            <w:pPr>
              <w:ind w:left="120"/>
              <w:spacing w:after="0"/>
              <w:rPr>
                <w:sz w:val="20"/>
                <w:szCs w:val="20"/>
                <w:color w:val="auto"/>
              </w:rPr>
            </w:pPr>
            <w:r>
              <w:rPr>
                <w:rFonts w:ascii="Arial" w:cs="Arial" w:eastAsia="Arial" w:hAnsi="Arial"/>
                <w:sz w:val="18"/>
                <w:szCs w:val="18"/>
                <w:color w:val="auto"/>
              </w:rPr>
              <w:t>Citizenship:</w:t>
            </w:r>
          </w:p>
        </w:tc>
        <w:tc>
          <w:tcPr>
            <w:tcW w:w="5920" w:type="dxa"/>
            <w:vAlign w:val="bottom"/>
            <w:gridSpan w:val="2"/>
          </w:tcPr>
          <w:p>
            <w:pPr>
              <w:ind w:left="600"/>
              <w:spacing w:after="0"/>
              <w:rPr>
                <w:sz w:val="20"/>
                <w:szCs w:val="20"/>
                <w:color w:val="auto"/>
              </w:rPr>
            </w:pPr>
            <w:r>
              <w:rPr>
                <w:rFonts w:ascii="Arial" w:cs="Arial" w:eastAsia="Arial" w:hAnsi="Arial"/>
                <w:sz w:val="18"/>
                <w:szCs w:val="18"/>
                <w:color w:val="auto"/>
                <w:w w:val="91"/>
              </w:rPr>
              <w:t>Kayne Anderson Capital Advisors, L.P. is a California limited partnership</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40" w:type="dxa"/>
            <w:vAlign w:val="bottom"/>
            <w:vMerge w:val="restart"/>
          </w:tcPr>
          <w:p>
            <w:pPr>
              <w:ind w:left="100"/>
              <w:spacing w:after="0"/>
              <w:rPr>
                <w:sz w:val="20"/>
                <w:szCs w:val="20"/>
                <w:color w:val="auto"/>
              </w:rPr>
            </w:pPr>
            <w:r>
              <w:rPr>
                <w:rFonts w:ascii="Arial" w:cs="Arial" w:eastAsia="Arial" w:hAnsi="Arial"/>
                <w:sz w:val="18"/>
                <w:szCs w:val="18"/>
                <w:color w:val="auto"/>
              </w:rPr>
              <w:t>(d)</w:t>
            </w:r>
          </w:p>
        </w:tc>
        <w:tc>
          <w:tcPr>
            <w:tcW w:w="1800" w:type="dxa"/>
            <w:vAlign w:val="bottom"/>
            <w:vMerge w:val="restart"/>
          </w:tcPr>
          <w:p>
            <w:pPr>
              <w:ind w:left="120"/>
              <w:spacing w:after="0"/>
              <w:rPr>
                <w:sz w:val="20"/>
                <w:szCs w:val="20"/>
                <w:color w:val="auto"/>
              </w:rPr>
            </w:pPr>
            <w:r>
              <w:rPr>
                <w:rFonts w:ascii="Arial" w:cs="Arial" w:eastAsia="Arial" w:hAnsi="Arial"/>
                <w:sz w:val="18"/>
                <w:szCs w:val="18"/>
                <w:color w:val="auto"/>
              </w:rPr>
              <w:t>Title of Class</w:t>
            </w:r>
          </w:p>
        </w:tc>
        <w:tc>
          <w:tcPr>
            <w:tcW w:w="3920" w:type="dxa"/>
            <w:vAlign w:val="bottom"/>
          </w:tcPr>
          <w:p>
            <w:pPr>
              <w:ind w:left="600"/>
              <w:spacing w:after="0"/>
              <w:rPr>
                <w:sz w:val="20"/>
                <w:szCs w:val="20"/>
                <w:color w:val="auto"/>
              </w:rPr>
            </w:pPr>
            <w:r>
              <w:rPr>
                <w:rFonts w:ascii="Arial" w:cs="Arial" w:eastAsia="Arial" w:hAnsi="Arial"/>
                <w:sz w:val="18"/>
                <w:szCs w:val="18"/>
                <w:color w:val="auto"/>
              </w:rPr>
              <w:t>Richard A. Kayne is a U.S. Citizen</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39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of Securities:</w:t>
            </w:r>
          </w:p>
        </w:tc>
        <w:tc>
          <w:tcPr>
            <w:tcW w:w="3920" w:type="dxa"/>
            <w:vAlign w:val="bottom"/>
          </w:tcPr>
          <w:p>
            <w:pPr>
              <w:ind w:left="600"/>
              <w:spacing w:after="0"/>
              <w:rPr>
                <w:sz w:val="20"/>
                <w:szCs w:val="20"/>
                <w:color w:val="auto"/>
              </w:rPr>
            </w:pPr>
            <w:r>
              <w:rPr>
                <w:rFonts w:ascii="Arial" w:cs="Arial" w:eastAsia="Arial" w:hAnsi="Arial"/>
                <w:sz w:val="18"/>
                <w:szCs w:val="18"/>
                <w:color w:val="auto"/>
              </w:rPr>
              <w:t>Class A Shares</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(e)</w:t>
            </w:r>
          </w:p>
        </w:tc>
        <w:tc>
          <w:tcPr>
            <w:tcW w:w="1800" w:type="dxa"/>
            <w:vAlign w:val="bottom"/>
          </w:tcPr>
          <w:p>
            <w:pPr>
              <w:ind w:left="120"/>
              <w:spacing w:after="0"/>
              <w:rPr>
                <w:sz w:val="20"/>
                <w:szCs w:val="20"/>
                <w:color w:val="auto"/>
              </w:rPr>
            </w:pPr>
            <w:r>
              <w:rPr>
                <w:rFonts w:ascii="Arial" w:cs="Arial" w:eastAsia="Arial" w:hAnsi="Arial"/>
                <w:sz w:val="18"/>
                <w:szCs w:val="18"/>
                <w:color w:val="auto"/>
              </w:rPr>
              <w:t>Cusip Number:</w:t>
            </w:r>
          </w:p>
        </w:tc>
        <w:tc>
          <w:tcPr>
            <w:tcW w:w="3920" w:type="dxa"/>
            <w:vAlign w:val="bottom"/>
          </w:tcPr>
          <w:p>
            <w:pPr>
              <w:ind w:left="600"/>
              <w:spacing w:after="0"/>
              <w:rPr>
                <w:sz w:val="20"/>
                <w:szCs w:val="20"/>
                <w:color w:val="auto"/>
              </w:rPr>
            </w:pPr>
            <w:r>
              <w:rPr>
                <w:rFonts w:ascii="Arial" w:cs="Arial" w:eastAsia="Arial" w:hAnsi="Arial"/>
                <w:sz w:val="18"/>
                <w:szCs w:val="18"/>
                <w:color w:val="auto"/>
              </w:rPr>
              <w:t>72651A108</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check whether the person filing is a:</w:t>
      </w:r>
    </w:p>
    <w:p>
      <w:pPr>
        <w:spacing w:after="0" w:line="252" w:lineRule="exact"/>
        <w:rPr>
          <w:sz w:val="20"/>
          <w:szCs w:val="20"/>
          <w:color w:val="auto"/>
        </w:rPr>
      </w:pPr>
    </w:p>
    <w:p>
      <w:pPr>
        <w:ind w:right="580" w:firstLine="697"/>
        <w:spacing w:after="0" w:line="532" w:lineRule="auto"/>
        <w:tabs>
          <w:tab w:leader="none" w:pos="1148" w:val="left"/>
        </w:tabs>
        <w:numPr>
          <w:ilvl w:val="0"/>
          <w:numId w:val="1"/>
        </w:numPr>
        <w:rPr>
          <w:rFonts w:ascii="Arial" w:cs="Arial" w:eastAsia="Arial" w:hAnsi="Arial"/>
          <w:sz w:val="18"/>
          <w:szCs w:val="18"/>
          <w:color w:val="auto"/>
        </w:rPr>
      </w:pPr>
      <w:r>
        <w:rPr>
          <w:rFonts w:ascii="Arial" w:cs="Arial" w:eastAsia="Arial" w:hAnsi="Arial"/>
          <w:sz w:val="18"/>
          <w:szCs w:val="18"/>
          <w:color w:val="auto"/>
        </w:rPr>
        <w:t>Kayne Anderson Capital Advisors, L.P., is an investment adviser registered under section 203 of the Investment Advisers Act of 1940. Item 4. Ownership</w:t>
      </w:r>
    </w:p>
    <w:p>
      <w:pPr>
        <w:spacing w:after="0" w:line="1" w:lineRule="exact"/>
        <w:rPr>
          <w:sz w:val="20"/>
          <w:szCs w:val="20"/>
          <w:color w:val="auto"/>
        </w:rPr>
      </w:pPr>
    </w:p>
    <w:p>
      <w:pPr>
        <w:ind w:left="1160" w:hanging="463"/>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Kayne Anderson Capital Advisors, L.P. Managed Accounts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7,219,041</w:t>
            </w:r>
          </w:p>
        </w:tc>
        <w:tc>
          <w:tcPr>
            <w:tcW w:w="0" w:type="dxa"/>
            <w:vAlign w:val="bottom"/>
          </w:tcPr>
          <w:p>
            <w:pPr>
              <w:spacing w:after="0"/>
              <w:rPr>
                <w:sz w:val="1"/>
                <w:szCs w:val="1"/>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Richard A. Kayne</w:t>
            </w:r>
          </w:p>
        </w:tc>
        <w:tc>
          <w:tcPr>
            <w:tcW w:w="28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7,768,958</w:t>
            </w:r>
          </w:p>
        </w:tc>
        <w:tc>
          <w:tcPr>
            <w:tcW w:w="0" w:type="dxa"/>
            <w:vAlign w:val="bottom"/>
          </w:tcPr>
          <w:p>
            <w:pPr>
              <w:spacing w:after="0"/>
              <w:rPr>
                <w:sz w:val="1"/>
                <w:szCs w:val="1"/>
                <w:color w:val="auto"/>
              </w:rPr>
            </w:pP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6760" w:type="dxa"/>
            <w:vAlign w:val="bottom"/>
          </w:tcPr>
          <w:p>
            <w:pPr>
              <w:ind w:left="120"/>
              <w:spacing w:after="0"/>
              <w:rPr>
                <w:sz w:val="20"/>
                <w:szCs w:val="20"/>
                <w:color w:val="auto"/>
              </w:rPr>
            </w:pPr>
            <w:r>
              <w:rPr>
                <w:rFonts w:ascii="Arial" w:cs="Arial" w:eastAsia="Arial" w:hAnsi="Arial"/>
                <w:sz w:val="18"/>
                <w:szCs w:val="18"/>
                <w:color w:val="auto"/>
              </w:rPr>
              <w:t>Percent of Class:</w:t>
            </w:r>
          </w:p>
        </w:tc>
        <w:tc>
          <w:tcPr>
            <w:tcW w:w="28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(A) 7.16%</w:t>
            </w:r>
          </w:p>
        </w:tc>
        <w:tc>
          <w:tcPr>
            <w:tcW w:w="0" w:type="dxa"/>
            <w:vAlign w:val="bottom"/>
          </w:tcPr>
          <w:p>
            <w:pPr>
              <w:spacing w:after="0"/>
              <w:rPr>
                <w:sz w:val="1"/>
                <w:szCs w:val="1"/>
                <w:color w:val="auto"/>
              </w:rPr>
            </w:pPr>
          </w:p>
        </w:tc>
      </w:tr>
      <w:tr>
        <w:trPr>
          <w:trHeight w:val="230"/>
        </w:trPr>
        <w:tc>
          <w:tcPr>
            <w:tcW w:w="340" w:type="dxa"/>
            <w:vAlign w:val="bottom"/>
            <w:vMerge w:val="restart"/>
          </w:tcPr>
          <w:p>
            <w:pPr>
              <w:spacing w:after="0"/>
              <w:rPr>
                <w:sz w:val="20"/>
                <w:szCs w:val="20"/>
                <w:color w:val="auto"/>
              </w:rPr>
            </w:pPr>
            <w:r>
              <w:rPr>
                <w:rFonts w:ascii="Arial" w:cs="Arial" w:eastAsia="Arial" w:hAnsi="Arial"/>
                <w:sz w:val="18"/>
                <w:szCs w:val="18"/>
                <w:color w:val="auto"/>
              </w:rPr>
              <w:t>(c)</w:t>
            </w:r>
          </w:p>
        </w:tc>
        <w:tc>
          <w:tcPr>
            <w:tcW w:w="6760" w:type="dxa"/>
            <w:vAlign w:val="bottom"/>
            <w:vMerge w:val="restart"/>
          </w:tcPr>
          <w:p>
            <w:pPr>
              <w:ind w:left="120"/>
              <w:spacing w:after="0"/>
              <w:rPr>
                <w:sz w:val="20"/>
                <w:szCs w:val="20"/>
                <w:color w:val="auto"/>
              </w:rPr>
            </w:pPr>
            <w:r>
              <w:rPr>
                <w:rFonts w:ascii="Arial" w:cs="Arial" w:eastAsia="Arial" w:hAnsi="Arial"/>
                <w:sz w:val="18"/>
                <w:szCs w:val="18"/>
                <w:color w:val="auto"/>
              </w:rPr>
              <w:t>Number of shares as to which such person has:</w:t>
            </w:r>
          </w:p>
        </w:tc>
        <w:tc>
          <w:tcPr>
            <w:tcW w:w="28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(B) 7.71%</w:t>
            </w:r>
          </w:p>
        </w:tc>
        <w:tc>
          <w:tcPr>
            <w:tcW w:w="0" w:type="dxa"/>
            <w:vAlign w:val="bottom"/>
          </w:tcPr>
          <w:p>
            <w:pPr>
              <w:spacing w:after="0"/>
              <w:rPr>
                <w:sz w:val="1"/>
                <w:szCs w:val="1"/>
                <w:color w:val="auto"/>
              </w:rPr>
            </w:pPr>
          </w:p>
        </w:tc>
      </w:tr>
      <w:tr>
        <w:trPr>
          <w:trHeight w:val="202"/>
        </w:trPr>
        <w:tc>
          <w:tcPr>
            <w:tcW w:w="340" w:type="dxa"/>
            <w:vAlign w:val="bottom"/>
            <w:vMerge w:val="continue"/>
          </w:tcPr>
          <w:p>
            <w:pPr>
              <w:spacing w:after="0"/>
              <w:rPr>
                <w:sz w:val="17"/>
                <w:szCs w:val="17"/>
                <w:color w:val="auto"/>
              </w:rPr>
            </w:pPr>
          </w:p>
        </w:tc>
        <w:tc>
          <w:tcPr>
            <w:tcW w:w="6760" w:type="dxa"/>
            <w:vAlign w:val="bottom"/>
            <w:vMerge w:val="continue"/>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(i)  sole power to vote or direct to vote</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(A) 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(B) 549,917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(ii)  shared power to vote or direct the vote</w:t>
            </w:r>
          </w:p>
        </w:tc>
        <w:tc>
          <w:tcPr>
            <w:tcW w:w="2840" w:type="dxa"/>
            <w:vAlign w:val="bottom"/>
          </w:tcPr>
          <w:p>
            <w:pPr>
              <w:jc w:val="right"/>
              <w:spacing w:after="0"/>
              <w:rPr>
                <w:sz w:val="20"/>
                <w:szCs w:val="20"/>
                <w:color w:val="auto"/>
              </w:rPr>
            </w:pPr>
            <w:r>
              <w:rPr>
                <w:rFonts w:ascii="Arial" w:cs="Arial" w:eastAsia="Arial" w:hAnsi="Arial"/>
                <w:sz w:val="18"/>
                <w:szCs w:val="18"/>
                <w:color w:val="auto"/>
              </w:rPr>
              <w:t>(A)</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7,219,041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(B)</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7,219,041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(iii)  sole power to dispose or direct the disposition</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(A) 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(B) 549,917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(iv)  shared power to dispose or direct the disposition of</w:t>
            </w:r>
          </w:p>
        </w:tc>
        <w:tc>
          <w:tcPr>
            <w:tcW w:w="2840" w:type="dxa"/>
            <w:vAlign w:val="bottom"/>
          </w:tcPr>
          <w:p>
            <w:pPr>
              <w:jc w:val="right"/>
              <w:spacing w:after="0"/>
              <w:rPr>
                <w:sz w:val="20"/>
                <w:szCs w:val="20"/>
                <w:color w:val="auto"/>
              </w:rPr>
            </w:pPr>
            <w:r>
              <w:rPr>
                <w:rFonts w:ascii="Arial" w:cs="Arial" w:eastAsia="Arial" w:hAnsi="Arial"/>
                <w:sz w:val="18"/>
                <w:szCs w:val="18"/>
                <w:color w:val="auto"/>
              </w:rPr>
              <w:t>(A)</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7,219,041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(B)</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7,219,041</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Plains GP Holdings, L.P.(Issuer)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3" w:lineRule="exact"/>
        <w:rPr>
          <w:sz w:val="20"/>
          <w:szCs w:val="20"/>
          <w:color w:val="auto"/>
        </w:rPr>
      </w:pPr>
    </w:p>
    <w:p>
      <w:pPr>
        <w:jc w:val="both"/>
        <w:ind w:left="660"/>
        <w:spacing w:after="0" w:line="217"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ind w:left="660" w:right="1220" w:hanging="647"/>
        <w:spacing w:after="0" w:line="277" w:lineRule="auto"/>
        <w:tabs>
          <w:tab w:leader="none" w:pos="640" w:val="left"/>
        </w:tabs>
        <w:rPr>
          <w:sz w:val="20"/>
          <w:szCs w:val="20"/>
          <w:color w:val="auto"/>
        </w:rPr>
      </w:pPr>
      <w:r>
        <w:rPr>
          <w:rFonts w:ascii="Arial" w:cs="Arial" w:eastAsia="Arial" w:hAnsi="Arial"/>
          <w:sz w:val="18"/>
          <w:szCs w:val="18"/>
          <w:color w:val="auto"/>
        </w:rPr>
        <w:t>Item 7.</w:t>
        <w:tab/>
        <w:t>Identification and Classification of the Subsidiary Which Acquired the Security Being Reported on By the Parent Holding Company Not applicable.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23" w:lineRule="exact"/>
        <w:rPr>
          <w:sz w:val="20"/>
          <w:szCs w:val="20"/>
          <w:color w:val="auto"/>
        </w:rPr>
      </w:pPr>
    </w:p>
    <w:p>
      <w:pPr>
        <w:jc w:val="both"/>
        <w:ind w:left="660" w:right="20"/>
        <w:spacing w:after="0" w:line="255" w:lineRule="auto"/>
        <w:rPr>
          <w:sz w:val="20"/>
          <w:szCs w:val="20"/>
          <w:color w:val="auto"/>
        </w:rPr>
      </w:pPr>
      <w:r>
        <w:rPr>
          <w:rFonts w:ascii="Arial" w:cs="Arial" w:eastAsia="Arial" w:hAnsi="Arial"/>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Plains GP Holdings, L.P.(Issuer)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February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Kayne Anderson Investment Management, Inc.</w:t>
            </w:r>
          </w:p>
        </w:tc>
      </w:tr>
      <w:tr>
        <w:trPr>
          <w:trHeight w:val="439"/>
        </w:trPr>
        <w:tc>
          <w:tcPr>
            <w:tcW w:w="480" w:type="dxa"/>
            <w:vAlign w:val="bottom"/>
          </w:tcPr>
          <w:p>
            <w:pPr>
              <w:spacing w:after="0"/>
              <w:rPr>
                <w:sz w:val="24"/>
                <w:szCs w:val="24"/>
                <w:color w:val="auto"/>
              </w:rPr>
            </w:pP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w w:val="97"/>
              </w:rPr>
              <w:t>By:/S/ DAVID J. SHLADOVSKY</w:t>
            </w:r>
          </w:p>
        </w:tc>
      </w:tr>
      <w:tr>
        <w:trPr>
          <w:trHeight w:val="230"/>
        </w:trPr>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J. Shladovsky, Secretary</w:t>
            </w:r>
          </w:p>
        </w:tc>
      </w:tr>
    </w:tbl>
    <w:p>
      <w:pPr>
        <w:spacing w:after="0" w:line="386"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25" w:right="5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u w:val="single" w:color="auto"/>
          <w:color w:val="auto"/>
        </w:rPr>
        <w:t>JOINT FILING AGREEMENT PURSUANT TO RULE 13d-1(f)(1)</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agreement is made pursuant to Rule 13d-1(f)(1)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198"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February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Kayne Anderson Investment Management, Inc.</w:t>
            </w:r>
          </w:p>
        </w:tc>
      </w:tr>
      <w:tr>
        <w:trPr>
          <w:trHeight w:val="439"/>
        </w:trPr>
        <w:tc>
          <w:tcPr>
            <w:tcW w:w="480" w:type="dxa"/>
            <w:vAlign w:val="bottom"/>
          </w:tcPr>
          <w:p>
            <w:pPr>
              <w:spacing w:after="0"/>
              <w:rPr>
                <w:sz w:val="24"/>
                <w:szCs w:val="24"/>
                <w:color w:val="auto"/>
              </w:rPr>
            </w:pP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w w:val="97"/>
              </w:rPr>
              <w:t>By:/S/ DAVID J. SHLADOVSKY</w:t>
            </w:r>
          </w:p>
        </w:tc>
      </w:tr>
      <w:tr>
        <w:trPr>
          <w:trHeight w:val="230"/>
        </w:trPr>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J. Shladovsky, Secretary</w:t>
            </w:r>
          </w:p>
        </w:tc>
      </w:tr>
    </w:tbl>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(cover page)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Plains GP Holdings, L.P.(Issuer)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660" w:hanging="647"/>
        <w:spacing w:after="0" w:line="342" w:lineRule="auto"/>
        <w:tabs>
          <w:tab w:leader="none" w:pos="640" w:val="left"/>
        </w:tabs>
        <w:rPr>
          <w:sz w:val="20"/>
          <w:szCs w:val="20"/>
          <w:color w:val="auto"/>
        </w:rPr>
      </w:pPr>
      <w:r>
        <w:rPr>
          <w:rFonts w:ascii="Arial" w:cs="Arial" w:eastAsia="Arial" w:hAnsi="Arial"/>
          <w:sz w:val="18"/>
          <w:szCs w:val="18"/>
          <w:color w:val="auto"/>
        </w:rPr>
        <w:t>Box 9.</w:t>
      </w:r>
      <w:r>
        <w:rPr>
          <w:sz w:val="20"/>
          <w:szCs w:val="20"/>
          <w:color w:val="auto"/>
        </w:rPr>
        <w:tab/>
      </w:r>
      <w:r>
        <w:rPr>
          <w:rFonts w:ascii="Arial" w:cs="Arial" w:eastAsia="Arial" w:hAnsi="Arial"/>
          <w:sz w:val="16"/>
          <w:szCs w:val="16"/>
          <w:color w:val="auto"/>
        </w:rPr>
        <w:t>The reported units are owned by investment accounts (investment limited partnerships, a registered investment company and institutional accounts) managed, with discretion to purchase or sell securities, by Kayne Anderson Capital Advisors, L.P., as a registered investment adviser.</w:t>
      </w:r>
    </w:p>
    <w:p>
      <w:pPr>
        <w:spacing w:after="0" w:line="15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Kayne Anderson Capital Advisors, L.P. is the general partner (or general partner of the general partner) of the limited partnerships and investment adviser to the other accounts. Richard A. Kayne is the controlling shareholder of the corporate owner of Kayne Anderson Investment Management, Inc., the general partner of Kayne Anderson Capital Advisors, L.P. Mr. Kayne is also a limited partner of each of the limited partnerships and a shareholder of the registered investment company. Kayne Anderson Capital Advisors, L.P. disclaims beneficial ownership of the units reported, except those units attributable to it by virtue of its general partner interests in the limited partnerships. Mr. Kayne disclaims beneficial ownership of the units reported, except those units held by him or attributable to him by virtue of his limited partnership interests in the limited partnerships, his indirect interest in the interest of Kayne Anderson Capital Advisors, L.P. in the limited partnerships, and his ownership of common stock of the registered investment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UNDERTAKING</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jointly to file the attached Statement of Beneficial Ownership on Schedule 13G with the U.S. Securities Exchange Commission and Plains GP Holdings, L.P.</w:t>
      </w:r>
    </w:p>
    <w:p>
      <w:pPr>
        <w:spacing w:after="0" w:line="19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u w:val="single" w:color="auto"/>
          <w:color w:val="auto"/>
        </w:rPr>
        <w:t>February 7,2017</w:t>
      </w:r>
    </w:p>
    <w:p>
      <w:pPr>
        <w:spacing w:after="0" w:line="252"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Kayne Anderson Investment Management, Inc.</w:t>
            </w:r>
          </w:p>
        </w:tc>
      </w:tr>
      <w:tr>
        <w:trPr>
          <w:trHeight w:val="439"/>
        </w:trPr>
        <w:tc>
          <w:tcPr>
            <w:tcW w:w="480" w:type="dxa"/>
            <w:vAlign w:val="bottom"/>
          </w:tcPr>
          <w:p>
            <w:pPr>
              <w:spacing w:after="0"/>
              <w:rPr>
                <w:sz w:val="24"/>
                <w:szCs w:val="24"/>
                <w:color w:val="auto"/>
              </w:rPr>
            </w:pP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w w:val="97"/>
              </w:rPr>
              <w:t>By:/S/ DAVID J. SHLADOVSKY</w:t>
            </w:r>
          </w:p>
        </w:tc>
      </w:tr>
      <w:tr>
        <w:trPr>
          <w:trHeight w:val="230"/>
        </w:trPr>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J. Shladovsky, Secretary</w:t>
            </w:r>
          </w:p>
        </w:tc>
      </w:tr>
    </w:tbl>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5"/>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2019-12-17T05:30:33Z</dcterms:created>
  <dcterms:modified xsi:type="dcterms:W3CDTF">2019-12-17T05:30:33Z</dcterms:modified>
</cp:coreProperties>
</file>