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PAA GP Holdings LLC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7"/>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0000FF"/>
        </w:rPr>
        <w:t xml:space="preserve">PAA </w:t>
      </w:r>
      <w:r>
        <w:rPr>
          <w:rFonts w:ascii="Times New Roman" w:cs="Times New Roman" w:eastAsia="Times New Roman" w:hAnsi="Times New Roman"/>
          <w:sz w:val="21"/>
          <w:szCs w:val="21"/>
          <w:color w:val="000000"/>
        </w:rPr>
        <w:t>]</w:t>
      </w:r>
    </w:p>
    <w:p>
      <w:pPr>
        <w:spacing w:after="0" w:line="22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12/29/2017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12" w:lineRule="exact"/>
        <w:rPr>
          <w:sz w:val="24"/>
          <w:szCs w:val="24"/>
          <w:color w:val="auto"/>
        </w:rPr>
      </w:pPr>
    </w:p>
    <w:p>
      <w:pPr>
        <w:sectPr>
          <w:pgSz w:w="11900" w:h="16838" w:orient="portrait"/>
          <w:cols w:equalWidth="0" w:num="3">
            <w:col w:w="3353" w:space="720"/>
            <w:col w:w="3727" w:space="257"/>
            <w:col w:w="3363"/>
          </w:cols>
          <w:pgMar w:left="240" w:top="220" w:right="239" w:bottom="0" w:gutter="0" w:footer="0" w:header="0"/>
          <w:type w:val="continuous"/>
        </w:sect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48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560" w:type="dxa"/>
            <w:vAlign w:val="bottom"/>
            <w:tcBorders>
              <w:right w:val="single" w:sz="8" w:color="9A9A9A"/>
            </w:tcBorders>
            <w:shd w:val="clear" w:color="auto" w:fill="9A9A9A"/>
          </w:tcPr>
          <w:p>
            <w:pPr>
              <w:spacing w:after="0"/>
              <w:rPr>
                <w:sz w:val="3"/>
                <w:szCs w:val="3"/>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00" w:type="dxa"/>
            <w:vAlign w:val="bottom"/>
            <w:gridSpan w:val="10"/>
            <w:vMerge w:val="continue"/>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TX</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2980" w:type="dxa"/>
            <w:vAlign w:val="bottom"/>
            <w:gridSpan w:val="5"/>
          </w:tcPr>
          <w:p>
            <w:pPr>
              <w:ind w:left="180"/>
              <w:spacing w:after="0" w:line="152"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53"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8"/>
                <w:szCs w:val="18"/>
                <w:color w:val="0000FF"/>
              </w:rPr>
              <w:t>12/29/2017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(1)(2)</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551,323</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1"/>
                <w:szCs w:val="11"/>
                <w:color w:val="008000"/>
              </w:rPr>
              <w:t>(1)(2)</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rPr>
              <w:t>283,960,248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Plains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gridSpan w:val="9"/>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AAP,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PAA GP Holdings LLC</w:t>
              </w:r>
            </w:hyperlink>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spacing w:after="0" w:line="230" w:lineRule="exact"/>
              <w:rPr>
                <w:rFonts w:ascii="Times New Roman" w:cs="Times New Roman" w:eastAsia="Times New Roman" w:hAnsi="Times New Roman"/>
                <w:sz w:val="22"/>
                <w:szCs w:val="22"/>
                <w:color w:val="0000EE"/>
                <w:w w:val="95"/>
              </w:rPr>
            </w:pPr>
            <w:hyperlink r:id="rId14">
              <w:r>
                <w:rPr>
                  <w:rFonts w:ascii="Times New Roman" w:cs="Times New Roman" w:eastAsia="Times New Roman" w:hAnsi="Times New Roman"/>
                  <w:sz w:val="22"/>
                  <w:szCs w:val="22"/>
                  <w:color w:val="0000EE"/>
                  <w:w w:val="95"/>
                </w:rPr>
                <w:t>Plains AAP, L.P.</w:t>
              </w:r>
            </w:hyperlink>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8"/>
          </w:tcPr>
          <w:p>
            <w:pPr>
              <w:spacing w:after="0" w:line="230" w:lineRule="exact"/>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color w:val="0000EE"/>
                </w:rPr>
                <w:t>Plains All American GP LLC</w:t>
              </w:r>
            </w:hyperlink>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333 CLAY STREET, SUITE 1600</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560" w:type="dxa"/>
            <w:vAlign w:val="bottom"/>
            <w:tcBorders>
              <w:bottom w:val="single" w:sz="8" w:color="0000EE"/>
            </w:tcBorders>
            <w:gridSpan w:val="2"/>
          </w:tcPr>
          <w:p>
            <w:pPr>
              <w:spacing w:after="0" w:line="230" w:lineRule="exact"/>
              <w:rPr>
                <w:rFonts w:ascii="Times New Roman" w:cs="Times New Roman" w:eastAsia="Times New Roman" w:hAnsi="Times New Roman"/>
                <w:sz w:val="22"/>
                <w:szCs w:val="22"/>
                <w:color w:val="0000EE"/>
                <w:w w:val="97"/>
              </w:rPr>
            </w:pPr>
            <w:hyperlink r:id="rId16">
              <w:r>
                <w:rPr>
                  <w:rFonts w:ascii="Times New Roman" w:cs="Times New Roman" w:eastAsia="Times New Roman" w:hAnsi="Times New Roman"/>
                  <w:sz w:val="22"/>
                  <w:szCs w:val="22"/>
                  <w:color w:val="0000EE"/>
                  <w:w w:val="97"/>
                </w:rPr>
                <w:t>PLAINS GP HOLDINGS LP</w:t>
              </w:r>
            </w:hyperlink>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8" w:lineRule="exact"/>
        <w:rPr>
          <w:rFonts w:ascii="Times New Roman" w:cs="Times New Roman" w:eastAsia="Times New Roman" w:hAnsi="Times New Roman"/>
          <w:sz w:val="14"/>
          <w:szCs w:val="14"/>
          <w:color w:val="008000"/>
        </w:rPr>
      </w:pPr>
    </w:p>
    <w:p>
      <w:pPr>
        <w:ind w:left="20" w:right="24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December 29, 2017, KAFU Holdings, L.P. and KAFU Holdings (QP), L.P. exercised the Redemption Right with respect to an aggregate of 551,323 AAP Class A units, resulting in the cancellation of such AAP Class A units and the distribution of 551,323 Common Units from AAP to the redeeming partners.</w:t>
      </w:r>
    </w:p>
    <w:p>
      <w:pPr>
        <w:spacing w:after="0" w:line="27" w:lineRule="exact"/>
        <w:rPr>
          <w:rFonts w:ascii="Times New Roman" w:cs="Times New Roman" w:eastAsia="Times New Roman" w:hAnsi="Times New Roman"/>
          <w:sz w:val="14"/>
          <w:szCs w:val="14"/>
          <w:color w:val="008000"/>
        </w:rPr>
      </w:pPr>
    </w:p>
    <w:p>
      <w:pPr>
        <w:ind w:left="20" w:right="16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Ann F. Gullion, Assistant</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12/29/2017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5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2020-01-16T06:35:00Z</dcterms:created>
  <dcterms:modified xsi:type="dcterms:W3CDTF">2020-01-16T06:35:00Z</dcterms:modified>
</cp:coreProperties>
</file>