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May 15, 2018</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544" w:right="23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44" w:right="23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4"/>
          <w:szCs w:val="24"/>
          <w:color w:val="auto"/>
        </w:rPr>
      </w:pPr>
    </w:p>
    <w:p>
      <w:pPr>
        <w:ind w:right="220" w:firstLine="324"/>
        <w:spacing w:after="0" w:line="273" w:lineRule="auto"/>
        <w:rPr>
          <w:sz w:val="20"/>
          <w:szCs w:val="20"/>
          <w:color w:val="auto"/>
        </w:rPr>
      </w:pPr>
      <w:r>
        <w:rPr>
          <w:rFonts w:ascii="Arial" w:cs="Arial" w:eastAsia="Arial" w:hAnsi="Arial"/>
          <w:sz w:val="17"/>
          <w:szCs w:val="17"/>
          <w:color w:val="auto"/>
        </w:rPr>
        <w:t>The 2018 annual meeting of Class A, Class B and Class C shareholders (collectively, the “Shareholders”) of Plains GP Holdings, L.P. (“PAGP” or the “Partnership”) was held on May 15, 2018. At the annual meeting, the Shareholders considered and voted on the following matters: (i) the election of two Class III directors to serve on the board of directors of PAA GP Holdings LLC until the 2021 annual meeting; (ii) the ratification of the appointment of PricewaterhouseCoopers LLP as PAGP’s and Plains All American Pipeline, L.P.’s independent registered public accounting firm for the fiscal year ending December 31, 2018; (iii) the approval, on a non-binding advisory basis, of our named executive officer compensation; and (iv) a non-binding advisory vote on the frequency with which future advisory votes to approve our named executive officer compensation should be held.</w:t>
      </w:r>
    </w:p>
    <w:p>
      <w:pPr>
        <w:spacing w:after="0" w:line="17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voting results for each matter presented at the PAGP annual meeting were as follows:</w:t>
      </w:r>
    </w:p>
    <w:p>
      <w:pPr>
        <w:spacing w:after="0" w:line="225" w:lineRule="exact"/>
        <w:rPr>
          <w:sz w:val="24"/>
          <w:szCs w:val="24"/>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election of two Class III directors to serve on the board of directors of PAA GP Holdings LLC until the 2021 annual meeting.</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Nominees</w:t>
            </w:r>
          </w:p>
        </w:tc>
        <w:tc>
          <w:tcPr>
            <w:tcW w:w="2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For</w:t>
            </w:r>
          </w:p>
        </w:tc>
        <w:tc>
          <w:tcPr>
            <w:tcW w:w="2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Withheld</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210"/>
        </w:trPr>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1.</w:t>
            </w:r>
          </w:p>
        </w:tc>
        <w:tc>
          <w:tcPr>
            <w:tcW w:w="3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Bobby S. Shackouls</w:t>
            </w:r>
          </w:p>
        </w:tc>
        <w:tc>
          <w:tcPr>
            <w:tcW w:w="2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443,344,842</w:t>
            </w:r>
          </w:p>
        </w:tc>
        <w:tc>
          <w:tcPr>
            <w:tcW w:w="30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162,800,094</w:t>
            </w:r>
          </w:p>
        </w:tc>
        <w:tc>
          <w:tcPr>
            <w:tcW w:w="2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123,160,344</w:t>
            </w:r>
          </w:p>
        </w:tc>
      </w:tr>
      <w:tr>
        <w:trPr>
          <w:trHeight w:val="230"/>
        </w:trPr>
        <w:tc>
          <w:tcPr>
            <w:tcW w:w="160" w:type="dxa"/>
            <w:vAlign w:val="bottom"/>
          </w:tcPr>
          <w:p>
            <w:pPr>
              <w:spacing w:after="0"/>
              <w:rPr>
                <w:sz w:val="20"/>
                <w:szCs w:val="20"/>
                <w:color w:val="auto"/>
              </w:rPr>
            </w:pPr>
            <w:r>
              <w:rPr>
                <w:rFonts w:ascii="Arial" w:cs="Arial" w:eastAsia="Arial" w:hAnsi="Arial"/>
                <w:sz w:val="18"/>
                <w:szCs w:val="18"/>
                <w:color w:val="auto"/>
                <w:w w:val="92"/>
              </w:rPr>
              <w:t>2.</w:t>
            </w: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Christopher M. Temple</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489,116,926</w:t>
            </w:r>
          </w:p>
        </w:tc>
        <w:tc>
          <w:tcPr>
            <w:tcW w:w="30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117,028,010</w:t>
            </w:r>
          </w:p>
        </w:tc>
        <w:tc>
          <w:tcPr>
            <w:tcW w:w="28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123,160,344</w:t>
            </w:r>
          </w:p>
        </w:tc>
      </w:tr>
    </w:tbl>
    <w:p>
      <w:pPr>
        <w:spacing w:after="0" w:line="187" w:lineRule="exact"/>
        <w:rPr>
          <w:sz w:val="24"/>
          <w:szCs w:val="24"/>
          <w:color w:val="auto"/>
        </w:rPr>
      </w:pPr>
    </w:p>
    <w:p>
      <w:pPr>
        <w:ind w:left="980" w:right="10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ratification of the appointment of PricewaterhouseCoopers LLP as PAGP’s and Plains All American Pipeline, L.P.’s independent registered public accounting firm for the fiscal year ending December 31, 2018.</w:t>
      </w:r>
    </w:p>
    <w:p>
      <w:pPr>
        <w:spacing w:after="0" w:line="162" w:lineRule="exact"/>
        <w:rPr>
          <w:sz w:val="24"/>
          <w:szCs w:val="24"/>
          <w:color w:val="auto"/>
        </w:rPr>
      </w:pPr>
    </w:p>
    <w:p>
      <w:pPr>
        <w:ind w:left="1460"/>
        <w:spacing w:after="0"/>
        <w:tabs>
          <w:tab w:leader="none" w:pos="4320" w:val="left"/>
          <w:tab w:leader="none" w:pos="7100" w:val="left"/>
          <w:tab w:leader="none" w:pos="970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4"/>
          <w:szCs w:val="14"/>
          <w:b w:val="1"/>
          <w:bCs w:val="1"/>
          <w:color w:val="auto"/>
        </w:rPr>
        <w:t>Abstained</w:t>
      </w:r>
      <w:r>
        <w:rPr>
          <w:sz w:val="20"/>
          <w:szCs w:val="20"/>
          <w:color w:val="auto"/>
        </w:rPr>
        <w:tab/>
      </w:r>
      <w:r>
        <w:rPr>
          <w:rFonts w:ascii="Arial" w:cs="Arial" w:eastAsia="Arial" w:hAnsi="Arial"/>
          <w:sz w:val="13"/>
          <w:szCs w:val="13"/>
          <w:b w:val="1"/>
          <w:bCs w:val="1"/>
          <w:color w:val="auto"/>
        </w:rPr>
        <w:t>Broker Non-Votes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36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6195"/>
                    </a:xfrm>
                    <a:prstGeom prst="rect">
                      <a:avLst/>
                    </a:prstGeom>
                    <a:noFill/>
                  </pic:spPr>
                </pic:pic>
              </a:graphicData>
            </a:graphic>
          </wp:anchor>
        </w:drawing>
      </w:r>
    </w:p>
    <w:p>
      <w:pPr>
        <w:sectPr>
          <w:pgSz w:w="11900" w:h="16838" w:orient="portrait"/>
          <w:cols w:equalWidth="0" w:num="1">
            <w:col w:w="11420"/>
          </w:cols>
          <w:pgMar w:left="240" w:top="544" w:right="239" w:bottom="0" w:gutter="0" w:footer="0" w:header="0"/>
          <w:type w:val="continuous"/>
        </w:sectPr>
      </w:pPr>
    </w:p>
    <w:bookmarkStart w:id="1" w:name="page2"/>
    <w:bookmarkEnd w:id="1"/>
    <w:p>
      <w:pPr>
        <w:ind w:left="1140"/>
        <w:spacing w:after="0"/>
        <w:tabs>
          <w:tab w:leader="none" w:pos="4200" w:val="left"/>
          <w:tab w:leader="none" w:pos="7040" w:val="left"/>
          <w:tab w:leader="none" w:pos="10160" w:val="left"/>
        </w:tabs>
        <w:rPr>
          <w:sz w:val="20"/>
          <w:szCs w:val="20"/>
          <w:color w:val="auto"/>
        </w:rPr>
      </w:pPr>
      <w:r>
        <w:rPr>
          <w:rFonts w:ascii="Arial" w:cs="Arial" w:eastAsia="Arial" w:hAnsi="Arial"/>
          <w:sz w:val="18"/>
          <w:szCs w:val="18"/>
          <w:color w:val="auto"/>
        </w:rPr>
        <w:t>715,275,082</w:t>
      </w:r>
      <w:r>
        <w:rPr>
          <w:sz w:val="20"/>
          <w:szCs w:val="20"/>
          <w:color w:val="auto"/>
        </w:rPr>
        <w:tab/>
      </w:r>
      <w:r>
        <w:rPr>
          <w:rFonts w:ascii="Arial" w:cs="Arial" w:eastAsia="Arial" w:hAnsi="Arial"/>
          <w:sz w:val="18"/>
          <w:szCs w:val="18"/>
          <w:color w:val="auto"/>
        </w:rPr>
        <w:t>9,113,781</w:t>
      </w:r>
      <w:r>
        <w:rPr>
          <w:sz w:val="20"/>
          <w:szCs w:val="20"/>
          <w:color w:val="auto"/>
        </w:rPr>
        <w:tab/>
      </w:r>
      <w:r>
        <w:rPr>
          <w:rFonts w:ascii="Arial" w:cs="Arial" w:eastAsia="Arial" w:hAnsi="Arial"/>
          <w:sz w:val="18"/>
          <w:szCs w:val="18"/>
          <w:color w:val="auto"/>
        </w:rPr>
        <w:t>4,916,417</w:t>
      </w:r>
      <w:r>
        <w:rPr>
          <w:sz w:val="20"/>
          <w:szCs w:val="20"/>
          <w:color w:val="auto"/>
        </w:rPr>
        <w:tab/>
      </w:r>
      <w:r>
        <w:rPr>
          <w:rFonts w:ascii="Arial" w:cs="Arial" w:eastAsia="Arial" w:hAnsi="Arial"/>
          <w:sz w:val="16"/>
          <w:szCs w:val="16"/>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approval, on a non-binding advisory basis, of our named executive officer compensation.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For</w:t>
            </w:r>
          </w:p>
        </w:tc>
        <w:tc>
          <w:tcPr>
            <w:tcW w:w="2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Against</w:t>
            </w:r>
          </w:p>
        </w:tc>
        <w:tc>
          <w:tcPr>
            <w:tcW w:w="3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Abstained</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210"/>
        </w:trPr>
        <w:tc>
          <w:tcPr>
            <w:tcW w:w="3160" w:type="dxa"/>
            <w:vAlign w:val="bottom"/>
            <w:tcBorders>
              <w:top w:val="single" w:sz="8" w:color="auto"/>
            </w:tcBorders>
            <w:shd w:val="clear" w:color="auto" w:fill="CCEEFF"/>
          </w:tcPr>
          <w:p>
            <w:pPr>
              <w:jc w:val="right"/>
              <w:ind w:right="1039"/>
              <w:spacing w:after="0"/>
              <w:rPr>
                <w:sz w:val="20"/>
                <w:szCs w:val="20"/>
                <w:color w:val="auto"/>
              </w:rPr>
            </w:pPr>
            <w:r>
              <w:rPr>
                <w:rFonts w:ascii="Arial" w:cs="Arial" w:eastAsia="Arial" w:hAnsi="Arial"/>
                <w:sz w:val="18"/>
                <w:szCs w:val="18"/>
                <w:color w:val="auto"/>
              </w:rPr>
              <w:t>532,308,737</w:t>
            </w:r>
          </w:p>
        </w:tc>
        <w:tc>
          <w:tcPr>
            <w:tcW w:w="2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rPr>
              <w:t>67,699,284</w:t>
            </w:r>
          </w:p>
        </w:tc>
        <w:tc>
          <w:tcPr>
            <w:tcW w:w="28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jc w:val="right"/>
              <w:ind w:right="999"/>
              <w:spacing w:after="0"/>
              <w:rPr>
                <w:sz w:val="20"/>
                <w:szCs w:val="20"/>
                <w:color w:val="auto"/>
              </w:rPr>
            </w:pPr>
            <w:r>
              <w:rPr>
                <w:rFonts w:ascii="Arial" w:cs="Arial" w:eastAsia="Arial" w:hAnsi="Arial"/>
                <w:sz w:val="18"/>
                <w:szCs w:val="18"/>
                <w:color w:val="auto"/>
              </w:rPr>
              <w:t>6,137,614</w:t>
            </w:r>
          </w:p>
        </w:tc>
        <w:tc>
          <w:tcPr>
            <w:tcW w:w="2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rPr>
              <w:t>123,159,645</w:t>
            </w:r>
          </w:p>
        </w:tc>
      </w:tr>
    </w:tbl>
    <w:p>
      <w:pPr>
        <w:spacing w:after="0" w:line="202" w:lineRule="exact"/>
        <w:rPr>
          <w:sz w:val="20"/>
          <w:szCs w:val="20"/>
          <w:color w:val="auto"/>
        </w:rPr>
      </w:pPr>
    </w:p>
    <w:p>
      <w:pPr>
        <w:ind w:left="980" w:right="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non-binding advisory vote on the frequency with which future advisory votes to approve our named executive officer compensation should be held.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Every 1 Year</w:t>
            </w:r>
          </w:p>
        </w:tc>
        <w:tc>
          <w:tcPr>
            <w:tcW w:w="2340" w:type="dxa"/>
            <w:vAlign w:val="bottom"/>
            <w:gridSpan w:val="2"/>
          </w:tcPr>
          <w:p>
            <w:pPr>
              <w:ind w:left="600"/>
              <w:spacing w:after="0"/>
              <w:rPr>
                <w:sz w:val="20"/>
                <w:szCs w:val="20"/>
                <w:color w:val="auto"/>
              </w:rPr>
            </w:pPr>
            <w:r>
              <w:rPr>
                <w:rFonts w:ascii="Arial" w:cs="Arial" w:eastAsia="Arial" w:hAnsi="Arial"/>
                <w:sz w:val="14"/>
                <w:szCs w:val="14"/>
                <w:b w:val="1"/>
                <w:bCs w:val="1"/>
                <w:color w:val="auto"/>
              </w:rPr>
              <w:t>Every 2 Years</w:t>
            </w:r>
          </w:p>
        </w:tc>
        <w:tc>
          <w:tcPr>
            <w:tcW w:w="2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Every 3 Years</w:t>
            </w:r>
          </w:p>
        </w:tc>
        <w:tc>
          <w:tcPr>
            <w:tcW w:w="2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Abstained</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2080" w:type="dxa"/>
            <w:vAlign w:val="bottom"/>
            <w:tcBorders>
              <w:top w:val="single" w:sz="8" w:color="auto"/>
            </w:tcBorders>
            <w:shd w:val="clear" w:color="auto" w:fill="CCEEFF"/>
          </w:tcPr>
          <w:p>
            <w:pPr>
              <w:jc w:val="right"/>
              <w:ind w:right="499"/>
              <w:spacing w:after="0"/>
              <w:rPr>
                <w:sz w:val="20"/>
                <w:szCs w:val="20"/>
                <w:color w:val="auto"/>
              </w:rPr>
            </w:pPr>
            <w:r>
              <w:rPr>
                <w:rFonts w:ascii="Arial" w:cs="Arial" w:eastAsia="Arial" w:hAnsi="Arial"/>
                <w:sz w:val="18"/>
                <w:szCs w:val="18"/>
                <w:color w:val="auto"/>
              </w:rPr>
              <w:t>583,470,713</w:t>
            </w: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15,387,000</w:t>
            </w:r>
          </w:p>
        </w:tc>
        <w:tc>
          <w:tcPr>
            <w:tcW w:w="28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ind w:right="579"/>
              <w:spacing w:after="0"/>
              <w:rPr>
                <w:sz w:val="20"/>
                <w:szCs w:val="20"/>
                <w:color w:val="auto"/>
              </w:rPr>
            </w:pPr>
            <w:r>
              <w:rPr>
                <w:rFonts w:ascii="Arial" w:cs="Arial" w:eastAsia="Arial" w:hAnsi="Arial"/>
                <w:sz w:val="18"/>
                <w:szCs w:val="18"/>
                <w:color w:val="auto"/>
              </w:rPr>
              <w:t>1,950,884</w:t>
            </w:r>
          </w:p>
        </w:tc>
        <w:tc>
          <w:tcPr>
            <w:tcW w:w="3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ind w:right="579"/>
              <w:spacing w:after="0"/>
              <w:rPr>
                <w:sz w:val="20"/>
                <w:szCs w:val="20"/>
                <w:color w:val="auto"/>
              </w:rPr>
            </w:pPr>
            <w:r>
              <w:rPr>
                <w:rFonts w:ascii="Arial" w:cs="Arial" w:eastAsia="Arial" w:hAnsi="Arial"/>
                <w:sz w:val="18"/>
                <w:szCs w:val="18"/>
                <w:color w:val="auto"/>
              </w:rPr>
              <w:t>5,337,036</w:t>
            </w: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ind w:right="499"/>
              <w:spacing w:after="0"/>
              <w:rPr>
                <w:sz w:val="20"/>
                <w:szCs w:val="20"/>
                <w:color w:val="auto"/>
              </w:rPr>
            </w:pPr>
            <w:r>
              <w:rPr>
                <w:rFonts w:ascii="Arial" w:cs="Arial" w:eastAsia="Arial" w:hAnsi="Arial"/>
                <w:sz w:val="18"/>
                <w:szCs w:val="18"/>
                <w:color w:val="auto"/>
              </w:rPr>
              <w:t>123,159,647</w:t>
            </w:r>
          </w:p>
        </w:tc>
      </w:tr>
    </w:tbl>
    <w:p>
      <w:pPr>
        <w:spacing w:after="0" w:line="202"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Consistent with the voting results on proposal no. 4, the board of directors of PAA GP Holdings LLC has determined that the Partnership will hold future advisory votes to approve our named executive officer compensation every year until the next required advisory vote on the frequency of advisory votes to approve named executive officer compensation, which shall be not later than the 2024 annual meeting.</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860" w:type="dxa"/>
            <w:vAlign w:val="bottom"/>
            <w:gridSpan w:val="3"/>
          </w:tcPr>
          <w:p>
            <w:pPr>
              <w:ind w:left="2160"/>
              <w:spacing w:after="0"/>
              <w:rPr>
                <w:sz w:val="20"/>
                <w:szCs w:val="20"/>
                <w:color w:val="auto"/>
              </w:rPr>
            </w:pPr>
            <w:r>
              <w:rPr>
                <w:rFonts w:ascii="Arial" w:cs="Arial" w:eastAsia="Arial" w:hAnsi="Arial"/>
                <w:sz w:val="18"/>
                <w:szCs w:val="18"/>
                <w:color w:val="auto"/>
              </w:rPr>
              <w:t>PAA GP HOLDINGS, L.P.</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May 17, 2018</w:t>
            </w:r>
          </w:p>
        </w:tc>
        <w:tc>
          <w:tcPr>
            <w:tcW w:w="2660" w:type="dxa"/>
            <w:vAlign w:val="bottom"/>
          </w:tcPr>
          <w:p>
            <w:pPr>
              <w:ind w:left="2160"/>
              <w:spacing w:after="0"/>
              <w:rPr>
                <w:sz w:val="20"/>
                <w:szCs w:val="20"/>
                <w:color w:val="auto"/>
              </w:rPr>
            </w:pPr>
            <w:r>
              <w:rPr>
                <w:rFonts w:ascii="Arial" w:cs="Arial" w:eastAsia="Arial" w:hAnsi="Arial"/>
                <w:sz w:val="18"/>
                <w:szCs w:val="18"/>
                <w:color w:val="auto"/>
              </w:rPr>
              <w:t>By:</w:t>
            </w:r>
          </w:p>
        </w:tc>
        <w:tc>
          <w:tcPr>
            <w:tcW w:w="5200" w:type="dxa"/>
            <w:vAlign w:val="bottom"/>
            <w:gridSpan w:val="2"/>
          </w:tcPr>
          <w:p>
            <w:pPr>
              <w:spacing w:after="0"/>
              <w:rPr>
                <w:sz w:val="20"/>
                <w:szCs w:val="20"/>
                <w:color w:val="auto"/>
              </w:rPr>
            </w:pPr>
            <w:r>
              <w:rPr>
                <w:rFonts w:ascii="Arial" w:cs="Arial" w:eastAsia="Arial" w:hAnsi="Arial"/>
                <w:sz w:val="18"/>
                <w:szCs w:val="18"/>
                <w:color w:val="auto"/>
              </w:rPr>
              <w:t>PAA GP Holdings LLC, its general partner</w:t>
            </w:r>
          </w:p>
        </w:tc>
        <w:tc>
          <w:tcPr>
            <w:tcW w:w="40" w:type="dxa"/>
            <w:vAlign w:val="bottom"/>
          </w:tcPr>
          <w:p>
            <w:pPr>
              <w:spacing w:after="0"/>
              <w:rPr>
                <w:sz w:val="24"/>
                <w:szCs w:val="24"/>
                <w:color w:val="auto"/>
              </w:rPr>
            </w:pPr>
          </w:p>
        </w:tc>
      </w:tr>
      <w:tr>
        <w:trPr>
          <w:trHeight w:val="648"/>
        </w:trPr>
        <w:tc>
          <w:tcPr>
            <w:tcW w:w="3560" w:type="dxa"/>
            <w:vAlign w:val="bottom"/>
          </w:tcPr>
          <w:p>
            <w:pPr>
              <w:spacing w:after="0"/>
              <w:rPr>
                <w:sz w:val="24"/>
                <w:szCs w:val="24"/>
                <w:color w:val="auto"/>
              </w:rPr>
            </w:pPr>
          </w:p>
        </w:tc>
        <w:tc>
          <w:tcPr>
            <w:tcW w:w="2660" w:type="dxa"/>
            <w:vAlign w:val="bottom"/>
          </w:tcPr>
          <w:p>
            <w:pPr>
              <w:ind w:left="216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Pr>
          <w:p>
            <w:pPr>
              <w:ind w:left="140"/>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140"/>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4"/>
                <w:szCs w:val="24"/>
                <w:color w:val="auto"/>
              </w:rPr>
            </w:pPr>
          </w:p>
        </w:tc>
        <w:tc>
          <w:tcPr>
            <w:tcW w:w="2660" w:type="dxa"/>
            <w:vAlign w:val="bottom"/>
          </w:tcPr>
          <w:p>
            <w:pPr>
              <w:jc w:val="right"/>
              <w:ind w:right="370"/>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60" w:type="dxa"/>
            <w:vAlign w:val="bottom"/>
            <w:tcBorders>
              <w:bottom w:val="single" w:sz="8" w:color="808080"/>
            </w:tcBorders>
          </w:tcPr>
          <w:p>
            <w:pPr>
              <w:spacing w:after="0"/>
              <w:rPr>
                <w:sz w:val="11"/>
                <w:szCs w:val="11"/>
                <w:color w:val="auto"/>
              </w:rPr>
            </w:pPr>
          </w:p>
        </w:tc>
        <w:tc>
          <w:tcPr>
            <w:tcW w:w="26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2020-01-15T11:51:28Z</dcterms:created>
  <dcterms:modified xsi:type="dcterms:W3CDTF">2020-01-15T11:51:28Z</dcterms:modified>
</cp:coreProperties>
</file>