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278370"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0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520"/>
            <w:col w:w="8740"/>
          </w:cols>
          <w:pgMar w:left="240" w:top="221"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L.P.</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1000"/>
        <w:spacing w:after="0" w:line="338" w:lineRule="auto"/>
        <w:rPr>
          <w:sz w:val="20"/>
          <w:szCs w:val="20"/>
          <w:color w:val="auto"/>
        </w:rPr>
      </w:pPr>
      <w:r>
        <w:rPr>
          <w:rFonts w:ascii="Arial" w:cs="Arial" w:eastAsia="Arial" w:hAnsi="Arial"/>
          <w:sz w:val="17"/>
          <w:szCs w:val="17"/>
          <w:color w:val="0000FF"/>
        </w:rPr>
        <w:t>1800 AVENUE OF THE STARS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60" w:firstLine="7"/>
        <w:spacing w:after="0" w:line="237"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3"/>
        <w:spacing w:after="0"/>
        <w:tabs>
          <w:tab w:leader="none" w:pos="512" w:val="left"/>
          <w:tab w:leader="none" w:pos="183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3"/>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4" w:lineRule="exact"/>
        <w:rPr>
          <w:sz w:val="24"/>
          <w:szCs w:val="24"/>
          <w:color w:val="auto"/>
        </w:rPr>
      </w:pPr>
    </w:p>
    <w:p>
      <w:pPr>
        <w:sectPr>
          <w:pgSz w:w="11900" w:h="16838" w:orient="portrait"/>
          <w:cols w:equalWidth="0" w:num="3">
            <w:col w:w="3340" w:space="720"/>
            <w:col w:w="3267" w:space="720"/>
            <w:col w:w="3473"/>
          </w:cols>
          <w:pgMar w:left="240" w:top="221" w:right="139" w:bottom="0" w:gutter="0" w:footer="0" w:header="0"/>
          <w:type w:val="continuous"/>
        </w:sectPr>
      </w:pPr>
    </w:p>
    <w:tbl>
      <w:tblPr>
        <w:tblLayout w:type="fixed"/>
        <w:tblInd w:w="8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800" w:type="dxa"/>
            <w:vAlign w:val="bottom"/>
            <w:tcBorders>
              <w:top w:val="single" w:sz="8" w:color="9A9A9A"/>
            </w:tcBorders>
          </w:tcPr>
          <w:p>
            <w:pPr>
              <w:spacing w:after="0"/>
              <w:rPr>
                <w:sz w:val="11"/>
                <w:szCs w:val="11"/>
                <w:color w:val="auto"/>
              </w:rPr>
            </w:pPr>
          </w:p>
        </w:tc>
        <w:tc>
          <w:tcPr>
            <w:tcW w:w="3800" w:type="dxa"/>
            <w:vAlign w:val="bottom"/>
          </w:tcPr>
          <w:p>
            <w:pPr>
              <w:ind w:left="160"/>
              <w:spacing w:after="0" w:line="129"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tcPr>
          <w:p>
            <w:pPr>
              <w:ind w:left="340"/>
              <w:spacing w:after="0" w:line="129" w:lineRule="exact"/>
              <w:rPr>
                <w:sz w:val="20"/>
                <w:szCs w:val="20"/>
                <w:color w:val="auto"/>
              </w:rPr>
            </w:pPr>
            <w:r>
              <w:rPr>
                <w:rFonts w:ascii="Arial" w:cs="Arial" w:eastAsia="Arial" w:hAnsi="Arial"/>
                <w:sz w:val="13"/>
                <w:szCs w:val="13"/>
                <w:color w:val="auto"/>
                <w:w w:val="98"/>
              </w:rPr>
              <w:t>6. Individual or Joint/Group Filing (Check Applicable Line)</w:t>
            </w:r>
          </w:p>
        </w:tc>
        <w:tc>
          <w:tcPr>
            <w:tcW w:w="0" w:type="dxa"/>
            <w:vAlign w:val="bottom"/>
          </w:tcPr>
          <w:p>
            <w:pPr>
              <w:spacing w:after="0"/>
              <w:rPr>
                <w:sz w:val="1"/>
                <w:szCs w:val="1"/>
                <w:color w:val="auto"/>
              </w:rPr>
            </w:pPr>
          </w:p>
        </w:tc>
      </w:tr>
      <w:tr>
        <w:trPr>
          <w:trHeight w:val="155"/>
        </w:trPr>
        <w:tc>
          <w:tcPr>
            <w:tcW w:w="7620" w:type="dxa"/>
            <w:vAlign w:val="bottom"/>
            <w:gridSpan w:val="3"/>
          </w:tcPr>
          <w:p>
            <w:pPr>
              <w:spacing w:after="0"/>
              <w:rPr>
                <w:sz w:val="20"/>
                <w:szCs w:val="20"/>
                <w:color w:val="auto"/>
              </w:rPr>
            </w:pPr>
            <w:r>
              <w:rPr>
                <w:rFonts w:ascii="Arial" w:cs="Arial" w:eastAsia="Arial" w:hAnsi="Arial"/>
                <w:sz w:val="13"/>
                <w:szCs w:val="13"/>
                <w:color w:val="auto"/>
              </w:rPr>
              <w:t>(Street)</w:t>
            </w:r>
          </w:p>
        </w:tc>
        <w:tc>
          <w:tcPr>
            <w:tcW w:w="3620" w:type="dxa"/>
            <w:vAlign w:val="bottom"/>
            <w:vMerge w:val="restart"/>
          </w:tcPr>
          <w:p>
            <w:pPr>
              <w:ind w:left="9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340" w:type="dxa"/>
            <w:vAlign w:val="bottom"/>
          </w:tcPr>
          <w:p>
            <w:pPr>
              <w:spacing w:after="0"/>
              <w:rPr>
                <w:sz w:val="20"/>
                <w:szCs w:val="20"/>
                <w:color w:val="auto"/>
              </w:rPr>
            </w:pPr>
            <w:r>
              <w:rPr>
                <w:rFonts w:ascii="Arial" w:cs="Arial" w:eastAsia="Arial" w:hAnsi="Arial"/>
                <w:sz w:val="17"/>
                <w:szCs w:val="17"/>
                <w:color w:val="0000FF"/>
              </w:rPr>
              <w:t>CA</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7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gridSpan w:val="2"/>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auto"/>
              </w:rPr>
              <w:t>(State)</w:t>
            </w:r>
          </w:p>
        </w:tc>
        <w:tc>
          <w:tcPr>
            <w:tcW w:w="1220" w:type="dxa"/>
            <w:vAlign w:val="bottom"/>
          </w:tcPr>
          <w:p>
            <w:pPr>
              <w:ind w:left="6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8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15"/>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5"/>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6"/>
          </w:tcPr>
          <w:p>
            <w:pPr>
              <w:ind w:left="9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4"/>
          </w:tcPr>
          <w:p>
            <w:pPr>
              <w:ind w:left="1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40" w:type="dxa"/>
            <w:vAlign w:val="bottom"/>
            <w:gridSpan w:val="6"/>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58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(I) (Instr. 4)</w:t>
            </w:r>
          </w:p>
        </w:tc>
        <w:tc>
          <w:tcPr>
            <w:tcW w:w="3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28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4"/>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20" w:type="dxa"/>
            <w:vAlign w:val="bottom"/>
            <w:gridSpan w:val="13"/>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See</w:t>
            </w:r>
          </w:p>
        </w:tc>
        <w:tc>
          <w:tcPr>
            <w:tcW w:w="50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340" w:type="dxa"/>
            <w:vAlign w:val="bottom"/>
          </w:tcPr>
          <w:p>
            <w:pPr>
              <w:spacing w:after="0"/>
              <w:rPr>
                <w:sz w:val="15"/>
                <w:szCs w:val="15"/>
                <w:color w:val="auto"/>
              </w:rPr>
            </w:pPr>
          </w:p>
        </w:tc>
        <w:tc>
          <w:tcPr>
            <w:tcW w:w="880" w:type="dxa"/>
            <w:vAlign w:val="bottom"/>
            <w:gridSpan w:val="3"/>
            <w:vMerge w:val="restart"/>
          </w:tcPr>
          <w:p>
            <w:pPr>
              <w:jc w:val="right"/>
              <w:ind w:right="16"/>
              <w:spacing w:after="0"/>
              <w:rPr>
                <w:sz w:val="20"/>
                <w:szCs w:val="20"/>
                <w:color w:val="auto"/>
              </w:rPr>
            </w:pPr>
            <w:r>
              <w:rPr>
                <w:rFonts w:ascii="Arial" w:cs="Arial" w:eastAsia="Arial" w:hAnsi="Arial"/>
                <w:sz w:val="13"/>
                <w:szCs w:val="13"/>
                <w:color w:val="0000FF"/>
              </w:rPr>
              <w:t>12/31/2013</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vMerge w:val="restart"/>
          </w:tcPr>
          <w:p>
            <w:pPr>
              <w:ind w:left="60"/>
              <w:spacing w:after="0"/>
              <w:rPr>
                <w:sz w:val="20"/>
                <w:szCs w:val="20"/>
                <w:color w:val="auto"/>
              </w:rPr>
            </w:pPr>
            <w:r>
              <w:rPr>
                <w:rFonts w:ascii="Arial" w:cs="Arial" w:eastAsia="Arial" w:hAnsi="Arial"/>
                <w:sz w:val="11"/>
                <w:szCs w:val="11"/>
                <w:color w:val="0000FF"/>
                <w:w w:val="71"/>
              </w:rPr>
              <w:t>J</w:t>
            </w:r>
          </w:p>
        </w:tc>
        <w:tc>
          <w:tcPr>
            <w:tcW w:w="260" w:type="dxa"/>
            <w:vAlign w:val="bottom"/>
            <w:vMerge w:val="restart"/>
          </w:tcPr>
          <w:p>
            <w:pPr>
              <w:jc w:val="right"/>
              <w:ind w:right="86"/>
              <w:spacing w:after="0"/>
              <w:rPr>
                <w:sz w:val="20"/>
                <w:szCs w:val="20"/>
                <w:color w:val="auto"/>
              </w:rPr>
            </w:pPr>
            <w:r>
              <w:rPr>
                <w:rFonts w:ascii="Arial" w:cs="Arial" w:eastAsia="Arial" w:hAnsi="Arial"/>
                <w:sz w:val="11"/>
                <w:szCs w:val="11"/>
                <w:color w:val="008000"/>
                <w:w w:val="74"/>
              </w:rPr>
              <w:t>(3)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restart"/>
          </w:tcPr>
          <w:p>
            <w:pPr>
              <w:ind w:left="460"/>
              <w:spacing w:after="0"/>
              <w:rPr>
                <w:sz w:val="20"/>
                <w:szCs w:val="20"/>
                <w:color w:val="auto"/>
              </w:rPr>
            </w:pPr>
            <w:r>
              <w:rPr>
                <w:rFonts w:ascii="Arial" w:cs="Arial" w:eastAsia="Arial" w:hAnsi="Arial"/>
                <w:sz w:val="13"/>
                <w:szCs w:val="13"/>
                <w:color w:val="0000FF"/>
              </w:rPr>
              <w:t>958,752</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740" w:type="dxa"/>
            <w:vAlign w:val="bottom"/>
          </w:tcPr>
          <w:p>
            <w:pPr>
              <w:ind w:left="160"/>
              <w:spacing w:after="0"/>
              <w:rPr>
                <w:sz w:val="20"/>
                <w:szCs w:val="20"/>
                <w:color w:val="auto"/>
              </w:rPr>
            </w:pPr>
            <w:r>
              <w:rPr>
                <w:rFonts w:ascii="Arial" w:cs="Arial" w:eastAsia="Arial" w:hAnsi="Arial"/>
                <w:sz w:val="13"/>
                <w:szCs w:val="13"/>
                <w:color w:val="0000FF"/>
              </w:rPr>
              <w:t>Class A</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958,752</w:t>
            </w:r>
          </w:p>
        </w:tc>
        <w:tc>
          <w:tcPr>
            <w:tcW w:w="20" w:type="dxa"/>
            <w:vAlign w:val="bottom"/>
          </w:tcPr>
          <w:p>
            <w:pPr>
              <w:spacing w:after="0"/>
              <w:rPr>
                <w:sz w:val="15"/>
                <w:szCs w:val="15"/>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103,202,576</w:t>
            </w:r>
          </w:p>
        </w:tc>
        <w:tc>
          <w:tcPr>
            <w:tcW w:w="300" w:type="dxa"/>
            <w:vAlign w:val="bottom"/>
            <w:vMerge w:val="restart"/>
          </w:tcPr>
          <w:p>
            <w:pPr>
              <w:ind w:left="200"/>
              <w:spacing w:after="0"/>
              <w:rPr>
                <w:sz w:val="20"/>
                <w:szCs w:val="20"/>
                <w:color w:val="auto"/>
              </w:rPr>
            </w:pPr>
            <w:r>
              <w:rPr>
                <w:rFonts w:ascii="Arial" w:cs="Arial" w:eastAsia="Arial" w:hAnsi="Arial"/>
                <w:sz w:val="13"/>
                <w:szCs w:val="13"/>
                <w:color w:val="0000FF"/>
                <w:w w:val="84"/>
              </w:rPr>
              <w:t>D</w:t>
            </w:r>
          </w:p>
        </w:tc>
        <w:tc>
          <w:tcPr>
            <w:tcW w:w="340" w:type="dxa"/>
            <w:vAlign w:val="bottom"/>
            <w:vMerge w:val="restart"/>
          </w:tcPr>
          <w:p>
            <w:pPr>
              <w:jc w:val="right"/>
              <w:ind w:right="46"/>
              <w:spacing w:after="0"/>
              <w:rPr>
                <w:sz w:val="20"/>
                <w:szCs w:val="20"/>
                <w:color w:val="auto"/>
              </w:rPr>
            </w:pPr>
            <w:r>
              <w:rPr>
                <w:rFonts w:ascii="Arial" w:cs="Arial" w:eastAsia="Arial" w:hAnsi="Arial"/>
                <w:sz w:val="11"/>
                <w:szCs w:val="11"/>
                <w:color w:val="008000"/>
                <w:w w:val="81"/>
              </w:rPr>
              <w:t>(1)(2)</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80" w:type="dxa"/>
            <w:vAlign w:val="bottom"/>
            <w:gridSpan w:val="3"/>
          </w:tcPr>
          <w:p>
            <w:pPr>
              <w:ind w:left="60"/>
              <w:spacing w:after="0" w:line="65"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(1)(2)</w:t>
            </w: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ind w:left="80"/>
              <w:spacing w:after="0" w:line="65" w:lineRule="exact"/>
              <w:rPr>
                <w:sz w:val="20"/>
                <w:szCs w:val="20"/>
                <w:color w:val="auto"/>
              </w:rPr>
            </w:pPr>
            <w:r>
              <w:rPr>
                <w:rFonts w:ascii="Arial" w:cs="Arial" w:eastAsia="Arial" w:hAnsi="Arial"/>
                <w:sz w:val="7"/>
                <w:szCs w:val="7"/>
                <w:color w:val="0000FF"/>
                <w:vertAlign w:val="subscript"/>
              </w:rPr>
              <w:t>Shares</w:t>
            </w:r>
            <w:r>
              <w:rPr>
                <w:rFonts w:ascii="Arial" w:cs="Arial" w:eastAsia="Arial" w:hAnsi="Arial"/>
                <w:sz w:val="6"/>
                <w:szCs w:val="6"/>
                <w:color w:val="008000"/>
              </w:rPr>
              <w:t>(1)(2)</w:t>
            </w: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gridSpan w:val="2"/>
          </w:tcPr>
          <w:p>
            <w:pPr>
              <w:spacing w:after="0"/>
              <w:rPr>
                <w:sz w:val="15"/>
                <w:szCs w:val="15"/>
                <w:color w:val="auto"/>
              </w:rPr>
            </w:pPr>
          </w:p>
        </w:tc>
        <w:tc>
          <w:tcPr>
            <w:tcW w:w="1980" w:type="dxa"/>
            <w:vAlign w:val="bottom"/>
            <w:tcBorders>
              <w:bottom w:val="single" w:sz="8" w:color="2C2C2C"/>
            </w:tcBorders>
            <w:gridSpan w:val="4"/>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2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8"/>
          </w:tcPr>
          <w:p>
            <w:pPr>
              <w:ind w:left="60"/>
              <w:spacing w:after="0" w:line="23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KAFU HOLDINGS, L.P.</w:t>
              </w:r>
            </w:hyperlink>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tcPr>
          <w:p>
            <w:pPr>
              <w:ind w:left="4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gridSpan w:val="4"/>
          </w:tcPr>
          <w:p>
            <w:pPr>
              <w:ind w:left="180"/>
              <w:spacing w:after="0"/>
              <w:rPr>
                <w:sz w:val="20"/>
                <w:szCs w:val="20"/>
                <w:color w:val="auto"/>
              </w:rPr>
            </w:pPr>
            <w:r>
              <w:rPr>
                <w:rFonts w:ascii="Arial" w:cs="Arial" w:eastAsia="Arial" w:hAnsi="Arial"/>
                <w:sz w:val="17"/>
                <w:szCs w:val="17"/>
                <w:color w:val="0000FF"/>
              </w:rPr>
              <w:t>CA</w:t>
            </w:r>
          </w:p>
        </w:tc>
        <w:tc>
          <w:tcPr>
            <w:tcW w:w="1220" w:type="dxa"/>
            <w:vAlign w:val="bottom"/>
          </w:tcPr>
          <w:p>
            <w:pPr>
              <w:ind w:left="420"/>
              <w:spacing w:after="0"/>
              <w:rPr>
                <w:sz w:val="20"/>
                <w:szCs w:val="20"/>
                <w:color w:val="auto"/>
              </w:rPr>
            </w:pPr>
            <w:r>
              <w:rPr>
                <w:rFonts w:ascii="Arial" w:cs="Arial" w:eastAsia="Arial" w:hAnsi="Arial"/>
                <w:sz w:val="17"/>
                <w:szCs w:val="17"/>
                <w:color w:val="0000FF"/>
              </w:rPr>
              <w:t>77002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220" w:type="dxa"/>
            <w:vAlign w:val="bottom"/>
          </w:tcPr>
          <w:p>
            <w:pPr>
              <w:ind w:left="4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6"/>
          </w:tcPr>
          <w:p>
            <w:pPr>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KAFU Holdings II, L.P.</w:t>
              </w:r>
            </w:hyperlink>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tcPr>
          <w:p>
            <w:pPr>
              <w:ind w:left="4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6"/>
          </w:tcPr>
          <w:p>
            <w:pPr>
              <w:spacing w:after="0"/>
              <w:rPr>
                <w:sz w:val="20"/>
                <w:szCs w:val="20"/>
                <w:color w:val="auto"/>
              </w:rPr>
            </w:pPr>
            <w:r>
              <w:rPr>
                <w:rFonts w:ascii="Arial" w:cs="Arial" w:eastAsia="Arial" w:hAnsi="Arial"/>
                <w:sz w:val="17"/>
                <w:szCs w:val="17"/>
                <w:color w:val="0000FF"/>
              </w:rPr>
              <w:t>1800 AVENUE OF THE STARS</w:t>
            </w: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3RD FLOOR</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gridSpan w:val="4"/>
          </w:tcPr>
          <w:p>
            <w:pPr>
              <w:ind w:left="180"/>
              <w:spacing w:after="0"/>
              <w:rPr>
                <w:sz w:val="20"/>
                <w:szCs w:val="20"/>
                <w:color w:val="auto"/>
              </w:rPr>
            </w:pPr>
            <w:r>
              <w:rPr>
                <w:rFonts w:ascii="Arial" w:cs="Arial" w:eastAsia="Arial" w:hAnsi="Arial"/>
                <w:sz w:val="17"/>
                <w:szCs w:val="17"/>
                <w:color w:val="0000FF"/>
              </w:rPr>
              <w:t>CA</w:t>
            </w:r>
          </w:p>
        </w:tc>
        <w:tc>
          <w:tcPr>
            <w:tcW w:w="1220" w:type="dxa"/>
            <w:vAlign w:val="bottom"/>
          </w:tcPr>
          <w:p>
            <w:pPr>
              <w:ind w:left="420"/>
              <w:spacing w:after="0"/>
              <w:rPr>
                <w:sz w:val="20"/>
                <w:szCs w:val="20"/>
                <w:color w:val="auto"/>
              </w:rPr>
            </w:pPr>
            <w:r>
              <w:rPr>
                <w:rFonts w:ascii="Arial" w:cs="Arial" w:eastAsia="Arial" w:hAnsi="Arial"/>
                <w:sz w:val="17"/>
                <w:szCs w:val="17"/>
                <w:color w:val="0000FF"/>
              </w:rPr>
              <w:t>90067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220" w:type="dxa"/>
            <w:vAlign w:val="bottom"/>
          </w:tcPr>
          <w:p>
            <w:pPr>
              <w:ind w:left="4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9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40" w:type="dxa"/>
            <w:vAlign w:val="bottom"/>
            <w:gridSpan w:val="12"/>
          </w:tcPr>
          <w:p>
            <w:pPr>
              <w:spacing w:after="0" w:line="215" w:lineRule="exact"/>
              <w:rPr>
                <w:rFonts w:ascii="Arial" w:cs="Arial" w:eastAsia="Arial" w:hAnsi="Arial"/>
                <w:sz w:val="21"/>
                <w:szCs w:val="21"/>
                <w:color w:val="0000EE"/>
              </w:rPr>
            </w:pPr>
            <w:hyperlink r:id="rId15">
              <w:r>
                <w:rPr>
                  <w:rFonts w:ascii="Arial" w:cs="Arial" w:eastAsia="Arial" w:hAnsi="Arial"/>
                  <w:sz w:val="21"/>
                  <w:szCs w:val="21"/>
                  <w:color w:val="0000EE"/>
                </w:rPr>
                <w:t>KAYNE ANDERSON CAPITAL ADVISORS LP</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tcPr>
          <w:p>
            <w:pPr>
              <w:ind w:left="4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-5782945</wp:posOffset>
            </wp:positionV>
            <wp:extent cx="24130" cy="1711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4130" cy="1711960"/>
                    </a:xfrm>
                    <a:prstGeom prst="rect">
                      <a:avLst/>
                    </a:prstGeom>
                    <a:noFill/>
                  </pic:spPr>
                </pic:pic>
              </a:graphicData>
            </a:graphic>
          </wp:anchor>
        </w:drawing>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1800 AVENUE OF THE STARS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3RD FLOOR</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520"/>
          </w:cols>
          <w:pgMar w:left="240" w:top="221" w:right="139" w:bottom="0" w:gutter="0" w:footer="0" w:header="0"/>
          <w:type w:val="continuous"/>
        </w:sectPr>
      </w:pPr>
    </w:p>
    <w:p>
      <w:pPr>
        <w:spacing w:after="0" w:line="2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7"/>
          <w:szCs w:val="17"/>
          <w:color w:val="0000FF"/>
        </w:rPr>
        <w:t>LOS ANGELES</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90067</w:t>
      </w:r>
    </w:p>
    <w:p>
      <w:pPr>
        <w:sectPr>
          <w:pgSz w:w="11900" w:h="16838" w:orient="portrait"/>
          <w:cols w:equalWidth="0" w:num="1">
            <w:col w:w="11520"/>
          </w:cols>
          <w:pgMar w:left="240" w:top="221" w:right="1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3540" cy="176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3540" cy="17653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firstLine="2"/>
        <w:spacing w:after="0" w:line="236"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KAFU Holdings, L.P. and KAFU Holdings II, L.P. (collectively "KAFU") hold Class B shares representing limited partner interests in Plains GP Holdings L.P. (the "Issuer") an equivalent number of units representing limited liability company interests of the Issuer's general partner ("GP Units"), and an equivalent number of Class A units representing limited partner interests in Plains AAP, L.P. ("AAP"). The limited partnership agreement of AAP was amended and restated to provide that each limited partner of AAP, including KAFU, will have the right at any time (without expiration) to immediately exchange (the "Exchange Right") its Class A units in AAP together with a like number of Class B shares and the GP Units, for a like number of Class A shares of the Issuer.</w:t>
      </w:r>
    </w:p>
    <w:p>
      <w:pPr>
        <w:spacing w:after="0" w:line="30" w:lineRule="exact"/>
        <w:rPr>
          <w:rFonts w:ascii="Arial" w:cs="Arial" w:eastAsia="Arial" w:hAnsi="Arial"/>
          <w:sz w:val="13"/>
          <w:szCs w:val="13"/>
          <w:color w:val="008000"/>
        </w:rPr>
      </w:pPr>
    </w:p>
    <w:p>
      <w:pPr>
        <w:jc w:val="both"/>
        <w:ind w:right="360" w:firstLine="2"/>
        <w:spacing w:after="0" w:line="317" w:lineRule="auto"/>
        <w:tabs>
          <w:tab w:leader="none" w:pos="12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Kayne Anderson Capital Advisors, L.P. ("KACALP") is the manager of the general partner of KAFU and may be deemed to beneficially own the Class B shares, Class A units in AAP, and the GP Units held by KAFU. The filing of this Statement shall not be construed as an admission that either KAFU or KACALP are, for purposes of Section 13(d) of the Exchange Act, as amended, the beneficial owner of any security.</w:t>
      </w:r>
    </w:p>
    <w:p>
      <w:pPr>
        <w:spacing w:after="0" w:line="1" w:lineRule="exact"/>
        <w:rPr>
          <w:rFonts w:ascii="Arial" w:cs="Arial" w:eastAsia="Arial" w:hAnsi="Arial"/>
          <w:sz w:val="11"/>
          <w:szCs w:val="11"/>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is an in-kind distribution to two KAFU Holdings, L.P. limited partners for the sole purpose of affecting charitable gifts.</w:t>
      </w:r>
    </w:p>
    <w:p>
      <w:pPr>
        <w:spacing w:after="0" w:line="51"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David Shladovsky</w:t>
            </w:r>
          </w:p>
        </w:tc>
        <w:tc>
          <w:tcPr>
            <w:tcW w:w="10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12/31/2013</w:t>
            </w: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86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9001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1590087" TargetMode="External"/><Relationship Id="rId15"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2019-12-06T12:55:57Z</dcterms:created>
  <dcterms:modified xsi:type="dcterms:W3CDTF">2019-12-06T12:55:57Z</dcterms:modified>
</cp:coreProperties>
</file>