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858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8580120"/>
                    </a:xfrm>
                    <a:prstGeom prst="rect">
                      <a:avLst/>
                    </a:prstGeom>
                    <a:noFill/>
                  </pic:spPr>
                </pic:pic>
              </a:graphicData>
            </a:graphic>
          </wp:anchor>
        </w:drawing>
      </w:r>
    </w:p>
    <w:p>
      <w:pPr>
        <w:spacing w:after="0" w:line="93" w:lineRule="exact"/>
        <w:rPr>
          <w:sz w:val="24"/>
          <w:szCs w:val="24"/>
          <w:color w:val="auto"/>
        </w:rPr>
      </w:pPr>
    </w:p>
    <w:p>
      <w:pPr>
        <w:sectPr>
          <w:pgSz w:w="11900" w:h="16922" w:orient="portrait"/>
          <w:cols w:equalWidth="0" w:num="2">
            <w:col w:w="2240" w:space="340"/>
            <w:col w:w="850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(QP), L.P.</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522" w:type="dxa"/>
        <w:tblCellMar>
          <w:top w:w="0" w:type="dxa"/>
          <w:left w:w="0" w:type="dxa"/>
          <w:bottom w:w="0" w:type="dxa"/>
          <w:right w:w="0" w:type="dxa"/>
        </w:tblCellMar>
      </w:tblPr>
      <w:tr>
        <w:trPr>
          <w:trHeight w:val="154"/>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0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82"/>
        <w:spacing w:after="0"/>
        <w:rPr>
          <w:sz w:val="20"/>
          <w:szCs w:val="20"/>
          <w:color w:val="auto"/>
        </w:rPr>
      </w:pPr>
      <w:r>
        <w:rPr>
          <w:rFonts w:ascii="Arial" w:cs="Arial" w:eastAsia="Arial" w:hAnsi="Arial"/>
          <w:sz w:val="17"/>
          <w:szCs w:val="17"/>
          <w:color w:val="0000FF"/>
        </w:rPr>
        <w:t>See remarks</w:t>
      </w:r>
    </w:p>
    <w:p>
      <w:pPr>
        <w:spacing w:after="0" w:line="305" w:lineRule="exact"/>
        <w:rPr>
          <w:sz w:val="24"/>
          <w:szCs w:val="24"/>
          <w:color w:val="auto"/>
        </w:rPr>
      </w:pPr>
    </w:p>
    <w:p>
      <w:pPr>
        <w:sectPr>
          <w:pgSz w:w="11900" w:h="16922" w:orient="portrait"/>
          <w:cols w:equalWidth="0" w:num="3">
            <w:col w:w="3300" w:space="600"/>
            <w:col w:w="3120" w:space="718"/>
            <w:col w:w="3342"/>
          </w:cols>
          <w:pgMar w:left="460" w:top="221" w:right="359" w:bottom="0" w:gutter="0" w:footer="0" w:header="0"/>
          <w:type w:val="continuous"/>
        </w:sectPr>
      </w:pP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Borders>
              <w:right w:val="single" w:sz="8" w:color="9A9A9A"/>
            </w:tcBorders>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1220" w:type="dxa"/>
            <w:vAlign w:val="bottom"/>
            <w:tcBorders>
              <w:right w:val="single" w:sz="8" w:color="9A9A9A"/>
            </w:tcBorders>
            <w:shd w:val="clear" w:color="auto" w:fill="9A9A9A"/>
          </w:tcPr>
          <w:p>
            <w:pPr>
              <w:spacing w:after="0"/>
              <w:rPr>
                <w:sz w:val="2"/>
                <w:szCs w:val="2"/>
                <w:color w:val="auto"/>
              </w:rPr>
            </w:pPr>
          </w:p>
        </w:tc>
        <w:tc>
          <w:tcPr>
            <w:tcW w:w="3480" w:type="dxa"/>
            <w:vAlign w:val="bottom"/>
            <w:gridSpan w:val="11"/>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5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80" w:type="dxa"/>
            <w:vAlign w:val="bottom"/>
            <w:gridSpan w:val="11"/>
            <w:vMerge w:val="continue"/>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3"/>
          </w:tcPr>
          <w:p>
            <w:pPr>
              <w:ind w:left="500"/>
              <w:spacing w:after="0" w:line="146" w:lineRule="exact"/>
              <w:rPr>
                <w:sz w:val="20"/>
                <w:szCs w:val="20"/>
                <w:color w:val="auto"/>
              </w:rPr>
            </w:pPr>
            <w:r>
              <w:rPr>
                <w:rFonts w:ascii="Arial" w:cs="Arial" w:eastAsia="Arial" w:hAnsi="Arial"/>
                <w:sz w:val="13"/>
                <w:szCs w:val="13"/>
                <w:color w:val="auto"/>
              </w:rPr>
              <w:t>Line)</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LOS ANGELES CA</w:t>
            </w:r>
          </w:p>
        </w:tc>
        <w:tc>
          <w:tcPr>
            <w:tcW w:w="1220" w:type="dxa"/>
            <w:vAlign w:val="bottom"/>
          </w:tcPr>
          <w:p>
            <w:pPr>
              <w:ind w:left="20"/>
              <w:spacing w:after="0"/>
              <w:rPr>
                <w:sz w:val="20"/>
                <w:szCs w:val="20"/>
                <w:color w:val="auto"/>
              </w:rPr>
            </w:pPr>
            <w:r>
              <w:rPr>
                <w:rFonts w:ascii="Arial" w:cs="Arial" w:eastAsia="Arial" w:hAnsi="Arial"/>
                <w:sz w:val="17"/>
                <w:szCs w:val="17"/>
                <w:color w:val="0000FF"/>
              </w:rPr>
              <w:t>90067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80" w:type="dxa"/>
            <w:vAlign w:val="bottom"/>
            <w:gridSpan w:val="7"/>
          </w:tcPr>
          <w:p>
            <w:pPr>
              <w:jc w:val="center"/>
              <w:ind w:right="400"/>
              <w:spacing w:after="0" w:line="143"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vMerge w:val="restart"/>
          </w:tcPr>
          <w:p>
            <w:pPr>
              <w:ind w:left="54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38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auto"/>
              </w:rPr>
              <w:t>Person</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20" w:type="dxa"/>
            <w:vAlign w:val="bottom"/>
            <w:tcBorders>
              <w:bottom w:val="single" w:sz="8" w:color="2C2C2C"/>
            </w:tcBorders>
            <w:gridSpan w:val="7"/>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96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5. Amount of</w:t>
            </w:r>
          </w:p>
        </w:tc>
        <w:tc>
          <w:tcPr>
            <w:tcW w:w="128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0"/>
                <w:szCs w:val="10"/>
                <w:color w:val="auto"/>
              </w:rPr>
            </w:pPr>
          </w:p>
        </w:tc>
        <w:tc>
          <w:tcPr>
            <w:tcW w:w="106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Securities</w:t>
            </w:r>
          </w:p>
        </w:tc>
        <w:tc>
          <w:tcPr>
            <w:tcW w:w="1280" w:type="dxa"/>
            <w:vAlign w:val="bottom"/>
            <w:gridSpan w:val="2"/>
          </w:tcPr>
          <w:p>
            <w:pPr>
              <w:ind w:left="400"/>
              <w:spacing w:after="0" w:line="125"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ind w:left="540"/>
              <w:spacing w:after="0" w:line="128"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1280" w:type="dxa"/>
            <w:vAlign w:val="bottom"/>
            <w:gridSpan w:val="2"/>
          </w:tcPr>
          <w:p>
            <w:pPr>
              <w:jc w:val="center"/>
              <w:ind w:left="200"/>
              <w:spacing w:after="0" w:line="128" w:lineRule="exact"/>
              <w:rPr>
                <w:sz w:val="20"/>
                <w:szCs w:val="20"/>
                <w:color w:val="auto"/>
              </w:rPr>
            </w:pPr>
            <w:r>
              <w:rPr>
                <w:rFonts w:ascii="Arial" w:cs="Arial" w:eastAsia="Arial" w:hAnsi="Arial"/>
                <w:sz w:val="12"/>
                <w:szCs w:val="12"/>
                <w:b w:val="1"/>
                <w:bCs w:val="1"/>
                <w:color w:val="auto"/>
                <w:w w:val="93"/>
              </w:rPr>
              <w:t>(D) or Indirect</w:t>
            </w:r>
          </w:p>
        </w:tc>
        <w:tc>
          <w:tcPr>
            <w:tcW w:w="12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Owned Following   (I) (Instr. 4)</w:t>
            </w:r>
          </w:p>
        </w:tc>
        <w:tc>
          <w:tcPr>
            <w:tcW w:w="3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380" w:type="dxa"/>
            <w:vAlign w:val="bottom"/>
            <w:vMerge w:val="restart"/>
          </w:tcPr>
          <w:p>
            <w:pPr>
              <w:jc w:val="center"/>
              <w:ind w:right="5"/>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7"/>
                <w:szCs w:val="17"/>
                <w:color w:val="0000FF"/>
              </w:rPr>
              <w:t>12/31/2021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vMerge w:val="restart"/>
          </w:tcPr>
          <w:p>
            <w:pPr>
              <w:ind w:left="180"/>
              <w:spacing w:after="0"/>
              <w:rPr>
                <w:sz w:val="20"/>
                <w:szCs w:val="20"/>
                <w:color w:val="auto"/>
              </w:rPr>
            </w:pPr>
            <w:r>
              <w:rPr>
                <w:rFonts w:ascii="Arial" w:cs="Arial" w:eastAsia="Arial" w:hAnsi="Arial"/>
                <w:sz w:val="13"/>
                <w:szCs w:val="13"/>
                <w:color w:val="0000FF"/>
              </w:rPr>
              <w:t>J</w:t>
            </w:r>
          </w:p>
        </w:tc>
        <w:tc>
          <w:tcPr>
            <w:tcW w:w="380" w:type="dxa"/>
            <w:vAlign w:val="bottom"/>
          </w:tcPr>
          <w:p>
            <w:pPr>
              <w:spacing w:after="0"/>
              <w:rPr>
                <w:sz w:val="21"/>
                <w:szCs w:val="21"/>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7"/>
                <w:szCs w:val="17"/>
                <w:color w:val="0000FF"/>
              </w:rPr>
              <w:t>29,700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92"/>
              </w:rPr>
              <w:t>29,700</w:t>
            </w:r>
          </w:p>
        </w:tc>
        <w:tc>
          <w:tcPr>
            <w:tcW w:w="880" w:type="dxa"/>
            <w:vAlign w:val="bottom"/>
            <w:vMerge w:val="restart"/>
          </w:tcPr>
          <w:p>
            <w:pPr>
              <w:jc w:val="center"/>
              <w:ind w:left="64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5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580" w:type="dxa"/>
            <w:vAlign w:val="bottom"/>
            <w:tcBorders>
              <w:top w:val="single" w:sz="8" w:color="2C2C2C"/>
            </w:tcBorders>
            <w:gridSpan w:val="2"/>
            <w:vMerge w:val="restart"/>
          </w:tcPr>
          <w:p>
            <w:pPr>
              <w:ind w:left="640"/>
              <w:spacing w:after="0"/>
              <w:rPr>
                <w:sz w:val="20"/>
                <w:szCs w:val="20"/>
                <w:color w:val="auto"/>
              </w:rPr>
            </w:pPr>
            <w:r>
              <w:rPr>
                <w:rFonts w:ascii="Arial" w:cs="Arial" w:eastAsia="Arial" w:hAnsi="Arial"/>
                <w:sz w:val="17"/>
                <w:szCs w:val="17"/>
                <w:color w:val="0000FF"/>
              </w:rPr>
              <w:t>12/31/2021</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J</w:t>
            </w:r>
          </w:p>
        </w:tc>
        <w:tc>
          <w:tcPr>
            <w:tcW w:w="3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117"/>
              <w:spacing w:after="0"/>
              <w:rPr>
                <w:sz w:val="20"/>
                <w:szCs w:val="20"/>
                <w:color w:val="auto"/>
              </w:rPr>
            </w:pPr>
            <w:r>
              <w:rPr>
                <w:rFonts w:ascii="Arial" w:cs="Arial" w:eastAsia="Arial" w:hAnsi="Arial"/>
                <w:sz w:val="17"/>
                <w:szCs w:val="17"/>
                <w:color w:val="0000FF"/>
              </w:rPr>
              <w:t>29,700</w:t>
            </w:r>
          </w:p>
        </w:tc>
        <w:tc>
          <w:tcPr>
            <w:tcW w:w="4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right"/>
              <w:ind w:right="131"/>
              <w:spacing w:after="0"/>
              <w:rPr>
                <w:sz w:val="20"/>
                <w:szCs w:val="20"/>
                <w:color w:val="auto"/>
              </w:rPr>
            </w:pPr>
            <w:r>
              <w:rPr>
                <w:rFonts w:ascii="Arial" w:cs="Arial" w:eastAsia="Arial" w:hAnsi="Arial"/>
                <w:sz w:val="17"/>
                <w:szCs w:val="17"/>
                <w:color w:val="0000FF"/>
              </w:rPr>
              <w:t>0</w:t>
            </w:r>
          </w:p>
        </w:tc>
        <w:tc>
          <w:tcPr>
            <w:tcW w:w="880" w:type="dxa"/>
            <w:vAlign w:val="bottom"/>
            <w:tcBorders>
              <w:top w:val="single" w:sz="8" w:color="2C2C2C"/>
            </w:tcBorders>
            <w:vMerge w:val="restart"/>
          </w:tcPr>
          <w:p>
            <w:pPr>
              <w:jc w:val="center"/>
              <w:ind w:left="640"/>
              <w:spacing w:after="0"/>
              <w:rPr>
                <w:sz w:val="20"/>
                <w:szCs w:val="20"/>
                <w:color w:val="auto"/>
              </w:rPr>
            </w:pPr>
            <w:r>
              <w:rPr>
                <w:rFonts w:ascii="Arial" w:cs="Arial" w:eastAsia="Arial" w:hAnsi="Arial"/>
                <w:sz w:val="17"/>
                <w:szCs w:val="17"/>
                <w:color w:val="0000FF"/>
              </w:rPr>
              <w:t>I</w:t>
            </w: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7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60" w:type="dxa"/>
            <w:vAlign w:val="bottom"/>
            <w:gridSpan w:val="16"/>
          </w:tcPr>
          <w:p>
            <w:pP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20" w:type="dxa"/>
            <w:vAlign w:val="bottom"/>
            <w:gridSpan w:val="14"/>
          </w:tcPr>
          <w:p>
            <w:pPr>
              <w:ind w:left="7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3"/>
              </w:rPr>
              <w:t>Conversion</w:t>
            </w:r>
          </w:p>
        </w:tc>
        <w:tc>
          <w:tcPr>
            <w:tcW w:w="10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880" w:type="dxa"/>
            <w:vAlign w:val="bottom"/>
            <w:tcBorders>
              <w:right w:val="single" w:sz="8" w:color="2C2C2C"/>
            </w:tcBorders>
            <w:gridSpan w:val="3"/>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Exercise</w:t>
            </w:r>
          </w:p>
        </w:tc>
        <w:tc>
          <w:tcPr>
            <w:tcW w:w="22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Form:</w:t>
            </w:r>
          </w:p>
        </w:tc>
        <w:tc>
          <w:tcPr>
            <w:tcW w:w="320" w:type="dxa"/>
            <w:vAlign w:val="bottom"/>
          </w:tcPr>
          <w:p>
            <w:pPr>
              <w:spacing w:after="0"/>
              <w:rPr>
                <w:sz w:val="11"/>
                <w:szCs w:val="11"/>
                <w:color w:val="auto"/>
              </w:rPr>
            </w:pPr>
          </w:p>
        </w:tc>
        <w:tc>
          <w:tcPr>
            <w:tcW w:w="880" w:type="dxa"/>
            <w:vAlign w:val="bottom"/>
            <w:tcBorders>
              <w:right w:val="single" w:sz="8" w:color="2C2C2C"/>
            </w:tcBorders>
            <w:gridSpan w:val="3"/>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880" w:type="dxa"/>
            <w:vAlign w:val="bottom"/>
            <w:tcBorders>
              <w:right w:val="single" w:sz="8" w:color="2C2C2C"/>
            </w:tcBorders>
            <w:gridSpan w:val="3"/>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gridSpan w:val="5"/>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vMerge w:val="restart"/>
          </w:tcPr>
          <w:p>
            <w:pPr>
              <w:ind w:left="140"/>
              <w:spacing w:after="0"/>
              <w:rPr>
                <w:sz w:val="20"/>
                <w:szCs w:val="20"/>
                <w:color w:val="auto"/>
              </w:rPr>
            </w:pPr>
            <w:r>
              <w:rPr>
                <w:rFonts w:ascii="Arial" w:cs="Arial" w:eastAsia="Arial" w:hAnsi="Arial"/>
                <w:sz w:val="13"/>
                <w:szCs w:val="13"/>
                <w:color w:val="0000FF"/>
                <w:w w:val="98"/>
              </w:rPr>
              <w:t>Class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24" w:lineRule="exact"/>
              <w:rPr>
                <w:sz w:val="20"/>
                <w:szCs w:val="20"/>
                <w:color w:val="auto"/>
              </w:rPr>
            </w:pPr>
            <w:r>
              <w:rPr>
                <w:rFonts w:ascii="Arial" w:cs="Arial" w:eastAsia="Arial" w:hAnsi="Arial"/>
                <w:sz w:val="13"/>
                <w:szCs w:val="13"/>
                <w:color w:val="0000FF"/>
                <w:w w:val="90"/>
              </w:rPr>
              <w:t>Shares/Class</w:t>
            </w: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right"/>
              <w:ind w:right="45"/>
              <w:spacing w:after="0"/>
              <w:rPr>
                <w:sz w:val="20"/>
                <w:szCs w:val="20"/>
                <w:color w:val="auto"/>
              </w:rPr>
            </w:pPr>
            <w:r>
              <w:rPr>
                <w:rFonts w:ascii="Arial" w:cs="Arial" w:eastAsia="Arial" w:hAnsi="Arial"/>
                <w:sz w:val="11"/>
                <w:szCs w:val="11"/>
                <w:color w:val="008000"/>
                <w:w w:val="96"/>
              </w:rPr>
              <w:t>(1)(2)</w:t>
            </w:r>
          </w:p>
        </w:tc>
        <w:tc>
          <w:tcPr>
            <w:tcW w:w="820" w:type="dxa"/>
            <w:vAlign w:val="bottom"/>
            <w:vMerge w:val="restart"/>
          </w:tcPr>
          <w:p>
            <w:pPr>
              <w:jc w:val="right"/>
              <w:ind w:right="117"/>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7"/>
                <w:szCs w:val="17"/>
                <w:color w:val="0000FF"/>
                <w:w w:val="84"/>
              </w:rPr>
              <w:t>29,700</w:t>
            </w: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vMerge w:val="restart"/>
          </w:tcPr>
          <w:p>
            <w:pPr>
              <w:ind w:left="640"/>
              <w:spacing w:after="0"/>
              <w:rPr>
                <w:sz w:val="20"/>
                <w:szCs w:val="20"/>
                <w:color w:val="auto"/>
              </w:rPr>
            </w:pPr>
            <w:r>
              <w:rPr>
                <w:rFonts w:ascii="Arial" w:cs="Arial" w:eastAsia="Arial" w:hAnsi="Arial"/>
                <w:sz w:val="11"/>
                <w:szCs w:val="11"/>
                <w:color w:val="008000"/>
              </w:rPr>
              <w:t>(4)</w:t>
            </w: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restart"/>
          </w:tcPr>
          <w:p>
            <w:pPr>
              <w:ind w:left="320"/>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20" w:type="dxa"/>
            <w:vAlign w:val="bottom"/>
            <w:gridSpan w:val="2"/>
            <w:vMerge w:val="restart"/>
          </w:tcPr>
          <w:p>
            <w:pPr>
              <w:ind w:left="300"/>
              <w:spacing w:after="0" w:line="124" w:lineRule="exact"/>
              <w:rPr>
                <w:sz w:val="20"/>
                <w:szCs w:val="20"/>
                <w:color w:val="auto"/>
              </w:rPr>
            </w:pPr>
            <w:r>
              <w:rPr>
                <w:rFonts w:ascii="Arial" w:cs="Arial" w:eastAsia="Arial" w:hAnsi="Arial"/>
                <w:sz w:val="13"/>
                <w:szCs w:val="13"/>
                <w:color w:val="0000FF"/>
              </w:rPr>
              <w:t>12/31/2021</w:t>
            </w:r>
          </w:p>
        </w:tc>
        <w:tc>
          <w:tcPr>
            <w:tcW w:w="1220" w:type="dxa"/>
            <w:vAlign w:val="bottom"/>
          </w:tcPr>
          <w:p>
            <w:pPr>
              <w:spacing w:after="0"/>
              <w:rPr>
                <w:sz w:val="5"/>
                <w:szCs w:val="5"/>
                <w:color w:val="auto"/>
              </w:rPr>
            </w:pPr>
          </w:p>
        </w:tc>
        <w:tc>
          <w:tcPr>
            <w:tcW w:w="360" w:type="dxa"/>
            <w:vAlign w:val="bottom"/>
            <w:vMerge w:val="restart"/>
          </w:tcPr>
          <w:p>
            <w:pPr>
              <w:ind w:left="120"/>
              <w:spacing w:after="0" w:line="124"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restart"/>
          </w:tcPr>
          <w:p>
            <w:pPr>
              <w:ind w:left="360"/>
              <w:spacing w:after="0" w:line="124" w:lineRule="exact"/>
              <w:rPr>
                <w:sz w:val="20"/>
                <w:szCs w:val="20"/>
                <w:color w:val="auto"/>
              </w:rPr>
            </w:pPr>
            <w:r>
              <w:rPr>
                <w:rFonts w:ascii="Arial" w:cs="Arial" w:eastAsia="Arial" w:hAnsi="Arial"/>
                <w:sz w:val="13"/>
                <w:szCs w:val="13"/>
                <w:color w:val="0000FF"/>
              </w:rPr>
              <w:t>29,700</w:t>
            </w:r>
          </w:p>
        </w:tc>
        <w:tc>
          <w:tcPr>
            <w:tcW w:w="3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80" w:type="dxa"/>
            <w:vAlign w:val="bottom"/>
            <w:vMerge w:val="restart"/>
          </w:tcPr>
          <w:p>
            <w:pPr>
              <w:ind w:left="240"/>
              <w:spacing w:after="0" w:line="124" w:lineRule="exact"/>
              <w:rPr>
                <w:sz w:val="20"/>
                <w:szCs w:val="20"/>
                <w:color w:val="auto"/>
              </w:rPr>
            </w:pPr>
            <w:r>
              <w:rPr>
                <w:rFonts w:ascii="Arial" w:cs="Arial" w:eastAsia="Arial" w:hAnsi="Arial"/>
                <w:sz w:val="13"/>
                <w:szCs w:val="13"/>
                <w:color w:val="0000FF"/>
              </w:rPr>
              <w:t>A</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jc w:val="right"/>
              <w:ind w:right="251"/>
              <w:spacing w:after="0" w:line="124"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vMerge w:val="continue"/>
          </w:tcPr>
          <w:p>
            <w:pPr>
              <w:spacing w:after="0"/>
              <w:rPr>
                <w:sz w:val="5"/>
                <w:szCs w:val="5"/>
                <w:color w:val="auto"/>
              </w:rPr>
            </w:pPr>
          </w:p>
        </w:tc>
        <w:tc>
          <w:tcPr>
            <w:tcW w:w="400" w:type="dxa"/>
            <w:vAlign w:val="bottom"/>
            <w:vMerge w:val="restart"/>
          </w:tcPr>
          <w:p>
            <w:pPr>
              <w:ind w:left="340"/>
              <w:spacing w:after="0" w:line="124"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5"/>
                <w:szCs w:val="5"/>
                <w:color w:val="auto"/>
              </w:rPr>
            </w:pPr>
          </w:p>
        </w:tc>
        <w:tc>
          <w:tcPr>
            <w:tcW w:w="88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7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Borders>
              <w:right w:val="single" w:sz="8" w:color="2C2C2C"/>
            </w:tcBorders>
            <w:gridSpan w:val="3"/>
            <w:vMerge w:val="restart"/>
          </w:tcPr>
          <w:p>
            <w:pPr>
              <w:ind w:left="80"/>
              <w:spacing w:after="0" w:line="157"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w w:val="87"/>
              </w:rPr>
              <w:t>Shares</w:t>
            </w: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ind w:left="80"/>
              <w:spacing w:after="0" w:line="94" w:lineRule="exact"/>
              <w:rPr>
                <w:sz w:val="20"/>
                <w:szCs w:val="20"/>
                <w:color w:val="auto"/>
              </w:rPr>
            </w:pPr>
            <w:r>
              <w:rPr>
                <w:rFonts w:ascii="Arial" w:cs="Arial" w:eastAsia="Arial" w:hAnsi="Arial"/>
                <w:sz w:val="10"/>
                <w:szCs w:val="10"/>
                <w:color w:val="0000FF"/>
              </w:rPr>
              <w:t>11,722,210</w:t>
            </w: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right w:val="single" w:sz="8" w:color="2C2C2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5"/>
          </w:tcPr>
          <w:p>
            <w:pPr>
              <w:ind w:left="60"/>
              <w:spacing w:after="0" w:line="233"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20" w:type="dxa"/>
            <w:vAlign w:val="bottom"/>
          </w:tcPr>
          <w:p>
            <w:pPr>
              <w:ind w:left="36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1800 AVENUE OF THE STARS, 3RD FLOOR</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20" w:type="dxa"/>
            <w:vAlign w:val="bottom"/>
            <w:gridSpan w:val="2"/>
          </w:tcPr>
          <w:p>
            <w:pPr>
              <w:spacing w:after="0"/>
              <w:rPr>
                <w:sz w:val="20"/>
                <w:szCs w:val="20"/>
                <w:color w:val="auto"/>
              </w:rPr>
            </w:pPr>
            <w:r>
              <w:rPr>
                <w:rFonts w:ascii="Arial" w:cs="Arial" w:eastAsia="Arial" w:hAnsi="Arial"/>
                <w:sz w:val="17"/>
                <w:szCs w:val="17"/>
                <w:color w:val="0000FF"/>
              </w:rPr>
              <w:t>CA</w:t>
            </w:r>
          </w:p>
        </w:tc>
        <w:tc>
          <w:tcPr>
            <w:tcW w:w="1220" w:type="dxa"/>
            <w:vAlign w:val="bottom"/>
          </w:tcPr>
          <w:p>
            <w:pPr>
              <w:ind w:left="360"/>
              <w:spacing w:after="0"/>
              <w:rPr>
                <w:sz w:val="20"/>
                <w:szCs w:val="20"/>
                <w:color w:val="auto"/>
              </w:rPr>
            </w:pPr>
            <w:r>
              <w:rPr>
                <w:rFonts w:ascii="Arial" w:cs="Arial" w:eastAsia="Arial" w:hAnsi="Arial"/>
                <w:sz w:val="17"/>
                <w:szCs w:val="17"/>
                <w:color w:val="0000FF"/>
              </w:rPr>
              <w:t>90067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ind w:left="36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1"/>
          </w:tcPr>
          <w:p>
            <w:pPr>
              <w:spacing w:after="0" w:line="213" w:lineRule="exact"/>
              <w:rPr>
                <w:rFonts w:ascii="Arial" w:cs="Arial" w:eastAsia="Arial" w:hAnsi="Arial"/>
                <w:sz w:val="20"/>
                <w:szCs w:val="20"/>
                <w:color w:val="0000EE"/>
              </w:rPr>
            </w:pPr>
            <w:hyperlink r:id="rId14">
              <w:r>
                <w:rPr>
                  <w:rFonts w:ascii="Arial" w:cs="Arial" w:eastAsia="Arial" w:hAnsi="Arial"/>
                  <w:sz w:val="20"/>
                  <w:szCs w:val="20"/>
                  <w:color w:val="0000EE"/>
                </w:rPr>
                <w:t>KAYNE ANDERSON CAPITAL ADVISORS LP</w:t>
              </w:r>
            </w:hyperlink>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20" w:type="dxa"/>
            <w:vAlign w:val="bottom"/>
          </w:tcPr>
          <w:p>
            <w:pPr>
              <w:ind w:left="36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w w:val="99"/>
              </w:rPr>
              <w:t>1800 AVENUE OF THE STARS</w:t>
            </w: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20" w:type="dxa"/>
            <w:vAlign w:val="bottom"/>
            <w:gridSpan w:val="2"/>
          </w:tcPr>
          <w:p>
            <w:pPr>
              <w:spacing w:after="0"/>
              <w:rPr>
                <w:sz w:val="20"/>
                <w:szCs w:val="20"/>
                <w:color w:val="auto"/>
              </w:rPr>
            </w:pPr>
            <w:r>
              <w:rPr>
                <w:rFonts w:ascii="Arial" w:cs="Arial" w:eastAsia="Arial" w:hAnsi="Arial"/>
                <w:sz w:val="17"/>
                <w:szCs w:val="17"/>
                <w:color w:val="0000FF"/>
              </w:rPr>
              <w:t>CA</w:t>
            </w:r>
          </w:p>
        </w:tc>
        <w:tc>
          <w:tcPr>
            <w:tcW w:w="1220" w:type="dxa"/>
            <w:vAlign w:val="bottom"/>
          </w:tcPr>
          <w:p>
            <w:pPr>
              <w:ind w:left="360"/>
              <w:spacing w:after="0"/>
              <w:rPr>
                <w:sz w:val="20"/>
                <w:szCs w:val="20"/>
                <w:color w:val="auto"/>
              </w:rPr>
            </w:pPr>
            <w:r>
              <w:rPr>
                <w:rFonts w:ascii="Arial" w:cs="Arial" w:eastAsia="Arial" w:hAnsi="Arial"/>
                <w:sz w:val="17"/>
                <w:szCs w:val="17"/>
                <w:color w:val="0000FF"/>
              </w:rPr>
              <w:t>90067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ind w:left="36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-5338445</wp:posOffset>
            </wp:positionV>
            <wp:extent cx="29210" cy="2091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09105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1"/>
        <w:spacing w:after="0" w:line="232"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December 31, 2021, KAFU Holdings (QP), L.P. exercised the Exchange Right with respect to 29,700 Class A Units.</w:t>
      </w:r>
    </w:p>
    <w:p>
      <w:pPr>
        <w:spacing w:after="0" w:line="33" w:lineRule="exact"/>
        <w:rPr>
          <w:rFonts w:ascii="Arial" w:cs="Arial" w:eastAsia="Arial" w:hAnsi="Arial"/>
          <w:sz w:val="13"/>
          <w:szCs w:val="13"/>
          <w:color w:val="008000"/>
        </w:rPr>
      </w:pPr>
    </w:p>
    <w:p>
      <w:pPr>
        <w:ind w:left="40" w:right="320" w:firstLine="1"/>
        <w:spacing w:after="0" w:line="334"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sectPr>
          <w:pgSz w:w="11900" w:h="16922" w:orient="portrait"/>
          <w:cols w:equalWidth="0" w:num="1">
            <w:col w:w="11080"/>
          </w:cols>
          <w:pgMar w:left="460" w:top="221" w:right="359" w:bottom="0" w:gutter="0" w:footer="0" w:header="0"/>
          <w:type w:val="continuous"/>
        </w:sectPr>
      </w:pPr>
    </w:p>
    <w:bookmarkStart w:id="1" w:name="page2"/>
    <w:bookmarkEnd w:id="1"/>
    <w:p>
      <w:pPr>
        <w:ind w:left="120" w:hanging="119"/>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w:t>
      </w:r>
    </w:p>
    <w:p>
      <w:pPr>
        <w:spacing w:after="0" w:line="42" w:lineRule="exact"/>
        <w:rPr>
          <w:rFonts w:ascii="Arial" w:cs="Arial" w:eastAsia="Arial" w:hAnsi="Arial"/>
          <w:sz w:val="13"/>
          <w:szCs w:val="13"/>
          <w:color w:val="008000"/>
        </w:rPr>
      </w:pPr>
    </w:p>
    <w:p>
      <w:pPr>
        <w:ind w:firstLine="1"/>
        <w:spacing w:after="0" w:line="237" w:lineRule="auto"/>
        <w:tabs>
          <w:tab w:leader="none" w:pos="128"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140,505 Class A units. As a result, such Class A units were cancelled and 140,505 Common Units of Plains All American Pipeline, L.P. were distributed by AAP to KAFU. The number of derivative securities owned reflects both the exchange transaction reported herein and the simultaneous redemption transaction.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008000"/>
        </w:rPr>
        <w:t>As noted in the Issuer's press release dated August 24, 2021, KACALP's legacy contractual right to designate an individual to serve on the Plains Board has been eliminated effective August 19, 2021.</w:t>
      </w:r>
    </w:p>
    <w:p>
      <w:pPr>
        <w:spacing w:after="0" w:line="6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Michael J. O'Neil</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01/03/2022</w:t>
            </w:r>
          </w:p>
        </w:tc>
      </w:tr>
      <w:tr>
        <w:trPr>
          <w:trHeight w:val="20"/>
        </w:trPr>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60" w:firstLine="1"/>
        <w:spacing w:after="0" w:line="330"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2022-01-03T16:04:45Z</dcterms:created>
  <dcterms:modified xsi:type="dcterms:W3CDTF">2022-01-03T16:04:45Z</dcterms:modified>
</cp:coreProperties>
</file>