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348608d424b5.htm"/>
        <w:bookmarkStart w:id="1" w:name="ksd348608d424b5"/>
        <w:bookmarkEnd w:id="0"/>
        <w:bookmarkEnd w:id="1"/>
        <w:r>
          <w:rPr>
            <w:rStyle w:val="InternetLink"/>
          </w:rPr>
          <w:t>Table of Contents</w:t>
        </w:r>
      </w:hyperlink>
    </w:p>
    <w:p>
      <w:pPr>
        <w:pStyle w:val="TextBody"/>
        <w:spacing w:before="0" w:after="0"/>
        <w:jc w:val="right"/>
        <w:rPr>
          <w:rFonts w:ascii="Times New Roman" w:hAnsi="Times New Roman"/>
          <w:b/>
          <w:sz w:val="20"/>
        </w:rPr>
      </w:pPr>
      <w:r>
        <w:rPr>
          <w:rFonts w:ascii="Times New Roman" w:hAnsi="Times New Roman"/>
          <w:b/>
          <w:sz w:val="20"/>
        </w:rPr>
        <w:t xml:space="preserve">Filed pursuant to Rule 424(b)(5) </w:t>
      </w:r>
    </w:p>
    <w:p>
      <w:pPr>
        <w:pStyle w:val="TextBody"/>
        <w:spacing w:before="0" w:after="0"/>
        <w:jc w:val="right"/>
        <w:rPr>
          <w:rFonts w:ascii="Times New Roman" w:hAnsi="Times New Roman"/>
          <w:b/>
          <w:sz w:val="20"/>
        </w:rPr>
      </w:pPr>
      <w:r>
        <w:rPr>
          <w:rFonts w:ascii="Times New Roman" w:hAnsi="Times New Roman"/>
          <w:b/>
          <w:sz w:val="20"/>
        </w:rPr>
        <w:t xml:space="preserve">Registration No. 333-162476 </w:t>
      </w:r>
    </w:p>
    <w:p>
      <w:pPr>
        <w:pStyle w:val="TextBody"/>
        <w:spacing w:before="0" w:after="0"/>
        <w:rPr>
          <w:rFonts w:ascii="Times New Roman" w:hAnsi="Times New Roman"/>
          <w:b/>
          <w:sz w:val="20"/>
        </w:rPr>
      </w:pPr>
      <w:r>
        <w:rPr>
          <w:rFonts w:ascii="Times New Roman" w:hAnsi="Times New Roman"/>
          <w:b/>
          <w:sz w:val="20"/>
        </w:rPr>
        <w:t xml:space="preserve">PROSPECTUS SUPPLEMENT </w:t>
      </w:r>
    </w:p>
    <w:p>
      <w:pPr>
        <w:pStyle w:val="TextBody"/>
        <w:spacing w:before="0" w:after="0"/>
        <w:rPr>
          <w:rFonts w:ascii="Times New Roman" w:hAnsi="Times New Roman"/>
          <w:b/>
          <w:sz w:val="20"/>
        </w:rPr>
      </w:pPr>
      <w:r>
        <w:rPr>
          <w:rFonts w:ascii="Times New Roman" w:hAnsi="Times New Roman"/>
          <w:b/>
          <w:sz w:val="20"/>
        </w:rPr>
        <w:t xml:space="preserve">(TO PROSPECTUS DATED DECEMBER 16, 2009) </w:t>
      </w:r>
    </w:p>
    <w:p>
      <w:pPr>
        <w:pStyle w:val="TextBody"/>
        <w:spacing w:before="0" w:after="0"/>
        <w:rPr/>
      </w:pPr>
      <w:r>
        <w:rPr/>
        <w:t> </w:t>
      </w:r>
    </w:p>
    <w:p>
      <w:pPr>
        <w:pStyle w:val="TextBody"/>
        <w:spacing w:before="0" w:after="0"/>
        <w:jc w:val="center"/>
        <w:rPr/>
      </w:pPr>
      <w:r>
        <w:rPr/>
        <w:drawing>
          <wp:inline distT="0" distB="0" distL="0" distR="0">
            <wp:extent cx="1885950"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85950" cy="590550"/>
                    </a:xfrm>
                    <a:prstGeom prst="rect">
                      <a:avLst/>
                    </a:prstGeom>
                  </pic:spPr>
                </pic:pic>
              </a:graphicData>
            </a:graphic>
          </wp:inline>
        </w:drawing>
      </w:r>
      <w:r>
        <w:rPr/>
        <w:t xml:space="preserve"> </w:t>
      </w:r>
    </w:p>
    <w:p>
      <w:pPr>
        <w:pStyle w:val="TextBody"/>
        <w:spacing w:before="0" w:after="0"/>
        <w:rPr/>
      </w:pPr>
      <w:r>
        <w:rPr/>
        <w:t> </w:t>
      </w:r>
    </w:p>
    <w:p>
      <w:pPr>
        <w:pStyle w:val="TextBody"/>
        <w:spacing w:before="0" w:after="0"/>
        <w:jc w:val="center"/>
        <w:rPr>
          <w:rFonts w:ascii="Times New Roman" w:hAnsi="Times New Roman"/>
          <w:b/>
          <w:sz w:val="72"/>
        </w:rPr>
      </w:pPr>
      <w:r>
        <w:rPr>
          <w:rFonts w:ascii="Times New Roman" w:hAnsi="Times New Roman"/>
          <w:b/>
          <w:sz w:val="72"/>
        </w:rPr>
        <w:t xml:space="preserve">Plains All American Pipeline, L.P. </w:t>
      </w:r>
    </w:p>
    <w:p>
      <w:pPr>
        <w:pStyle w:val="TextBody"/>
        <w:spacing w:before="0" w:after="0"/>
        <w:rPr/>
      </w:pPr>
      <w:r>
        <w:rPr/>
        <w:t> </w:t>
      </w:r>
    </w:p>
    <w:p>
      <w:pPr>
        <w:pStyle w:val="TextBody"/>
        <w:spacing w:before="0" w:after="0"/>
        <w:jc w:val="center"/>
        <w:rPr>
          <w:rFonts w:ascii="Times New Roman" w:hAnsi="Times New Roman"/>
          <w:b/>
          <w:sz w:val="36"/>
        </w:rPr>
      </w:pPr>
      <w:r>
        <w:rPr>
          <w:rFonts w:ascii="Times New Roman" w:hAnsi="Times New Roman"/>
          <w:b/>
          <w:sz w:val="36"/>
        </w:rPr>
        <w:t xml:space="preserve">Common Units </w:t>
      </w:r>
    </w:p>
    <w:p>
      <w:pPr>
        <w:pStyle w:val="TextBody"/>
        <w:spacing w:before="0" w:after="0"/>
        <w:jc w:val="center"/>
        <w:rPr>
          <w:rFonts w:ascii="Times New Roman" w:hAnsi="Times New Roman"/>
          <w:b/>
          <w:sz w:val="36"/>
        </w:rPr>
      </w:pPr>
      <w:r>
        <w:rPr>
          <w:rFonts w:ascii="Times New Roman" w:hAnsi="Times New Roman"/>
          <w:b/>
          <w:sz w:val="36"/>
        </w:rPr>
        <w:t xml:space="preserve">Representing Limited Partner Interests </w:t>
      </w:r>
    </w:p>
    <w:p>
      <w:pPr>
        <w:pStyle w:val="TextBody"/>
        <w:spacing w:before="0" w:after="0"/>
        <w:jc w:val="center"/>
        <w:rPr>
          <w:rFonts w:ascii="Times New Roman" w:hAnsi="Times New Roman"/>
          <w:b/>
          <w:sz w:val="36"/>
        </w:rPr>
      </w:pPr>
      <w:r>
        <w:rPr>
          <w:rFonts w:ascii="Times New Roman" w:hAnsi="Times New Roman"/>
          <w:b/>
          <w:sz w:val="36"/>
        </w:rPr>
        <w:t xml:space="preserve">Having an Aggregate Offering Price of Up to </w:t>
      </w:r>
    </w:p>
    <w:p>
      <w:pPr>
        <w:pStyle w:val="TextBody"/>
        <w:spacing w:before="0" w:after="0"/>
        <w:jc w:val="center"/>
        <w:rPr>
          <w:rFonts w:ascii="Times New Roman" w:hAnsi="Times New Roman"/>
          <w:b/>
          <w:sz w:val="36"/>
        </w:rPr>
      </w:pPr>
      <w:r>
        <w:rPr>
          <w:rFonts w:ascii="Times New Roman" w:hAnsi="Times New Roman"/>
          <w:b/>
          <w:sz w:val="36"/>
        </w:rPr>
        <w:t xml:space="preserve">$300,000,000 </w:t>
      </w:r>
    </w:p>
    <w:p>
      <w:pPr>
        <w:pStyle w:val="TextBody"/>
        <w:spacing w:before="0" w:after="0"/>
        <w:rPr/>
      </w:pPr>
      <w:r>
        <w:rPr/>
        <w:t> </w:t>
      </w:r>
    </w:p>
    <w:p>
      <w:pPr>
        <w:pStyle w:val="TextBody"/>
        <w:pBdr>
          <w:bottom w:val="single" w:sz="4" w:space="1" w:color="000000"/>
        </w:pBdr>
        <w:spacing w:lineRule="atLeast" w:line="141" w:before="0" w:after="30"/>
        <w:jc w:val="center"/>
        <w:rPr/>
      </w:pPr>
      <w:r>
        <w:rPr/>
        <w: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This prospectus supplement and the accompanying base prospectus relate to the issuance and sale from time to time of common units representing limited partner interests in Plains All American Pipeline, L.P. having an aggregate offering price of up to $300,000,000 through Citigroup Global Markets Inc., as our sales agent. These sales, if any, will be made pursuant to the terms of an equity distribution agreement between us and the sales agent, which has been previously filed as an exhibit to a Current Report on Form 8-K that we filed with the Securities and Exchange Commission.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Under the terms of the equity distribution agreement, we also may sell common units to Citigroup Global Markets Inc. as principal for its own account at a price agreed upon at the time of the sale. If we sell common units to Citigroup Global Markets Inc. as principal, we will enter into a separate terms agreement with Citigroup Global Markets Inc. and we will describe that agreement in a separate prospectus supplement or pricing supplement.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common units trade on the New York Stock Exchange (the NYSE) under the symbol PAA. On May 8, 2012, the last reported sale price of our common units on the NYSE was $79.07 per unit. Sales of common units under this prospectus supplement, if any, will be made by means of ordinary brokers transactions through the facilities of the NYSE at market prices, in block transactions or as otherwise agreed between us and the sales agent. </w:t>
      </w:r>
    </w:p>
    <w:p>
      <w:pPr>
        <w:pStyle w:val="TextBody"/>
        <w:spacing w:before="0" w:after="0"/>
        <w:rPr/>
      </w:pPr>
      <w:r>
        <w:rPr/>
        <w:t> </w:t>
      </w:r>
    </w:p>
    <w:p>
      <w:pPr>
        <w:pStyle w:val="TextBody"/>
        <w:spacing w:before="0" w:after="0"/>
        <w:rPr/>
      </w:pPr>
      <w:r>
        <w:rPr>
          <w:rFonts w:ascii="Times New Roman" w:hAnsi="Times New Roman"/>
          <w:b/>
          <w:sz w:val="24"/>
        </w:rPr>
        <w:t>Investing in our common units involves risks. Limited partnerships are inherently different from corporations. You should carefully consider the risks relating to investing in our common units and each of the risk factors described under </w:t>
      </w:r>
      <w:hyperlink w:anchor="supp348608_4">
        <w:r>
          <w:rPr>
            <w:rStyle w:val="InternetLink"/>
            <w:rFonts w:ascii="Times New Roman" w:hAnsi="Times New Roman"/>
            <w:b/>
            <w:sz w:val="24"/>
          </w:rPr>
          <w:t>Risk Factors</w:t>
        </w:r>
      </w:hyperlink>
      <w:r>
        <w:rPr>
          <w:rFonts w:ascii="Times New Roman" w:hAnsi="Times New Roman"/>
          <w:b/>
          <w:sz w:val="24"/>
        </w:rPr>
        <w:t xml:space="preserve"> on page S-4 of this prospectus supplement before you make an investment in our securities. </w:t>
      </w:r>
    </w:p>
    <w:p>
      <w:pPr>
        <w:pStyle w:val="TextBody"/>
        <w:spacing w:before="0" w:after="0"/>
        <w:rPr/>
      </w:pPr>
      <w:r>
        <w:rPr/>
        <w:t> </w:t>
      </w:r>
    </w:p>
    <w:p>
      <w:pPr>
        <w:pStyle w:val="TextBody"/>
        <w:pBdr>
          <w:bottom w:val="single" w:sz="4" w:space="1" w:color="000000"/>
        </w:pBdr>
        <w:spacing w:lineRule="atLeast" w:line="141" w:before="0" w:after="30"/>
        <w:jc w:val="center"/>
        <w:rPr/>
      </w:pPr>
      <w:r>
        <w:rPr/>
        <w: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compensation of the sales agent for sales of units shall be at a fixed commission rate of up to 2.0% of the gross sales price per common unit, depending upon the number of common units sold. The net proceeds from any sales under this prospectus supplement will be used as described under Use of Proceeds in this prospectus supplement.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Neither the Securities and Exchange Commission nor any state securities commission has approved or disapproved these securities or determined if this prospectus supplement or the accompanying base prospectus is truthful or complete. Any representation to the contrary is a criminal offense. </w:t>
      </w:r>
    </w:p>
    <w:p>
      <w:pPr>
        <w:pStyle w:val="TextBody"/>
        <w:spacing w:before="0" w:after="0"/>
        <w:rPr/>
      </w:pPr>
      <w:r>
        <w:rPr/>
        <w:t> </w:t>
      </w:r>
    </w:p>
    <w:p>
      <w:pPr>
        <w:pStyle w:val="TextBody"/>
        <w:pBdr>
          <w:bottom w:val="single" w:sz="4" w:space="1" w:color="000000"/>
        </w:pBdr>
        <w:spacing w:lineRule="atLeast" w:line="141" w:before="0" w:after="30"/>
        <w:jc w:val="center"/>
        <w:rPr/>
      </w:pPr>
      <w:r>
        <w:rPr/>
        <w:t> </w:t>
      </w:r>
    </w:p>
    <w:p>
      <w:pPr>
        <w:pStyle w:val="TextBody"/>
        <w:spacing w:before="0" w:after="0"/>
        <w:rPr/>
      </w:pPr>
      <w:r>
        <w:rPr/>
        <w:t> </w:t>
      </w:r>
    </w:p>
    <w:p>
      <w:pPr>
        <w:pStyle w:val="TextBody"/>
        <w:spacing w:before="0" w:after="0"/>
        <w:jc w:val="center"/>
        <w:rPr>
          <w:rFonts w:ascii="Times New Roman" w:hAnsi="Times New Roman"/>
          <w:b/>
          <w:sz w:val="48"/>
        </w:rPr>
      </w:pPr>
      <w:r>
        <w:rPr>
          <w:rFonts w:ascii="Times New Roman" w:hAnsi="Times New Roman"/>
          <w:b/>
          <w:sz w:val="48"/>
        </w:rPr>
        <w:t xml:space="preserve">Citigroup </w:t>
      </w:r>
    </w:p>
    <w:p>
      <w:pPr>
        <w:pStyle w:val="TextBody"/>
        <w:spacing w:before="0" w:after="0"/>
        <w:rPr/>
      </w:pPr>
      <w:r>
        <w:rPr/>
        <w:t> </w:t>
      </w:r>
    </w:p>
    <w:p>
      <w:pPr>
        <w:pStyle w:val="TextBody"/>
        <w:pBdr>
          <w:bottom w:val="single" w:sz="4" w:space="1" w:color="000000"/>
        </w:pBdr>
        <w:spacing w:lineRule="atLeast" w:line="141" w:before="0" w:after="30"/>
        <w:jc w:val="center"/>
        <w:rPr/>
      </w:pPr>
      <w:r>
        <w:rPr/>
        <w: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May 9, 2012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364"/>
        <w:gridCol w:w="250"/>
        <w:gridCol w:w="60"/>
        <w:gridCol w:w="408"/>
        <w:gridCol w:w="123"/>
      </w:tblGrid>
      <w:tr>
        <w:trPr/>
        <w:tc>
          <w:tcPr>
            <w:tcW w:w="9364"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9364"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46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Page</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rFonts w:ascii="Times New Roman" w:hAnsi="Times New Roman"/>
                <w:b/>
                <w:sz w:val="20"/>
              </w:rPr>
            </w:pPr>
            <w:r>
              <w:rPr>
                <w:rFonts w:ascii="Times New Roman" w:hAnsi="Times New Roman"/>
                <w:b/>
                <w:sz w:val="20"/>
              </w:rPr>
              <w:t>Prospectus Supplement</w:t>
            </w:r>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9364" w:type="dxa"/>
            <w:tcBorders/>
            <w:shd w:fill="auto" w:val="clear"/>
            <w:vAlign w:val="center"/>
          </w:tcPr>
          <w:p>
            <w:pPr>
              <w:pStyle w:val="TableContents"/>
              <w:spacing w:before="0" w:after="283"/>
              <w:rPr>
                <w:sz w:val="4"/>
                <w:szCs w:val="4"/>
              </w:rPr>
            </w:pPr>
            <w:r>
              <w:rPr>
                <w:sz w:val="4"/>
                <w:szCs w:val="4"/>
              </w:rPr>
            </w:r>
          </w:p>
        </w:tc>
        <w:tc>
          <w:tcPr>
            <w:tcW w:w="841" w:type="dxa"/>
            <w:gridSpan w:val="4"/>
            <w:tcBorders/>
            <w:shd w:fill="auto" w:val="clear"/>
            <w:vAlign w:val="center"/>
          </w:tcPr>
          <w:p>
            <w:pPr>
              <w:pStyle w:val="TableContents"/>
              <w:spacing w:before="0" w:after="283"/>
              <w:rPr>
                <w:sz w:val="4"/>
                <w:szCs w:val="4"/>
              </w:rPr>
            </w:pPr>
            <w:r>
              <w:rPr>
                <w:sz w:val="4"/>
                <w:szCs w:val="4"/>
              </w:rPr>
            </w:r>
          </w:p>
        </w:tc>
      </w:tr>
      <w:tr>
        <w:trPr/>
        <w:tc>
          <w:tcPr>
            <w:tcW w:w="9364" w:type="dxa"/>
            <w:tcBorders/>
            <w:shd w:fill="auto" w:val="clear"/>
          </w:tcPr>
          <w:p>
            <w:pPr>
              <w:pStyle w:val="TableContents"/>
              <w:spacing w:before="0" w:after="283"/>
              <w:rPr/>
            </w:pPr>
            <w:hyperlink w:anchor="supp348608_1">
              <w:r>
                <w:rPr>
                  <w:rStyle w:val="InternetLink"/>
                  <w:rFonts w:ascii="Times New Roman" w:hAnsi="Times New Roman"/>
                  <w:sz w:val="20"/>
                </w:rPr>
                <w:t>Important Notice About Information in this Prospectus Supplement and the Accompanying Base Prospectus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S-ii</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supp348608_2">
              <w:r>
                <w:rPr>
                  <w:rStyle w:val="InternetLink"/>
                  <w:rFonts w:ascii="Times New Roman" w:hAnsi="Times New Roman"/>
                  <w:sz w:val="20"/>
                </w:rPr>
                <w:t>Cautionary Note Regarding Forward-Looking Statements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S-iii</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supp348608_3">
              <w:r>
                <w:rPr>
                  <w:rStyle w:val="InternetLink"/>
                  <w:rFonts w:ascii="Times New Roman" w:hAnsi="Times New Roman"/>
                  <w:sz w:val="20"/>
                </w:rPr>
                <w:t>Summary</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S-1</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supp348608_4">
              <w:r>
                <w:rPr>
                  <w:rStyle w:val="InternetLink"/>
                  <w:rFonts w:ascii="Times New Roman" w:hAnsi="Times New Roman"/>
                  <w:sz w:val="20"/>
                </w:rPr>
                <w:t>Risk Factors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S-4</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supp348608_5">
              <w:r>
                <w:rPr>
                  <w:rStyle w:val="InternetLink"/>
                  <w:rFonts w:ascii="Times New Roman" w:hAnsi="Times New Roman"/>
                  <w:sz w:val="20"/>
                </w:rPr>
                <w:t>Use of Proceeds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S-5</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supp348608_6">
              <w:r>
                <w:rPr>
                  <w:rStyle w:val="InternetLink"/>
                  <w:rFonts w:ascii="Times New Roman" w:hAnsi="Times New Roman"/>
                  <w:sz w:val="20"/>
                </w:rPr>
                <w:t>Material U.S. Federal Income Tax Consequences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S-6</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supp348608_7">
              <w:r>
                <w:rPr>
                  <w:rStyle w:val="InternetLink"/>
                  <w:rFonts w:ascii="Times New Roman" w:hAnsi="Times New Roman"/>
                  <w:sz w:val="20"/>
                </w:rPr>
                <w:t>Plan of Distribution</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S-8</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supp348608_8">
              <w:r>
                <w:rPr>
                  <w:rStyle w:val="InternetLink"/>
                  <w:rFonts w:ascii="Times New Roman" w:hAnsi="Times New Roman"/>
                  <w:sz w:val="20"/>
                </w:rPr>
                <w:t>Legal Matters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S-12</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supp348608_9">
              <w:r>
                <w:rPr>
                  <w:rStyle w:val="InternetLink"/>
                  <w:rFonts w:ascii="Times New Roman" w:hAnsi="Times New Roman"/>
                  <w:sz w:val="20"/>
                </w:rPr>
                <w:t>Experts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S-12</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supp348608_10">
              <w:r>
                <w:rPr>
                  <w:rStyle w:val="InternetLink"/>
                  <w:rFonts w:ascii="Times New Roman" w:hAnsi="Times New Roman"/>
                  <w:sz w:val="20"/>
                </w:rPr>
                <w:t>Where You Can Find More Information</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S-13</w:t>
            </w:r>
          </w:p>
        </w:tc>
        <w:tc>
          <w:tcPr>
            <w:tcW w:w="123" w:type="dxa"/>
            <w:tcBorders/>
            <w:shd w:fill="auto" w:val="clear"/>
            <w:vAlign w:val="bottom"/>
          </w:tcPr>
          <w:p>
            <w:pPr>
              <w:pStyle w:val="TableContents"/>
              <w:spacing w:before="0" w:after="283"/>
              <w:rPr/>
            </w:pPr>
            <w:r>
              <w:rPr/>
              <w:t>  </w:t>
            </w:r>
          </w:p>
        </w:tc>
      </w:tr>
      <w:tr>
        <w:trPr>
          <w:trHeight w:val="120" w:hRule="atLeast"/>
        </w:trPr>
        <w:tc>
          <w:tcPr>
            <w:tcW w:w="9364" w:type="dxa"/>
            <w:tcBorders/>
            <w:shd w:fill="auto" w:val="clear"/>
            <w:vAlign w:val="center"/>
          </w:tcPr>
          <w:p>
            <w:pPr>
              <w:pStyle w:val="TableContents"/>
              <w:spacing w:before="0" w:after="283"/>
              <w:rPr>
                <w:sz w:val="4"/>
                <w:szCs w:val="4"/>
              </w:rPr>
            </w:pPr>
            <w:r>
              <w:rPr>
                <w:sz w:val="4"/>
                <w:szCs w:val="4"/>
              </w:rPr>
            </w:r>
          </w:p>
        </w:tc>
        <w:tc>
          <w:tcPr>
            <w:tcW w:w="841" w:type="dxa"/>
            <w:gridSpan w:val="4"/>
            <w:tcBorders/>
            <w:shd w:fill="auto" w:val="clear"/>
            <w:vAlign w:val="center"/>
          </w:tcPr>
          <w:p>
            <w:pPr>
              <w:pStyle w:val="TableContents"/>
              <w:spacing w:before="0" w:after="283"/>
              <w:rPr>
                <w:sz w:val="4"/>
                <w:szCs w:val="4"/>
              </w:rPr>
            </w:pPr>
            <w:r>
              <w:rPr>
                <w:sz w:val="4"/>
                <w:szCs w:val="4"/>
              </w:rPr>
            </w:r>
          </w:p>
        </w:tc>
      </w:tr>
      <w:tr>
        <w:trPr/>
        <w:tc>
          <w:tcPr>
            <w:tcW w:w="9364" w:type="dxa"/>
            <w:tcBorders/>
            <w:shd w:fill="auto" w:val="clear"/>
          </w:tcPr>
          <w:p>
            <w:pPr>
              <w:pStyle w:val="TableContents"/>
              <w:spacing w:before="0" w:after="283"/>
              <w:rPr>
                <w:rFonts w:ascii="Times New Roman" w:hAnsi="Times New Roman"/>
                <w:b/>
                <w:sz w:val="20"/>
              </w:rPr>
            </w:pPr>
            <w:r>
              <w:rPr>
                <w:rFonts w:ascii="Times New Roman" w:hAnsi="Times New Roman"/>
                <w:b/>
                <w:sz w:val="20"/>
              </w:rPr>
              <w:t>Prospectus</w:t>
            </w:r>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9364" w:type="dxa"/>
            <w:tcBorders/>
            <w:shd w:fill="auto" w:val="clear"/>
            <w:vAlign w:val="center"/>
          </w:tcPr>
          <w:p>
            <w:pPr>
              <w:pStyle w:val="TableContents"/>
              <w:spacing w:before="0" w:after="283"/>
              <w:rPr>
                <w:sz w:val="4"/>
                <w:szCs w:val="4"/>
              </w:rPr>
            </w:pPr>
            <w:r>
              <w:rPr>
                <w:sz w:val="4"/>
                <w:szCs w:val="4"/>
              </w:rPr>
            </w:r>
          </w:p>
        </w:tc>
        <w:tc>
          <w:tcPr>
            <w:tcW w:w="841" w:type="dxa"/>
            <w:gridSpan w:val="4"/>
            <w:tcBorders/>
            <w:shd w:fill="auto" w:val="clear"/>
            <w:vAlign w:val="center"/>
          </w:tcPr>
          <w:p>
            <w:pPr>
              <w:pStyle w:val="TableContents"/>
              <w:spacing w:before="0" w:after="283"/>
              <w:rPr>
                <w:sz w:val="4"/>
                <w:szCs w:val="4"/>
              </w:rPr>
            </w:pPr>
            <w:r>
              <w:rPr>
                <w:sz w:val="4"/>
                <w:szCs w:val="4"/>
              </w:rPr>
            </w:r>
          </w:p>
        </w:tc>
      </w:tr>
      <w:tr>
        <w:trPr/>
        <w:tc>
          <w:tcPr>
            <w:tcW w:w="9364" w:type="dxa"/>
            <w:tcBorders/>
            <w:shd w:fill="auto" w:val="clear"/>
          </w:tcPr>
          <w:p>
            <w:pPr>
              <w:pStyle w:val="TableContents"/>
              <w:spacing w:before="0" w:after="283"/>
              <w:rPr/>
            </w:pPr>
            <w:hyperlink w:anchor="tx348608_1">
              <w:r>
                <w:rPr>
                  <w:rStyle w:val="InternetLink"/>
                  <w:rFonts w:ascii="Times New Roman" w:hAnsi="Times New Roman"/>
                  <w:sz w:val="20"/>
                </w:rPr>
                <w:t>About this Prospectus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tx348608_2">
              <w:r>
                <w:rPr>
                  <w:rStyle w:val="InternetLink"/>
                  <w:rFonts w:ascii="Times New Roman" w:hAnsi="Times New Roman"/>
                  <w:sz w:val="20"/>
                </w:rPr>
                <w:t>Where You Can Find More Information</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tx348608_3">
              <w:r>
                <w:rPr>
                  <w:rStyle w:val="InternetLink"/>
                  <w:rFonts w:ascii="Times New Roman" w:hAnsi="Times New Roman"/>
                  <w:sz w:val="20"/>
                </w:rPr>
                <w:t>Forward-Looking Statements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tx348608_4">
              <w:r>
                <w:rPr>
                  <w:rStyle w:val="InternetLink"/>
                  <w:rFonts w:ascii="Times New Roman" w:hAnsi="Times New Roman"/>
                  <w:sz w:val="20"/>
                </w:rPr>
                <w:t>Who We Are</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tx348608_5">
              <w:r>
                <w:rPr>
                  <w:rStyle w:val="InternetLink"/>
                  <w:rFonts w:ascii="Times New Roman" w:hAnsi="Times New Roman"/>
                  <w:sz w:val="20"/>
                </w:rPr>
                <w:t>Risk Factors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tx348608_6">
              <w:r>
                <w:rPr>
                  <w:rStyle w:val="InternetLink"/>
                  <w:rFonts w:ascii="Times New Roman" w:hAnsi="Times New Roman"/>
                  <w:sz w:val="20"/>
                </w:rPr>
                <w:t>Use of Proceeds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tx348608_7">
              <w:r>
                <w:rPr>
                  <w:rStyle w:val="InternetLink"/>
                  <w:rFonts w:ascii="Times New Roman" w:hAnsi="Times New Roman"/>
                  <w:sz w:val="20"/>
                </w:rPr>
                <w:t>Ratio of Earnings to Fixed Charges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tx348608_8">
              <w:r>
                <w:rPr>
                  <w:rStyle w:val="InternetLink"/>
                  <w:rFonts w:ascii="Times New Roman" w:hAnsi="Times New Roman"/>
                  <w:sz w:val="20"/>
                </w:rPr>
                <w:t>Description of Our Debt Securities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tx348608_9">
              <w:r>
                <w:rPr>
                  <w:rStyle w:val="InternetLink"/>
                  <w:rFonts w:ascii="Times New Roman" w:hAnsi="Times New Roman"/>
                  <w:sz w:val="20"/>
                </w:rPr>
                <w:t>Description of Our Common Units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tx348608_10">
              <w:r>
                <w:rPr>
                  <w:rStyle w:val="InternetLink"/>
                  <w:rFonts w:ascii="Times New Roman" w:hAnsi="Times New Roman"/>
                  <w:sz w:val="20"/>
                </w:rPr>
                <w:t>Cash Distribution Policy</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tx348608_11">
              <w:r>
                <w:rPr>
                  <w:rStyle w:val="InternetLink"/>
                  <w:rFonts w:ascii="Times New Roman" w:hAnsi="Times New Roman"/>
                  <w:sz w:val="20"/>
                </w:rPr>
                <w:t>Description of Our Partnership Agreement</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tx348608_12">
              <w:r>
                <w:rPr>
                  <w:rStyle w:val="InternetLink"/>
                  <w:rFonts w:ascii="Times New Roman" w:hAnsi="Times New Roman"/>
                  <w:sz w:val="20"/>
                </w:rPr>
                <w:t>Material Income Tax Consequences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tx348608_13">
              <w:r>
                <w:rPr>
                  <w:rStyle w:val="InternetLink"/>
                  <w:rFonts w:ascii="Times New Roman" w:hAnsi="Times New Roman"/>
                  <w:sz w:val="20"/>
                </w:rPr>
                <w:t>Plan of Distribution</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tx348608_14">
              <w:r>
                <w:rPr>
                  <w:rStyle w:val="InternetLink"/>
                  <w:rFonts w:ascii="Times New Roman" w:hAnsi="Times New Roman"/>
                  <w:sz w:val="20"/>
                </w:rPr>
                <w:t>Legal Matters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tx348608_15">
              <w:r>
                <w:rPr>
                  <w:rStyle w:val="InternetLink"/>
                  <w:rFonts w:ascii="Times New Roman" w:hAnsi="Times New Roman"/>
                  <w:sz w:val="20"/>
                </w:rPr>
                <w:t>Experts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w:t>
            </w:r>
          </w:p>
        </w:tc>
        <w:tc>
          <w:tcPr>
            <w:tcW w:w="123"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pBdr>
          <w:bottom w:val="single" w:sz="4" w:space="1" w:color="000000"/>
        </w:pBdr>
        <w:spacing w:lineRule="atLeast" w:line="141" w:before="0" w:after="30"/>
        <w:jc w:val="center"/>
        <w:rPr/>
      </w:pPr>
      <w:r>
        <w:rPr/>
        <w:t> </w:t>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 w:name="supp348608_1"/>
      <w:bookmarkEnd w:id="3"/>
      <w:r>
        <w:rPr>
          <w:rFonts w:ascii="Times New Roman" w:hAnsi="Times New Roman"/>
          <w:b/>
          <w:sz w:val="20"/>
        </w:rPr>
        <w:t xml:space="preserve">IMPORTANT NOTICE ABOUT INFORMATION IN THIS </w:t>
      </w:r>
    </w:p>
    <w:p>
      <w:pPr>
        <w:pStyle w:val="TextBody"/>
        <w:spacing w:before="0" w:after="0"/>
        <w:jc w:val="center"/>
        <w:rPr>
          <w:rFonts w:ascii="Times New Roman" w:hAnsi="Times New Roman"/>
          <w:b/>
          <w:sz w:val="20"/>
        </w:rPr>
      </w:pPr>
      <w:r>
        <w:rPr>
          <w:rFonts w:ascii="Times New Roman" w:hAnsi="Times New Roman"/>
          <w:b/>
          <w:sz w:val="20"/>
        </w:rPr>
        <w:t xml:space="preserve">PROSPECTUS SUPPLEMENT AND THE ACCOMPANYING BASE PROSPECTUS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are providing information to you about this offering of our common units in two separate documents that are bound together: (1) this prospectus supplement, which describes the specific terms of this offering, and (2) the accompanying base prospectus, which provides general information, some of which may not apply to this offering. This prospectus supplement may also add to, update or change information contained in the accompanying base prospectus. If information in this prospectus supplement is inconsistent with the accompanying base prospectus, you should rely on this prospectus supplement. Generally, when we refer to this prospectus, we are referring to both documents combined.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You should rely only on the information contained or incorporated by reference in this prospectus supplement and the accompanying base prospectus. Neither we nor Citigroup Global Markets Inc. have authorized anyone to provide you with additional or different information. If anyone provides you with different or inconsistent information, you should not rely on it. You should not assume that the information contained in this prospectus supplement or the accompanying base prospectus is accurate as of any date other than the date on the front of those documents or that any information we have incorporated by reference is accurate as of any date other than the date of the document incorporated by reference. Our business, financial condition, results of operations and prospects may have changed since those dates.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are not making an offer to sell our common units in any jurisdiction where the offer is not permitted.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information in this prospectus supplement is not complete. You should carefully read this prospectus supplement and the accompanying base prospectus, including the information incorporated by reference herein and therein, before you invest, as these documents contain information you should consider when making your investment decision.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None of Plains All American Pipeline, L.P., Citigroup Global Markets Inc. or any of their respective representatives is making any representation to you regarding the legality of an investment in our common units by you under applicable laws. You should consult with your own advisors as to legal, tax, business, financial and related aspects of an investment in the common units. </w:t>
      </w:r>
    </w:p>
    <w:p>
      <w:pPr>
        <w:pStyle w:val="TextBody"/>
        <w:spacing w:before="0" w:after="0"/>
        <w:rPr/>
      </w:pPr>
      <w:r>
        <w:rPr/>
        <w:t> </w:t>
      </w:r>
    </w:p>
    <w:p>
      <w:pPr>
        <w:pStyle w:val="TextBody"/>
        <w:pBdr>
          <w:bottom w:val="single" w:sz="4" w:space="1" w:color="000000"/>
        </w:pBdr>
        <w:spacing w:lineRule="atLeast" w:line="141" w:before="0" w:after="30"/>
        <w:jc w:val="center"/>
        <w:rPr/>
      </w:pPr>
      <w:r>
        <w:rPr/>
        <w:t> </w:t>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4" w:name="supp348608_2"/>
      <w:bookmarkEnd w:id="4"/>
      <w:r>
        <w:rPr>
          <w:rFonts w:ascii="Times New Roman" w:hAnsi="Times New Roman"/>
          <w:b/>
          <w:sz w:val="20"/>
        </w:rPr>
        <w:t xml:space="preserve">CAUTIONARY NOTE REGARDING FORWARD-LOOKING STATEMENTS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All statements included or incorporated by reference in this prospectus supplement, other than statements of historical fact, are forward-looking statements, including but not limited to statements identified by the words anticipate, believe, estimate, expect, plan, intend and forecast, as well as similar expressions and statements regarding our business strategy, plans and objectives for future operations. The absence of these words, however, does not mean that the statements are not forward-looking. These statements reflect our current views with respect to future events, based on what we believe are reasonable assumptions. Certain factors could cause actual results to differ materially from results anticipated in the forward-looking statements. The most important of these factors include, but are not limited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10"/>
        <w:gridCol w:w="177"/>
        <w:gridCol w:w="124"/>
        <w:gridCol w:w="9494"/>
      </w:tblGrid>
      <w:tr>
        <w:trPr/>
        <w:tc>
          <w:tcPr>
            <w:tcW w:w="410" w:type="dxa"/>
            <w:tcBorders/>
            <w:shd w:fill="auto" w:val="clear"/>
            <w:vAlign w:val="center"/>
          </w:tcPr>
          <w:p>
            <w:pPr>
              <w:pStyle w:val="TableContents"/>
              <w:spacing w:before="0" w:after="283"/>
              <w:rPr/>
            </w:pPr>
            <w:r>
              <w:rPr/>
              <w:t> </w:t>
            </w:r>
          </w:p>
        </w:tc>
        <w:tc>
          <w:tcPr>
            <w:tcW w:w="17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24"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integrate our recent acquisition of all of the outstanding shares of BP Canada Energy Company, a wholly owned subsidiary of BP Corporation North America (the BP NGL Acquisition);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13"/>
        <w:gridCol w:w="182"/>
        <w:gridCol w:w="126"/>
        <w:gridCol w:w="9484"/>
      </w:tblGrid>
      <w:tr>
        <w:trPr/>
        <w:tc>
          <w:tcPr>
            <w:tcW w:w="413" w:type="dxa"/>
            <w:tcBorders/>
            <w:shd w:fill="auto" w:val="clear"/>
            <w:vAlign w:val="center"/>
          </w:tcPr>
          <w:p>
            <w:pPr>
              <w:pStyle w:val="TableContents"/>
              <w:spacing w:before="0" w:after="283"/>
              <w:rPr/>
            </w:pPr>
            <w:r>
              <w:rPr/>
              <w:t> </w:t>
            </w:r>
          </w:p>
        </w:tc>
        <w:tc>
          <w:tcPr>
            <w:tcW w:w="18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26" w:type="dxa"/>
            <w:tcBorders/>
            <w:shd w:fill="auto" w:val="clear"/>
          </w:tcPr>
          <w:p>
            <w:pPr>
              <w:pStyle w:val="TableContents"/>
              <w:spacing w:before="0" w:after="283"/>
              <w:rPr/>
            </w:pPr>
            <w:r>
              <w:rPr/>
              <w:t> </w:t>
            </w:r>
          </w:p>
        </w:tc>
        <w:tc>
          <w:tcPr>
            <w:tcW w:w="948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implement or capitalize on planned internal growth projects;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176"/>
        <w:gridCol w:w="123"/>
        <w:gridCol w:w="9499"/>
      </w:tblGrid>
      <w:tr>
        <w:trPr/>
        <w:tc>
          <w:tcPr>
            <w:tcW w:w="407" w:type="dxa"/>
            <w:tcBorders/>
            <w:shd w:fill="auto" w:val="clear"/>
            <w:vAlign w:val="center"/>
          </w:tcPr>
          <w:p>
            <w:pPr>
              <w:pStyle w:val="TableContents"/>
              <w:spacing w:before="0" w:after="283"/>
              <w:rPr/>
            </w:pPr>
            <w:r>
              <w:rPr/>
              <w:t> </w:t>
            </w:r>
          </w:p>
        </w:tc>
        <w:tc>
          <w:tcPr>
            <w:tcW w:w="17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23" w:type="dxa"/>
            <w:tcBorders/>
            <w:shd w:fill="auto" w:val="clear"/>
          </w:tcPr>
          <w:p>
            <w:pPr>
              <w:pStyle w:val="TableContents"/>
              <w:spacing w:before="0" w:after="283"/>
              <w:rPr/>
            </w:pPr>
            <w:r>
              <w:rPr/>
              <w:t> </w:t>
            </w:r>
          </w:p>
        </w:tc>
        <w:tc>
          <w:tcPr>
            <w:tcW w:w="94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maintenance of our credit rating and ability to receive open credit from our suppliers and trade counterparties;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4"/>
        <w:gridCol w:w="176"/>
        <w:gridCol w:w="122"/>
        <w:gridCol w:w="9503"/>
      </w:tblGrid>
      <w:tr>
        <w:trPr/>
        <w:tc>
          <w:tcPr>
            <w:tcW w:w="404" w:type="dxa"/>
            <w:tcBorders/>
            <w:shd w:fill="auto" w:val="clear"/>
            <w:vAlign w:val="center"/>
          </w:tcPr>
          <w:p>
            <w:pPr>
              <w:pStyle w:val="TableContents"/>
              <w:spacing w:before="0" w:after="283"/>
              <w:rPr/>
            </w:pPr>
            <w:r>
              <w:rPr/>
              <w:t> </w:t>
            </w:r>
          </w:p>
        </w:tc>
        <w:tc>
          <w:tcPr>
            <w:tcW w:w="17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22" w:type="dxa"/>
            <w:tcBorders/>
            <w:shd w:fill="auto" w:val="clear"/>
          </w:tcPr>
          <w:p>
            <w:pPr>
              <w:pStyle w:val="TableContents"/>
              <w:spacing w:before="0" w:after="283"/>
              <w:rPr/>
            </w:pPr>
            <w:r>
              <w:rPr/>
              <w:t> </w:t>
            </w:r>
          </w:p>
        </w:tc>
        <w:tc>
          <w:tcPr>
            <w:tcW w:w="95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continued creditworthiness of, and performance by, our counterparties, including financial institutions and trading companies with which we do business;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9"/>
        <w:gridCol w:w="170"/>
        <w:gridCol w:w="122"/>
        <w:gridCol w:w="9504"/>
      </w:tblGrid>
      <w:tr>
        <w:trPr/>
        <w:tc>
          <w:tcPr>
            <w:tcW w:w="409" w:type="dxa"/>
            <w:tcBorders/>
            <w:shd w:fill="auto" w:val="clear"/>
            <w:vAlign w:val="center"/>
          </w:tcPr>
          <w:p>
            <w:pPr>
              <w:pStyle w:val="TableContents"/>
              <w:spacing w:before="0" w:after="283"/>
              <w:rPr/>
            </w:pPr>
            <w:r>
              <w:rPr/>
              <w:t> </w:t>
            </w:r>
          </w:p>
        </w:tc>
        <w:tc>
          <w:tcPr>
            <w:tcW w:w="17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22" w:type="dxa"/>
            <w:tcBorders/>
            <w:shd w:fill="auto" w:val="clear"/>
          </w:tcPr>
          <w:p>
            <w:pPr>
              <w:pStyle w:val="TableContents"/>
              <w:spacing w:before="0" w:after="283"/>
              <w:rPr/>
            </w:pPr>
            <w:r>
              <w:rPr/>
              <w:t> </w:t>
            </w:r>
          </w:p>
        </w:tc>
        <w:tc>
          <w:tcPr>
            <w:tcW w:w="95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effectiveness of our risk management activities;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174"/>
        <w:gridCol w:w="123"/>
        <w:gridCol w:w="9500"/>
      </w:tblGrid>
      <w:tr>
        <w:trPr/>
        <w:tc>
          <w:tcPr>
            <w:tcW w:w="408" w:type="dxa"/>
            <w:tcBorders/>
            <w:shd w:fill="auto" w:val="clear"/>
            <w:vAlign w:val="center"/>
          </w:tcPr>
          <w:p>
            <w:pPr>
              <w:pStyle w:val="TableContents"/>
              <w:spacing w:before="0" w:after="283"/>
              <w:rPr/>
            </w:pPr>
            <w:r>
              <w:rPr/>
              <w:t> </w:t>
            </w:r>
          </w:p>
        </w:tc>
        <w:tc>
          <w:tcPr>
            <w:tcW w:w="17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23" w:type="dxa"/>
            <w:tcBorders/>
            <w:shd w:fill="auto" w:val="clear"/>
          </w:tcPr>
          <w:p>
            <w:pPr>
              <w:pStyle w:val="TableContents"/>
              <w:spacing w:before="0" w:after="283"/>
              <w:rPr/>
            </w:pPr>
            <w:r>
              <w:rPr/>
              <w:t> </w:t>
            </w:r>
          </w:p>
        </w:tc>
        <w:tc>
          <w:tcPr>
            <w:tcW w:w="95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unanticipated changes in crude oil market structure, grade differentials and volatility (or lack thereof);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178"/>
        <w:gridCol w:w="123"/>
        <w:gridCol w:w="9497"/>
      </w:tblGrid>
      <w:tr>
        <w:trPr/>
        <w:tc>
          <w:tcPr>
            <w:tcW w:w="407" w:type="dxa"/>
            <w:tcBorders/>
            <w:shd w:fill="auto" w:val="clear"/>
            <w:vAlign w:val="center"/>
          </w:tcPr>
          <w:p>
            <w:pPr>
              <w:pStyle w:val="TableContents"/>
              <w:spacing w:before="0" w:after="283"/>
              <w:rPr/>
            </w:pPr>
            <w:r>
              <w:rPr/>
              <w:t> </w:t>
            </w:r>
          </w:p>
        </w:tc>
        <w:tc>
          <w:tcPr>
            <w:tcW w:w="17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23" w:type="dxa"/>
            <w:tcBorders/>
            <w:shd w:fill="auto" w:val="clear"/>
          </w:tcPr>
          <w:p>
            <w:pPr>
              <w:pStyle w:val="TableContents"/>
              <w:spacing w:before="0" w:after="283"/>
              <w:rPr/>
            </w:pPr>
            <w:r>
              <w:rPr/>
              <w:t> </w:t>
            </w:r>
          </w:p>
        </w:tc>
        <w:tc>
          <w:tcPr>
            <w:tcW w:w="94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environmental liabilities or events that are not covered by an indemnity, insurance or existing reserves;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9"/>
        <w:gridCol w:w="170"/>
        <w:gridCol w:w="122"/>
        <w:gridCol w:w="9504"/>
      </w:tblGrid>
      <w:tr>
        <w:trPr/>
        <w:tc>
          <w:tcPr>
            <w:tcW w:w="409" w:type="dxa"/>
            <w:tcBorders/>
            <w:shd w:fill="auto" w:val="clear"/>
            <w:vAlign w:val="center"/>
          </w:tcPr>
          <w:p>
            <w:pPr>
              <w:pStyle w:val="TableContents"/>
              <w:spacing w:before="0" w:after="283"/>
              <w:rPr/>
            </w:pPr>
            <w:r>
              <w:rPr/>
              <w:t> </w:t>
            </w:r>
          </w:p>
        </w:tc>
        <w:tc>
          <w:tcPr>
            <w:tcW w:w="17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22" w:type="dxa"/>
            <w:tcBorders/>
            <w:shd w:fill="auto" w:val="clear"/>
          </w:tcPr>
          <w:p>
            <w:pPr>
              <w:pStyle w:val="TableContents"/>
              <w:spacing w:before="0" w:after="283"/>
              <w:rPr/>
            </w:pPr>
            <w:r>
              <w:rPr/>
              <w:t> </w:t>
            </w:r>
          </w:p>
        </w:tc>
        <w:tc>
          <w:tcPr>
            <w:tcW w:w="95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abrupt or severe declines or interruptions in outer continental shelf production located offshore California and transported on our pipeline systems;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14"/>
        <w:gridCol w:w="174"/>
        <w:gridCol w:w="124"/>
        <w:gridCol w:w="9493"/>
      </w:tblGrid>
      <w:tr>
        <w:trPr/>
        <w:tc>
          <w:tcPr>
            <w:tcW w:w="414" w:type="dxa"/>
            <w:tcBorders/>
            <w:shd w:fill="auto" w:val="clear"/>
            <w:vAlign w:val="center"/>
          </w:tcPr>
          <w:p>
            <w:pPr>
              <w:pStyle w:val="TableContents"/>
              <w:spacing w:before="0" w:after="283"/>
              <w:rPr/>
            </w:pPr>
            <w:r>
              <w:rPr/>
              <w:t> </w:t>
            </w:r>
          </w:p>
        </w:tc>
        <w:tc>
          <w:tcPr>
            <w:tcW w:w="17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24"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shortages or cost increases of supplies, materials or labor;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175"/>
        <w:gridCol w:w="123"/>
        <w:gridCol w:w="9499"/>
      </w:tblGrid>
      <w:tr>
        <w:trPr/>
        <w:tc>
          <w:tcPr>
            <w:tcW w:w="408" w:type="dxa"/>
            <w:tcBorders/>
            <w:shd w:fill="auto" w:val="clear"/>
            <w:vAlign w:val="center"/>
          </w:tcPr>
          <w:p>
            <w:pPr>
              <w:pStyle w:val="TableContents"/>
              <w:spacing w:before="0" w:after="283"/>
              <w:rPr/>
            </w:pPr>
            <w:r>
              <w:rPr/>
              <w:t> </w:t>
            </w:r>
          </w:p>
        </w:tc>
        <w:tc>
          <w:tcPr>
            <w:tcW w:w="17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23" w:type="dxa"/>
            <w:tcBorders/>
            <w:shd w:fill="auto" w:val="clear"/>
          </w:tcPr>
          <w:p>
            <w:pPr>
              <w:pStyle w:val="TableContents"/>
              <w:spacing w:before="0" w:after="283"/>
              <w:rPr/>
            </w:pPr>
            <w:r>
              <w:rPr/>
              <w:t> </w:t>
            </w:r>
          </w:p>
        </w:tc>
        <w:tc>
          <w:tcPr>
            <w:tcW w:w="94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175"/>
        <w:gridCol w:w="123"/>
        <w:gridCol w:w="9499"/>
      </w:tblGrid>
      <w:tr>
        <w:trPr/>
        <w:tc>
          <w:tcPr>
            <w:tcW w:w="408" w:type="dxa"/>
            <w:tcBorders/>
            <w:shd w:fill="auto" w:val="clear"/>
            <w:vAlign w:val="center"/>
          </w:tcPr>
          <w:p>
            <w:pPr>
              <w:pStyle w:val="TableContents"/>
              <w:spacing w:before="0" w:after="283"/>
              <w:rPr/>
            </w:pPr>
            <w:r>
              <w:rPr/>
              <w:t> </w:t>
            </w:r>
          </w:p>
        </w:tc>
        <w:tc>
          <w:tcPr>
            <w:tcW w:w="17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23" w:type="dxa"/>
            <w:tcBorders/>
            <w:shd w:fill="auto" w:val="clear"/>
          </w:tcPr>
          <w:p>
            <w:pPr>
              <w:pStyle w:val="TableContents"/>
              <w:spacing w:before="0" w:after="283"/>
              <w:rPr/>
            </w:pPr>
            <w:r>
              <w:rPr/>
              <w:t> </w:t>
            </w:r>
          </w:p>
        </w:tc>
        <w:tc>
          <w:tcPr>
            <w:tcW w:w="94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fluctuations in refinery capacity in areas supplied by our mainlines and other factors affecting demand for various grades of crude oil, refined products and natural gas and resulting changes in pricing conditions or transportation throughput requirements;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172"/>
        <w:gridCol w:w="122"/>
        <w:gridCol w:w="9503"/>
      </w:tblGrid>
      <w:tr>
        <w:trPr/>
        <w:tc>
          <w:tcPr>
            <w:tcW w:w="408" w:type="dxa"/>
            <w:tcBorders/>
            <w:shd w:fill="auto" w:val="clear"/>
            <w:vAlign w:val="center"/>
          </w:tcPr>
          <w:p>
            <w:pPr>
              <w:pStyle w:val="TableContents"/>
              <w:spacing w:before="0" w:after="283"/>
              <w:rPr/>
            </w:pPr>
            <w:r>
              <w:rPr/>
              <w:t> </w:t>
            </w:r>
          </w:p>
        </w:tc>
        <w:tc>
          <w:tcPr>
            <w:tcW w:w="17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22" w:type="dxa"/>
            <w:tcBorders/>
            <w:shd w:fill="auto" w:val="clear"/>
          </w:tcPr>
          <w:p>
            <w:pPr>
              <w:pStyle w:val="TableContents"/>
              <w:spacing w:before="0" w:after="283"/>
              <w:rPr/>
            </w:pPr>
            <w:r>
              <w:rPr/>
              <w:t> </w:t>
            </w:r>
          </w:p>
        </w:tc>
        <w:tc>
          <w:tcPr>
            <w:tcW w:w="95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availability of, and our ability to consummate, acquisition or combination opportunities;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9"/>
        <w:gridCol w:w="170"/>
        <w:gridCol w:w="121"/>
        <w:gridCol w:w="9505"/>
      </w:tblGrid>
      <w:tr>
        <w:trPr/>
        <w:tc>
          <w:tcPr>
            <w:tcW w:w="409" w:type="dxa"/>
            <w:tcBorders/>
            <w:shd w:fill="auto" w:val="clear"/>
            <w:vAlign w:val="center"/>
          </w:tcPr>
          <w:p>
            <w:pPr>
              <w:pStyle w:val="TableContents"/>
              <w:spacing w:before="0" w:after="283"/>
              <w:rPr/>
            </w:pPr>
            <w:r>
              <w:rPr/>
              <w:t> </w:t>
            </w:r>
          </w:p>
        </w:tc>
        <w:tc>
          <w:tcPr>
            <w:tcW w:w="17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21" w:type="dxa"/>
            <w:tcBorders/>
            <w:shd w:fill="auto" w:val="clear"/>
          </w:tcPr>
          <w:p>
            <w:pPr>
              <w:pStyle w:val="TableContents"/>
              <w:spacing w:before="0" w:after="283"/>
              <w:rPr/>
            </w:pPr>
            <w:r>
              <w:rPr/>
              <w:t> </w:t>
            </w:r>
          </w:p>
        </w:tc>
        <w:tc>
          <w:tcPr>
            <w:tcW w:w="95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ability to obtain debt or equity financing on satisfactory terms to fund additional acquisitions, expansion projects, working capital requirements and the repayment or refinancing of indebtedness;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10"/>
        <w:gridCol w:w="178"/>
        <w:gridCol w:w="124"/>
        <w:gridCol w:w="9493"/>
      </w:tblGrid>
      <w:tr>
        <w:trPr/>
        <w:tc>
          <w:tcPr>
            <w:tcW w:w="410" w:type="dxa"/>
            <w:tcBorders/>
            <w:shd w:fill="auto" w:val="clear"/>
            <w:vAlign w:val="center"/>
          </w:tcPr>
          <w:p>
            <w:pPr>
              <w:pStyle w:val="TableContents"/>
              <w:spacing w:before="0" w:after="283"/>
              <w:rPr/>
            </w:pPr>
            <w:r>
              <w:rPr/>
              <w:t> </w:t>
            </w:r>
          </w:p>
        </w:tc>
        <w:tc>
          <w:tcPr>
            <w:tcW w:w="17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24"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successful integration and future performance of acquired assets or businesses and the risks associated with operating in lines of business that are distinct and separate from our historical operations;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178"/>
        <w:gridCol w:w="123"/>
        <w:gridCol w:w="9497"/>
      </w:tblGrid>
      <w:tr>
        <w:trPr/>
        <w:tc>
          <w:tcPr>
            <w:tcW w:w="407" w:type="dxa"/>
            <w:tcBorders/>
            <w:shd w:fill="auto" w:val="clear"/>
            <w:vAlign w:val="center"/>
          </w:tcPr>
          <w:p>
            <w:pPr>
              <w:pStyle w:val="TableContents"/>
              <w:spacing w:before="0" w:after="283"/>
              <w:rPr/>
            </w:pPr>
            <w:r>
              <w:rPr/>
              <w:t> </w:t>
            </w:r>
          </w:p>
        </w:tc>
        <w:tc>
          <w:tcPr>
            <w:tcW w:w="17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23" w:type="dxa"/>
            <w:tcBorders/>
            <w:shd w:fill="auto" w:val="clear"/>
          </w:tcPr>
          <w:p>
            <w:pPr>
              <w:pStyle w:val="TableContents"/>
              <w:spacing w:before="0" w:after="283"/>
              <w:rPr/>
            </w:pPr>
            <w:r>
              <w:rPr/>
              <w:t> </w:t>
            </w:r>
          </w:p>
        </w:tc>
        <w:tc>
          <w:tcPr>
            <w:tcW w:w="94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impact of current and future laws, rulings, governmental regulations, accounting standards and statements and related interpretations;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10"/>
        <w:gridCol w:w="177"/>
        <w:gridCol w:w="124"/>
        <w:gridCol w:w="9494"/>
      </w:tblGrid>
      <w:tr>
        <w:trPr/>
        <w:tc>
          <w:tcPr>
            <w:tcW w:w="410" w:type="dxa"/>
            <w:tcBorders/>
            <w:shd w:fill="auto" w:val="clear"/>
            <w:vAlign w:val="center"/>
          </w:tcPr>
          <w:p>
            <w:pPr>
              <w:pStyle w:val="TableContents"/>
              <w:spacing w:before="0" w:after="283"/>
              <w:rPr/>
            </w:pPr>
            <w:r>
              <w:rPr/>
              <w:t> </w:t>
            </w:r>
          </w:p>
        </w:tc>
        <w:tc>
          <w:tcPr>
            <w:tcW w:w="17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24"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effects of competition;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9"/>
        <w:gridCol w:w="170"/>
        <w:gridCol w:w="122"/>
        <w:gridCol w:w="9504"/>
      </w:tblGrid>
      <w:tr>
        <w:trPr/>
        <w:tc>
          <w:tcPr>
            <w:tcW w:w="409" w:type="dxa"/>
            <w:tcBorders/>
            <w:shd w:fill="auto" w:val="clear"/>
            <w:vAlign w:val="center"/>
          </w:tcPr>
          <w:p>
            <w:pPr>
              <w:pStyle w:val="TableContents"/>
              <w:spacing w:before="0" w:after="283"/>
              <w:rPr/>
            </w:pPr>
            <w:r>
              <w:rPr/>
              <w:t> </w:t>
            </w:r>
          </w:p>
        </w:tc>
        <w:tc>
          <w:tcPr>
            <w:tcW w:w="17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22" w:type="dxa"/>
            <w:tcBorders/>
            <w:shd w:fill="auto" w:val="clear"/>
          </w:tcPr>
          <w:p>
            <w:pPr>
              <w:pStyle w:val="TableContents"/>
              <w:spacing w:before="0" w:after="283"/>
              <w:rPr/>
            </w:pPr>
            <w:r>
              <w:rPr/>
              <w:t> </w:t>
            </w:r>
          </w:p>
        </w:tc>
        <w:tc>
          <w:tcPr>
            <w:tcW w:w="95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interruptions in service on third-party pipelines;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11"/>
        <w:gridCol w:w="174"/>
        <w:gridCol w:w="123"/>
        <w:gridCol w:w="9497"/>
      </w:tblGrid>
      <w:tr>
        <w:trPr/>
        <w:tc>
          <w:tcPr>
            <w:tcW w:w="411" w:type="dxa"/>
            <w:tcBorders/>
            <w:shd w:fill="auto" w:val="clear"/>
            <w:vAlign w:val="center"/>
          </w:tcPr>
          <w:p>
            <w:pPr>
              <w:pStyle w:val="TableContents"/>
              <w:spacing w:before="0" w:after="283"/>
              <w:rPr/>
            </w:pPr>
            <w:r>
              <w:rPr/>
              <w:t> </w:t>
            </w:r>
          </w:p>
        </w:tc>
        <w:tc>
          <w:tcPr>
            <w:tcW w:w="17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23" w:type="dxa"/>
            <w:tcBorders/>
            <w:shd w:fill="auto" w:val="clear"/>
          </w:tcPr>
          <w:p>
            <w:pPr>
              <w:pStyle w:val="TableContents"/>
              <w:spacing w:before="0" w:after="283"/>
              <w:rPr/>
            </w:pPr>
            <w:r>
              <w:rPr/>
              <w:t> </w:t>
            </w:r>
          </w:p>
        </w:tc>
        <w:tc>
          <w:tcPr>
            <w:tcW w:w="94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increased costs or lack of availability of insurance;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11"/>
        <w:gridCol w:w="176"/>
        <w:gridCol w:w="124"/>
        <w:gridCol w:w="9494"/>
      </w:tblGrid>
      <w:tr>
        <w:trPr/>
        <w:tc>
          <w:tcPr>
            <w:tcW w:w="411" w:type="dxa"/>
            <w:tcBorders/>
            <w:shd w:fill="auto" w:val="clear"/>
            <w:vAlign w:val="center"/>
          </w:tcPr>
          <w:p>
            <w:pPr>
              <w:pStyle w:val="TableContents"/>
              <w:spacing w:before="0" w:after="283"/>
              <w:rPr/>
            </w:pPr>
            <w:r>
              <w:rPr/>
              <w:t> </w:t>
            </w:r>
          </w:p>
        </w:tc>
        <w:tc>
          <w:tcPr>
            <w:tcW w:w="17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24"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fluctuations in the debt and equity markets, including the price of our units at the time of vesting under our long-term incentive plans;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14"/>
        <w:gridCol w:w="175"/>
        <w:gridCol w:w="124"/>
        <w:gridCol w:w="9492"/>
      </w:tblGrid>
      <w:tr>
        <w:trPr/>
        <w:tc>
          <w:tcPr>
            <w:tcW w:w="414" w:type="dxa"/>
            <w:tcBorders/>
            <w:shd w:fill="auto" w:val="clear"/>
            <w:vAlign w:val="center"/>
          </w:tcPr>
          <w:p>
            <w:pPr>
              <w:pStyle w:val="TableContents"/>
              <w:spacing w:before="0" w:after="283"/>
              <w:rPr/>
            </w:pPr>
            <w:r>
              <w:rPr/>
              <w:t> </w:t>
            </w:r>
          </w:p>
        </w:tc>
        <w:tc>
          <w:tcPr>
            <w:tcW w:w="17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24"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currency exchange rate of the Canadian dollar;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10"/>
        <w:gridCol w:w="180"/>
        <w:gridCol w:w="125"/>
        <w:gridCol w:w="9490"/>
      </w:tblGrid>
      <w:tr>
        <w:trPr/>
        <w:tc>
          <w:tcPr>
            <w:tcW w:w="410" w:type="dxa"/>
            <w:tcBorders/>
            <w:shd w:fill="auto" w:val="clear"/>
            <w:vAlign w:val="center"/>
          </w:tcPr>
          <w:p>
            <w:pPr>
              <w:pStyle w:val="TableContents"/>
              <w:spacing w:before="0" w:after="283"/>
              <w:rPr/>
            </w:pPr>
            <w:r>
              <w:rPr/>
              <w:t> </w:t>
            </w:r>
          </w:p>
        </w:tc>
        <w:tc>
          <w:tcPr>
            <w:tcW w:w="18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25" w:type="dxa"/>
            <w:tcBorders/>
            <w:shd w:fill="auto" w:val="clear"/>
          </w:tcPr>
          <w:p>
            <w:pPr>
              <w:pStyle w:val="TableContents"/>
              <w:spacing w:before="0" w:after="283"/>
              <w:rPr/>
            </w:pPr>
            <w:r>
              <w:rPr/>
              <w:t> </w:t>
            </w:r>
          </w:p>
        </w:tc>
        <w:tc>
          <w:tcPr>
            <w:tcW w:w="94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weather interference with business operations or project construction;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9"/>
        <w:gridCol w:w="170"/>
        <w:gridCol w:w="121"/>
        <w:gridCol w:w="9505"/>
      </w:tblGrid>
      <w:tr>
        <w:trPr/>
        <w:tc>
          <w:tcPr>
            <w:tcW w:w="409" w:type="dxa"/>
            <w:tcBorders/>
            <w:shd w:fill="auto" w:val="clear"/>
            <w:vAlign w:val="center"/>
          </w:tcPr>
          <w:p>
            <w:pPr>
              <w:pStyle w:val="TableContents"/>
              <w:spacing w:before="0" w:after="283"/>
              <w:rPr/>
            </w:pPr>
            <w:r>
              <w:rPr/>
              <w:t> </w:t>
            </w:r>
          </w:p>
        </w:tc>
        <w:tc>
          <w:tcPr>
            <w:tcW w:w="17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21" w:type="dxa"/>
            <w:tcBorders/>
            <w:shd w:fill="auto" w:val="clear"/>
          </w:tcPr>
          <w:p>
            <w:pPr>
              <w:pStyle w:val="TableContents"/>
              <w:spacing w:before="0" w:after="283"/>
              <w:rPr/>
            </w:pPr>
            <w:r>
              <w:rPr/>
              <w:t> </w:t>
            </w:r>
          </w:p>
        </w:tc>
        <w:tc>
          <w:tcPr>
            <w:tcW w:w="95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risks related to the development and operation of natural gas storage facilities;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14"/>
        <w:gridCol w:w="170"/>
        <w:gridCol w:w="123"/>
        <w:gridCol w:w="9498"/>
      </w:tblGrid>
      <w:tr>
        <w:trPr/>
        <w:tc>
          <w:tcPr>
            <w:tcW w:w="414" w:type="dxa"/>
            <w:tcBorders/>
            <w:shd w:fill="auto" w:val="clear"/>
            <w:vAlign w:val="center"/>
          </w:tcPr>
          <w:p>
            <w:pPr>
              <w:pStyle w:val="TableContents"/>
              <w:spacing w:before="0" w:after="283"/>
              <w:rPr/>
            </w:pPr>
            <w:r>
              <w:rPr/>
              <w:t> </w:t>
            </w:r>
          </w:p>
        </w:tc>
        <w:tc>
          <w:tcPr>
            <w:tcW w:w="17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23" w:type="dxa"/>
            <w:tcBorders/>
            <w:shd w:fill="auto" w:val="clear"/>
          </w:tcPr>
          <w:p>
            <w:pPr>
              <w:pStyle w:val="TableContents"/>
              <w:spacing w:before="0" w:after="283"/>
              <w:rPr/>
            </w:pPr>
            <w:r>
              <w:rPr/>
              <w:t> </w:t>
            </w:r>
          </w:p>
        </w:tc>
        <w:tc>
          <w:tcPr>
            <w:tcW w:w="94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factors affecting demand for natural gas and natural gas storage services and rates;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172"/>
        <w:gridCol w:w="122"/>
        <w:gridCol w:w="9503"/>
      </w:tblGrid>
      <w:tr>
        <w:trPr/>
        <w:tc>
          <w:tcPr>
            <w:tcW w:w="408" w:type="dxa"/>
            <w:tcBorders/>
            <w:shd w:fill="auto" w:val="clear"/>
            <w:vAlign w:val="center"/>
          </w:tcPr>
          <w:p>
            <w:pPr>
              <w:pStyle w:val="TableContents"/>
              <w:spacing w:before="0" w:after="283"/>
              <w:rPr/>
            </w:pPr>
            <w:r>
              <w:rPr/>
              <w:t> </w:t>
            </w:r>
          </w:p>
        </w:tc>
        <w:tc>
          <w:tcPr>
            <w:tcW w:w="17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22" w:type="dxa"/>
            <w:tcBorders/>
            <w:shd w:fill="auto" w:val="clear"/>
          </w:tcPr>
          <w:p>
            <w:pPr>
              <w:pStyle w:val="TableContents"/>
              <w:spacing w:before="0" w:after="283"/>
              <w:rPr/>
            </w:pPr>
            <w:r>
              <w:rPr/>
              <w:t> </w:t>
            </w:r>
          </w:p>
        </w:tc>
        <w:tc>
          <w:tcPr>
            <w:tcW w:w="95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general economic, market or business conditions and the amplification of other risks caused by volatile financial markets, capital constraints and pervasive liquidity concerns;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178"/>
        <w:gridCol w:w="123"/>
        <w:gridCol w:w="9497"/>
      </w:tblGrid>
      <w:tr>
        <w:trPr/>
        <w:tc>
          <w:tcPr>
            <w:tcW w:w="407" w:type="dxa"/>
            <w:tcBorders/>
            <w:shd w:fill="auto" w:val="clear"/>
            <w:vAlign w:val="center"/>
          </w:tcPr>
          <w:p>
            <w:pPr>
              <w:pStyle w:val="TableContents"/>
              <w:spacing w:before="0" w:after="283"/>
              <w:rPr/>
            </w:pPr>
            <w:r>
              <w:rPr/>
              <w:t> </w:t>
            </w:r>
          </w:p>
        </w:tc>
        <w:tc>
          <w:tcPr>
            <w:tcW w:w="17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23" w:type="dxa"/>
            <w:tcBorders/>
            <w:shd w:fill="auto" w:val="clear"/>
          </w:tcPr>
          <w:p>
            <w:pPr>
              <w:pStyle w:val="TableContents"/>
              <w:spacing w:before="0" w:after="283"/>
              <w:rPr/>
            </w:pPr>
            <w:r>
              <w:rPr/>
              <w:t> </w:t>
            </w:r>
          </w:p>
        </w:tc>
        <w:tc>
          <w:tcPr>
            <w:tcW w:w="94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other factors and uncertainties inherent in the transportation, storage, terminalling and marketing of crude oil and refined products, as well as in the storage of natural gas and the processing, transportation, fractionation, storage and marketing of natural gas liquids.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Other factors described herein or incorporated by reference, as well as factors that are unknown or unpredictable, could also have a material adverse effect on future results. Please read Risk Factors on page S-4 of this prospectus supplement and Item 1A. Risk Factors in our Annual Report on Form 10-K for the year ended December 31, 2011 (File No. 001-14569), which is incorporated in this prospectus supplement by reference, for information regarding risks you should consider before investing in our common units. Except as required by applicable securities laws, we do not intend to update these forward-looking statements and information. </w:t>
      </w:r>
    </w:p>
    <w:p>
      <w:pPr>
        <w:pStyle w:val="TextBody"/>
        <w:spacing w:before="0" w:after="0"/>
        <w:rPr/>
      </w:pPr>
      <w:r>
        <w:rPr/>
        <w:t> </w:t>
      </w:r>
    </w:p>
    <w:p>
      <w:pPr>
        <w:pStyle w:val="TextBody"/>
        <w:pBdr>
          <w:bottom w:val="single" w:sz="4" w:space="1" w:color="000000"/>
        </w:pBdr>
        <w:spacing w:lineRule="atLeast" w:line="141" w:before="0" w:after="30"/>
        <w:jc w:val="center"/>
        <w:rPr/>
      </w:pPr>
      <w:r>
        <w:rPr/>
        <w:t> </w:t>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S-iv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20"/>
          <w:bdr w:val="single" w:sz="8" w:space="1" w:color="000000"/>
        </w:rPr>
      </w:pPr>
      <w:bookmarkStart w:id="5" w:name="supp348608_3"/>
      <w:bookmarkEnd w:id="5"/>
      <w:r>
        <w:rPr>
          <w:rFonts w:ascii="Times New Roman" w:hAnsi="Times New Roman"/>
          <w:b/>
          <w:sz w:val="20"/>
          <w:bdr w:val="single" w:sz="8" w:space="1" w:color="000000"/>
        </w:rPr>
        <w:t xml:space="preserve">SUMMARY </w:t>
      </w:r>
    </w:p>
    <w:p>
      <w:pPr>
        <w:pStyle w:val="TextBody"/>
        <w:spacing w:before="0" w:after="0"/>
        <w:rPr>
          <w:bdr w:val="single" w:sz="8" w:space="1" w:color="000000"/>
        </w:rPr>
      </w:pPr>
      <w:r>
        <w:rPr>
          <w:bdr w:val="single" w:sz="8" w:space="1" w:color="000000"/>
        </w:rPr>
        <w:t> </w:t>
      </w:r>
    </w:p>
    <w:p>
      <w:pPr>
        <w:pStyle w:val="TextBody"/>
        <w:spacing w:before="0" w:after="0"/>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information included or incorporated by reference in this prospectus supplement. It does not contain all of the information that you should consider before investing in the common units. You should read carefully the entire prospectus supplement, the accompanying base prospectus, the documents incorporated by reference herein and therein and the other documents to which we refer herein and therein for a more complete understanding of this offering. </w:t>
      </w:r>
    </w:p>
    <w:p>
      <w:pPr>
        <w:pStyle w:val="TextBody"/>
        <w:spacing w:before="0" w:after="0"/>
        <w:rPr>
          <w:bdr w:val="single" w:sz="8" w:space="1" w:color="000000"/>
        </w:rPr>
      </w:pPr>
      <w:r>
        <w:rPr>
          <w:bdr w:val="single" w:sz="8" w:space="1" w:color="000000"/>
        </w:rPr>
        <w:t> </w:t>
      </w:r>
    </w:p>
    <w:p>
      <w:pPr>
        <w:pStyle w:val="TextBody"/>
        <w:spacing w:before="0" w:after="0"/>
        <w:rPr>
          <w:rFonts w:ascii="Times New Roman" w:hAnsi="Times New Roman"/>
          <w:i/>
          <w:sz w:val="20"/>
          <w:bdr w:val="single" w:sz="8" w:space="1" w:color="000000"/>
        </w:rPr>
      </w:pPr>
      <w:r>
        <w:rPr>
          <w:rFonts w:ascii="Times New Roman" w:hAnsi="Times New Roman"/>
          <w:i/>
          <w:sz w:val="20"/>
          <w:bdr w:val="single" w:sz="8" w:space="1" w:color="000000"/>
        </w:rPr>
        <w:t xml:space="preserve">Please read Risk Factors on page S-4 of this prospectus supplement and in our Annual Report on Form 10-K for the year ended December 31, 2011, which is incorporated by reference herein, for information regarding risks you should consider before investing in our common units. </w:t>
      </w:r>
    </w:p>
    <w:p>
      <w:pPr>
        <w:pStyle w:val="TextBody"/>
        <w:spacing w:before="0" w:after="0"/>
        <w:rPr>
          <w:bdr w:val="single" w:sz="8" w:space="1" w:color="000000"/>
        </w:rPr>
      </w:pPr>
      <w:r>
        <w:rPr>
          <w:bdr w:val="single" w:sz="8" w:space="1" w:color="000000"/>
        </w:rPr>
        <w:t> </w:t>
      </w:r>
    </w:p>
    <w:p>
      <w:pPr>
        <w:pStyle w:val="TextBody"/>
        <w:spacing w:before="0" w:after="0"/>
        <w:rPr>
          <w:rFonts w:ascii="Times New Roman" w:hAnsi="Times New Roman"/>
          <w:i/>
          <w:sz w:val="20"/>
          <w:bdr w:val="single" w:sz="8" w:space="1" w:color="000000"/>
        </w:rPr>
      </w:pPr>
      <w:r>
        <w:rPr>
          <w:rFonts w:ascii="Times New Roman" w:hAnsi="Times New Roman"/>
          <w:i/>
          <w:sz w:val="20"/>
          <w:bdr w:val="single" w:sz="8" w:space="1" w:color="000000"/>
        </w:rPr>
        <w:t xml:space="preserve">For purposes of this prospectus supplement and the accompanying base prospectus, unless the context clearly indicates otherwise, references to PAA, the Partnership, we, us, our and similar terms refer to Plains All American Pipeline, L.P. and its subsidiaries. With respect to the cover page and in the section entitled Summary  The Offering, we, our and us refer only to Plains All American Pipeline, L.P. and not to any of its subsidiaries. References to our general partner, as the context requires, include any or all of PAA GP LLC, Plains AAP, L.P. and Plains All American GP LLC. </w:t>
      </w:r>
    </w:p>
    <w:p>
      <w:pPr>
        <w:pStyle w:val="TextBody"/>
        <w:spacing w:before="0" w:after="0"/>
        <w:rPr>
          <w:bdr w:val="single" w:sz="8" w:space="1" w:color="000000"/>
        </w:rPr>
      </w:pPr>
      <w:r>
        <w:rPr>
          <w:bdr w:val="single" w:sz="8" w:space="1" w:color="000000"/>
        </w:rPr>
        <w:t> </w:t>
      </w:r>
    </w:p>
    <w:p>
      <w:pPr>
        <w:pStyle w:val="TextBody"/>
        <w:spacing w:before="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Partnership </w:t>
      </w:r>
    </w:p>
    <w:p>
      <w:pPr>
        <w:pStyle w:val="TextBody"/>
        <w:spacing w:before="0" w:after="0"/>
        <w:rPr>
          <w:bdr w:val="single" w:sz="8" w:space="1" w:color="000000"/>
        </w:rPr>
      </w:pPr>
      <w:r>
        <w:rPr>
          <w:bdr w:val="single" w:sz="8" w:space="1" w:color="000000"/>
        </w:rPr>
        <w:t> </w:t>
      </w:r>
    </w:p>
    <w:p>
      <w:pPr>
        <w:pStyle w:val="TextBody"/>
        <w:spacing w:before="0" w:after="0"/>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spacing w:before="0" w:after="0"/>
        <w:rPr>
          <w:bdr w:val="single" w:sz="8" w:space="1" w:color="000000"/>
        </w:rPr>
      </w:pPr>
      <w:r>
        <w:rPr>
          <w:bdr w:val="single" w:sz="8" w:space="1" w:color="000000"/>
        </w:rPr>
        <w:t> </w:t>
      </w:r>
    </w:p>
    <w:p>
      <w:pPr>
        <w:pStyle w:val="TextBody"/>
        <w:spacing w:before="0" w:after="0"/>
        <w:rPr>
          <w:rFonts w:ascii="Times New Roman" w:hAnsi="Times New Roman"/>
          <w:sz w:val="20"/>
          <w:bdr w:val="single" w:sz="8" w:space="1" w:color="000000"/>
        </w:rPr>
      </w:pPr>
      <w:r>
        <w:rPr>
          <w:rFonts w:ascii="Times New Roman" w:hAnsi="Times New Roman"/>
          <w:sz w:val="20"/>
          <w:bdr w:val="single" w:sz="8" w:space="1" w:color="000000"/>
        </w:rPr>
        <w:t xml:space="preserve">We are a Delaware limited partnership formed in September 1998. Our operations are conducted directly and indirectly through our primary operating subsidiaries. We engage in the transportation, storage, terminalling and marketing of crude oil and refined products, as well as in the processing, transportation, fractionation, storage and marketing of natural gas liquids (NGL). The term NGL includes ethane and natural gasoline products as well as propane and butane, products which are commonly referred to as liquefied petroleum gas (LPG). </w:t>
      </w:r>
    </w:p>
    <w:p>
      <w:pPr>
        <w:pStyle w:val="TextBody"/>
        <w:spacing w:before="0" w:after="0"/>
        <w:rPr>
          <w:bdr w:val="single" w:sz="8" w:space="1" w:color="000000"/>
        </w:rPr>
      </w:pPr>
      <w:r>
        <w:rPr>
          <w:bdr w:val="single" w:sz="8" w:space="1" w:color="000000"/>
        </w:rPr>
        <w:t> </w:t>
      </w:r>
    </w:p>
    <w:p>
      <w:pPr>
        <w:pStyle w:val="TextBody"/>
        <w:spacing w:before="0" w:after="0"/>
        <w:rPr>
          <w:rFonts w:ascii="Times New Roman" w:hAnsi="Times New Roman"/>
          <w:sz w:val="20"/>
          <w:bdr w:val="single" w:sz="8" w:space="1" w:color="000000"/>
        </w:rPr>
      </w:pPr>
      <w:r>
        <w:rPr>
          <w:rFonts w:ascii="Times New Roman" w:hAnsi="Times New Roman"/>
          <w:sz w:val="20"/>
          <w:bdr w:val="single" w:sz="8" w:space="1" w:color="000000"/>
        </w:rPr>
        <w:t xml:space="preserve">We also own and operate natural gas storage facilities through our direct and indirect ownership of PAA Natural Gas Storage, L.P. (PNG), which is a fee-based, growth-oriented Delaware limited partnership engaged in the ownership, acquisition, development, operation and commercial management of natural gas storage facilities. We own PNGs general partner, PNGS GP LLC, which holds a 2% general partner interest in PNG and all of its incentive distribution rights. We also currently own an approximate 62% limited partner interest in PNG. </w:t>
      </w:r>
    </w:p>
    <w:p>
      <w:pPr>
        <w:pStyle w:val="TextBody"/>
        <w:spacing w:before="0" w:after="0"/>
        <w:rPr>
          <w:bdr w:val="single" w:sz="8" w:space="1" w:color="000000"/>
        </w:rPr>
      </w:pPr>
      <w:r>
        <w:rPr>
          <w:bdr w:val="single" w:sz="8" w:space="1" w:color="000000"/>
        </w:rPr>
        <w:t> </w:t>
      </w:r>
    </w:p>
    <w:p>
      <w:pPr>
        <w:pStyle w:val="TextBody"/>
        <w:spacing w:before="0" w:after="0"/>
        <w:rPr>
          <w:rFonts w:ascii="Times New Roman" w:hAnsi="Times New Roman"/>
          <w:sz w:val="20"/>
          <w:bdr w:val="single" w:sz="8" w:space="1" w:color="000000"/>
        </w:rPr>
      </w:pPr>
      <w:r>
        <w:rPr>
          <w:rFonts w:ascii="Times New Roman" w:hAnsi="Times New Roman"/>
          <w:sz w:val="20"/>
          <w:bdr w:val="single" w:sz="8" w:space="1" w:color="000000"/>
        </w:rPr>
        <w:t xml:space="preserve">We are one of the largest midstream crude oil companies in North America. We have an extensive network of pipeline transportation, terminalling, storage and gathering assets in key oil-producing basins and transportation corridors, and at major market hubs in the United States and Canada. We manage our operations through three primary operating segments: transportation, facilities and supply and logistics. </w:t>
      </w:r>
    </w:p>
    <w:p>
      <w:pPr>
        <w:pStyle w:val="TextBody"/>
        <w:spacing w:before="0" w:after="0"/>
        <w:rPr>
          <w:bdr w:val="single" w:sz="8" w:space="1" w:color="000000"/>
        </w:rPr>
      </w:pPr>
      <w:r>
        <w:rPr>
          <w:bdr w:val="single" w:sz="8" w:space="1" w:color="000000"/>
        </w:rPr>
        <w:t> </w:t>
      </w:r>
    </w:p>
    <w:p>
      <w:pPr>
        <w:pStyle w:val="TextBody"/>
        <w:spacing w:before="0" w:after="0"/>
        <w:rPr>
          <w:rFonts w:ascii="Times New Roman" w:hAnsi="Times New Roman"/>
          <w:b/>
          <w:sz w:val="20"/>
          <w:bdr w:val="single" w:sz="8" w:space="1" w:color="000000"/>
        </w:rPr>
      </w:pPr>
      <w:r>
        <w:rPr>
          <w:rFonts w:ascii="Times New Roman" w:hAnsi="Times New Roman"/>
          <w:b/>
          <w:sz w:val="20"/>
          <w:bdr w:val="single" w:sz="8" w:space="1" w:color="000000"/>
        </w:rPr>
        <w:t xml:space="preserve">Ongoing Acquisition Activities </w:t>
      </w:r>
    </w:p>
    <w:p>
      <w:pPr>
        <w:pStyle w:val="TextBody"/>
        <w:spacing w:before="0" w:after="0"/>
        <w:rPr>
          <w:bdr w:val="single" w:sz="8" w:space="1" w:color="000000"/>
        </w:rPr>
      </w:pPr>
      <w:r>
        <w:rPr>
          <w:bdr w:val="single" w:sz="8" w:space="1" w:color="000000"/>
        </w:rPr>
        <w:t> </w:t>
      </w:r>
    </w:p>
    <w:p>
      <w:pPr>
        <w:pStyle w:val="TextBody"/>
        <w:spacing w:before="0" w:after="0"/>
        <w:rPr>
          <w:rFonts w:ascii="Times New Roman" w:hAnsi="Times New Roman"/>
          <w:sz w:val="20"/>
          <w:bdr w:val="single" w:sz="8" w:space="1" w:color="000000"/>
        </w:rPr>
      </w:pPr>
      <w:r>
        <w:rPr>
          <w:rFonts w:ascii="Times New Roman" w:hAnsi="Times New Roman"/>
          <w:sz w:val="20"/>
          <w:bdr w:val="single" w:sz="8" w:space="1" w:color="000000"/>
        </w:rPr>
        <w:t xml:space="preserve">Consistent with our business strategy, we are continuously engaged in discussions with potential sellers regarding the possible purchase of assets and operations that are strategic and complementary to our existing operations. In addition, we have in the past evaluated and pursued, and intend in the future to evaluate and pursue, other energy-related assets that have characteristics and opportunities similar to our existing business lines and enable us to leverage our asset base, knowledge base and skill sets. Such acquisition efforts may involve participation by us in processes that have been made public and involve a number of potential buyers, </w:t>
      </w:r>
    </w:p>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rPr>
          <w:rFonts w:ascii="Times New Roman" w:hAnsi="Times New Roman"/>
          <w:sz w:val="20"/>
          <w:bdr w:val="single" w:sz="8" w:space="1" w:color="000000"/>
        </w:rPr>
      </w:pPr>
      <w:r>
        <w:rPr>
          <w:rFonts w:ascii="Times New Roman" w:hAnsi="Times New Roman"/>
          <w:sz w:val="20"/>
          <w:bdr w:val="single" w:sz="8" w:space="1" w:color="000000"/>
        </w:rPr>
        <w:t xml:space="preserve">commonly referred to as auction processes, as well as situations in which we believe we are the only party or one of a limited number of potential buyers in negotiations with the potential seller. These acquisition efforts often involve assets which, if acquired, could have a material effect on our financial condition and results of operations. </w:t>
      </w:r>
    </w:p>
    <w:p>
      <w:pPr>
        <w:pStyle w:val="TextBody"/>
        <w:spacing w:before="0" w:after="0"/>
        <w:rPr>
          <w:bdr w:val="single" w:sz="8" w:space="1" w:color="000000"/>
        </w:rPr>
      </w:pPr>
      <w:r>
        <w:rPr>
          <w:bdr w:val="single" w:sz="8" w:space="1" w:color="000000"/>
        </w:rPr>
        <w:t> </w:t>
      </w:r>
    </w:p>
    <w:p>
      <w:pPr>
        <w:pStyle w:val="TextBody"/>
        <w:spacing w:before="0" w:after="0"/>
        <w:rPr>
          <w:rFonts w:ascii="Times New Roman" w:hAnsi="Times New Roman"/>
          <w:sz w:val="20"/>
          <w:bdr w:val="single" w:sz="8" w:space="1" w:color="000000"/>
        </w:rPr>
      </w:pPr>
      <w:r>
        <w:rPr>
          <w:rFonts w:ascii="Times New Roman" w:hAnsi="Times New Roman"/>
          <w:sz w:val="20"/>
          <w:bdr w:val="single" w:sz="8" w:space="1" w:color="000000"/>
        </w:rPr>
        <w:t xml:space="preserve">We typically do not announce a transaction until after we have executed a definitive acquisition agreement. However, in certain cases in order to protect our business interests or for other reasons, we may defer public announcement of an acquisition until closing or a later date. Past experience has demonstrated that discussions and negotiations regarding a potential acquisition can advance or terminate in a short period of time. Moreover, the closing of any transaction for which we have entered into a definitive acquisition agreement will be subject to customary and other closing conditions, which may not ultimately be satisfied or waived. Accordingly, we can give no assurance that our current or future acquisition efforts will be successful. Although we expect the acquisitions we make to be accretive in the long term, we can provide no assurance that our expectations will ultimately be realized. </w:t>
      </w:r>
    </w:p>
    <w:p>
      <w:pPr>
        <w:pStyle w:val="TextBody"/>
        <w:spacing w:before="0" w:after="0"/>
        <w:rPr>
          <w:bdr w:val="single" w:sz="8" w:space="1" w:color="000000"/>
        </w:rPr>
      </w:pPr>
      <w:r>
        <w:rPr>
          <w:bdr w:val="single" w:sz="8" w:space="1" w:color="000000"/>
        </w:rPr>
        <w:t> </w:t>
      </w:r>
    </w:p>
    <w:p>
      <w:pPr>
        <w:pStyle w:val="TextBody"/>
        <w:spacing w:before="0" w:after="0"/>
        <w:rPr>
          <w:rFonts w:ascii="Times New Roman" w:hAnsi="Times New Roman"/>
          <w:b/>
          <w:sz w:val="20"/>
          <w:bdr w:val="single" w:sz="8" w:space="1" w:color="000000"/>
        </w:rPr>
      </w:pPr>
      <w:r>
        <w:rPr>
          <w:rFonts w:ascii="Times New Roman" w:hAnsi="Times New Roman"/>
          <w:b/>
          <w:sz w:val="20"/>
          <w:bdr w:val="single" w:sz="8" w:space="1" w:color="000000"/>
        </w:rPr>
        <w:t xml:space="preserve">Our Principal Executive Offices </w:t>
      </w:r>
    </w:p>
    <w:p>
      <w:pPr>
        <w:pStyle w:val="TextBody"/>
        <w:spacing w:before="0" w:after="0"/>
        <w:rPr>
          <w:bdr w:val="single" w:sz="8" w:space="1" w:color="000000"/>
        </w:rPr>
      </w:pPr>
      <w:r>
        <w:rPr>
          <w:bdr w:val="single" w:sz="8" w:space="1" w:color="000000"/>
        </w:rPr>
        <w:t> </w:t>
      </w:r>
    </w:p>
    <w:p>
      <w:pPr>
        <w:pStyle w:val="TextBody"/>
        <w:spacing w:before="0" w:after="0"/>
        <w:rPr>
          <w:rFonts w:ascii="Times New Roman" w:hAnsi="Times New Roman"/>
          <w:sz w:val="20"/>
          <w:bdr w:val="single" w:sz="8" w:space="1" w:color="000000"/>
        </w:rPr>
      </w:pPr>
      <w:r>
        <w:rPr>
          <w:rFonts w:ascii="Times New Roman" w:hAnsi="Times New Roman"/>
          <w:sz w:val="20"/>
          <w:bdr w:val="single" w:sz="8" w:space="1" w:color="000000"/>
        </w:rPr>
        <w:t xml:space="preserve">Our executive offices are located at 333 Clay Street, Suite 1600, Houston, Texas 77002. Our telephone number is (713) 646-4100. We maintain a website at </w:t>
      </w:r>
      <w:r>
        <w:rPr>
          <w:rFonts w:ascii="Times New Roman" w:hAnsi="Times New Roman"/>
          <w:i/>
          <w:sz w:val="20"/>
          <w:bdr w:val="single" w:sz="8" w:space="1" w:color="000000"/>
        </w:rPr>
        <w:t xml:space="preserve">www.paalp.com </w:t>
      </w:r>
      <w:r>
        <w:rPr>
          <w:rFonts w:ascii="Times New Roman" w:hAnsi="Times New Roman"/>
          <w:sz w:val="20"/>
          <w:bdr w:val="single" w:sz="8" w:space="1" w:color="000000"/>
        </w:rPr>
        <w:t xml:space="preserve">that provides information about our business and operations. Information contained on or available through our website is not incorporated into or otherwise a part of this prospectus supplement or the accompanying base prospectus. </w:t>
      </w:r>
    </w:p>
    <w:p>
      <w:pPr>
        <w:pStyle w:val="TextBody"/>
        <w:spacing w:before="0" w:after="0"/>
        <w:rPr>
          <w:bdr w:val="single" w:sz="8" w:space="1" w:color="000000"/>
        </w:rPr>
      </w:pPr>
      <w:r>
        <w:rPr>
          <w:bdr w:val="single" w:sz="8" w:space="1" w:color="000000"/>
        </w:rPr>
        <w:t> </w:t>
      </w:r>
    </w:p>
    <w:p>
      <w:pPr>
        <w:pStyle w:val="TextBody"/>
        <w:spacing w:before="0" w:after="0"/>
        <w:rPr>
          <w:rFonts w:ascii="Times New Roman" w:hAnsi="Times New Roman"/>
          <w:b/>
          <w:sz w:val="20"/>
          <w:bdr w:val="single" w:sz="8" w:space="1" w:color="000000"/>
        </w:rPr>
      </w:pPr>
      <w:r>
        <w:rPr>
          <w:rFonts w:ascii="Times New Roman" w:hAnsi="Times New Roman"/>
          <w:b/>
          <w:sz w:val="20"/>
          <w:bdr w:val="single" w:sz="8" w:space="1" w:color="000000"/>
        </w:rPr>
        <w:t xml:space="preserve">Additional Information </w:t>
      </w:r>
    </w:p>
    <w:p>
      <w:pPr>
        <w:pStyle w:val="TextBody"/>
        <w:spacing w:before="0" w:after="0"/>
        <w:rPr>
          <w:bdr w:val="single" w:sz="8" w:space="1" w:color="000000"/>
        </w:rPr>
      </w:pPr>
      <w:r>
        <w:rPr>
          <w:bdr w:val="single" w:sz="8" w:space="1" w:color="000000"/>
        </w:rPr>
        <w:t> </w:t>
      </w:r>
    </w:p>
    <w:p>
      <w:pPr>
        <w:pStyle w:val="TextBody"/>
        <w:spacing w:before="0" w:after="0"/>
        <w:rPr>
          <w:rFonts w:ascii="Times New Roman" w:hAnsi="Times New Roman"/>
          <w:sz w:val="20"/>
          <w:bdr w:val="single" w:sz="8" w:space="1" w:color="000000"/>
        </w:rPr>
      </w:pPr>
      <w:r>
        <w:rPr>
          <w:rFonts w:ascii="Times New Roman" w:hAnsi="Times New Roman"/>
          <w:sz w:val="20"/>
          <w:bdr w:val="single" w:sz="8" w:space="1" w:color="000000"/>
        </w:rPr>
        <w:t xml:space="preserve">For additional information about us, including our partnership structure and management, please refer to the documents set forth under Where You Can Find More Information in this prospectus supplement, including our Annual Report on Form 10-K for the year ended December 31, 2011 and our Quarterly Report on Form 10-Q for the three months ended March 31, 2012, each of which is incorporated by reference herein. </w:t>
      </w:r>
    </w:p>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9"/>
        <w:gridCol w:w="6326"/>
      </w:tblGrid>
      <w:tr>
        <w:trPr/>
        <w:tc>
          <w:tcPr>
            <w:tcW w:w="3879"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Common Units Offered </w:t>
            </w:r>
          </w:p>
        </w:tc>
        <w:tc>
          <w:tcPr>
            <w:tcW w:w="6326"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Common units having an aggregate offering price of up to $300,000,000.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Use of Proceeds </w:t>
            </w:r>
          </w:p>
        </w:tc>
        <w:tc>
          <w:tcPr>
            <w:tcW w:w="6327"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We intend to use the net proceeds from this offering, including our general partners proportionate capital contribution, after deducting the sales agents commission and our offering expenses, for general partnership purposes, which may include, among other things, repayment of indebtedness, acquisitions, capital expenditures and additions to working capital. Amounts repaid under our credit facilities may be reborrowed to fund our ongoing capital program, potential future acquisitions or for general partnership purposes. Please read Use of Proceeds.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Exchange Listing </w:t>
            </w:r>
          </w:p>
        </w:tc>
        <w:tc>
          <w:tcPr>
            <w:tcW w:w="6327"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Our common units are traded on the NYSE under the symbol PAA.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9"/>
        <w:gridCol w:w="6326"/>
      </w:tblGrid>
      <w:tr>
        <w:trPr/>
        <w:tc>
          <w:tcPr>
            <w:tcW w:w="3879"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Conflicts of Interest </w:t>
            </w:r>
          </w:p>
        </w:tc>
        <w:tc>
          <w:tcPr>
            <w:tcW w:w="6326"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An affiliate of Citigroup Global Markets Inc. is a lender under our credit facilities. To the extent we use proceeds from this offering to repay indebtedness under our credit facilities, such affiliate may receive proceeds from this offering. Please read Plan of Distribution in this prospectus supplement for further information.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Risk Factors </w:t>
            </w:r>
          </w:p>
        </w:tc>
        <w:tc>
          <w:tcPr>
            <w:tcW w:w="6329"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There are risks associated with this offering and our business. You should consider carefully the risk factors on page S-4 of this prospectus supplement and the other risks identified in the documents incorporated by reference herein before making a decision to purchase common units in this offering. </w:t>
            </w:r>
          </w:p>
        </w:tc>
      </w:tr>
    </w:tbl>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6" w:name="supp348608_4"/>
      <w:bookmarkEnd w:id="6"/>
      <w:r>
        <w:rPr>
          <w:rFonts w:ascii="Times New Roman" w:hAnsi="Times New Roman"/>
          <w:b/>
          <w:sz w:val="20"/>
        </w:rPr>
        <w:t xml:space="preserve">RISK FACTORS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An investment in our common units involves risk. You should carefully consider the risk factors set forth in Item 1A. Risk Factors of our Annual Report on Form 10-K for the year ended December 31, 2011, together with all of the other information included in, or incorporated by reference into, this prospectus supplement and the accompanying base prospectus, when evaluating an investment in our common units. If any of these risks were to occur, our business, financial condition or results of operations could be materially adversely affected. In that case, the trading price of our common units could decline and you could lose all or part of your investment.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7" w:name="supp348608_5"/>
      <w:bookmarkEnd w:id="7"/>
      <w:r>
        <w:rPr>
          <w:rFonts w:ascii="Times New Roman" w:hAnsi="Times New Roman"/>
          <w:b/>
          <w:sz w:val="20"/>
        </w:rPr>
        <w:t xml:space="preserve">USE OF PROCEEDS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intend to use the net proceeds of this offering, including our general partners proportionate capital contribution, after deducting the sales agents commission and our offering expenses, for general partnership purposes, which may include, among other things, repayment of indebtedness, acquisitions, capital expenditures and additions to working capital. Amounts repaid under our credit facilities may be reborrowed to fund our ongoing capital program, potential future acquisitions or for general partnership purposes.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An affiliate of the sales agent is a lender under our credit facilities. To the extent we use proceeds from this offering to repay indebtedness under our credit facilities, such affiliate may receive proceeds from this offering. Please read Plan of Distribution in this prospectus supplement for further information.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At May 4, 2012 we had approximately $60 million and $245 million of borrowings outstanding under our PAA revolving credit facility and our PAA hedged inventory facility, respectively, with respective weighted average interest rates of approximately 1.5% and 1.3%. Substantially all of the borrowings were used for working capital requirements.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8" w:name="supp348608_6"/>
      <w:bookmarkEnd w:id="8"/>
      <w:r>
        <w:rPr>
          <w:rFonts w:ascii="Times New Roman" w:hAnsi="Times New Roman"/>
          <w:b/>
          <w:sz w:val="20"/>
        </w:rPr>
        <w:t xml:space="preserve">MATERIAL U.S. FEDERAL INCOME TAX CONSEQUENCES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tax consequences to you of an investment in our common units will depend in part on your own tax circumstances. Although this section updates and adds information related to certain tax considerations, it should be read in conjunction with the risk factors included under the caption Tax Risks to Common Unitholders in our most recent Annual Report on Form 10-K, and with Material Income Tax Consequences in the accompanying base prospectus, which provides a discussion of the principal federal income tax consequences associated with our operations and the purchase, ownership and disposition of our common units. The following discussion is limited as described under the caption Material Income Tax Consequences in the accompanying base prospectus.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All prospective unitholders are encouraged to consult with their own tax advisors about the federal, state, local and foreign tax consequences particular to their own circumstances. In particular, ownership of common units by tax-exempt entities, including employee benefit plans and IRAs, and non-U.S. investors raises issues unique to such persons. The relevant rules are complex, and the discussions herein and in the accompanying base prospectus do not address tax considerations applicable to tax-exempt entities and non-U.S. investors, except as specifically set forth in the accompanying base prospectus. Please read Material Income Tax Consequences  Tax-Exempt Organizations and Other Investors in the accompanying base prospectus.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Tax Rates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Under current law, the highest marginal U.S. federal income tax rate applicable to ordinary income of individuals is 35% and the highest marginal U.S. federal income tax rate applicable to long-term capital gains (generally, capital gains on certain assets held for more than twelve months) of individuals is 15%. However, absent new legislation extending the current rates, beginning January 1, 2013, the highest marginal U.S. federal income tax rate applicable to ordinary income and long-term capital gains of individuals will increase to 39.6% and 20%, respectively. Moreover, these rates are subject to change by new legislation at any time.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3.8% Medicare tax on net investment income earned by individuals, estates and trusts is scheduled to apply for taxable years beginning after December 31, 2012. For these purposes, net investment income generally includes a unitholders allocable share of our income and gain realized by a unitholder from a sale of common units. In the case of an individual, the tax will be imposed on the lesser of (1) the unitholders net investment income or (2) the amount by which the unitholders modified adjusted gross income exceeds $250,000 (if the unitholder is married and filing jointly or a surviving spouse), $125,000 (if the unitholder is married and filing separately) or $200,000 (in any other case).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Nominee Reporting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Persons who hold an interest in us as a nominee for another person are required to furnish to us: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name, address and taxpayer identification number of the beneficial owner and the nominee;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statement regarding whether the beneficial owner is: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407"/>
        <w:gridCol w:w="102"/>
        <w:gridCol w:w="8881"/>
      </w:tblGrid>
      <w:tr>
        <w:trPr/>
        <w:tc>
          <w:tcPr>
            <w:tcW w:w="815"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102"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non-U.S. person;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407"/>
        <w:gridCol w:w="102"/>
        <w:gridCol w:w="8880"/>
      </w:tblGrid>
      <w:tr>
        <w:trPr/>
        <w:tc>
          <w:tcPr>
            <w:tcW w:w="81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non-U.S. government, an international organization or any wholly owned agency or instrumentality of either of the foregoing;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408"/>
        <w:gridCol w:w="102"/>
        <w:gridCol w:w="8879"/>
      </w:tblGrid>
      <w:tr>
        <w:trPr/>
        <w:tc>
          <w:tcPr>
            <w:tcW w:w="816"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102" w:type="dxa"/>
            <w:tcBorders/>
            <w:shd w:fill="auto" w:val="clear"/>
          </w:tcPr>
          <w:p>
            <w:pPr>
              <w:pStyle w:val="TableContents"/>
              <w:spacing w:before="0" w:after="283"/>
              <w:rPr/>
            </w:pPr>
            <w:r>
              <w:rPr/>
              <w:t> </w:t>
            </w:r>
          </w:p>
        </w:tc>
        <w:tc>
          <w:tcPr>
            <w:tcW w:w="887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tax-exempt entity;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amount and description of units held, acquired or transferred for the beneficial owner;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specific information including the dates of acquisitions and transfers, means of acquisitions and transfers, and acquisition cost for purchases, as well as the amount of net proceeds from sales.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Brokers and financial institutions are required to furnish additional information, including whether they are U.S. persons and specific information on units they acquire, hold or transfer for their own account. A penalty of $100 per failure, up to a maximum of $1.5 million per calendar year, is imposed by the Internal Revenue Code for failure to report that information to us. The nominee is required to supply the beneficial owner of the units with the information furnished to us.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Administrative Matters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20% accuracy-related penalty applies to any portion of an underpayment of tax that is attributable to transactions lacking economic substance. To the extent that such transactions are not disclosed, the penalty imposed is increased to 40%. Additionally, there is no reasonable cause defense to the imposition of this penalty to such transactions.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9" w:name="supp348608_7"/>
      <w:bookmarkEnd w:id="9"/>
      <w:r>
        <w:rPr>
          <w:rFonts w:ascii="Times New Roman" w:hAnsi="Times New Roman"/>
          <w:b/>
          <w:sz w:val="20"/>
        </w:rPr>
        <w:t xml:space="preserve">PLAN OF DISTRIBUTION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have entered into an equity distribution agreement with Citigroup Global Markets Inc. under which we may offer and sell common units having an aggregate offering price of up to $300,000,000 from time to time through Citigroup Global Markets Inc., as our sales agent. We have filed the equity distribution agreement as an exhibit to a Current Report on Form 8-K, which is incorporated by reference in this prospectus supplement. The sales, if any, of common units made under the equity distribution agreement will be made by means of ordinary brokers transactions on the New York Stock Exchange at market prices, in block transactions, or as otherwise as agreed upon by the sales agent and us. As sales agent, Citigroup Global Markets, Inc. will not engage in any transactions that stabilize the price of our common units.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Under the terms of the equity distribution agreement, we also may sell common units to Citigroup Global Markets Inc. as principal for its own account at a price agreed upon at the time of sale. If we sell common units to Citigroup Global Markets Inc., as principal, we will enter into a separate agreement with Citigroup Global Markets Inc., and we will describe this agreement in a separate prospectus supplement or pricing supplement.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will designate the maximum amount of common units to be sold through Citigroup Global Markets Inc. on a daily basis or otherwise as we and Citigroup Global Markets Inc. agree and the minimum price per common unit at which such common units may be sold. Subject to the terms and conditions of the equity distribution agreement, Citigroup Global Markets Inc. will use its reasonable efforts to sell on our behalf all of the designated common units. We may instruct Citigroup Global Markets Inc. not to sell any common units if the sales cannot be effected at or above the price designated by us in any such instruction. We or Citigroup Global Markets Inc. may suspend the offering of common units at any time and from time to time by notifying the other party.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Citigroup Global Markets Inc. will provide to us written confirmation following the close of trading on the New York Stock Exchange each day in which common units are sold under the equity distribution agreement. Each confirmation will include the number of common units sold on that day, the gross sales proceeds and the net proceeds to us (after regulatory transaction fees, if any, but before other expenses). We will report at least quarterly the number of common units sold through Citigroup Global Markets Inc. under the equity distribution agreement, the net proceeds to us (before expenses) and the commissions of Citigroup Global Markets Inc. in connection with the sales of the common units.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will pay Citigroup Global Markets Inc. a commission of up to 2% of the gross sales price per common unit sold through it as our agent under the equity distribution agreement. We have agreed to reimburse Citigroup Global Markets Inc. for certain of its expenses.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Settlement for sales of common units will occur on the third business day following the date on which any sales were made in return for payment of the net proceeds to us. There is no arrangement for funds to be received in an escrow, trust or similar arrangement.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If we or the sales agent have reason to believe that our common units are no longer an actively-traded security as defined under Rule 101(c)(l) of Regulation M under the Securities Exchange Act of 1934, as amended, that party will promptly notify the other and sales of common units pursuant to the equity distribution agreement or any terms agreement will be suspended until in our collective judgment Rule 101(c)(1) or another exemptive provision has been satisfied.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offering of common units pursuant to the equity distribution agreement will terminate upon the earlier of (1) the sale of all common units subject to the equity distribution agreement or (2) the termination of the equity distribution agreement by us or by Citigroup Global Markets Inc.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connection with the sale of the common units on our behalf, Citigroup Global Markets Inc. may be deemed to be an underwriter within the meaning of the Securities Act of 1933, as amended (Securities Act),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and the compensation paid to Citigroup Global Markets Inc. may be deemed to be underwriting commissions or discounts. We have agreed to provide indemnification and contribution to the sales agent against certain liabilities, including civil liabilities under the Securities Act.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Conflicts of Interest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Citigroup Global Markets Inc. and its affiliates have, from time to time, performed, and may in the future perform, various financial advisory and commercial and investment banking services for us and our affiliates, for which they have received and in the future will receive customary compensation and expense reimbursement. An affiliate of Citigroup Global Markets Inc. is a lender under our credit facilities. To the extent we use proceeds from this offering to repay indebtedness under our credit facilities, such affiliate may receive proceeds from this offering.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FINRA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compliance with the guidelines of the Financial Industry Regulatory Authority, Inc., or FINRA, the maximum discount or commission to be received by any FINRA member or independent broker-dealer may not exceed 8% of the aggregate offering price of the common units offered pursuant to this prospectus supplement. Because FINRA views the common units offered hereby as interests in a direct participation program, this offering is being made in compliance with Rule 2310 of the FINRA Rules.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Selling Restrictions </w:t>
      </w:r>
    </w:p>
    <w:p>
      <w:pPr>
        <w:pStyle w:val="TextBody"/>
        <w:spacing w:before="0" w:after="0"/>
        <w:rPr/>
      </w:pPr>
      <w:r>
        <w:rPr/>
        <w:t> </w:t>
      </w:r>
    </w:p>
    <w:p>
      <w:pPr>
        <w:pStyle w:val="TextBody"/>
        <w:spacing w:before="0" w:after="0"/>
        <w:rPr>
          <w:rFonts w:ascii="Times New Roman" w:hAnsi="Times New Roman"/>
          <w:b/>
          <w:i/>
          <w:sz w:val="20"/>
        </w:rPr>
      </w:pPr>
      <w:r>
        <w:rPr>
          <w:rFonts w:ascii="Times New Roman" w:hAnsi="Times New Roman"/>
          <w:b/>
          <w:i/>
          <w:sz w:val="20"/>
        </w:rPr>
        <w:t xml:space="preserve">Notice to Prospective Investors in the EEA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relation to each member state of the European Economic Area that has implemented the Prospectus Directive (each, a relevant member state), other than Germany, with effect from and including the date on which the Prospectus Directive is implemented in that relevant member state (the relevant implementation date), an offer of securities described in this prospectus may not be made to the public in that relevant member state other than: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13"/>
        <w:gridCol w:w="182"/>
        <w:gridCol w:w="126"/>
        <w:gridCol w:w="9484"/>
      </w:tblGrid>
      <w:tr>
        <w:trPr/>
        <w:tc>
          <w:tcPr>
            <w:tcW w:w="413" w:type="dxa"/>
            <w:tcBorders/>
            <w:shd w:fill="auto" w:val="clear"/>
            <w:vAlign w:val="center"/>
          </w:tcPr>
          <w:p>
            <w:pPr>
              <w:pStyle w:val="TableContents"/>
              <w:spacing w:before="0" w:after="283"/>
              <w:rPr/>
            </w:pPr>
            <w:r>
              <w:rPr/>
              <w:t> </w:t>
            </w:r>
          </w:p>
        </w:tc>
        <w:tc>
          <w:tcPr>
            <w:tcW w:w="18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26" w:type="dxa"/>
            <w:tcBorders/>
            <w:shd w:fill="auto" w:val="clear"/>
          </w:tcPr>
          <w:p>
            <w:pPr>
              <w:pStyle w:val="TableContents"/>
              <w:spacing w:before="0" w:after="283"/>
              <w:rPr/>
            </w:pPr>
            <w:r>
              <w:rPr/>
              <w:t> </w:t>
            </w:r>
          </w:p>
        </w:tc>
        <w:tc>
          <w:tcPr>
            <w:tcW w:w="948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any legal entity which is a qualified investor as defined in the Prospectus Directive;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9"/>
        <w:gridCol w:w="170"/>
        <w:gridCol w:w="121"/>
        <w:gridCol w:w="9505"/>
      </w:tblGrid>
      <w:tr>
        <w:trPr/>
        <w:tc>
          <w:tcPr>
            <w:tcW w:w="409" w:type="dxa"/>
            <w:tcBorders/>
            <w:shd w:fill="auto" w:val="clear"/>
            <w:vAlign w:val="center"/>
          </w:tcPr>
          <w:p>
            <w:pPr>
              <w:pStyle w:val="TableContents"/>
              <w:spacing w:before="0" w:after="283"/>
              <w:rPr/>
            </w:pPr>
            <w:r>
              <w:rPr/>
              <w:t> </w:t>
            </w:r>
          </w:p>
        </w:tc>
        <w:tc>
          <w:tcPr>
            <w:tcW w:w="17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21" w:type="dxa"/>
            <w:tcBorders/>
            <w:shd w:fill="auto" w:val="clear"/>
          </w:tcPr>
          <w:p>
            <w:pPr>
              <w:pStyle w:val="TableContents"/>
              <w:spacing w:before="0" w:after="283"/>
              <w:rPr/>
            </w:pPr>
            <w:r>
              <w:rPr/>
              <w:t> </w:t>
            </w:r>
          </w:p>
        </w:tc>
        <w:tc>
          <w:tcPr>
            <w:tcW w:w="95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the Issuer for any such offer;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175"/>
        <w:gridCol w:w="123"/>
        <w:gridCol w:w="9499"/>
      </w:tblGrid>
      <w:tr>
        <w:trPr/>
        <w:tc>
          <w:tcPr>
            <w:tcW w:w="408" w:type="dxa"/>
            <w:tcBorders/>
            <w:shd w:fill="auto" w:val="clear"/>
            <w:vAlign w:val="center"/>
          </w:tcPr>
          <w:p>
            <w:pPr>
              <w:pStyle w:val="TableContents"/>
              <w:spacing w:before="0" w:after="283"/>
              <w:rPr/>
            </w:pPr>
            <w:r>
              <w:rPr/>
              <w:t> </w:t>
            </w:r>
          </w:p>
        </w:tc>
        <w:tc>
          <w:tcPr>
            <w:tcW w:w="17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23" w:type="dxa"/>
            <w:tcBorders/>
            <w:shd w:fill="auto" w:val="clear"/>
          </w:tcPr>
          <w:p>
            <w:pPr>
              <w:pStyle w:val="TableContents"/>
              <w:spacing w:before="0" w:after="283"/>
              <w:rPr/>
            </w:pPr>
            <w:r>
              <w:rPr/>
              <w:t> </w:t>
            </w:r>
          </w:p>
        </w:tc>
        <w:tc>
          <w:tcPr>
            <w:tcW w:w="94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any other circumstances falling within Article 3(2) of the Prospectus Directive;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provided that no such offer of securities shall require us or any underwriter to publish a prospectus pursuant to Article 3 of the Prospectus Directive.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For purposes of this provision, the expression an offer of securities to the public in any relevant member state means the communication in any form and by any means of sufficient information on the terms of the offer and the securities to be offered so as to enable an investor to decide to purchase or subscribe for the securities,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each relevant member state. The expression 2010 PD Amending Directive means Directive 2010/73/EU.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have not authorized and do not authorize the making of any offer of securities through any financial intermediary on their behalf, other than offers made by the underwriters with a view to the final placement of the securities as contemplated in this prospectus. Accordingly, no purchaser of the securities, other than the underwriters, is authorized to make any further offer of the securities on behalf of us or the underwriters.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Notice to Prospective Investors in the United Kingdom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partnership may constitute a collective investment scheme as defined by section 235 of the Financial Services and Markets Act 2000 (FSMA) that is not a recognised collective investment scheme for the purposes of FSMA (CIS) and that has not been authorised or otherwise approved. As an unregulated scheme, it cannot be marketed in the United Kingdom to the general public, except in accordance with FSMA. This prospectus is only being distributed in the United Kingdom to, and is only directed 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if our partnership is a CIS and is marketed by a person who is an authorised person under FSMA, (a) investment professionals falling within Article 14(5) of the Financial Services and Markets Act 2000 (Promotion of Collective Investment Schemes) (Exemptions) Order 2001, as amended (the CIS Promotion Order) or (b) high net worth companies and other persons falling within Article 22(2)(a) to (d) of the CIS Promotion Order;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otherwise, if marketed by a person who is not an authorised person under FSMA, (a) persons who fall within Article 19(5) of the Financial Services and Markets Act 2000 (Financial Promotion) Order 2005, as amended (the Financial Promotion Order) or (b) Article 49(2)(a) to (d) of the Financial Promotion Order;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both cases (1) and (2) to any other person to whom it may otherwise lawfully be made (all such persons together being referred to as relevant persons).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partnerships common units are only available to, and any invitation, offer or agreement to subscribe, purchase or otherwise acquire such common units will be engaged in only with, relevant persons. Any person who is not a relevant person should not act or rely on this document or any of its contents.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An invitation or inducement to engage in investment activity (within the meaning of Section 21 of FSMA) in connection with the issue or sale of any common units which are the subject of the offering contemplated by this prospectus will only be communicated or caused to be communicated in circumstances in which Section 21(1) of FSMA does not apply to our partnership. </w:t>
      </w:r>
    </w:p>
    <w:p>
      <w:pPr>
        <w:pStyle w:val="TextBody"/>
        <w:spacing w:before="0" w:after="0"/>
        <w:rPr/>
      </w:pPr>
      <w:r>
        <w:rPr/>
        <w:t> </w:t>
      </w:r>
    </w:p>
    <w:p>
      <w:pPr>
        <w:pStyle w:val="TextBody"/>
        <w:spacing w:before="0" w:after="0"/>
        <w:rPr>
          <w:rFonts w:ascii="Times New Roman" w:hAnsi="Times New Roman"/>
          <w:b/>
          <w:i/>
          <w:sz w:val="20"/>
        </w:rPr>
      </w:pPr>
      <w:r>
        <w:rPr>
          <w:rFonts w:ascii="Times New Roman" w:hAnsi="Times New Roman"/>
          <w:b/>
          <w:i/>
          <w:sz w:val="20"/>
        </w:rPr>
        <w:t xml:space="preserve">Notice to Prospective Investors in Switzerland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This prospectus is being communicated in Switzerland to a small number of selected investors only. Each copy of this prospectus is addressed to a specifically named recipient and may not be copied, reproduced, distributed or passed on to third parties. Our common units are not being offered to the public in Switzerland, and neither this prospectus, nor any other offering materials relating to our common units may be distributed in connection with any such public offering. We have not been registered with the Swiss Financial Market Supervisory Authority FINMA as a foreign collective investment scheme pursuant to Article 120 of the Collective Investment Schemes Act of June 23, 2006 (CISA). Accordingly, our common units may not be offered to the public in or from Switzerland, and neither this prospectus, nor any other offering materials relating to our common units may be made available through a public offering in or from Switzerland. Our common units may only be offered and this prospectus may only be distributed in or from Switzerland by way of private placement exclusively to qualified investors (as this term is defined in the CISA and its implementing ordinance). </w:t>
      </w:r>
    </w:p>
    <w:p>
      <w:pPr>
        <w:pStyle w:val="TextBody"/>
        <w:spacing w:before="0" w:after="0"/>
        <w:rPr/>
      </w:pPr>
      <w:r>
        <w:rPr/>
        <w:t> </w:t>
      </w:r>
    </w:p>
    <w:p>
      <w:pPr>
        <w:pStyle w:val="TextBody"/>
        <w:spacing w:before="0" w:after="0"/>
        <w:rPr>
          <w:rFonts w:ascii="Times New Roman" w:hAnsi="Times New Roman"/>
          <w:b/>
          <w:i/>
          <w:sz w:val="20"/>
        </w:rPr>
      </w:pPr>
      <w:r>
        <w:rPr>
          <w:rFonts w:ascii="Times New Roman" w:hAnsi="Times New Roman"/>
          <w:b/>
          <w:i/>
          <w:sz w:val="20"/>
        </w:rPr>
        <w:t xml:space="preserve">Notice to Prospective Investors in Germany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This document has not been prepared in accordance with the requirements for a securities or sales prospectus under the German Securities Prospectus Act (</w:t>
      </w:r>
      <w:r>
        <w:rPr>
          <w:rFonts w:ascii="Times New Roman" w:hAnsi="Times New Roman"/>
          <w:i/>
          <w:sz w:val="20"/>
        </w:rPr>
        <w:t>Wertpapierprospektgesetz</w:t>
      </w:r>
      <w:r>
        <w:rPr>
          <w:rFonts w:ascii="Times New Roman" w:hAnsi="Times New Roman"/>
          <w:sz w:val="20"/>
        </w:rPr>
        <w:t>), the German Sales Prospectus Act (</w:t>
      </w:r>
      <w:r>
        <w:rPr>
          <w:rFonts w:ascii="Times New Roman" w:hAnsi="Times New Roman"/>
          <w:i/>
          <w:sz w:val="20"/>
        </w:rPr>
        <w:t>Verkaufsprospektgesetz</w:t>
      </w:r>
      <w:r>
        <w:rPr>
          <w:rFonts w:ascii="Times New Roman" w:hAnsi="Times New Roman"/>
          <w:sz w:val="20"/>
        </w:rPr>
        <w:t>), or the German Investment Act (</w:t>
      </w:r>
      <w:r>
        <w:rPr>
          <w:rFonts w:ascii="Times New Roman" w:hAnsi="Times New Roman"/>
          <w:i/>
          <w:sz w:val="20"/>
        </w:rPr>
        <w:t>Investmentgesetz</w:t>
      </w:r>
      <w:r>
        <w:rPr>
          <w:rFonts w:ascii="Times New Roman" w:hAnsi="Times New Roman"/>
          <w:sz w:val="20"/>
        </w:rPr>
        <w:t>). Neither the German Federal Financial Services Supervisory Authority (</w:t>
      </w:r>
      <w:r>
        <w:rPr>
          <w:rFonts w:ascii="Times New Roman" w:hAnsi="Times New Roman"/>
          <w:i/>
          <w:sz w:val="20"/>
        </w:rPr>
        <w:t>Bundesanstalt für Finanzdienstleistungsaufsicht </w:t>
      </w:r>
      <w:r>
        <w:rPr>
          <w:rFonts w:ascii="Times New Roman" w:hAnsi="Times New Roman"/>
          <w:sz w:val="20"/>
        </w:rPr>
        <w:t xml:space="preserve"> BaFin) nor any other German authority has been notified of the intention to distribute our common units in Germany. Consequently, our common units may not be distributed in Germany by way of public offering, public advertisement or in any similar manner and this document and any other document relating to the offering, as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well as information or statements contained therein, may not be supplied to the public in Germany or used in connection with any offer for subscription of our common units to the public in Germany or any other means of public marketing. Our common units are being offered and sold in Germany only to qualified investors which are referred to in Section 3, paragraph 2 no. 1, in connection with Section 2, no. 6, of the German Securities Prospectus Act, Section 8f paragraph 2 no. 4 of the German Sales Prospectus Act, and in Section 2 paragraph 11 sentence 2 no. 1 of the German Investment Act. This document is strictly for use of the person who has received it. It may not be forwarded to other persons or published in Germany.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offering does not constitute an offer to sell or the solicitation of an offer to buy our common units in any circumstances in which such offer or solicitation is unlawful. </w:t>
      </w:r>
    </w:p>
    <w:p>
      <w:pPr>
        <w:pStyle w:val="TextBody"/>
        <w:spacing w:before="0" w:after="0"/>
        <w:rPr/>
      </w:pPr>
      <w:r>
        <w:rPr/>
        <w:t> </w:t>
      </w:r>
    </w:p>
    <w:p>
      <w:pPr>
        <w:pStyle w:val="TextBody"/>
        <w:spacing w:before="0" w:after="0"/>
        <w:rPr>
          <w:rFonts w:ascii="Times New Roman" w:hAnsi="Times New Roman"/>
          <w:b/>
          <w:i/>
          <w:sz w:val="20"/>
        </w:rPr>
      </w:pPr>
      <w:r>
        <w:rPr>
          <w:rFonts w:ascii="Times New Roman" w:hAnsi="Times New Roman"/>
          <w:b/>
          <w:i/>
          <w:sz w:val="20"/>
        </w:rPr>
        <w:t xml:space="preserve">Notice to Prospective Investors in the Netherlands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Our common units may not be offered or sold, directly or indirectly, in the Netherlands, other than to qualified investors (</w:t>
      </w:r>
      <w:r>
        <w:rPr>
          <w:rFonts w:ascii="Times New Roman" w:hAnsi="Times New Roman"/>
          <w:i/>
          <w:sz w:val="20"/>
        </w:rPr>
        <w:t>gekwalificeerde beleggers</w:t>
      </w:r>
      <w:r>
        <w:rPr>
          <w:rFonts w:ascii="Times New Roman" w:hAnsi="Times New Roman"/>
          <w:sz w:val="20"/>
        </w:rPr>
        <w:t>) within the meaning of Article 1:1 of the Dutch Financial Supervision Act (</w:t>
      </w:r>
      <w:r>
        <w:rPr>
          <w:rFonts w:ascii="Times New Roman" w:hAnsi="Times New Roman"/>
          <w:i/>
          <w:sz w:val="20"/>
        </w:rPr>
        <w:t>Wet op het financieel toezicht</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0" w:name="supp348608_8"/>
      <w:bookmarkEnd w:id="10"/>
      <w:r>
        <w:rPr>
          <w:rFonts w:ascii="Times New Roman" w:hAnsi="Times New Roman"/>
          <w:b/>
          <w:sz w:val="20"/>
        </w:rPr>
        <w:t xml:space="preserve">LEGAL MATTERS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validity of the common units offered in this prospectus supplement will be passed upon for us by Vinson &amp; Elkins L.L.P., Houston, Texas. Certain legal matters will be passed upon for the sales agent by Baker Botts L.L.P., Houston, Texas. </w:t>
      </w:r>
    </w:p>
    <w:p>
      <w:pPr>
        <w:pStyle w:val="TextBody"/>
        <w:spacing w:before="0" w:after="0"/>
        <w:rPr/>
      </w:pPr>
      <w:r>
        <w:rPr/>
        <w:t> </w:t>
      </w:r>
    </w:p>
    <w:p>
      <w:pPr>
        <w:pStyle w:val="TextBody"/>
        <w:spacing w:before="0" w:after="0"/>
        <w:jc w:val="center"/>
        <w:rPr>
          <w:rFonts w:ascii="Times New Roman" w:hAnsi="Times New Roman"/>
          <w:b/>
          <w:sz w:val="20"/>
        </w:rPr>
      </w:pPr>
      <w:bookmarkStart w:id="11" w:name="supp348608_9"/>
      <w:bookmarkEnd w:id="11"/>
      <w:r>
        <w:rPr>
          <w:rFonts w:ascii="Times New Roman" w:hAnsi="Times New Roman"/>
          <w:b/>
          <w:sz w:val="20"/>
        </w:rPr>
        <w:t xml:space="preserve">EXPERTS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financial statements of Plains All American Pipeline, L.P. and managements assessment of the effectiveness of internal control over financial reporting (which is included in Managements Report on Internal Control over Financial Reporting) incorporated in this prospectus supplement by reference to the Annual Report on Form 10-K for the year ended December 31, 2011, have been incorporated in reliance on the report of PricewaterhouseCoopers LLP, an independent registered public accounting firm, given on the authority of said firm as experts in auditing and accounting.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2" w:name="supp348608_10"/>
      <w:bookmarkEnd w:id="12"/>
      <w:r>
        <w:rPr>
          <w:rFonts w:ascii="Times New Roman" w:hAnsi="Times New Roman"/>
          <w:b/>
          <w:sz w:val="20"/>
        </w:rPr>
        <w:t xml:space="preserve">WHERE YOU CAN FIND MORE INFORMATION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are incorporating by reference into this prospectus supplement information we file with the Securities and Exchange Commission (the SEC). This procedure means that we can disclose important information to you by referring you to documents filed with the SEC. The information we incorporate by reference is part of this prospectus supplement and later information that we file with the SEC will automatically update and supersede this information. We incorporate by reference the documents listed below and any future filings we make with the SEC under Sections 13(a), 13(c), 14 or 15(d) of the Securities Exchange Act of 1934 (excluding any information furnished and not filed pursuant to any Current Report on Form 8-K) until the offering and sale of the common units contemplated by this prospectus supplement are complete: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173"/>
        <w:gridCol w:w="122"/>
        <w:gridCol w:w="9502"/>
      </w:tblGrid>
      <w:tr>
        <w:trPr/>
        <w:tc>
          <w:tcPr>
            <w:tcW w:w="408" w:type="dxa"/>
            <w:tcBorders/>
            <w:shd w:fill="auto" w:val="clear"/>
            <w:vAlign w:val="center"/>
          </w:tcPr>
          <w:p>
            <w:pPr>
              <w:pStyle w:val="TableContents"/>
              <w:spacing w:before="0" w:after="283"/>
              <w:rPr/>
            </w:pPr>
            <w:r>
              <w:rPr/>
              <w:t> </w:t>
            </w:r>
          </w:p>
        </w:tc>
        <w:tc>
          <w:tcPr>
            <w:tcW w:w="17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22" w:type="dxa"/>
            <w:tcBorders/>
            <w:shd w:fill="auto" w:val="clear"/>
          </w:tcPr>
          <w:p>
            <w:pPr>
              <w:pStyle w:val="TableContents"/>
              <w:spacing w:before="0" w:after="283"/>
              <w:rPr/>
            </w:pPr>
            <w:r>
              <w:rPr/>
              <w:t> </w:t>
            </w:r>
          </w:p>
        </w:tc>
        <w:tc>
          <w:tcPr>
            <w:tcW w:w="950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Annual Report on Form 10-K for the year ended December 31, 2011;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14"/>
        <w:gridCol w:w="179"/>
        <w:gridCol w:w="125"/>
        <w:gridCol w:w="9487"/>
      </w:tblGrid>
      <w:tr>
        <w:trPr/>
        <w:tc>
          <w:tcPr>
            <w:tcW w:w="414" w:type="dxa"/>
            <w:tcBorders/>
            <w:shd w:fill="auto" w:val="clear"/>
            <w:vAlign w:val="center"/>
          </w:tcPr>
          <w:p>
            <w:pPr>
              <w:pStyle w:val="TableContents"/>
              <w:spacing w:before="0" w:after="283"/>
              <w:rPr/>
            </w:pPr>
            <w:r>
              <w:rPr/>
              <w:t> </w:t>
            </w:r>
          </w:p>
        </w:tc>
        <w:tc>
          <w:tcPr>
            <w:tcW w:w="17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25" w:type="dxa"/>
            <w:tcBorders/>
            <w:shd w:fill="auto" w:val="clear"/>
          </w:tcPr>
          <w:p>
            <w:pPr>
              <w:pStyle w:val="TableContents"/>
              <w:spacing w:before="0" w:after="283"/>
              <w:rPr/>
            </w:pPr>
            <w:r>
              <w:rPr/>
              <w:t> </w:t>
            </w:r>
          </w:p>
        </w:tc>
        <w:tc>
          <w:tcPr>
            <w:tcW w:w="948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Quarterly Report on Form 10-Q for the three months ended March 31, 2012;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173"/>
        <w:gridCol w:w="122"/>
        <w:gridCol w:w="9505"/>
      </w:tblGrid>
      <w:tr>
        <w:trPr/>
        <w:tc>
          <w:tcPr>
            <w:tcW w:w="405" w:type="dxa"/>
            <w:tcBorders/>
            <w:shd w:fill="auto" w:val="clear"/>
            <w:vAlign w:val="center"/>
          </w:tcPr>
          <w:p>
            <w:pPr>
              <w:pStyle w:val="TableContents"/>
              <w:spacing w:before="0" w:after="283"/>
              <w:rPr/>
            </w:pPr>
            <w:r>
              <w:rPr/>
              <w:t> </w:t>
            </w:r>
          </w:p>
        </w:tc>
        <w:tc>
          <w:tcPr>
            <w:tcW w:w="17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22" w:type="dxa"/>
            <w:tcBorders/>
            <w:shd w:fill="auto" w:val="clear"/>
          </w:tcPr>
          <w:p>
            <w:pPr>
              <w:pStyle w:val="TableContents"/>
              <w:spacing w:before="0" w:after="283"/>
              <w:rPr/>
            </w:pPr>
            <w:r>
              <w:rPr/>
              <w:t> </w:t>
            </w:r>
          </w:p>
        </w:tc>
        <w:tc>
          <w:tcPr>
            <w:tcW w:w="95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March 8, 2012 (documentation related to equity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173"/>
        <w:gridCol w:w="122"/>
        <w:gridCol w:w="9505"/>
      </w:tblGrid>
      <w:tr>
        <w:trPr/>
        <w:tc>
          <w:tcPr>
            <w:tcW w:w="405" w:type="dxa"/>
            <w:tcBorders/>
            <w:shd w:fill="auto" w:val="clear"/>
            <w:vAlign w:val="center"/>
          </w:tcPr>
          <w:p>
            <w:pPr>
              <w:pStyle w:val="TableContents"/>
              <w:spacing w:before="0" w:after="283"/>
              <w:rPr/>
            </w:pPr>
            <w:r>
              <w:rPr/>
              <w:t> </w:t>
            </w:r>
          </w:p>
        </w:tc>
        <w:tc>
          <w:tcPr>
            <w:tcW w:w="17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22" w:type="dxa"/>
            <w:tcBorders/>
            <w:shd w:fill="auto" w:val="clear"/>
          </w:tcPr>
          <w:p>
            <w:pPr>
              <w:pStyle w:val="TableContents"/>
              <w:spacing w:before="0" w:after="283"/>
              <w:rPr/>
            </w:pPr>
            <w:r>
              <w:rPr/>
              <w:t> </w:t>
            </w:r>
          </w:p>
        </w:tc>
        <w:tc>
          <w:tcPr>
            <w:tcW w:w="95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March 19, 2012 (documentation related to debt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173"/>
        <w:gridCol w:w="122"/>
        <w:gridCol w:w="9505"/>
      </w:tblGrid>
      <w:tr>
        <w:trPr/>
        <w:tc>
          <w:tcPr>
            <w:tcW w:w="405" w:type="dxa"/>
            <w:tcBorders/>
            <w:shd w:fill="auto" w:val="clear"/>
            <w:vAlign w:val="center"/>
          </w:tcPr>
          <w:p>
            <w:pPr>
              <w:pStyle w:val="TableContents"/>
              <w:spacing w:before="0" w:after="283"/>
              <w:rPr/>
            </w:pPr>
            <w:r>
              <w:rPr/>
              <w:t> </w:t>
            </w:r>
          </w:p>
        </w:tc>
        <w:tc>
          <w:tcPr>
            <w:tcW w:w="17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22" w:type="dxa"/>
            <w:tcBorders/>
            <w:shd w:fill="auto" w:val="clear"/>
          </w:tcPr>
          <w:p>
            <w:pPr>
              <w:pStyle w:val="TableContents"/>
              <w:spacing w:before="0" w:after="283"/>
              <w:rPr/>
            </w:pPr>
            <w:r>
              <w:rPr/>
              <w:t> </w:t>
            </w:r>
          </w:p>
        </w:tc>
        <w:tc>
          <w:tcPr>
            <w:tcW w:w="95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March 26, 2012 (documentation related to debt offering and termination of 364-day credit facility);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173"/>
        <w:gridCol w:w="122"/>
        <w:gridCol w:w="9505"/>
      </w:tblGrid>
      <w:tr>
        <w:trPr/>
        <w:tc>
          <w:tcPr>
            <w:tcW w:w="405" w:type="dxa"/>
            <w:tcBorders/>
            <w:shd w:fill="auto" w:val="clear"/>
            <w:vAlign w:val="center"/>
          </w:tcPr>
          <w:p>
            <w:pPr>
              <w:pStyle w:val="TableContents"/>
              <w:spacing w:before="0" w:after="283"/>
              <w:rPr/>
            </w:pPr>
            <w:r>
              <w:rPr/>
              <w:t> </w:t>
            </w:r>
          </w:p>
        </w:tc>
        <w:tc>
          <w:tcPr>
            <w:tcW w:w="17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22" w:type="dxa"/>
            <w:tcBorders/>
            <w:shd w:fill="auto" w:val="clear"/>
          </w:tcPr>
          <w:p>
            <w:pPr>
              <w:pStyle w:val="TableContents"/>
              <w:spacing w:before="0" w:after="283"/>
              <w:rPr/>
            </w:pPr>
            <w:r>
              <w:rPr/>
              <w:t> </w:t>
            </w:r>
          </w:p>
        </w:tc>
        <w:tc>
          <w:tcPr>
            <w:tcW w:w="95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April 5, 2012 (documentation related to the BP NGL Acquisition);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172"/>
        <w:gridCol w:w="122"/>
        <w:gridCol w:w="9506"/>
      </w:tblGrid>
      <w:tr>
        <w:trPr/>
        <w:tc>
          <w:tcPr>
            <w:tcW w:w="405" w:type="dxa"/>
            <w:tcBorders/>
            <w:shd w:fill="auto" w:val="clear"/>
            <w:vAlign w:val="center"/>
          </w:tcPr>
          <w:p>
            <w:pPr>
              <w:pStyle w:val="TableContents"/>
              <w:spacing w:before="0" w:after="283"/>
              <w:rPr/>
            </w:pPr>
            <w:r>
              <w:rPr/>
              <w:t> </w:t>
            </w:r>
          </w:p>
        </w:tc>
        <w:tc>
          <w:tcPr>
            <w:tcW w:w="17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22" w:type="dxa"/>
            <w:tcBorders/>
            <w:shd w:fill="auto" w:val="clear"/>
          </w:tcPr>
          <w:p>
            <w:pPr>
              <w:pStyle w:val="TableContents"/>
              <w:spacing w:before="0" w:after="283"/>
              <w:rPr/>
            </w:pPr>
            <w:r>
              <w:rPr/>
              <w:t> </w:t>
            </w:r>
          </w:p>
        </w:tc>
        <w:tc>
          <w:tcPr>
            <w:tcW w:w="95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April 17, 2012 (announcement of withdrawal of proposal to acquire SemGroup Corporation);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173"/>
        <w:gridCol w:w="122"/>
        <w:gridCol w:w="9505"/>
      </w:tblGrid>
      <w:tr>
        <w:trPr/>
        <w:tc>
          <w:tcPr>
            <w:tcW w:w="405" w:type="dxa"/>
            <w:tcBorders/>
            <w:shd w:fill="auto" w:val="clear"/>
            <w:vAlign w:val="center"/>
          </w:tcPr>
          <w:p>
            <w:pPr>
              <w:pStyle w:val="TableContents"/>
              <w:spacing w:before="0" w:after="283"/>
              <w:rPr/>
            </w:pPr>
            <w:r>
              <w:rPr/>
              <w:t> </w:t>
            </w:r>
          </w:p>
        </w:tc>
        <w:tc>
          <w:tcPr>
            <w:tcW w:w="17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22" w:type="dxa"/>
            <w:tcBorders/>
            <w:shd w:fill="auto" w:val="clear"/>
          </w:tcPr>
          <w:p>
            <w:pPr>
              <w:pStyle w:val="TableContents"/>
              <w:spacing w:before="0" w:after="283"/>
              <w:rPr/>
            </w:pPr>
            <w:r>
              <w:rPr/>
              <w:t> </w:t>
            </w:r>
          </w:p>
        </w:tc>
        <w:tc>
          <w:tcPr>
            <w:tcW w:w="95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May 9, 2012 (documentation related to equity distribution agreement).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You may request a copy of these filings (other than any exhibits unless specifically incorporated by reference into this prospectus supplement and the accompanying base prospectus) at no cost by making written or telephone requests for copies to: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Plains All American Pipeline, L.P. </w:t>
      </w:r>
    </w:p>
    <w:p>
      <w:pPr>
        <w:pStyle w:val="TextBody"/>
        <w:spacing w:before="0" w:after="0"/>
        <w:jc w:val="center"/>
        <w:rPr>
          <w:rFonts w:ascii="Times New Roman" w:hAnsi="Times New Roman"/>
          <w:sz w:val="20"/>
        </w:rPr>
      </w:pPr>
      <w:r>
        <w:rPr>
          <w:rFonts w:ascii="Times New Roman" w:hAnsi="Times New Roman"/>
          <w:sz w:val="20"/>
        </w:rPr>
        <w:t xml:space="preserve">333 Clay Street, Suite 1600 </w:t>
      </w:r>
    </w:p>
    <w:p>
      <w:pPr>
        <w:pStyle w:val="TextBody"/>
        <w:spacing w:before="0" w:after="0"/>
        <w:jc w:val="center"/>
        <w:rPr>
          <w:rFonts w:ascii="Times New Roman" w:hAnsi="Times New Roman"/>
          <w:sz w:val="20"/>
        </w:rPr>
      </w:pPr>
      <w:r>
        <w:rPr>
          <w:rFonts w:ascii="Times New Roman" w:hAnsi="Times New Roman"/>
          <w:sz w:val="20"/>
        </w:rPr>
        <w:t xml:space="preserve">Houston, Texas 77002 </w:t>
      </w:r>
    </w:p>
    <w:p>
      <w:pPr>
        <w:pStyle w:val="TextBody"/>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spacing w:before="0" w:after="0"/>
        <w:jc w:val="center"/>
        <w:rPr>
          <w:rFonts w:ascii="Times New Roman" w:hAnsi="Times New Roman"/>
          <w:sz w:val="20"/>
        </w:rPr>
      </w:pPr>
      <w:r>
        <w:rPr>
          <w:rFonts w:ascii="Times New Roman" w:hAnsi="Times New Roman"/>
          <w:sz w:val="20"/>
        </w:rPr>
        <w:t xml:space="preserve">Telephone: (713) 646-4100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Additionally, you may read and copy any materials that we have filed with the SEC at the SECs Public Reference Room at 100 F Street, N.E., Room 1580, Washington, D.C. 20549. You may obtain information on the operation of the Public Reference Room by calling the SEC at 1-800-SEC-0330. The SEC maintains an internet site that contains reports, proxy and information statements, and other information regarding us. The SECs website address is </w:t>
      </w:r>
      <w:r>
        <w:rPr>
          <w:rFonts w:ascii="Times New Roman" w:hAnsi="Times New Roman"/>
          <w:i/>
          <w:sz w:val="20"/>
        </w:rPr>
        <w:t>www.sec.gov</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You should rely only on the information incorporated by reference or provided in this prospectus supplement. We have not, and the underwriters have not, authorized anyone else to provide you with any information. You should not assume that the information incorporated by reference or provided in this prospectus supplement or the accompanying base prospectus is accurate as of any date other than its date.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PROSPECTUS </w:t>
      </w:r>
    </w:p>
    <w:p>
      <w:pPr>
        <w:pStyle w:val="TextBody"/>
        <w:spacing w:before="270" w:after="0"/>
        <w:jc w:val="center"/>
        <w:rPr>
          <w:rFonts w:ascii="Times New Roman" w:hAnsi="Times New Roman"/>
          <w:b/>
          <w:sz w:val="48"/>
        </w:rPr>
      </w:pPr>
      <w:r>
        <w:rPr>
          <w:rFonts w:ascii="Times New Roman" w:hAnsi="Times New Roman"/>
          <w:b/>
          <w:sz w:val="48"/>
        </w:rPr>
        <w:t xml:space="preserve">Plains All American Pipeline, L.P. </w:t>
      </w:r>
    </w:p>
    <w:p>
      <w:pPr>
        <w:pStyle w:val="TextBody"/>
        <w:spacing w:before="0" w:after="0"/>
        <w:jc w:val="center"/>
        <w:rPr>
          <w:rFonts w:ascii="Times New Roman" w:hAnsi="Times New Roman"/>
          <w:b/>
          <w:sz w:val="48"/>
        </w:rPr>
      </w:pPr>
      <w:r>
        <w:rPr>
          <w:rFonts w:ascii="Times New Roman" w:hAnsi="Times New Roman"/>
          <w:b/>
          <w:sz w:val="48"/>
        </w:rPr>
        <w:t xml:space="preserve">PAA Finance Corp.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270" w:after="0"/>
        <w:jc w:val="center"/>
        <w:rPr>
          <w:rFonts w:ascii="Times New Roman" w:hAnsi="Times New Roman"/>
          <w:b/>
          <w:sz w:val="36"/>
        </w:rPr>
      </w:pPr>
      <w:r>
        <w:rPr>
          <w:rFonts w:ascii="Times New Roman" w:hAnsi="Times New Roman"/>
          <w:b/>
          <w:sz w:val="36"/>
        </w:rPr>
        <w:t xml:space="preserve">Common Units </w:t>
      </w:r>
    </w:p>
    <w:p>
      <w:pPr>
        <w:pStyle w:val="TextBody"/>
        <w:spacing w:before="0" w:after="0"/>
        <w:jc w:val="center"/>
        <w:rPr>
          <w:rFonts w:ascii="Times New Roman" w:hAnsi="Times New Roman"/>
          <w:b/>
          <w:sz w:val="36"/>
        </w:rPr>
      </w:pPr>
      <w:r>
        <w:rPr>
          <w:rFonts w:ascii="Times New Roman" w:hAnsi="Times New Roman"/>
          <w:b/>
          <w:sz w:val="36"/>
        </w:rPr>
        <w:t xml:space="preserve">Debt Securities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270" w:after="0"/>
        <w:rPr>
          <w:rFonts w:ascii="Times New Roman" w:hAnsi="Times New Roman"/>
          <w:sz w:val="20"/>
        </w:rPr>
      </w:pPr>
      <w:r>
        <w:rPr>
          <w:rFonts w:ascii="Times New Roman" w:hAnsi="Times New Roman"/>
          <w:sz w:val="20"/>
        </w:rPr>
        <w:t xml:space="preserve">We may offer and sell the common units, representing limited partner interests of Plains All American Pipeline, L.P., and, together with PAA Finance Corp., debt securities described in this prospectus from time to time in one or more classes or series and in amounts, at prices and on terms to be determined by market conditions at the time of our offerings. PAA Finance Corp. may act as co-issuer of the debt securities, and other subsidiaries of Plains All American Pipeline, L.P. may guarantee the debt securities. </w:t>
      </w:r>
    </w:p>
    <w:p>
      <w:pPr>
        <w:pStyle w:val="TextBody"/>
        <w:spacing w:before="270" w:after="0"/>
        <w:rPr>
          <w:rFonts w:ascii="Times New Roman" w:hAnsi="Times New Roman"/>
          <w:sz w:val="20"/>
        </w:rPr>
      </w:pPr>
      <w:r>
        <w:rPr>
          <w:rFonts w:ascii="Times New Roman" w:hAnsi="Times New Roman"/>
          <w:sz w:val="20"/>
        </w:rPr>
        <w:t xml:space="preserve">We may offer and sell these securities to or through one or more underwriters, dealers and agents, or directly to purchasers, on a continuous or delayed basis. This prospectus describes the general terms of these common units and debt securities and the general manner in which we will offer the common units and debt securities. The specific terms of any common units and debt securities we offer will be included in a supplement to this prospectus. The prospectus supplement will also describe the specific manner in which we will offer the common units and debt securities. </w:t>
      </w:r>
    </w:p>
    <w:p>
      <w:pPr>
        <w:pStyle w:val="TextBody"/>
        <w:spacing w:before="270" w:after="0"/>
        <w:rPr/>
      </w:pPr>
      <w:r>
        <w:rPr>
          <w:rFonts w:ascii="Times New Roman" w:hAnsi="Times New Roman"/>
          <w:b/>
          <w:sz w:val="24"/>
        </w:rPr>
        <w:t>Investing in our common units and the debt securities involves risks. Limited partnerships are inherently different from corporations. You should carefully consider the risk factors described under </w:t>
      </w:r>
      <w:hyperlink w:anchor="tx348608_5">
        <w:r>
          <w:rPr>
            <w:rStyle w:val="InternetLink"/>
            <w:rFonts w:ascii="Times New Roman" w:hAnsi="Times New Roman"/>
            <w:b/>
            <w:sz w:val="24"/>
          </w:rPr>
          <w:t>Risk Factors</w:t>
        </w:r>
      </w:hyperlink>
      <w:r>
        <w:rPr>
          <w:rFonts w:ascii="Times New Roman" w:hAnsi="Times New Roman"/>
          <w:b/>
          <w:sz w:val="24"/>
        </w:rPr>
        <w:t xml:space="preserve"> beginning on page 6 of this prospectus before you make an investment in our securities.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270" w:after="0"/>
        <w:rPr>
          <w:rFonts w:ascii="Times New Roman" w:hAnsi="Times New Roman"/>
          <w:sz w:val="20"/>
        </w:rPr>
      </w:pPr>
      <w:r>
        <w:rPr>
          <w:rFonts w:ascii="Times New Roman" w:hAnsi="Times New Roman"/>
          <w:sz w:val="20"/>
        </w:rPr>
        <w:t xml:space="preserve">Our common units are traded on the New York Stock Exchange under the symbol PAA. We will provide information in the prospectus supplement for the trading market, if any, for any debt securities we may offer. </w:t>
      </w:r>
    </w:p>
    <w:p>
      <w:pPr>
        <w:pStyle w:val="TextBody"/>
        <w:spacing w:before="270" w:after="0"/>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these securities or determined if this prospectus is truthful or complete. Any representation to the contrary is a criminal offense.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270" w:after="0"/>
        <w:jc w:val="center"/>
        <w:rPr>
          <w:rFonts w:ascii="Times New Roman" w:hAnsi="Times New Roman"/>
          <w:sz w:val="20"/>
        </w:rPr>
      </w:pPr>
      <w:r>
        <w:rPr>
          <w:rFonts w:ascii="Times New Roman" w:hAnsi="Times New Roman"/>
          <w:sz w:val="20"/>
        </w:rPr>
        <w:t xml:space="preserve">The date of this prospectus is December 16, 2009.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TABLE OF CONTENTS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532"/>
        <w:gridCol w:w="255"/>
        <w:gridCol w:w="60"/>
        <w:gridCol w:w="235"/>
        <w:gridCol w:w="123"/>
      </w:tblGrid>
      <w:tr>
        <w:trPr/>
        <w:tc>
          <w:tcPr>
            <w:tcW w:w="9532"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9532" w:type="dxa"/>
            <w:tcBorders/>
            <w:shd w:fill="auto" w:val="clear"/>
          </w:tcPr>
          <w:p>
            <w:pPr>
              <w:pStyle w:val="TableContents"/>
              <w:spacing w:before="0" w:after="283"/>
              <w:rPr/>
            </w:pPr>
            <w:hyperlink w:anchor="tx348608_1">
              <w:r>
                <w:rPr>
                  <w:rStyle w:val="InternetLink"/>
                  <w:rFonts w:ascii="Times New Roman" w:hAnsi="Times New Roman"/>
                  <w:sz w:val="20"/>
                </w:rPr>
                <w:t xml:space="preserve">About this Prospectus </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tx348608_2">
              <w:r>
                <w:rPr>
                  <w:rStyle w:val="InternetLink"/>
                  <w:rFonts w:ascii="Times New Roman" w:hAnsi="Times New Roman"/>
                  <w:sz w:val="20"/>
                </w:rPr>
                <w:t>Where You Can Find More Information</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tx348608_3">
              <w:r>
                <w:rPr>
                  <w:rStyle w:val="InternetLink"/>
                  <w:rFonts w:ascii="Times New Roman" w:hAnsi="Times New Roman"/>
                  <w:sz w:val="20"/>
                </w:rPr>
                <w:t xml:space="preserve">Forward-Looking Statements </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tx348608_4">
              <w:r>
                <w:rPr>
                  <w:rStyle w:val="InternetLink"/>
                  <w:rFonts w:ascii="Times New Roman" w:hAnsi="Times New Roman"/>
                  <w:sz w:val="20"/>
                </w:rPr>
                <w:t>Who We Are</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tx348608_5">
              <w:r>
                <w:rPr>
                  <w:rStyle w:val="InternetLink"/>
                  <w:rFonts w:ascii="Times New Roman" w:hAnsi="Times New Roman"/>
                  <w:sz w:val="20"/>
                </w:rPr>
                <w:t xml:space="preserve">Risk Factors </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tx348608_6">
              <w:r>
                <w:rPr>
                  <w:rStyle w:val="InternetLink"/>
                  <w:rFonts w:ascii="Times New Roman" w:hAnsi="Times New Roman"/>
                  <w:sz w:val="20"/>
                </w:rPr>
                <w:t xml:space="preserve">Use of Proceeds </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tx348608_7">
              <w:r>
                <w:rPr>
                  <w:rStyle w:val="InternetLink"/>
                  <w:rFonts w:ascii="Times New Roman" w:hAnsi="Times New Roman"/>
                  <w:sz w:val="20"/>
                </w:rPr>
                <w:t>Ratio of Earnings to Fixed Charges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tx348608_8">
              <w:r>
                <w:rPr>
                  <w:rStyle w:val="InternetLink"/>
                  <w:rFonts w:ascii="Times New Roman" w:hAnsi="Times New Roman"/>
                  <w:sz w:val="20"/>
                </w:rPr>
                <w:t xml:space="preserve">Description of Our Debt Securities </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tx348608_9">
              <w:r>
                <w:rPr>
                  <w:rStyle w:val="InternetLink"/>
                  <w:rFonts w:ascii="Times New Roman" w:hAnsi="Times New Roman"/>
                  <w:sz w:val="20"/>
                </w:rPr>
                <w:t xml:space="preserve">Description of Our Common Units </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tx348608_10">
              <w:r>
                <w:rPr>
                  <w:rStyle w:val="InternetLink"/>
                  <w:rFonts w:ascii="Times New Roman" w:hAnsi="Times New Roman"/>
                  <w:sz w:val="20"/>
                </w:rPr>
                <w:t>Cash Distribution Policy</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tx348608_11">
              <w:r>
                <w:rPr>
                  <w:rStyle w:val="InternetLink"/>
                  <w:rFonts w:ascii="Times New Roman" w:hAnsi="Times New Roman"/>
                  <w:sz w:val="20"/>
                </w:rPr>
                <w:t>Description of Our Partnership Agreement</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tx348608_12">
              <w:r>
                <w:rPr>
                  <w:rStyle w:val="InternetLink"/>
                  <w:rFonts w:ascii="Times New Roman" w:hAnsi="Times New Roman"/>
                  <w:sz w:val="20"/>
                </w:rPr>
                <w:t>Material Income Tax Consequences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tx348608_13">
              <w:r>
                <w:rPr>
                  <w:rStyle w:val="InternetLink"/>
                  <w:rFonts w:ascii="Times New Roman" w:hAnsi="Times New Roman"/>
                  <w:sz w:val="20"/>
                </w:rPr>
                <w:t>Plan of Distribution</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tx348608_14">
              <w:r>
                <w:rPr>
                  <w:rStyle w:val="InternetLink"/>
                  <w:rFonts w:ascii="Times New Roman" w:hAnsi="Times New Roman"/>
                  <w:sz w:val="20"/>
                </w:rPr>
                <w:t>Legal Matters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tx348608_15">
              <w:r>
                <w:rPr>
                  <w:rStyle w:val="InternetLink"/>
                  <w:rFonts w:ascii="Times New Roman" w:hAnsi="Times New Roman"/>
                  <w:sz w:val="20"/>
                </w:rPr>
                <w:t>Experts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w:t>
            </w:r>
          </w:p>
        </w:tc>
        <w:tc>
          <w:tcPr>
            <w:tcW w:w="123"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rPr>
          <w:rFonts w:ascii="Times New Roman" w:hAnsi="Times New Roman"/>
          <w:sz w:val="20"/>
        </w:rPr>
      </w:pPr>
      <w:r>
        <w:rPr>
          <w:rFonts w:ascii="Times New Roman" w:hAnsi="Times New Roman"/>
          <w:sz w:val="20"/>
        </w:rPr>
        <w:t xml:space="preserve">In making your investment decision, you should rely only on the information contained or incorporated by reference in this prospectus. We have not authorized anyone to provide you with any other information. If anyone provides you with different or inconsistent information, you should not rely on it. </w:t>
      </w:r>
    </w:p>
    <w:p>
      <w:pPr>
        <w:pStyle w:val="TextBody"/>
        <w:spacing w:before="180" w:after="0"/>
        <w:rPr>
          <w:rFonts w:ascii="Times New Roman" w:hAnsi="Times New Roman"/>
          <w:sz w:val="20"/>
        </w:rPr>
      </w:pPr>
      <w:r>
        <w:rPr>
          <w:rFonts w:ascii="Times New Roman" w:hAnsi="Times New Roman"/>
          <w:sz w:val="20"/>
        </w:rPr>
        <w:t xml:space="preserve">You should not assume that the information contained in this prospectus is accurate as of any date other than the date on the front cover of this prospectus. You should not assume that the information contained in the documents incorporated by reference in this prospectus is accurate as of any date other than the respective dates of those documents. Our business, financial condition, results of operations and prospects may have changed since those dates.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20"/>
        </w:rPr>
      </w:pPr>
      <w:bookmarkStart w:id="13" w:name="tx348608_1"/>
      <w:bookmarkEnd w:id="13"/>
      <w:r>
        <w:rPr>
          <w:rFonts w:ascii="Times New Roman" w:hAnsi="Times New Roman"/>
          <w:b/>
          <w:sz w:val="20"/>
        </w:rPr>
        <w:t xml:space="preserve">ABOUT THIS PROSPECTUS </w:t>
      </w:r>
    </w:p>
    <w:p>
      <w:pPr>
        <w:pStyle w:val="TextBody"/>
        <w:spacing w:before="180" w:after="0"/>
        <w:rPr>
          <w:rFonts w:ascii="Times New Roman" w:hAnsi="Times New Roman"/>
          <w:sz w:val="20"/>
        </w:rPr>
      </w:pPr>
      <w:r>
        <w:rPr>
          <w:rFonts w:ascii="Times New Roman" w:hAnsi="Times New Roman"/>
          <w:sz w:val="20"/>
        </w:rPr>
        <w:t xml:space="preserve">This prospectus is part of a registration statement that we and PAA Finance Corp. have filed with the Securities and Exchange Commission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to, update or change information in this prospectus. Before you invest in our securities, you should carefully read this prospectus and any prospectus supplement and the additional information described under the heading Where You Can Find More Information. To the extent information in this prospectus is inconsistent with information contained in a prospectus supplement, you should rely on the information in the prospectus supplement. You should read both this prospectus and any prospectus supplement, together with additional information described under the heading Where You Can Find More Information, and any additional information you may need to make your investment decision.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4" w:name="tx348608_2"/>
      <w:bookmarkEnd w:id="14"/>
      <w:r>
        <w:rPr>
          <w:rFonts w:ascii="Times New Roman" w:hAnsi="Times New Roman"/>
          <w:b/>
          <w:sz w:val="20"/>
        </w:rPr>
        <w:t xml:space="preserve">WHERE YOU CAN FIND MORE INFORMATION </w:t>
      </w:r>
    </w:p>
    <w:p>
      <w:pPr>
        <w:pStyle w:val="TextBody"/>
        <w:spacing w:before="180" w:after="0"/>
        <w:rPr>
          <w:rFonts w:ascii="Times New Roman" w:hAnsi="Times New Roman"/>
          <w:sz w:val="20"/>
        </w:rPr>
      </w:pPr>
      <w:r>
        <w:rPr>
          <w:rFonts w:ascii="Times New Roman" w:hAnsi="Times New Roman"/>
          <w:sz w:val="20"/>
        </w:rPr>
        <w:t xml:space="preserve">We have filed a registration statement with the SEC under the Securities Act of 1933, as amended, that registers the securities offered by this prospectus. The registration statement, including the attached exhibits, contains additional relevant information about us. The rules and regulations of the SEC allow us to omit some information included in the registration statement from this prospectus. </w:t>
      </w:r>
    </w:p>
    <w:p>
      <w:pPr>
        <w:pStyle w:val="TextBody"/>
        <w:spacing w:before="180" w:after="0"/>
        <w:rPr>
          <w:rFonts w:ascii="Times New Roman" w:hAnsi="Times New Roman"/>
          <w:sz w:val="20"/>
        </w:rPr>
      </w:pPr>
      <w:r>
        <w:rPr>
          <w:rFonts w:ascii="Times New Roman" w:hAnsi="Times New Roman"/>
          <w:sz w:val="20"/>
        </w:rPr>
        <w:t xml:space="preserve">In addition, we file annual, quarterly and other reports and other information with the SEC. You may read and copy any document we file at the SECs public reference room at 100 F Street, N.E., Washington, D.C. 20549. Please call the SEC at 1-800-732-0330 for further information on the operation of the SECs public reference room. Our SEC filings are available on the SECs web site at http://www.sec.gov. We also make available free of charge on our website, at http://www.paalp.com, all materials that we file electronically with the SEC, including our annual report on Form 10-K, quarterly reports on Form 10-Q, current reports on Form 8-K, Section 16 reports and amendments to these reports as soon as reasonably practicable after such materials are electronically filed with, or furnished to, the SEC. </w:t>
      </w:r>
    </w:p>
    <w:p>
      <w:pPr>
        <w:pStyle w:val="TextBody"/>
        <w:spacing w:before="180" w:after="0"/>
        <w:rPr>
          <w:rFonts w:ascii="Times New Roman" w:hAnsi="Times New Roman"/>
          <w:sz w:val="20"/>
        </w:rPr>
      </w:pPr>
      <w:r>
        <w:rPr>
          <w:rFonts w:ascii="Times New Roman" w:hAnsi="Times New Roman"/>
          <w:sz w:val="20"/>
        </w:rPr>
        <w:t xml:space="preserve">The SEC allows us to incorporate by reference the information we have filed with the SEC. This means that we can disclose important information to you without actually including the specific information in this prospectus by referring you to other documents filed separately with the SEC. These other documents contain important information about us, our financial condition and results of operations. The information incorporated by reference is an important part of this prospectus. Information that we file later with the SEC will automatically update and may replace information in this prospectus and information previously filed with the SEC. We incorporate by reference the documents listed below and any future filings made by Plains All American Pipeline, L.P. with the SEC under Sections 13(a), 13(c), 14 or 15(d) of the Securities Exchange Act of 1934 (excluding any information furnished and not filed with the SEC) until all offerings under this shelf registration statement are completed or after the date on which the registration statement that includes this prospectus was initially filed with the SEC and before the effectiveness of such registration statement: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Annual Report on Form 10-K for the year ended December 31, 2008;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Quarterly Reports on Form 10-Q for the quarters ended March 31, 2009, June 30, 2009 and September 30, 2009;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February 25, 2009 (compensation arrangements for certain of our executive officers);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March 12, 2009 (audited balance sheet of PAA GP LLC as of December 31, 2008);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(other than Item 7.01, which was furnished) with the SEC on March 18, 2009 (documentation related to equity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April 20, 2009 (documentation related to debt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(other than Items 7.01 and 9.01, which were furnished) with the SEC on May 22, 2009 (election of Christopher M. Temple to the board of directors of Plains All American GP LLC);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July 7, 2009 (unaudited balance sheet of PAA GP LLC as of March 31, 2009);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July 23, 2009 (documentation related to debt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(other than Items 7.01 and 9.01, which were furnished) with the SEC on August 28, 2009 (unregistered sale of equity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0"/>
        <w:gridCol w:w="93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September 3, 2009 (amendment of the Limited Partnership Agreement of Plains All American Pipeline, L.P.);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September 4, 2009 (documentation related to debt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(other than Item 7.01, which was furnished) with the SEC on September 11, 2009 (documentation related to equity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September 28, 2009 (unaudited balance sheet of PAA GP LLC as of June 30, 2009);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October 29, 2009 (amendment to Second Restated Credit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November 30, 2009 (unaudited balance sheet of PAA GP LLC as of September 30, 2009);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description of our common units contained in our Form 8-A/A dated November 3, 1998 and any subsequent amendment thereto filed for the purpose of updating such description. </w:t>
            </w:r>
          </w:p>
        </w:tc>
      </w:tr>
    </w:tbl>
    <w:p>
      <w:pPr>
        <w:pStyle w:val="TextBody"/>
        <w:spacing w:before="180" w:after="0"/>
        <w:rPr>
          <w:rFonts w:ascii="Times New Roman" w:hAnsi="Times New Roman"/>
          <w:sz w:val="20"/>
        </w:rPr>
      </w:pPr>
      <w:r>
        <w:rPr>
          <w:rFonts w:ascii="Times New Roman" w:hAnsi="Times New Roman"/>
          <w:sz w:val="20"/>
        </w:rPr>
        <w:t xml:space="preserve">You may obtain any of the documents incorporated by reference in this prospectus from the SEC through the SECs website at the address provided above. You also may request a copy of any document incorporated by reference in this prospectus (including exhibits to those documents specifically incorporated by reference in this document), at no cost, by visiting our internet website at www.paalp.com, or by writing or calling us at the following address: </w:t>
      </w:r>
    </w:p>
    <w:p>
      <w:pPr>
        <w:pStyle w:val="TextBody"/>
        <w:spacing w:before="90" w:after="0"/>
        <w:jc w:val="center"/>
        <w:rPr>
          <w:rFonts w:ascii="Times New Roman" w:hAnsi="Times New Roman"/>
          <w:sz w:val="20"/>
        </w:rPr>
      </w:pPr>
      <w:r>
        <w:rPr>
          <w:rFonts w:ascii="Times New Roman" w:hAnsi="Times New Roman"/>
          <w:sz w:val="20"/>
        </w:rPr>
        <w:t xml:space="preserve">Plains All American Pipeline, L.P. </w:t>
      </w:r>
    </w:p>
    <w:p>
      <w:pPr>
        <w:pStyle w:val="TextBody"/>
        <w:spacing w:before="0" w:after="0"/>
        <w:jc w:val="center"/>
        <w:rPr>
          <w:rFonts w:ascii="Times New Roman" w:hAnsi="Times New Roman"/>
          <w:sz w:val="20"/>
        </w:rPr>
      </w:pPr>
      <w:r>
        <w:rPr>
          <w:rFonts w:ascii="Times New Roman" w:hAnsi="Times New Roman"/>
          <w:sz w:val="20"/>
        </w:rPr>
        <w:t xml:space="preserve">333 Clay Street, Suite 1600 </w:t>
      </w:r>
    </w:p>
    <w:p>
      <w:pPr>
        <w:pStyle w:val="TextBody"/>
        <w:spacing w:before="0" w:after="0"/>
        <w:jc w:val="center"/>
        <w:rPr>
          <w:rFonts w:ascii="Times New Roman" w:hAnsi="Times New Roman"/>
          <w:sz w:val="20"/>
        </w:rPr>
      </w:pPr>
      <w:r>
        <w:rPr>
          <w:rFonts w:ascii="Times New Roman" w:hAnsi="Times New Roman"/>
          <w:sz w:val="20"/>
        </w:rPr>
        <w:t xml:space="preserve">Houston, Texas 77002 </w:t>
      </w:r>
    </w:p>
    <w:p>
      <w:pPr>
        <w:pStyle w:val="TextBody"/>
        <w:spacing w:before="0" w:after="0"/>
        <w:jc w:val="center"/>
        <w:rPr>
          <w:rFonts w:ascii="Times New Roman" w:hAnsi="Times New Roman"/>
          <w:sz w:val="20"/>
        </w:rPr>
      </w:pPr>
      <w:r>
        <w:rPr>
          <w:rFonts w:ascii="Times New Roman" w:hAnsi="Times New Roman"/>
          <w:sz w:val="20"/>
        </w:rPr>
        <w:t xml:space="preserve">Attention: Tim Moore </w:t>
      </w:r>
    </w:p>
    <w:p>
      <w:pPr>
        <w:pStyle w:val="TextBody"/>
        <w:spacing w:before="0" w:after="0"/>
        <w:jc w:val="center"/>
        <w:rPr>
          <w:rFonts w:ascii="Times New Roman" w:hAnsi="Times New Roman"/>
          <w:sz w:val="20"/>
        </w:rPr>
      </w:pPr>
      <w:r>
        <w:rPr>
          <w:rFonts w:ascii="Times New Roman" w:hAnsi="Times New Roman"/>
          <w:sz w:val="20"/>
        </w:rPr>
        <w:t xml:space="preserve">Telephone: (713) 646-4100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5" w:name="tx348608_3"/>
      <w:bookmarkEnd w:id="15"/>
      <w:r>
        <w:rPr>
          <w:rFonts w:ascii="Times New Roman" w:hAnsi="Times New Roman"/>
          <w:b/>
          <w:sz w:val="20"/>
        </w:rPr>
        <w:t xml:space="preserve">FORWARD-LOOKING STATEMENTS </w:t>
      </w:r>
    </w:p>
    <w:p>
      <w:pPr>
        <w:pStyle w:val="TextBody"/>
        <w:spacing w:before="180" w:after="0"/>
        <w:rPr>
          <w:rFonts w:ascii="Times New Roman" w:hAnsi="Times New Roman"/>
          <w:sz w:val="20"/>
        </w:rPr>
      </w:pPr>
      <w:r>
        <w:rPr>
          <w:rFonts w:ascii="Times New Roman" w:hAnsi="Times New Roman"/>
          <w:sz w:val="20"/>
        </w:rPr>
        <w:t xml:space="preserve">All statements included or incorporated by reference in this prospectus or the accompanying prospectus supplement, other than statements of historical fact, are forward-looking statements, including but not limited to statements identified by the words anticipate, believe, estimate, expect, plan, intend and forecast, as well as similar expressions and statements regarding our business strategy, plans and objectives of our management for future operations. The absence of these words, however, does not mean that the statements are not forward-looking.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implement or capitalize on planned internal growth projects;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maintenance of our credit rating and ability to receive open credit from our suppliers and trade counterparties;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4"/>
        <w:gridCol w:w="101"/>
        <w:gridCol w:w="9393"/>
      </w:tblGrid>
      <w:tr>
        <w:trPr/>
        <w:tc>
          <w:tcPr>
            <w:tcW w:w="407" w:type="dxa"/>
            <w:tcBorders/>
            <w:shd w:fill="auto" w:val="clear"/>
            <w:vAlign w:val="center"/>
          </w:tcPr>
          <w:p>
            <w:pPr>
              <w:pStyle w:val="TableContents"/>
              <w:spacing w:before="0" w:after="283"/>
              <w:rPr/>
            </w:pPr>
            <w:r>
              <w:rPr/>
              <w:t> </w:t>
            </w:r>
          </w:p>
        </w:tc>
        <w:tc>
          <w:tcPr>
            <w:tcW w:w="3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continued creditworthiness of, and performance by, our counterparties, including financial institutions and trading companies with which we do business;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success of our risk management activities;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environmental liabilities or events that are not covered by an indemnity, insurance or existing reserves;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0"/>
        <w:gridCol w:w="93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abrupt or severe declines or interruptions in outer continental shelf production located offshore California and transported on our pipeline systems;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102"/>
        <w:gridCol w:w="9392"/>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shortages or cost increases of power supplies, materials or labor;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fluctuations in refinery capacity in areas supplied by our mainlines and other factors affecting demand for various grades of crude oil, refined products and natural gas and resulting changes in pricing conditions or transportation throughput requirements;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availability of, and our ability to consummate, acquisition or combination opportunities;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ability to obtain debt or equity financing on satisfactory terms to fund additional acquisitions, expansion projects, working capital requirements and the repayment or refinancing of indebtedness;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successful integration and future performance of acquired assets or businesses and the risks associated with operating in lines of business that are distinct and separate from our historical operations;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unanticipated changes in crude oil market structure, grade differentials and volatility (or lack thereof);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impact of current and future laws, rulings, governmental regulations, accounting standards and statements and related interpretations;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0"/>
        <w:gridCol w:w="9393"/>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effects of competition;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0"/>
        <w:gridCol w:w="93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interruptions in service and fluctuations in tariffs or volumes on third-party pipelines;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increased costs or lack of availability of insurance;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fluctuations in the debt and equity markets, including the price of our units at the time of vesting under our long-term incentive plans;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currency exchange rate of the Canadian dollar;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weather interference with business operations or project construction;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risks related to the development and operation of natural gas storage facilities;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future developments and circumstances at the time distributions are declared;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general economic, market or business conditions and the amplification of other risks caused by deteriorated financial markets, capital constraints and pervasive liquidity concerns;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other factors and uncertainties inherent in the transportation, storage, terminalling and marketing of crude oil, refined products and liquefied petroleum gas and other natural gas related petroleum products. </w:t>
            </w:r>
          </w:p>
        </w:tc>
      </w:tr>
    </w:tbl>
    <w:p>
      <w:pPr>
        <w:pStyle w:val="TextBody"/>
        <w:spacing w:before="180" w:after="0"/>
        <w:rPr>
          <w:rFonts w:ascii="Times New Roman" w:hAnsi="Times New Roman"/>
          <w:sz w:val="20"/>
        </w:rPr>
      </w:pPr>
      <w:r>
        <w:rPr>
          <w:rFonts w:ascii="Times New Roman" w:hAnsi="Times New Roman"/>
          <w:sz w:val="20"/>
        </w:rPr>
        <w:t xml:space="preserve">Other factors described herein or incorporated by reference, or factors that are unknown or unpredictable, could also have a material adverse effect on future results. Please read Risk Factors beginning on page 6 of this prospectus and in Item 1A. Risk Factors in our Annual Report on Form 10-K for the year ended December 31, 2008 (File No. 001-14569), which are incorporated into this prospectus by reference. Except as required by applicable securities laws, we do not intend to update these forward-looking statements and information.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6" w:name="tx348608_4"/>
      <w:bookmarkEnd w:id="16"/>
      <w:r>
        <w:rPr>
          <w:rFonts w:ascii="Times New Roman" w:hAnsi="Times New Roman"/>
          <w:b/>
          <w:sz w:val="20"/>
        </w:rPr>
        <w:t xml:space="preserve">WHO WE ARE </w:t>
      </w:r>
    </w:p>
    <w:p>
      <w:pPr>
        <w:pStyle w:val="TextBody"/>
        <w:spacing w:before="180" w:after="0"/>
        <w:rPr>
          <w:rFonts w:ascii="Times New Roman" w:hAnsi="Times New Roman"/>
          <w:sz w:val="20"/>
        </w:rPr>
      </w:pPr>
      <w:r>
        <w:rPr>
          <w:rFonts w:ascii="Times New Roman" w:hAnsi="Times New Roman"/>
          <w:sz w:val="20"/>
        </w:rPr>
        <w:t xml:space="preserve">We are a Delaware limited partnership formed in September 1998. Our operations are conducted directly and indirectly through our primary operating subsidiaries. We are engaged in the transportation, storage, terminalling and marketing of crude oil, refined products and liquefied petroleum gas and other natural gas-related petroleum products. We have an extensive network of pipeline transportation, terminalling, storage and gathering assets in key oil-producing basins and transportation corridors, and at major market hubs in the United States and Canada. We are also engaged in the development and operation of natural gas storage facilities. </w:t>
      </w:r>
    </w:p>
    <w:p>
      <w:pPr>
        <w:pStyle w:val="TextBody"/>
        <w:spacing w:before="180" w:after="0"/>
        <w:rPr>
          <w:rFonts w:ascii="Times New Roman" w:hAnsi="Times New Roman"/>
          <w:sz w:val="20"/>
        </w:rPr>
      </w:pPr>
      <w:r>
        <w:rPr>
          <w:rFonts w:ascii="Times New Roman" w:hAnsi="Times New Roman"/>
          <w:sz w:val="20"/>
        </w:rPr>
        <w:t xml:space="preserve">PAA Finance Corp. was incorporated under the laws of the State of Delaware in May 2004, is wholly owned by Plains All American Pipeline, and has no material assets or any liabilities other than as a co-issuer of debt securities. Its activities are limited to co-issuing debt securities and engaging in other activities incidental thereto. </w:t>
      </w:r>
    </w:p>
    <w:p>
      <w:pPr>
        <w:pStyle w:val="TextBody"/>
        <w:spacing w:before="180" w:after="0"/>
        <w:rPr>
          <w:rFonts w:ascii="Times New Roman" w:hAnsi="Times New Roman"/>
          <w:sz w:val="20"/>
        </w:rPr>
      </w:pPr>
      <w:r>
        <w:rPr>
          <w:rFonts w:ascii="Times New Roman" w:hAnsi="Times New Roman"/>
          <w:sz w:val="20"/>
        </w:rPr>
        <w:t xml:space="preserve">For purposes of this prospectus, unless the context clearly indicates otherwise, we, us, our and the Partnership refer to Plains All American Pipeline, L.P. and its subsidiaries. References to our general partner, as the context requires, include any or all of PAA GP LLC, Plains AAP, L.P. and Plains All American GP LLC. </w:t>
      </w:r>
    </w:p>
    <w:p>
      <w:pPr>
        <w:pStyle w:val="TextBody"/>
        <w:spacing w:before="180" w:after="0"/>
        <w:rPr>
          <w:rFonts w:ascii="Times New Roman" w:hAnsi="Times New Roman"/>
          <w:sz w:val="20"/>
        </w:rPr>
      </w:pPr>
      <w:r>
        <w:rPr>
          <w:rFonts w:ascii="Times New Roman" w:hAnsi="Times New Roman"/>
          <w:sz w:val="20"/>
        </w:rPr>
        <w:t xml:space="preserve">Our executive offices are located at 333 Clay Street, Suite 1600, Houston, Texas 77002 and our telephone number is (713) 646-4100. </w:t>
      </w:r>
    </w:p>
    <w:p>
      <w:pPr>
        <w:pStyle w:val="TextBody"/>
        <w:spacing w:before="180" w:after="0"/>
        <w:rPr>
          <w:rFonts w:ascii="Times New Roman" w:hAnsi="Times New Roman"/>
          <w:sz w:val="20"/>
        </w:rPr>
      </w:pPr>
      <w:r>
        <w:rPr>
          <w:rFonts w:ascii="Times New Roman" w:hAnsi="Times New Roman"/>
          <w:sz w:val="20"/>
        </w:rPr>
        <w:t xml:space="preserve">For additional information as to our business, properties and financial condition please refer to the documents cited in Where You Can Find More Information.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7" w:name="tx348608_5"/>
      <w:bookmarkEnd w:id="17"/>
      <w:r>
        <w:rPr>
          <w:rFonts w:ascii="Times New Roman" w:hAnsi="Times New Roman"/>
          <w:b/>
          <w:sz w:val="20"/>
        </w:rPr>
        <w:t xml:space="preserve">RISK FACTORS </w:t>
      </w:r>
    </w:p>
    <w:p>
      <w:pPr>
        <w:pStyle w:val="TextBody"/>
        <w:spacing w:before="180" w:after="0"/>
        <w:rPr>
          <w:rFonts w:ascii="Times New Roman" w:hAnsi="Times New Roman"/>
          <w:sz w:val="20"/>
        </w:rPr>
      </w:pPr>
      <w:r>
        <w:rPr>
          <w:rFonts w:ascii="Times New Roman" w:hAnsi="Times New Roman"/>
          <w:sz w:val="20"/>
        </w:rPr>
        <w:t xml:space="preserve">An investment in our securities involves a high degree of risk. We hereby incorporate by reference the risk factors included in Item 1A. Risk Factors in our Annual Report on Form 10-K for the year ended December 31, 2008 (File No. 001-14569) into this prospectus. You should carefully consider such risk factors and all other information incorporated by reference into this prospectus in evaluating an investment in our securities. If any of these risks were to occur, our business, financial condition or results of operations could be adversely affected. In that case, the trading price of our common units or value of our debt securities could decline and you could lose all or part of your investment. When we offer and sell any securities pursuant to a prospectus supplement, we may include additional risk factors relevant to such securities in the prospectus supplement.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8" w:name="tx348608_6"/>
      <w:bookmarkEnd w:id="18"/>
      <w:r>
        <w:rPr>
          <w:rFonts w:ascii="Times New Roman" w:hAnsi="Times New Roman"/>
          <w:b/>
          <w:sz w:val="20"/>
        </w:rPr>
        <w:t xml:space="preserve">USE OF PROCEEDS </w:t>
      </w:r>
    </w:p>
    <w:p>
      <w:pPr>
        <w:pStyle w:val="TextBody"/>
        <w:spacing w:before="180" w:after="0"/>
        <w:rPr>
          <w:rFonts w:ascii="Times New Roman" w:hAnsi="Times New Roman"/>
          <w:sz w:val="20"/>
        </w:rPr>
      </w:pPr>
      <w:r>
        <w:rPr>
          <w:rFonts w:ascii="Times New Roman" w:hAnsi="Times New Roman"/>
          <w:sz w:val="20"/>
        </w:rPr>
        <w:t xml:space="preserve">Unless otherwise indicated to the contrary in an accompanying prospectus supplement, we will use the net proceeds from the sale of securities covered by this prospectus for general partnership purposes, which may include repayment of indebtedness, the acquisition of businesses and other capital expenditures and additions to working capital. </w:t>
      </w:r>
    </w:p>
    <w:p>
      <w:pPr>
        <w:pStyle w:val="TextBody"/>
        <w:spacing w:before="180" w:after="0"/>
        <w:rPr>
          <w:rFonts w:ascii="Times New Roman" w:hAnsi="Times New Roman"/>
          <w:sz w:val="20"/>
        </w:rPr>
      </w:pPr>
      <w:r>
        <w:rPr>
          <w:rFonts w:ascii="Times New Roman" w:hAnsi="Times New Roman"/>
          <w:sz w:val="20"/>
        </w:rPr>
        <w:t xml:space="preserve">Any specific allocation of the net proceeds of an offering of securities to a specific purpose will be determined at the time of the offering and will be described in a prospectus supplement.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9" w:name="tx348608_7"/>
      <w:bookmarkEnd w:id="19"/>
      <w:r>
        <w:rPr>
          <w:rFonts w:ascii="Times New Roman" w:hAnsi="Times New Roman"/>
          <w:b/>
          <w:sz w:val="20"/>
        </w:rPr>
        <w:t xml:space="preserve">RATIO OF EARNINGS TO FIXED CHARGES </w:t>
      </w:r>
    </w:p>
    <w:p>
      <w:pPr>
        <w:pStyle w:val="TextBody"/>
        <w:spacing w:before="180" w:after="0"/>
        <w:rPr>
          <w:rFonts w:ascii="Times New Roman" w:hAnsi="Times New Roman"/>
          <w:sz w:val="20"/>
        </w:rPr>
      </w:pPr>
      <w:r>
        <w:rPr>
          <w:rFonts w:ascii="Times New Roman" w:hAnsi="Times New Roman"/>
          <w:sz w:val="20"/>
        </w:rPr>
        <w:t xml:space="preserve">The following table sets forth our historical consolidated ratio of earnings to fixed charges for the periods indicated. For purposes of computing the ratio of earnings to fixed charges,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that portion of rental expense on operating leases deemed to be the equivalent of interest.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696"/>
        <w:gridCol w:w="213"/>
        <w:gridCol w:w="73"/>
        <w:gridCol w:w="694"/>
        <w:gridCol w:w="120"/>
        <w:gridCol w:w="213"/>
        <w:gridCol w:w="60"/>
        <w:gridCol w:w="487"/>
        <w:gridCol w:w="120"/>
        <w:gridCol w:w="212"/>
        <w:gridCol w:w="60"/>
        <w:gridCol w:w="487"/>
        <w:gridCol w:w="120"/>
        <w:gridCol w:w="213"/>
        <w:gridCol w:w="60"/>
        <w:gridCol w:w="487"/>
        <w:gridCol w:w="120"/>
        <w:gridCol w:w="213"/>
        <w:gridCol w:w="60"/>
        <w:gridCol w:w="487"/>
        <w:gridCol w:w="120"/>
        <w:gridCol w:w="212"/>
        <w:gridCol w:w="60"/>
        <w:gridCol w:w="487"/>
        <w:gridCol w:w="131"/>
      </w:tblGrid>
      <w:tr>
        <w:trPr/>
        <w:tc>
          <w:tcPr>
            <w:tcW w:w="4696"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r>
      <w:tr>
        <w:trPr/>
        <w:tc>
          <w:tcPr>
            <w:tcW w:w="469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767" w:type="dxa"/>
            <w:gridSpan w:val="2"/>
            <w:vMerge w:val="restart"/>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Nine  Months</w:t>
            </w:r>
            <w:r>
              <w:rPr/>
              <w:br/>
            </w:r>
            <w:r>
              <w:rPr>
                <w:rFonts w:ascii="Times New Roman" w:hAnsi="Times New Roman"/>
                <w:b/>
                <w:sz w:val="14"/>
              </w:rPr>
              <w:t>Ended</w:t>
            </w:r>
            <w:r>
              <w:rPr/>
              <w:br/>
            </w:r>
            <w:r>
              <w:rPr>
                <w:rFonts w:ascii="Times New Roman" w:hAnsi="Times New Roman"/>
                <w:b/>
                <w:sz w:val="14"/>
              </w:rPr>
              <w:t>September  30,</w:t>
            </w:r>
            <w:r>
              <w:rPr/>
              <w:br/>
            </w:r>
            <w:r>
              <w:rPr>
                <w:rFonts w:ascii="Times New Roman" w:hAnsi="Times New Roman"/>
                <w:b/>
                <w:sz w:val="14"/>
              </w:rPr>
              <w:t>2009</w:t>
            </w:r>
          </w:p>
        </w:tc>
        <w:tc>
          <w:tcPr>
            <w:tcW w:w="120" w:type="dxa"/>
            <w:vMerge w:val="restart"/>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4065"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Year Ended December 31,</w:t>
            </w:r>
          </w:p>
        </w:tc>
        <w:tc>
          <w:tcPr>
            <w:tcW w:w="131" w:type="dxa"/>
            <w:tcBorders/>
            <w:shd w:fill="auto" w:val="clear"/>
            <w:vAlign w:val="bottom"/>
          </w:tcPr>
          <w:p>
            <w:pPr>
              <w:pStyle w:val="TableContents"/>
              <w:spacing w:before="0" w:after="283"/>
              <w:rPr/>
            </w:pPr>
            <w:r>
              <w:rPr/>
              <w:t> </w:t>
            </w:r>
          </w:p>
        </w:tc>
      </w:tr>
      <w:tr>
        <w:trPr/>
        <w:tc>
          <w:tcPr>
            <w:tcW w:w="469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767" w:type="dxa"/>
            <w:gridSpan w:val="2"/>
            <w:vMerge w:val="continue"/>
            <w:tcBorders>
              <w:bottom w:val="single" w:sz="2" w:space="0" w:color="000000"/>
            </w:tcBorders>
            <w:shd w:fill="auto" w:val="clear"/>
            <w:tcMar>
              <w:bottom w:w="28" w:type="dxa"/>
            </w:tcMar>
            <w:vAlign w:val="bottom"/>
          </w:tcPr>
          <w:p>
            <w:pPr>
              <w:pStyle w:val="Normal"/>
              <w:rPr/>
            </w:pPr>
            <w:r>
              <w:rPr/>
            </w:r>
          </w:p>
        </w:tc>
        <w:tc>
          <w:tcPr>
            <w:tcW w:w="120" w:type="dxa"/>
            <w:vMerge w:val="continue"/>
            <w:tcBorders/>
            <w:shd w:fill="auto" w:val="clear"/>
            <w:vAlign w:val="bottom"/>
          </w:tcPr>
          <w:p>
            <w:pPr>
              <w:pStyle w:val="Normal"/>
              <w:rPr/>
            </w:pPr>
            <w:r>
              <w:rPr/>
            </w:r>
          </w:p>
        </w:tc>
        <w:tc>
          <w:tcPr>
            <w:tcW w:w="213"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12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2007</w:t>
            </w:r>
          </w:p>
        </w:tc>
        <w:tc>
          <w:tcPr>
            <w:tcW w:w="120"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120"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12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2004</w:t>
            </w:r>
          </w:p>
        </w:tc>
        <w:tc>
          <w:tcPr>
            <w:tcW w:w="131" w:type="dxa"/>
            <w:tcBorders/>
            <w:shd w:fill="auto" w:val="clear"/>
            <w:vAlign w:val="bottom"/>
          </w:tcPr>
          <w:p>
            <w:pPr>
              <w:pStyle w:val="TableContents"/>
              <w:spacing w:before="0" w:after="283"/>
              <w:rPr/>
            </w:pPr>
            <w:r>
              <w:rPr/>
              <w:t> </w:t>
            </w:r>
          </w:p>
        </w:tc>
      </w:tr>
      <w:tr>
        <w:trPr/>
        <w:tc>
          <w:tcPr>
            <w:tcW w:w="4696" w:type="dxa"/>
            <w:tcBorders/>
            <w:shd w:fill="CCEEFF" w:val="clear"/>
          </w:tcPr>
          <w:p>
            <w:pPr>
              <w:pStyle w:val="TableContents"/>
              <w:spacing w:before="0" w:after="283"/>
              <w:rPr>
                <w:rFonts w:ascii="Times New Roman" w:hAnsi="Times New Roman"/>
                <w:sz w:val="20"/>
              </w:rPr>
            </w:pPr>
            <w:r>
              <w:rPr>
                <w:rFonts w:ascii="Times New Roman" w:hAnsi="Times New Roman"/>
                <w:sz w:val="20"/>
              </w:rPr>
              <w:t>Ratio of Earnings to Fixed Charges(1)</w:t>
            </w:r>
          </w:p>
        </w:tc>
        <w:tc>
          <w:tcPr>
            <w:tcW w:w="213"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6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3.19x</w:t>
            </w:r>
          </w:p>
        </w:tc>
        <w:tc>
          <w:tcPr>
            <w:tcW w:w="120"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2.60x</w:t>
            </w:r>
          </w:p>
        </w:tc>
        <w:tc>
          <w:tcPr>
            <w:tcW w:w="12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2.45x</w:t>
            </w:r>
          </w:p>
        </w:tc>
        <w:tc>
          <w:tcPr>
            <w:tcW w:w="120"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2.83x</w:t>
            </w:r>
          </w:p>
        </w:tc>
        <w:tc>
          <w:tcPr>
            <w:tcW w:w="120"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3.34x</w:t>
            </w:r>
          </w:p>
        </w:tc>
        <w:tc>
          <w:tcPr>
            <w:tcW w:w="12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3.37x</w:t>
            </w:r>
          </w:p>
        </w:tc>
        <w:tc>
          <w:tcPr>
            <w:tcW w:w="131" w:type="dxa"/>
            <w:tcBorders/>
            <w:shd w:fill="CCEEFF" w:val="clear"/>
            <w:vAlign w:val="bottom"/>
          </w:tcPr>
          <w:p>
            <w:pPr>
              <w:pStyle w:val="TableContents"/>
              <w:spacing w:before="0" w:after="283"/>
              <w:rPr/>
            </w:pPr>
            <w:r>
              <w:rPr/>
              <w:t>  </w:t>
            </w:r>
          </w:p>
        </w:tc>
      </w:tr>
      <w:tr>
        <w:trPr/>
        <w:tc>
          <w:tcPr>
            <w:tcW w:w="4696" w:type="dxa"/>
            <w:tcBorders/>
            <w:shd w:fill="auto" w:val="clear"/>
            <w:vAlign w:val="bottom"/>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pBdr>
                <w:top w:val="single" w:sz="2" w:space="1" w:color="000000"/>
              </w:pBdr>
              <w:spacing w:before="0" w:after="283"/>
              <w:rPr/>
            </w:pPr>
            <w:r>
              <w:rPr/>
              <w:t> </w:t>
            </w:r>
          </w:p>
        </w:tc>
        <w:tc>
          <w:tcPr>
            <w:tcW w:w="69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48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48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48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48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487"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interest costs attributable to borrowings for inventory stored in a contango market of $8 million, $21 million, $44 million, $49 million, $24 million and $2 million for the nine months ended September 30, 2009 and each of the years ended December 31, 2008, 2007, 2006, 2005 and 2004, respectively.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0" w:name="tx348608_8"/>
      <w:bookmarkEnd w:id="20"/>
      <w:r>
        <w:rPr>
          <w:rFonts w:ascii="Times New Roman" w:hAnsi="Times New Roman"/>
          <w:b/>
          <w:sz w:val="20"/>
        </w:rPr>
        <w:t xml:space="preserve">DESCRIPTION OF OUR DEBT SECURITIES </w:t>
      </w:r>
    </w:p>
    <w:p>
      <w:pPr>
        <w:pStyle w:val="TextBody"/>
        <w:spacing w:before="180" w:after="0"/>
        <w:rPr>
          <w:rFonts w:ascii="Times New Roman" w:hAnsi="Times New Roman"/>
          <w:b/>
          <w:sz w:val="20"/>
        </w:rPr>
      </w:pPr>
      <w:r>
        <w:rPr>
          <w:rFonts w:ascii="Times New Roman" w:hAnsi="Times New Roman"/>
          <w:b/>
          <w:sz w:val="20"/>
        </w:rPr>
        <w:t xml:space="preserve">General </w:t>
      </w:r>
    </w:p>
    <w:p>
      <w:pPr>
        <w:pStyle w:val="TextBody"/>
        <w:spacing w:before="90" w:after="0"/>
        <w:rPr>
          <w:rFonts w:ascii="Times New Roman" w:hAnsi="Times New Roman"/>
          <w:sz w:val="20"/>
        </w:rPr>
      </w:pPr>
      <w:r>
        <w:rPr>
          <w:rFonts w:ascii="Times New Roman" w:hAnsi="Times New Roman"/>
          <w:sz w:val="20"/>
        </w:rPr>
        <w:t xml:space="preserve">The debt securities will be: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direct general obligations;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either senior debt securities or subordinated debt securities;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issued under separate indentures (which may be existing indentures) among us, the guarantors and U.S. Bank National Association, as Trustee. </w:t>
            </w:r>
          </w:p>
        </w:tc>
      </w:tr>
    </w:tbl>
    <w:p>
      <w:pPr>
        <w:pStyle w:val="TextBody"/>
        <w:spacing w:before="180" w:after="0"/>
        <w:rPr>
          <w:rFonts w:ascii="Times New Roman" w:hAnsi="Times New Roman"/>
          <w:sz w:val="20"/>
        </w:rPr>
      </w:pPr>
      <w:r>
        <w:rPr>
          <w:rFonts w:ascii="Times New Roman" w:hAnsi="Times New Roman"/>
          <w:sz w:val="20"/>
        </w:rPr>
        <w:t xml:space="preserve">Plains All American Pipeline may issue debt securities in one or more series, and PAA Finance may be a co-issuer of one or more series of debt securities. PAA Finance was incorporated under the laws of the State of Delaware in May 2004, is wholly-owned by Plains All American Pipeline, and has no material assets or any liabilities other than as a co-issuer of debt securities. Its activities are limited to co-issuing debt securities and engaging in other activities incidental thereto. When used in this section Description of the Debt Securities, the terms we, us, our and issuers refer jointly to Plains All American Pipeline and PAA Finance, and the terms Plains All American Pipeline and PAA Finance refer strictly to Plains All American Pipeline, L.P. and PAA Finance Corp., respectively. </w:t>
      </w:r>
    </w:p>
    <w:p>
      <w:pPr>
        <w:pStyle w:val="TextBody"/>
        <w:spacing w:before="180" w:after="0"/>
        <w:rPr>
          <w:rFonts w:ascii="Times New Roman" w:hAnsi="Times New Roman"/>
          <w:sz w:val="20"/>
        </w:rPr>
      </w:pPr>
      <w:r>
        <w:rPr>
          <w:rFonts w:ascii="Times New Roman" w:hAnsi="Times New Roman"/>
          <w:sz w:val="20"/>
        </w:rPr>
        <w:t xml:space="preserve">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the summary have the meanings specified in the indentures. </w:t>
      </w:r>
    </w:p>
    <w:p>
      <w:pPr>
        <w:pStyle w:val="TextBody"/>
        <w:spacing w:before="270" w:after="0"/>
        <w:rPr>
          <w:rFonts w:ascii="Times New Roman" w:hAnsi="Times New Roman"/>
          <w:b/>
          <w:sz w:val="20"/>
        </w:rPr>
      </w:pPr>
      <w:r>
        <w:rPr>
          <w:rFonts w:ascii="Times New Roman" w:hAnsi="Times New Roman"/>
          <w:b/>
          <w:sz w:val="20"/>
        </w:rPr>
        <w:t xml:space="preserve">Specific Terms of Each Series of Debt Securities in the Prospectus Supplement </w:t>
      </w:r>
    </w:p>
    <w:p>
      <w:pPr>
        <w:pStyle w:val="TextBody"/>
        <w:spacing w:before="90" w:after="0"/>
        <w:rPr>
          <w:rFonts w:ascii="Times New Roman" w:hAnsi="Times New Roman"/>
          <w:sz w:val="20"/>
        </w:rPr>
      </w:pPr>
      <w:r>
        <w:rPr>
          <w:rFonts w:ascii="Times New Roman" w:hAnsi="Times New Roman"/>
          <w:sz w:val="20"/>
        </w:rPr>
        <w:t xml:space="preserve">A prospectus supplement and a supplemental indenture or authorizing resolutions relating to any series of debt securities being offered will include specific terms relating to the offering. These terms will include some or all of the following: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102"/>
        <w:gridCol w:w="9392"/>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PAA Finance will be a co-issuer of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guarantors of the debt securities, if 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the debt securities are senior or subordinated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102"/>
        <w:gridCol w:w="9392"/>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title of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102"/>
        <w:gridCol w:w="9392"/>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total principal amount of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102"/>
        <w:gridCol w:w="9392"/>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assets, if any, that are pledged as security for the payment of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we will issue the debt securities in individual certificates to each holder in registered form, or in the form of temporary or permanent global securities held by a depository on behalf of holders;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102"/>
        <w:gridCol w:w="9392"/>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prices at which we will issue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portion of the principal amount that will be payable if the maturity of the debt securities is accelerated;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currency or currency unit in which the debt securities will be payable, if not U.S. dollars;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102"/>
        <w:gridCol w:w="9392"/>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dates on which the principal of the debt securities will be payable;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102"/>
        <w:gridCol w:w="9392"/>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interest rate that the debt securities will bear and the interest payment dates for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conversion or exchange provisions;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optional redemption provisions;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sinking fund or other provisions that would obligate us to repurchase or otherwise redeem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changes to or additional events of default or covenants;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102"/>
        <w:gridCol w:w="9392"/>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terms of the debt securities. </w:t>
            </w:r>
          </w:p>
        </w:tc>
      </w:tr>
    </w:tbl>
    <w:p>
      <w:pPr>
        <w:pStyle w:val="TextBody"/>
        <w:spacing w:before="180" w:after="0"/>
        <w:rPr>
          <w:rFonts w:ascii="Times New Roman" w:hAnsi="Times New Roman"/>
          <w:sz w:val="20"/>
        </w:rPr>
      </w:pPr>
      <w:r>
        <w:rPr>
          <w:rFonts w:ascii="Times New Roman" w:hAnsi="Times New Roman"/>
          <w:sz w:val="20"/>
        </w:rPr>
        <w:t xml:space="preserve">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 </w:t>
      </w:r>
    </w:p>
    <w:p>
      <w:pPr>
        <w:pStyle w:val="TextBody"/>
        <w:spacing w:before="270" w:after="0"/>
        <w:rPr>
          <w:rFonts w:ascii="Times New Roman" w:hAnsi="Times New Roman"/>
          <w:b/>
          <w:sz w:val="20"/>
        </w:rPr>
      </w:pPr>
      <w:r>
        <w:rPr>
          <w:rFonts w:ascii="Times New Roman" w:hAnsi="Times New Roman"/>
          <w:b/>
          <w:sz w:val="20"/>
        </w:rPr>
        <w:t xml:space="preserve">Guarantees </w:t>
      </w:r>
    </w:p>
    <w:p>
      <w:pPr>
        <w:pStyle w:val="TextBody"/>
        <w:spacing w:before="90" w:after="0"/>
        <w:rPr>
          <w:rFonts w:ascii="Times New Roman" w:hAnsi="Times New Roman"/>
          <w:sz w:val="20"/>
        </w:rPr>
      </w:pPr>
      <w:r>
        <w:rPr>
          <w:rFonts w:ascii="Times New Roman" w:hAnsi="Times New Roman"/>
          <w:sz w:val="20"/>
        </w:rPr>
        <w:t xml:space="preserve">If specified in the prospectus supplement respecting a series of debt securities, the subsidiaries of Plains All American Pipeline specified in the prospectus supplement will unconditionally guarantee to each holder and the Trustee, on a joint and several basis, the full and prompt payment of principal of, premium, if any, and interest on the debt securities of that series when and as the same become due and payable, whether at maturity, upon redemption or repurchase, by declaration of acceleration or otherwise. If a series of debt securities is guaranteed, such series will be guaranteed by all of the subsidiaries of Plains All American Pipeline, L.P. other than the non-guarantor subsidiaries. The prospectus supplement will describe any limitation on the maximum amount of any particular guarantee and the conditions under which guarantees may be released. </w:t>
      </w:r>
    </w:p>
    <w:p>
      <w:pPr>
        <w:pStyle w:val="TextBody"/>
        <w:spacing w:before="180" w:after="0"/>
        <w:rPr>
          <w:rFonts w:ascii="Times New Roman" w:hAnsi="Times New Roman"/>
          <w:sz w:val="20"/>
        </w:rPr>
      </w:pPr>
      <w:r>
        <w:rPr>
          <w:rFonts w:ascii="Times New Roman" w:hAnsi="Times New Roman"/>
          <w:sz w:val="20"/>
        </w:rPr>
        <w:t xml:space="preserve">The guarantees will be general obligations of the guarantors. Guarantees of subordinated debt securities will be subordinated to the Senior Indebtedness of the guarantors on the same basis as the subordinated debt securities are subordinated to the Senior Indebtedness of Plains All American Pipeline. </w:t>
      </w:r>
    </w:p>
    <w:p>
      <w:pPr>
        <w:pStyle w:val="TextBody"/>
        <w:spacing w:before="270" w:after="0"/>
        <w:rPr>
          <w:rFonts w:ascii="Times New Roman" w:hAnsi="Times New Roman"/>
          <w:b/>
          <w:sz w:val="20"/>
        </w:rPr>
      </w:pPr>
      <w:r>
        <w:rPr>
          <w:rFonts w:ascii="Times New Roman" w:hAnsi="Times New Roman"/>
          <w:b/>
          <w:sz w:val="20"/>
        </w:rPr>
        <w:t xml:space="preserve">Consolidation, Merger or Asset Sale </w:t>
      </w:r>
    </w:p>
    <w:p>
      <w:pPr>
        <w:pStyle w:val="TextBody"/>
        <w:spacing w:before="90" w:after="0"/>
        <w:rPr>
          <w:rFonts w:ascii="Times New Roman" w:hAnsi="Times New Roman"/>
          <w:sz w:val="20"/>
        </w:rPr>
      </w:pPr>
      <w:r>
        <w:rPr>
          <w:rFonts w:ascii="Times New Roman" w:hAnsi="Times New Roman"/>
          <w:sz w:val="20"/>
        </w:rPr>
        <w:t xml:space="preserve">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 </w:t>
      </w:r>
    </w:p>
    <w:p>
      <w:pPr>
        <w:pStyle w:val="TextBody"/>
        <w:spacing w:before="180" w:after="0"/>
        <w:rPr>
          <w:rFonts w:ascii="Times New Roman" w:hAnsi="Times New Roman"/>
          <w:sz w:val="20"/>
        </w:rPr>
      </w:pPr>
      <w:r>
        <w:rPr>
          <w:rFonts w:ascii="Times New Roman" w:hAnsi="Times New Roman"/>
          <w:sz w:val="20"/>
        </w:rPr>
        <w:t xml:space="preserve">However, each indenture will impose certain requirements with respect to any consolidation or merger with or into an entity, or any sale, lease, transfer or other disposition of all or substantially all of an issuers assets, including: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remaining or acquiring entity must assume the issuers obligations under the indenture;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immediately after giving effect to the transaction, no Default or Event of Default (as defined under  Events of Default and Remedies below) may exist. </w:t>
            </w:r>
          </w:p>
        </w:tc>
      </w:tr>
    </w:tbl>
    <w:p>
      <w:pPr>
        <w:pStyle w:val="TextBody"/>
        <w:spacing w:before="180" w:after="0"/>
        <w:rPr>
          <w:rFonts w:ascii="Times New Roman" w:hAnsi="Times New Roman"/>
          <w:sz w:val="20"/>
        </w:rPr>
      </w:pPr>
      <w:r>
        <w:rPr>
          <w:rFonts w:ascii="Times New Roman" w:hAnsi="Times New Roman"/>
          <w:sz w:val="20"/>
        </w:rPr>
        <w:t xml:space="preserve">The remaining or acquiring entity will be substituted for the issuer in the indenture with the same effect as if it had been an original party to the indenture, and the issuer will be relieved from any further obligations under the indenture.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No Protection in the Event of a Change of Control </w:t>
      </w:r>
    </w:p>
    <w:p>
      <w:pPr>
        <w:pStyle w:val="TextBody"/>
        <w:spacing w:before="90" w:after="0"/>
        <w:rPr>
          <w:rFonts w:ascii="Times New Roman" w:hAnsi="Times New Roman"/>
          <w:sz w:val="20"/>
        </w:rPr>
      </w:pPr>
      <w:r>
        <w:rPr>
          <w:rFonts w:ascii="Times New Roman" w:hAnsi="Times New Roman"/>
          <w:sz w:val="20"/>
        </w:rPr>
        <w:t xml:space="preserve">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 </w:t>
      </w:r>
    </w:p>
    <w:p>
      <w:pPr>
        <w:pStyle w:val="TextBody"/>
        <w:spacing w:before="270" w:after="0"/>
        <w:rPr>
          <w:rFonts w:ascii="Times New Roman" w:hAnsi="Times New Roman"/>
          <w:b/>
          <w:sz w:val="20"/>
        </w:rPr>
      </w:pPr>
      <w:r>
        <w:rPr>
          <w:rFonts w:ascii="Times New Roman" w:hAnsi="Times New Roman"/>
          <w:b/>
          <w:sz w:val="20"/>
        </w:rPr>
        <w:t xml:space="preserve">Modification of Indentures </w:t>
      </w:r>
    </w:p>
    <w:p>
      <w:pPr>
        <w:pStyle w:val="TextBody"/>
        <w:spacing w:before="90" w:after="0"/>
        <w:rPr>
          <w:rFonts w:ascii="Times New Roman" w:hAnsi="Times New Roman"/>
          <w:sz w:val="20"/>
        </w:rPr>
      </w:pPr>
      <w:r>
        <w:rPr>
          <w:rFonts w:ascii="Times New Roman" w:hAnsi="Times New Roman"/>
          <w:sz w:val="20"/>
        </w:rPr>
        <w:t xml:space="preserve">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0"/>
        <w:gridCol w:w="9393"/>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the principal amount of debt securities whose holders must consent to an amendment, supplement or waiver;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the principal of or change the fixed maturity of any debt security;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or waive the premium payable upon redemption or alter or waive the provisions with respect to the redemption of the debt securities (except as may be permitted in the case of a particular series of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the rate of or change the time for payment of interest on any debt security;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0"/>
        <w:gridCol w:w="9393"/>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except as otherwise permitted under the indenture, release any security that may have been granted with respect to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102"/>
        <w:gridCol w:w="9392"/>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make any debt security payable in currency other than that stated in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the case of any subordinated debt security, make any change in the subordination provisions that adversely affects the rights of any holder under those provisions;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make any change in the provisions of the indenture relating to waivers of past Defaults or the rights of holders of debt securities to receive payments of principal of or premium, if any, or interest on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waive a redemption payment with respect to any debt security (except as may be permitted in the case of a particular series of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except as otherwise permitted in the indenture, release any guarantor from its obligations under its guarantee or the indenture or change any guarantee in any manner that would adversely affect the rights of holders;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0"/>
        <w:gridCol w:w="9393"/>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make any change in the preceding amendment, supplement and waiver provisions (except to increase any percentage set forth therein). </w:t>
            </w:r>
          </w:p>
        </w:tc>
      </w:tr>
    </w:tbl>
    <w:p>
      <w:pPr>
        <w:pStyle w:val="TextBody"/>
        <w:spacing w:before="180" w:after="0"/>
        <w:rPr>
          <w:rFonts w:ascii="Times New Roman" w:hAnsi="Times New Roman"/>
          <w:sz w:val="20"/>
        </w:rPr>
      </w:pPr>
      <w:r>
        <w:rPr>
          <w:rFonts w:ascii="Times New Roman" w:hAnsi="Times New Roman"/>
          <w:sz w:val="20"/>
        </w:rPr>
        <w:t xml:space="preserve">We may supplement or amend an indenture without the consent of any holders of the debt securities in certain circumstances, including: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102"/>
        <w:gridCol w:w="9392"/>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establish the form of terms of any series of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cure any ambiguity, defect or inconsistency;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provide for uncertificated notes in addition to or in place of certified notes;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provide for the assumption of an issuers or guarantors obligations to holders of debt securities in the case of a merger or consolidation or disposition of all or substantially all of such issuers or guarantors assets;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the case of any subordinated debt security, to make any change in the subordination provisions that limits or terminates the benefits applicable to any holder of Senior Indebtedness of Plains All American Pipeline;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add or release guarantors pursuant to the terms of the indenture;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make any changes that would provide any additional rights or benefits to the holders of debt securities or that do not, taken as a whole, adversely affect the rights under the indenture of any holder of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comply with requirements of the SEC in order to effect or maintain the qualification of the Indenture under the Trust Indenture Act;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evidence or provide for the acceptance of appointment under the indenture of a successor Trustee;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add any additional Events of Default;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secure the debt securities and/or the guarantees. </w:t>
            </w:r>
          </w:p>
        </w:tc>
      </w:tr>
    </w:tbl>
    <w:p>
      <w:pPr>
        <w:pStyle w:val="TextBody"/>
        <w:spacing w:before="270" w:after="0"/>
        <w:rPr>
          <w:rFonts w:ascii="Times New Roman" w:hAnsi="Times New Roman"/>
          <w:b/>
          <w:sz w:val="20"/>
        </w:rPr>
      </w:pPr>
      <w:r>
        <w:rPr>
          <w:rFonts w:ascii="Times New Roman" w:hAnsi="Times New Roman"/>
          <w:b/>
          <w:sz w:val="20"/>
        </w:rPr>
        <w:t xml:space="preserve">Events of Default and Remedies </w:t>
      </w:r>
    </w:p>
    <w:p>
      <w:pPr>
        <w:pStyle w:val="TextBody"/>
        <w:spacing w:before="90" w:after="0"/>
        <w:rPr>
          <w:rFonts w:ascii="Times New Roman" w:hAnsi="Times New Roman"/>
          <w:sz w:val="20"/>
        </w:rPr>
      </w:pPr>
      <w:r>
        <w:rPr>
          <w:rFonts w:ascii="Times New Roman" w:hAnsi="Times New Roman"/>
          <w:sz w:val="20"/>
        </w:rPr>
        <w:t xml:space="preserve">Event of Default, when used in an indenture, will mean any of the following with respect to the debt securities of any series: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pay when due the principal of or any premium on any debt security of that series;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pay, within 60 days of the due date, interest on any debt security of that series;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102"/>
        <w:gridCol w:w="9392"/>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pay when due any sinking fund payment with respect to any debt securities of that series;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on the part of the issuers to comply with the covenant described under  Consolidation, Merger or Asset Sale;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perform any other covenant in the indenture that continues for 30 days after written notice is given to the issuers;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certain events of bankruptcy, insolvency or reorganization of an issuer;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102"/>
        <w:gridCol w:w="9392"/>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Event of Default provided under the terms of the debt securities of that series. </w:t>
            </w:r>
          </w:p>
        </w:tc>
      </w:tr>
    </w:tbl>
    <w:p>
      <w:pPr>
        <w:pStyle w:val="TextBody"/>
        <w:spacing w:before="180" w:after="0"/>
        <w:rPr>
          <w:rFonts w:ascii="Times New Roman" w:hAnsi="Times New Roman"/>
          <w:sz w:val="20"/>
        </w:rPr>
      </w:pPr>
      <w:r>
        <w:rPr>
          <w:rFonts w:ascii="Times New Roman" w:hAnsi="Times New Roman"/>
          <w:sz w:val="20"/>
        </w:rPr>
        <w:t xml:space="preserve">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 </w:t>
      </w:r>
    </w:p>
    <w:p>
      <w:pPr>
        <w:pStyle w:val="TextBody"/>
        <w:spacing w:before="180" w:after="0"/>
        <w:rPr>
          <w:rFonts w:ascii="Times New Roman" w:hAnsi="Times New Roman"/>
          <w:sz w:val="20"/>
        </w:rPr>
      </w:pPr>
      <w:r>
        <w:rPr>
          <w:rFonts w:ascii="Times New Roman" w:hAnsi="Times New Roman"/>
          <w:sz w:val="20"/>
        </w:rPr>
        <w:t xml:space="preserve">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 </w:t>
      </w:r>
    </w:p>
    <w:p>
      <w:pPr>
        <w:pStyle w:val="TextBody"/>
        <w:spacing w:before="180" w:after="0"/>
        <w:rPr>
          <w:rFonts w:ascii="Times New Roman" w:hAnsi="Times New Roman"/>
          <w:sz w:val="20"/>
        </w:rPr>
      </w:pPr>
      <w:r>
        <w:rPr>
          <w:rFonts w:ascii="Times New Roman" w:hAnsi="Times New Roman"/>
          <w:sz w:val="20"/>
        </w:rPr>
        <w:t xml:space="preserve">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No Limit on Amount of Debt Securities </w:t>
      </w:r>
    </w:p>
    <w:p>
      <w:pPr>
        <w:pStyle w:val="TextBody"/>
        <w:spacing w:before="90" w:after="0"/>
        <w:rPr>
          <w:rFonts w:ascii="Times New Roman" w:hAnsi="Times New Roman"/>
          <w:sz w:val="20"/>
        </w:rPr>
      </w:pPr>
      <w:r>
        <w:rPr>
          <w:rFonts w:ascii="Times New Roman" w:hAnsi="Times New Roman"/>
          <w:sz w:val="20"/>
        </w:rPr>
        <w:t xml:space="preserve">Neither indenture will limit the amount of debt securities that we may issue, unless we indicate otherwise in a prospectus supplement. Each indenture will allow us to issue debt securities of any series up to the aggregate principal amount that we authorize. </w:t>
      </w:r>
    </w:p>
    <w:p>
      <w:pPr>
        <w:pStyle w:val="TextBody"/>
        <w:spacing w:before="270" w:after="0"/>
        <w:rPr>
          <w:rFonts w:ascii="Times New Roman" w:hAnsi="Times New Roman"/>
          <w:b/>
          <w:sz w:val="20"/>
        </w:rPr>
      </w:pPr>
      <w:r>
        <w:rPr>
          <w:rFonts w:ascii="Times New Roman" w:hAnsi="Times New Roman"/>
          <w:b/>
          <w:sz w:val="20"/>
        </w:rPr>
        <w:t xml:space="preserve">Registration of Notes </w:t>
      </w:r>
    </w:p>
    <w:p>
      <w:pPr>
        <w:pStyle w:val="TextBody"/>
        <w:spacing w:before="90" w:after="0"/>
        <w:rPr>
          <w:rFonts w:ascii="Times New Roman" w:hAnsi="Times New Roman"/>
          <w:sz w:val="20"/>
        </w:rPr>
      </w:pPr>
      <w:r>
        <w:rPr>
          <w:rFonts w:ascii="Times New Roman" w:hAnsi="Times New Roman"/>
          <w:sz w:val="20"/>
        </w:rPr>
        <w:t xml:space="preserve">We will issue debt securities of a series only in registered form, without coupons, unless otherwise indicated in the prospectus supplement. </w:t>
      </w:r>
    </w:p>
    <w:p>
      <w:pPr>
        <w:pStyle w:val="TextBody"/>
        <w:spacing w:before="270" w:after="0"/>
        <w:rPr>
          <w:rFonts w:ascii="Times New Roman" w:hAnsi="Times New Roman"/>
          <w:b/>
          <w:sz w:val="20"/>
        </w:rPr>
      </w:pPr>
      <w:r>
        <w:rPr>
          <w:rFonts w:ascii="Times New Roman" w:hAnsi="Times New Roman"/>
          <w:b/>
          <w:sz w:val="20"/>
        </w:rPr>
        <w:t xml:space="preserve">Minimum Denominations </w:t>
      </w:r>
    </w:p>
    <w:p>
      <w:pPr>
        <w:pStyle w:val="TextBody"/>
        <w:spacing w:before="90" w:after="0"/>
        <w:rPr>
          <w:rFonts w:ascii="Times New Roman" w:hAnsi="Times New Roman"/>
          <w:sz w:val="20"/>
        </w:rPr>
      </w:pPr>
      <w:r>
        <w:rPr>
          <w:rFonts w:ascii="Times New Roman" w:hAnsi="Times New Roman"/>
          <w:sz w:val="20"/>
        </w:rPr>
        <w:t xml:space="preserve">Unless the prospectus supplement states otherwise, the debt securities will be issued only in principal amounts of $1,000 each or integral multiples of $1,000. </w:t>
      </w:r>
    </w:p>
    <w:p>
      <w:pPr>
        <w:pStyle w:val="TextBody"/>
        <w:spacing w:before="270" w:after="0"/>
        <w:rPr>
          <w:rFonts w:ascii="Times New Roman" w:hAnsi="Times New Roman"/>
          <w:b/>
          <w:sz w:val="20"/>
        </w:rPr>
      </w:pPr>
      <w:r>
        <w:rPr>
          <w:rFonts w:ascii="Times New Roman" w:hAnsi="Times New Roman"/>
          <w:b/>
          <w:sz w:val="20"/>
        </w:rPr>
        <w:t xml:space="preserve">No Personal Liability </w:t>
      </w:r>
    </w:p>
    <w:p>
      <w:pPr>
        <w:pStyle w:val="TextBody"/>
        <w:spacing w:before="90" w:after="0"/>
        <w:rPr>
          <w:rFonts w:ascii="Times New Roman" w:hAnsi="Times New Roman"/>
          <w:sz w:val="20"/>
        </w:rPr>
      </w:pPr>
      <w:r>
        <w:rPr>
          <w:rFonts w:ascii="Times New Roman" w:hAnsi="Times New Roman"/>
          <w:sz w:val="20"/>
        </w:rPr>
        <w:t xml:space="preserve">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 </w:t>
      </w:r>
    </w:p>
    <w:p>
      <w:pPr>
        <w:pStyle w:val="TextBody"/>
        <w:spacing w:before="270" w:after="0"/>
        <w:rPr>
          <w:rFonts w:ascii="Times New Roman" w:hAnsi="Times New Roman"/>
          <w:b/>
          <w:sz w:val="20"/>
        </w:rPr>
      </w:pPr>
      <w:r>
        <w:rPr>
          <w:rFonts w:ascii="Times New Roman" w:hAnsi="Times New Roman"/>
          <w:b/>
          <w:sz w:val="20"/>
        </w:rPr>
        <w:t xml:space="preserve">Payment and Transfer </w:t>
      </w:r>
    </w:p>
    <w:p>
      <w:pPr>
        <w:pStyle w:val="TextBody"/>
        <w:spacing w:before="90" w:after="0"/>
        <w:rPr>
          <w:rFonts w:ascii="Times New Roman" w:hAnsi="Times New Roman"/>
          <w:sz w:val="20"/>
        </w:rPr>
      </w:pPr>
      <w:r>
        <w:rPr>
          <w:rFonts w:ascii="Times New Roman" w:hAnsi="Times New Roman"/>
          <w:sz w:val="20"/>
        </w:rPr>
        <w:t xml:space="preserve">The Trustee will initially act as paying agent and registrar under each indenture. The issuers may change the paying agent or registrar without prior notice to the holders of debt securities, and the issuers or any of their subsidiaries may act as paying agent or registrar. </w:t>
      </w:r>
    </w:p>
    <w:p>
      <w:pPr>
        <w:pStyle w:val="TextBody"/>
        <w:spacing w:before="180" w:after="0"/>
        <w:rPr>
          <w:rFonts w:ascii="Times New Roman" w:hAnsi="Times New Roman"/>
          <w:sz w:val="20"/>
        </w:rPr>
      </w:pPr>
      <w:r>
        <w:rPr>
          <w:rFonts w:ascii="Times New Roman" w:hAnsi="Times New Roman"/>
          <w:sz w:val="20"/>
        </w:rPr>
        <w:t xml:space="preserve">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 </w:t>
      </w:r>
    </w:p>
    <w:p>
      <w:pPr>
        <w:pStyle w:val="TextBody"/>
        <w:spacing w:before="180" w:after="0"/>
        <w:rPr>
          <w:rFonts w:ascii="Times New Roman" w:hAnsi="Times New Roman"/>
          <w:sz w:val="20"/>
        </w:rPr>
      </w:pPr>
      <w:r>
        <w:rPr>
          <w:rFonts w:ascii="Times New Roman" w:hAnsi="Times New Roman"/>
          <w:sz w:val="20"/>
        </w:rPr>
        <w:t xml:space="preserve">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 </w:t>
      </w:r>
    </w:p>
    <w:p>
      <w:pPr>
        <w:pStyle w:val="TextBody"/>
        <w:spacing w:before="270" w:after="0"/>
        <w:rPr>
          <w:rFonts w:ascii="Times New Roman" w:hAnsi="Times New Roman"/>
          <w:b/>
          <w:sz w:val="20"/>
        </w:rPr>
      </w:pPr>
      <w:r>
        <w:rPr>
          <w:rFonts w:ascii="Times New Roman" w:hAnsi="Times New Roman"/>
          <w:b/>
          <w:sz w:val="20"/>
        </w:rPr>
        <w:t xml:space="preserve">Exchange, Registration and Transfer </w:t>
      </w:r>
    </w:p>
    <w:p>
      <w:pPr>
        <w:pStyle w:val="TextBody"/>
        <w:spacing w:before="90" w:after="0"/>
        <w:rPr>
          <w:rFonts w:ascii="Times New Roman" w:hAnsi="Times New Roman"/>
          <w:sz w:val="20"/>
        </w:rPr>
      </w:pPr>
      <w:r>
        <w:rPr>
          <w:rFonts w:ascii="Times New Roman" w:hAnsi="Times New Roman"/>
          <w:sz w:val="20"/>
        </w:rPr>
        <w:t xml:space="preserve">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We will not be required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0"/>
        <w:gridCol w:w="93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register the transfer of or exchange any debt security called for redemption or repurchase, except the unredeemed portion of any debt security we are redeeming or repurchasing in part. </w:t>
            </w:r>
          </w:p>
        </w:tc>
      </w:tr>
    </w:tbl>
    <w:p>
      <w:pPr>
        <w:pStyle w:val="TextBody"/>
        <w:spacing w:before="270" w:after="0"/>
        <w:rPr>
          <w:rFonts w:ascii="Times New Roman" w:hAnsi="Times New Roman"/>
          <w:b/>
          <w:sz w:val="20"/>
        </w:rPr>
      </w:pPr>
      <w:r>
        <w:rPr>
          <w:rFonts w:ascii="Times New Roman" w:hAnsi="Times New Roman"/>
          <w:b/>
          <w:sz w:val="20"/>
        </w:rPr>
        <w:t xml:space="preserve">Provisions Relating only to the Senior Debt Securities </w:t>
      </w:r>
    </w:p>
    <w:p>
      <w:pPr>
        <w:pStyle w:val="TextBody"/>
        <w:spacing w:before="90" w:after="0"/>
        <w:rPr>
          <w:rFonts w:ascii="Times New Roman" w:hAnsi="Times New Roman"/>
          <w:sz w:val="20"/>
        </w:rPr>
      </w:pPr>
      <w:r>
        <w:rPr>
          <w:rFonts w:ascii="Times New Roman" w:hAnsi="Times New Roman"/>
          <w:sz w:val="20"/>
        </w:rPr>
        <w:t xml:space="preserve">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 </w:t>
      </w:r>
    </w:p>
    <w:p>
      <w:pPr>
        <w:pStyle w:val="TextBody"/>
        <w:spacing w:before="270" w:after="0"/>
        <w:rPr>
          <w:rFonts w:ascii="Times New Roman" w:hAnsi="Times New Roman"/>
          <w:b/>
          <w:sz w:val="20"/>
        </w:rPr>
      </w:pPr>
      <w:r>
        <w:rPr>
          <w:rFonts w:ascii="Times New Roman" w:hAnsi="Times New Roman"/>
          <w:b/>
          <w:sz w:val="20"/>
        </w:rPr>
        <w:t xml:space="preserve">Provisions Relating only to the Subordinated Debt Securities </w:t>
      </w:r>
    </w:p>
    <w:p>
      <w:pPr>
        <w:pStyle w:val="TextBody"/>
        <w:spacing w:before="90" w:after="0"/>
        <w:rPr>
          <w:rFonts w:ascii="Times New Roman" w:hAnsi="Times New Roman"/>
          <w:b/>
          <w:i/>
          <w:sz w:val="20"/>
        </w:rPr>
      </w:pPr>
      <w:r>
        <w:rPr>
          <w:rFonts w:ascii="Times New Roman" w:hAnsi="Times New Roman"/>
          <w:b/>
          <w:i/>
          <w:sz w:val="20"/>
        </w:rPr>
        <w:t xml:space="preserve">Subordinated Debt Securities Subordinated to Senior Indebtedness </w:t>
      </w:r>
    </w:p>
    <w:p>
      <w:pPr>
        <w:pStyle w:val="TextBody"/>
        <w:spacing w:before="90" w:after="0"/>
        <w:rPr>
          <w:rFonts w:ascii="Times New Roman" w:hAnsi="Times New Roman"/>
          <w:sz w:val="20"/>
        </w:rPr>
      </w:pPr>
      <w:r>
        <w:rPr>
          <w:rFonts w:ascii="Times New Roman" w:hAnsi="Times New Roman"/>
          <w:sz w:val="20"/>
        </w:rPr>
        <w:t xml:space="preserve">The subordinated debt securities will rank junior in right of payment to all of the Senior Indebtedness of Plains All American Pipeline. Senior Indebtedness will be defined in a supplemental indenture or authorizing resolutions respecting any issuance of a series of subordinated debt securities, and the definition will be set forth in the prospectus supplement. </w:t>
      </w:r>
    </w:p>
    <w:p>
      <w:pPr>
        <w:pStyle w:val="TextBody"/>
        <w:spacing w:before="270" w:after="0"/>
        <w:rPr>
          <w:rFonts w:ascii="Times New Roman" w:hAnsi="Times New Roman"/>
          <w:b/>
          <w:i/>
          <w:sz w:val="20"/>
        </w:rPr>
      </w:pPr>
      <w:r>
        <w:rPr>
          <w:rFonts w:ascii="Times New Roman" w:hAnsi="Times New Roman"/>
          <w:b/>
          <w:i/>
          <w:sz w:val="20"/>
        </w:rPr>
        <w:t xml:space="preserve">Payment Blockages </w:t>
      </w:r>
    </w:p>
    <w:p>
      <w:pPr>
        <w:pStyle w:val="TextBody"/>
        <w:spacing w:before="90" w:after="0"/>
        <w:rPr>
          <w:rFonts w:ascii="Times New Roman" w:hAnsi="Times New Roman"/>
          <w:sz w:val="20"/>
        </w:rPr>
      </w:pPr>
      <w:r>
        <w:rPr>
          <w:rFonts w:ascii="Times New Roman" w:hAnsi="Times New Roman"/>
          <w:sz w:val="20"/>
        </w:rPr>
        <w:t xml:space="preserve">The subordinated indenture will provide that no payment of principal, interest and any premium on the subordinated debt securities may be made in the event: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or our property is involved in any voluntary or involuntary liquidation or bankruptcy;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default on any Senior Indebtedness of Plains All American Pipeline occurs that permits immediate acceleration of its maturity, in which case a payment blockage on the subordinated debt securities will be imposed for a maximum of 179 days at any one time. </w:t>
            </w:r>
          </w:p>
        </w:tc>
      </w:tr>
    </w:tbl>
    <w:p>
      <w:pPr>
        <w:pStyle w:val="TextBody"/>
        <w:spacing w:before="270" w:after="0"/>
        <w:rPr>
          <w:rFonts w:ascii="Times New Roman" w:hAnsi="Times New Roman"/>
          <w:b/>
          <w:i/>
          <w:sz w:val="20"/>
        </w:rPr>
      </w:pPr>
      <w:r>
        <w:rPr>
          <w:rFonts w:ascii="Times New Roman" w:hAnsi="Times New Roman"/>
          <w:b/>
          <w:i/>
          <w:sz w:val="20"/>
        </w:rPr>
        <w:t xml:space="preserve">No Limitation on Amount of Senior Debt </w:t>
      </w:r>
    </w:p>
    <w:p>
      <w:pPr>
        <w:pStyle w:val="TextBody"/>
        <w:spacing w:before="90" w:after="0"/>
        <w:rPr>
          <w:rFonts w:ascii="Times New Roman" w:hAnsi="Times New Roman"/>
          <w:sz w:val="20"/>
        </w:rPr>
      </w:pPr>
      <w:r>
        <w:rPr>
          <w:rFonts w:ascii="Times New Roman" w:hAnsi="Times New Roman"/>
          <w:sz w:val="20"/>
        </w:rPr>
        <w:t xml:space="preserve">The subordinated indenture will not limit the amount of Senior Indebtedness that Plains All American Pipeline may incur, unless otherwise indicated in the prospectus supplement. </w:t>
      </w:r>
    </w:p>
    <w:p>
      <w:pPr>
        <w:pStyle w:val="TextBody"/>
        <w:spacing w:before="270" w:after="0"/>
        <w:rPr>
          <w:rFonts w:ascii="Times New Roman" w:hAnsi="Times New Roman"/>
          <w:b/>
          <w:sz w:val="20"/>
        </w:rPr>
      </w:pPr>
      <w:r>
        <w:rPr>
          <w:rFonts w:ascii="Times New Roman" w:hAnsi="Times New Roman"/>
          <w:b/>
          <w:sz w:val="20"/>
        </w:rPr>
        <w:t xml:space="preserve">Book Entry, Delivery and Form </w:t>
      </w:r>
    </w:p>
    <w:p>
      <w:pPr>
        <w:pStyle w:val="TextBody"/>
        <w:spacing w:before="90" w:after="0"/>
        <w:rPr>
          <w:rFonts w:ascii="Times New Roman" w:hAnsi="Times New Roman"/>
          <w:sz w:val="20"/>
        </w:rPr>
      </w:pPr>
      <w:r>
        <w:rPr>
          <w:rFonts w:ascii="Times New Roman" w:hAnsi="Times New Roman"/>
          <w:sz w:val="20"/>
        </w:rPr>
        <w:t xml:space="preserve">The debt securities of a particular series may be issued in whole or in part in the form of one or more global certificates that will be deposited with the Trustee as custodian for The Depository Trust Company, New York, 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Beneficial interests in global debt securities will be shown on, and transfers of global debt securities will be made only through, records maintained by DTC and its participants. </w:t>
      </w:r>
    </w:p>
    <w:p>
      <w:pPr>
        <w:pStyle w:val="TextBody"/>
        <w:spacing w:before="180" w:after="0"/>
        <w:rPr>
          <w:rFonts w:ascii="Times New Roman" w:hAnsi="Times New Roman"/>
          <w:sz w:val="20"/>
        </w:rPr>
      </w:pPr>
      <w:r>
        <w:rPr>
          <w:rFonts w:ascii="Times New Roman" w:hAnsi="Times New Roman"/>
          <w:sz w:val="20"/>
        </w:rPr>
        <w:t xml:space="preserve">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Securities Exchange Act of 1934.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 </w:t>
      </w:r>
    </w:p>
    <w:p>
      <w:pPr>
        <w:pStyle w:val="TextBody"/>
        <w:spacing w:before="180" w:after="0"/>
        <w:rPr>
          <w:rFonts w:ascii="Times New Roman" w:hAnsi="Times New Roman"/>
          <w:sz w:val="20"/>
        </w:rPr>
      </w:pPr>
      <w:r>
        <w:rPr>
          <w:rFonts w:ascii="Times New Roman" w:hAnsi="Times New Roman"/>
          <w:sz w:val="20"/>
        </w:rPr>
        <w:t xml:space="preserve">DTCs book-entry system is also used by other organizations such as securities brokers and dealers, banks and trust companies that work through a Direct Participant. The rules that apply to DTC and its participants are on file with the SEC. </w:t>
      </w:r>
    </w:p>
    <w:p>
      <w:pPr>
        <w:pStyle w:val="TextBody"/>
        <w:spacing w:before="180" w:after="0"/>
        <w:rPr>
          <w:rFonts w:ascii="Times New Roman" w:hAnsi="Times New Roman"/>
          <w:sz w:val="20"/>
        </w:rPr>
      </w:pPr>
      <w:r>
        <w:rPr>
          <w:rFonts w:ascii="Times New Roman" w:hAnsi="Times New Roman"/>
          <w:sz w:val="20"/>
        </w:rPr>
        <w:t xml:space="preserve">DTC is owned by a number of its Direct Participants and by the New York Stock Exchange, Inc., The American Stock Exchange, Inc. and the Financial Industry Regulatory Authority. </w:t>
      </w:r>
    </w:p>
    <w:p>
      <w:pPr>
        <w:pStyle w:val="TextBody"/>
        <w:spacing w:before="180" w:after="0"/>
        <w:rPr>
          <w:rFonts w:ascii="Times New Roman" w:hAnsi="Times New Roman"/>
          <w:sz w:val="20"/>
        </w:rPr>
      </w:pPr>
      <w:r>
        <w:rPr>
          <w:rFonts w:ascii="Times New Roman" w:hAnsi="Times New Roman"/>
          <w:sz w:val="20"/>
        </w:rPr>
        <w:t xml:space="preserve">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 </w:t>
      </w:r>
    </w:p>
    <w:p>
      <w:pPr>
        <w:pStyle w:val="TextBody"/>
        <w:spacing w:before="180" w:after="0"/>
        <w:rPr>
          <w:rFonts w:ascii="Times New Roman" w:hAnsi="Times New Roman"/>
          <w:sz w:val="20"/>
        </w:rPr>
      </w:pPr>
      <w:r>
        <w:rPr>
          <w:rFonts w:ascii="Times New Roman" w:hAnsi="Times New Roman"/>
          <w:sz w:val="20"/>
        </w:rPr>
        <w:t xml:space="preserve">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 </w:t>
      </w:r>
    </w:p>
    <w:p>
      <w:pPr>
        <w:pStyle w:val="TextBody"/>
        <w:spacing w:before="180" w:after="0"/>
        <w:rPr>
          <w:rFonts w:ascii="Times New Roman" w:hAnsi="Times New Roman"/>
          <w:sz w:val="20"/>
        </w:rPr>
      </w:pPr>
      <w:r>
        <w:rPr>
          <w:rFonts w:ascii="Times New Roman" w:hAnsi="Times New Roman"/>
          <w:sz w:val="20"/>
        </w:rPr>
        <w:t xml:space="preserve">Debt securities represented by a global debt security will be exchangeable for certificated debt securities with the same terms in authorized denominations only if: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DTC notifies us that it is unwilling or unable to continue as depositary or if DTC ceases to be a clearing agency registered under applicable law and in either event a successor depositary is not appointed by us within 90 days;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determine not to require all of the debt securities of a series to be represented by a global debt security. </w:t>
            </w:r>
          </w:p>
        </w:tc>
      </w:tr>
    </w:tbl>
    <w:p>
      <w:pPr>
        <w:pStyle w:val="TextBody"/>
        <w:spacing w:before="270" w:after="0"/>
        <w:rPr>
          <w:rFonts w:ascii="Times New Roman" w:hAnsi="Times New Roman"/>
          <w:b/>
          <w:sz w:val="20"/>
        </w:rPr>
      </w:pPr>
      <w:r>
        <w:rPr>
          <w:rFonts w:ascii="Times New Roman" w:hAnsi="Times New Roman"/>
          <w:b/>
          <w:sz w:val="20"/>
        </w:rPr>
        <w:t xml:space="preserve">Satisfaction and Discharge; Defeasance </w:t>
      </w:r>
    </w:p>
    <w:p>
      <w:pPr>
        <w:pStyle w:val="TextBody"/>
        <w:spacing w:before="90" w:after="0"/>
        <w:rPr>
          <w:rFonts w:ascii="Times New Roman" w:hAnsi="Times New Roman"/>
          <w:sz w:val="20"/>
        </w:rPr>
      </w:pPr>
      <w:r>
        <w:rPr>
          <w:rFonts w:ascii="Times New Roman" w:hAnsi="Times New Roman"/>
          <w:sz w:val="20"/>
        </w:rPr>
        <w:t xml:space="preserve">Each indenture will be discharged and will cease to be of further effect as to all outstanding debt securities of any series issued thereunder, when: </w:t>
      </w:r>
    </w:p>
    <w:p>
      <w:pPr>
        <w:pStyle w:val="TextBody"/>
        <w:spacing w:before="180" w:after="0"/>
        <w:rPr>
          <w:rFonts w:ascii="Times New Roman" w:hAnsi="Times New Roman"/>
          <w:sz w:val="20"/>
        </w:rPr>
      </w:pPr>
      <w:r>
        <w:rPr>
          <w:rFonts w:ascii="Times New Roman" w:hAnsi="Times New Roman"/>
          <w:sz w:val="20"/>
        </w:rPr>
        <w:t xml:space="preserve">(a) either: </w:t>
      </w:r>
    </w:p>
    <w:p>
      <w:pPr>
        <w:pStyle w:val="TextBody"/>
        <w:spacing w:before="90" w:after="0"/>
        <w:rPr>
          <w:rFonts w:ascii="Times New Roman" w:hAnsi="Times New Roman"/>
          <w:sz w:val="20"/>
        </w:rPr>
      </w:pPr>
      <w:r>
        <w:rPr>
          <w:rFonts w:ascii="Times New Roman" w:hAnsi="Times New Roman"/>
          <w:sz w:val="20"/>
        </w:rPr>
        <w:t xml:space="preserve">(1) 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(2) 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 </w:t>
      </w:r>
    </w:p>
    <w:p>
      <w:pPr>
        <w:pStyle w:val="TextBody"/>
        <w:spacing w:before="180" w:after="0"/>
        <w:rPr>
          <w:rFonts w:ascii="Times New Roman" w:hAnsi="Times New Roman"/>
          <w:sz w:val="20"/>
        </w:rPr>
      </w:pPr>
      <w:r>
        <w:rPr>
          <w:rFonts w:ascii="Times New Roman" w:hAnsi="Times New Roman"/>
          <w:sz w:val="20"/>
        </w:rPr>
        <w:t xml:space="preserve">(b) we have paid or caused to be paid all other sums payable by us under the indenture; and </w:t>
      </w:r>
    </w:p>
    <w:p>
      <w:pPr>
        <w:pStyle w:val="TextBody"/>
        <w:spacing w:before="180" w:after="0"/>
        <w:rPr>
          <w:rFonts w:ascii="Times New Roman" w:hAnsi="Times New Roman"/>
          <w:sz w:val="20"/>
        </w:rPr>
      </w:pPr>
      <w:r>
        <w:rPr>
          <w:rFonts w:ascii="Times New Roman" w:hAnsi="Times New Roman"/>
          <w:sz w:val="20"/>
        </w:rPr>
        <w:t xml:space="preserve">(c) we have delivered an officers certificate and an opinion of counsel to the Trustee stating that all conditions precedent to satisfaction and discharge have been satisfied. </w:t>
      </w:r>
    </w:p>
    <w:p>
      <w:pPr>
        <w:pStyle w:val="TextBody"/>
        <w:spacing w:before="180" w:after="0"/>
        <w:rPr>
          <w:rFonts w:ascii="Times New Roman" w:hAnsi="Times New Roman"/>
          <w:sz w:val="20"/>
        </w:rPr>
      </w:pPr>
      <w:r>
        <w:rPr>
          <w:rFonts w:ascii="Times New Roman" w:hAnsi="Times New Roman"/>
          <w:sz w:val="20"/>
        </w:rPr>
        <w:t xml:space="preserve">The debt securities of a particular series will be subject to legal or covenant defeasance to the extent, and upon the terms and conditions, set forth in the prospectus supplement. </w:t>
      </w:r>
    </w:p>
    <w:p>
      <w:pPr>
        <w:pStyle w:val="TextBody"/>
        <w:spacing w:before="270" w:after="0"/>
        <w:rPr>
          <w:rFonts w:ascii="Times New Roman" w:hAnsi="Times New Roman"/>
          <w:b/>
          <w:sz w:val="20"/>
        </w:rPr>
      </w:pPr>
      <w:r>
        <w:rPr>
          <w:rFonts w:ascii="Times New Roman" w:hAnsi="Times New Roman"/>
          <w:b/>
          <w:sz w:val="20"/>
        </w:rPr>
        <w:t xml:space="preserve">The Trustee </w:t>
      </w:r>
    </w:p>
    <w:p>
      <w:pPr>
        <w:pStyle w:val="TextBody"/>
        <w:spacing w:before="90" w:after="0"/>
        <w:rPr>
          <w:rFonts w:ascii="Times New Roman" w:hAnsi="Times New Roman"/>
          <w:sz w:val="20"/>
        </w:rPr>
      </w:pPr>
      <w:r>
        <w:rPr>
          <w:rFonts w:ascii="Times New Roman" w:hAnsi="Times New Roman"/>
          <w:sz w:val="20"/>
        </w:rPr>
        <w:t xml:space="preserve">U.S. Bank National Association is the Trustee under the senior indenture and will be the initial Trustee under the subordinated indenture. We maintain a banking relationship in the ordinary course of business with U.S. Bank National Association and some of its affiliates. </w:t>
      </w:r>
    </w:p>
    <w:p>
      <w:pPr>
        <w:pStyle w:val="TextBody"/>
        <w:spacing w:before="270" w:after="0"/>
        <w:rPr>
          <w:rFonts w:ascii="Times New Roman" w:hAnsi="Times New Roman"/>
          <w:b/>
          <w:i/>
          <w:sz w:val="20"/>
        </w:rPr>
      </w:pPr>
      <w:r>
        <w:rPr>
          <w:rFonts w:ascii="Times New Roman" w:hAnsi="Times New Roman"/>
          <w:b/>
          <w:i/>
          <w:sz w:val="20"/>
        </w:rPr>
        <w:t xml:space="preserve">Resignation or Removal of Trustee </w:t>
      </w:r>
    </w:p>
    <w:p>
      <w:pPr>
        <w:pStyle w:val="TextBody"/>
        <w:spacing w:before="90" w:after="0"/>
        <w:rPr>
          <w:rFonts w:ascii="Times New Roman" w:hAnsi="Times New Roman"/>
          <w:sz w:val="20"/>
        </w:rPr>
      </w:pPr>
      <w:r>
        <w:rPr>
          <w:rFonts w:ascii="Times New Roman" w:hAnsi="Times New Roman"/>
          <w:sz w:val="20"/>
        </w:rPr>
        <w:t xml:space="preserve">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 Any resignation will require the appointment of a successor trustee under the applicable indenture in accordance with the terms and conditions of such indenture. </w:t>
      </w:r>
    </w:p>
    <w:p>
      <w:pPr>
        <w:pStyle w:val="TextBody"/>
        <w:spacing w:before="180" w:after="0"/>
        <w:rPr>
          <w:rFonts w:ascii="Times New Roman" w:hAnsi="Times New Roman"/>
          <w:sz w:val="20"/>
        </w:rPr>
      </w:pPr>
      <w:r>
        <w:rPr>
          <w:rFonts w:ascii="Times New Roman" w:hAnsi="Times New Roman"/>
          <w:sz w:val="20"/>
        </w:rPr>
        <w:t xml:space="preserve">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 </w:t>
      </w:r>
    </w:p>
    <w:p>
      <w:pPr>
        <w:pStyle w:val="TextBody"/>
        <w:spacing w:before="270" w:after="0"/>
        <w:rPr>
          <w:rFonts w:ascii="Times New Roman" w:hAnsi="Times New Roman"/>
          <w:b/>
          <w:i/>
          <w:sz w:val="20"/>
        </w:rPr>
      </w:pPr>
      <w:r>
        <w:rPr>
          <w:rFonts w:ascii="Times New Roman" w:hAnsi="Times New Roman"/>
          <w:b/>
          <w:i/>
          <w:sz w:val="20"/>
        </w:rPr>
        <w:t xml:space="preserve">Limitations on Trustee if it is a Creditor </w:t>
      </w:r>
    </w:p>
    <w:p>
      <w:pPr>
        <w:pStyle w:val="TextBody"/>
        <w:spacing w:before="90" w:after="0"/>
        <w:rPr>
          <w:rFonts w:ascii="Times New Roman" w:hAnsi="Times New Roman"/>
          <w:sz w:val="20"/>
        </w:rPr>
      </w:pPr>
      <w:r>
        <w:rPr>
          <w:rFonts w:ascii="Times New Roman" w:hAnsi="Times New Roman"/>
          <w:sz w:val="20"/>
        </w:rPr>
        <w:t xml:space="preserve">Each indenture will limit the right of the Trustee thereunder, in the event that it becomes a creditor of an issuer or guarantor, to obtain payment of claims in certain cases, or to realize on certain property received in respect of any such claim as security or otherwise. </w:t>
      </w:r>
    </w:p>
    <w:p>
      <w:pPr>
        <w:pStyle w:val="TextBody"/>
        <w:spacing w:before="270" w:after="0"/>
        <w:rPr>
          <w:rFonts w:ascii="Times New Roman" w:hAnsi="Times New Roman"/>
          <w:b/>
          <w:i/>
          <w:sz w:val="20"/>
        </w:rPr>
      </w:pPr>
      <w:r>
        <w:rPr>
          <w:rFonts w:ascii="Times New Roman" w:hAnsi="Times New Roman"/>
          <w:b/>
          <w:i/>
          <w:sz w:val="20"/>
        </w:rPr>
        <w:t xml:space="preserve">Certificates and Opinions to be Furnished to Trustee </w:t>
      </w:r>
    </w:p>
    <w:p>
      <w:pPr>
        <w:pStyle w:val="TextBody"/>
        <w:spacing w:before="90" w:after="0"/>
        <w:rPr>
          <w:rFonts w:ascii="Times New Roman" w:hAnsi="Times New Roman"/>
          <w:sz w:val="20"/>
        </w:rPr>
      </w:pPr>
      <w:r>
        <w:rPr>
          <w:rFonts w:ascii="Times New Roman" w:hAnsi="Times New Roman"/>
          <w:sz w:val="20"/>
        </w:rPr>
        <w:t xml:space="preserve">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 </w:t>
      </w:r>
    </w:p>
    <w:p>
      <w:pPr>
        <w:pStyle w:val="TextBody"/>
        <w:spacing w:before="270" w:after="0"/>
        <w:rPr>
          <w:rFonts w:ascii="Times New Roman" w:hAnsi="Times New Roman"/>
          <w:b/>
          <w:sz w:val="20"/>
        </w:rPr>
      </w:pPr>
      <w:r>
        <w:rPr>
          <w:rFonts w:ascii="Times New Roman" w:hAnsi="Times New Roman"/>
          <w:b/>
          <w:sz w:val="20"/>
        </w:rPr>
        <w:t xml:space="preserve">Governing Law </w:t>
      </w:r>
    </w:p>
    <w:p>
      <w:pPr>
        <w:pStyle w:val="TextBody"/>
        <w:spacing w:before="90" w:after="0"/>
        <w:rPr>
          <w:rFonts w:ascii="Times New Roman" w:hAnsi="Times New Roman"/>
          <w:sz w:val="20"/>
        </w:rPr>
      </w:pPr>
      <w:r>
        <w:rPr>
          <w:rFonts w:ascii="Times New Roman" w:hAnsi="Times New Roman"/>
          <w:sz w:val="20"/>
        </w:rPr>
        <w:t xml:space="preserve">Each indenture and all of the debt securities will be governed by the laws of the State of New York.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1" w:name="tx348608_9"/>
      <w:bookmarkEnd w:id="21"/>
      <w:r>
        <w:rPr>
          <w:rFonts w:ascii="Times New Roman" w:hAnsi="Times New Roman"/>
          <w:b/>
          <w:sz w:val="20"/>
        </w:rPr>
        <w:t xml:space="preserve">DESCRIPTION OF OUR COMMON UNITS </w:t>
      </w:r>
    </w:p>
    <w:p>
      <w:pPr>
        <w:pStyle w:val="TextBody"/>
        <w:spacing w:before="180" w:after="0"/>
        <w:rPr>
          <w:rFonts w:ascii="Times New Roman" w:hAnsi="Times New Roman"/>
          <w:sz w:val="20"/>
        </w:rPr>
      </w:pPr>
      <w:r>
        <w:rPr>
          <w:rFonts w:ascii="Times New Roman" w:hAnsi="Times New Roman"/>
          <w:sz w:val="20"/>
        </w:rPr>
        <w:t xml:space="preserve">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 </w:t>
      </w:r>
    </w:p>
    <w:p>
      <w:pPr>
        <w:pStyle w:val="TextBody"/>
        <w:spacing w:before="180" w:after="0"/>
        <w:rPr>
          <w:rFonts w:ascii="Times New Roman" w:hAnsi="Times New Roman"/>
          <w:sz w:val="20"/>
        </w:rPr>
      </w:pPr>
      <w:r>
        <w:rPr>
          <w:rFonts w:ascii="Times New Roman" w:hAnsi="Times New Roman"/>
          <w:sz w:val="20"/>
        </w:rPr>
        <w:t xml:space="preserve">Our outstanding common units are listed on the NYSE under the symbol PAA. Any additional common units we issue will also be listed on the NYSE. </w:t>
      </w:r>
    </w:p>
    <w:p>
      <w:pPr>
        <w:pStyle w:val="TextBody"/>
        <w:spacing w:before="180" w:after="0"/>
        <w:rPr>
          <w:rFonts w:ascii="Times New Roman" w:hAnsi="Times New Roman"/>
          <w:sz w:val="20"/>
        </w:rPr>
      </w:pPr>
      <w:r>
        <w:rPr>
          <w:rFonts w:ascii="Times New Roman" w:hAnsi="Times New Roman"/>
          <w:sz w:val="20"/>
        </w:rPr>
        <w:t xml:space="preserve">The transfer agent and registrar for our common units is American Stock Transfer &amp; Trust Company. </w:t>
      </w:r>
    </w:p>
    <w:p>
      <w:pPr>
        <w:pStyle w:val="TextBody"/>
        <w:spacing w:before="270" w:after="0"/>
        <w:rPr>
          <w:rFonts w:ascii="Times New Roman" w:hAnsi="Times New Roman"/>
          <w:b/>
          <w:sz w:val="20"/>
        </w:rPr>
      </w:pPr>
      <w:r>
        <w:rPr>
          <w:rFonts w:ascii="Times New Roman" w:hAnsi="Times New Roman"/>
          <w:b/>
          <w:sz w:val="20"/>
        </w:rPr>
        <w:t xml:space="preserve">Meetings/Voting </w:t>
      </w:r>
    </w:p>
    <w:p>
      <w:pPr>
        <w:pStyle w:val="TextBody"/>
        <w:spacing w:before="90" w:after="0"/>
        <w:rPr>
          <w:rFonts w:ascii="Times New Roman" w:hAnsi="Times New Roman"/>
          <w:sz w:val="20"/>
        </w:rPr>
      </w:pPr>
      <w:r>
        <w:rPr>
          <w:rFonts w:ascii="Times New Roman" w:hAnsi="Times New Roman"/>
          <w:sz w:val="20"/>
        </w:rPr>
        <w:t xml:space="preserve">Each holder of common units is entitled to one vote for each common unit on all matters submitted to a vote of the unitholders. </w:t>
      </w:r>
    </w:p>
    <w:p>
      <w:pPr>
        <w:pStyle w:val="TextBody"/>
        <w:spacing w:before="270" w:after="0"/>
        <w:rPr>
          <w:rFonts w:ascii="Times New Roman" w:hAnsi="Times New Roman"/>
          <w:b/>
          <w:sz w:val="20"/>
        </w:rPr>
      </w:pPr>
      <w:r>
        <w:rPr>
          <w:rFonts w:ascii="Times New Roman" w:hAnsi="Times New Roman"/>
          <w:b/>
          <w:sz w:val="20"/>
        </w:rPr>
        <w:t xml:space="preserve">Status as Limited Partner or Assignee </w:t>
      </w:r>
    </w:p>
    <w:p>
      <w:pPr>
        <w:pStyle w:val="TextBody"/>
        <w:spacing w:before="90" w:after="0"/>
        <w:rPr>
          <w:rFonts w:ascii="Times New Roman" w:hAnsi="Times New Roman"/>
          <w:sz w:val="20"/>
        </w:rPr>
      </w:pPr>
      <w:r>
        <w:rPr>
          <w:rFonts w:ascii="Times New Roman" w:hAnsi="Times New Roman"/>
          <w:sz w:val="20"/>
        </w:rPr>
        <w:t xml:space="preserve">Except as described below under  Limited Liability, the common units will be fully paid, and unitholders will not be required to make additional capital contributions to us. </w:t>
      </w:r>
    </w:p>
    <w:p>
      <w:pPr>
        <w:pStyle w:val="TextBody"/>
        <w:spacing w:before="180" w:after="0"/>
        <w:rPr>
          <w:rFonts w:ascii="Times New Roman" w:hAnsi="Times New Roman"/>
          <w:sz w:val="20"/>
        </w:rPr>
      </w:pPr>
      <w:r>
        <w:rPr>
          <w:rFonts w:ascii="Times New Roman" w:hAnsi="Times New Roman"/>
          <w:sz w:val="20"/>
        </w:rPr>
        <w:t xml:space="preserve">Each purchaser of common units offered by this prospectus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 </w:t>
      </w:r>
    </w:p>
    <w:p>
      <w:pPr>
        <w:pStyle w:val="TextBody"/>
        <w:spacing w:before="180" w:after="0"/>
        <w:rPr>
          <w:rFonts w:ascii="Times New Roman" w:hAnsi="Times New Roman"/>
          <w:sz w:val="20"/>
        </w:rPr>
      </w:pPr>
      <w:r>
        <w:rPr>
          <w:rFonts w:ascii="Times New Roman" w:hAnsi="Times New Roman"/>
          <w:sz w:val="20"/>
        </w:rPr>
        <w:t xml:space="preserve">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 </w:t>
      </w:r>
    </w:p>
    <w:p>
      <w:pPr>
        <w:pStyle w:val="TextBody"/>
        <w:spacing w:before="270" w:after="0"/>
        <w:rPr>
          <w:rFonts w:ascii="Times New Roman" w:hAnsi="Times New Roman"/>
          <w:b/>
          <w:sz w:val="20"/>
        </w:rPr>
      </w:pPr>
      <w:r>
        <w:rPr>
          <w:rFonts w:ascii="Times New Roman" w:hAnsi="Times New Roman"/>
          <w:b/>
          <w:sz w:val="20"/>
        </w:rPr>
        <w:t xml:space="preserve">Limited Liability </w:t>
      </w:r>
    </w:p>
    <w:p>
      <w:pPr>
        <w:pStyle w:val="TextBody"/>
        <w:spacing w:before="90" w:after="0"/>
        <w:rPr>
          <w:rFonts w:ascii="Times New Roman" w:hAnsi="Times New Roman"/>
          <w:sz w:val="20"/>
        </w:rPr>
      </w:pPr>
      <w:r>
        <w:rPr>
          <w:rFonts w:ascii="Times New Roman" w:hAnsi="Times New Roman"/>
          <w:sz w:val="20"/>
        </w:rPr>
        <w:t xml:space="preserve">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 </w:t>
      </w:r>
    </w:p>
    <w:p>
      <w:pPr>
        <w:pStyle w:val="TextBody"/>
        <w:spacing w:before="180" w:after="0"/>
        <w:rPr>
          <w:rFonts w:ascii="Times New Roman" w:hAnsi="Times New Roman"/>
          <w:sz w:val="20"/>
        </w:rPr>
      </w:pPr>
      <w:r>
        <w:rPr>
          <w:rFonts w:ascii="Times New Roman" w:hAnsi="Times New Roman"/>
          <w:sz w:val="20"/>
        </w:rPr>
        <w:t xml:space="preserve">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Reports and Records </w:t>
      </w:r>
    </w:p>
    <w:p>
      <w:pPr>
        <w:pStyle w:val="TextBody"/>
        <w:spacing w:before="90" w:after="0"/>
        <w:rPr>
          <w:rFonts w:ascii="Times New Roman" w:hAnsi="Times New Roman"/>
          <w:sz w:val="20"/>
        </w:rPr>
      </w:pPr>
      <w:r>
        <w:rPr>
          <w:rFonts w:ascii="Times New Roman" w:hAnsi="Times New Roman"/>
          <w:sz w:val="20"/>
        </w:rPr>
        <w:t xml:space="preserve">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 </w:t>
      </w:r>
    </w:p>
    <w:p>
      <w:pPr>
        <w:pStyle w:val="TextBody"/>
        <w:spacing w:before="180" w:after="0"/>
        <w:rPr>
          <w:rFonts w:ascii="Times New Roman" w:hAnsi="Times New Roman"/>
          <w:sz w:val="20"/>
        </w:rPr>
      </w:pPr>
      <w:r>
        <w:rPr>
          <w:rFonts w:ascii="Times New Roman" w:hAnsi="Times New Roman"/>
          <w:sz w:val="20"/>
        </w:rPr>
        <w:t xml:space="preserve">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and Canadian federal and provincial tax liability and filing his U.S. federal and state and Canadian federal and provincial income tax returns. </w:t>
      </w:r>
    </w:p>
    <w:p>
      <w:pPr>
        <w:pStyle w:val="TextBody"/>
        <w:spacing w:before="180" w:after="0"/>
        <w:rPr>
          <w:rFonts w:ascii="Times New Roman" w:hAnsi="Times New Roman"/>
          <w:sz w:val="20"/>
        </w:rPr>
      </w:pPr>
      <w:r>
        <w:rPr>
          <w:rFonts w:ascii="Times New Roman" w:hAnsi="Times New Roman"/>
          <w:sz w:val="20"/>
        </w:rPr>
        <w:t xml:space="preserve">A limited partner can, for a purpose reasonably related to the limited partners interest as a limited partner, upon reasonable demand and at his own expense, have furnished to him: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current list of the name and last known address of each partner;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copy of our tax returns;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information as to the amount of cash and a description and statement of the agreed value of any other property or services, contributed or to be contributed by each partner and the date on which each became a partner;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copies of our partnership agreement, our certificate of limited partnership, amendments to either of them and powers of attorney which have been executed under our partnership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information regarding the status of our business and financial condition;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information regarding our affairs as is just and reasonable. </w:t>
            </w:r>
          </w:p>
        </w:tc>
      </w:tr>
    </w:tbl>
    <w:p>
      <w:pPr>
        <w:pStyle w:val="TextBody"/>
        <w:spacing w:before="180" w:after="0"/>
        <w:rPr>
          <w:rFonts w:ascii="Times New Roman" w:hAnsi="Times New Roman"/>
          <w:sz w:val="20"/>
        </w:rPr>
      </w:pPr>
      <w:r>
        <w:rPr>
          <w:rFonts w:ascii="Times New Roman" w:hAnsi="Times New Roman"/>
          <w:sz w:val="20"/>
        </w:rPr>
        <w:t xml:space="preserve">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2" w:name="tx348608_10"/>
      <w:bookmarkEnd w:id="22"/>
      <w:r>
        <w:rPr>
          <w:rFonts w:ascii="Times New Roman" w:hAnsi="Times New Roman"/>
          <w:b/>
          <w:sz w:val="20"/>
        </w:rPr>
        <w:t xml:space="preserve">CASH DISTRIBUTION POLICY </w:t>
      </w:r>
    </w:p>
    <w:p>
      <w:pPr>
        <w:pStyle w:val="TextBody"/>
        <w:spacing w:before="180" w:after="0"/>
        <w:rPr>
          <w:rFonts w:ascii="Times New Roman" w:hAnsi="Times New Roman"/>
          <w:b/>
          <w:sz w:val="20"/>
        </w:rPr>
      </w:pPr>
      <w:r>
        <w:rPr>
          <w:rFonts w:ascii="Times New Roman" w:hAnsi="Times New Roman"/>
          <w:b/>
          <w:sz w:val="20"/>
        </w:rPr>
        <w:t xml:space="preserve">Distributions of Available Cash </w:t>
      </w:r>
    </w:p>
    <w:p>
      <w:pPr>
        <w:pStyle w:val="TextBody"/>
        <w:spacing w:before="90" w:after="0"/>
        <w:rPr>
          <w:rFonts w:ascii="Times New Roman" w:hAnsi="Times New Roman"/>
          <w:sz w:val="20"/>
        </w:rPr>
      </w:pPr>
      <w:r>
        <w:rPr>
          <w:rFonts w:ascii="Times New Roman" w:hAnsi="Times New Roman"/>
          <w:i/>
          <w:sz w:val="20"/>
        </w:rPr>
        <w:t>General.</w:t>
      </w:r>
      <w:r>
        <w:rPr>
          <w:rFonts w:ascii="Times New Roman" w:hAnsi="Times New Roman"/>
          <w:sz w:val="20"/>
        </w:rPr>
        <w:t xml:space="preserve"> We will distribute to our unitholders, on a quarterly basis, all of our available cash in the manner described below. </w:t>
      </w:r>
    </w:p>
    <w:p>
      <w:pPr>
        <w:pStyle w:val="TextBody"/>
        <w:spacing w:before="180" w:after="0"/>
        <w:rPr>
          <w:rFonts w:ascii="Times New Roman" w:hAnsi="Times New Roman"/>
          <w:sz w:val="20"/>
        </w:rPr>
      </w:pPr>
      <w:r>
        <w:rPr>
          <w:rFonts w:ascii="Times New Roman" w:hAnsi="Times New Roman"/>
          <w:i/>
          <w:sz w:val="20"/>
        </w:rPr>
        <w:t>Definition of Available Cash.</w:t>
      </w:r>
      <w:r>
        <w:rPr>
          <w:rFonts w:ascii="Times New Roman" w:hAnsi="Times New Roman"/>
          <w:sz w:val="20"/>
        </w:rPr>
        <w:t xml:space="preserve"> Available cash generally means, for any quarter ending prior to liquidation, all cash on hand at the end of that quarter less the amount of cash reserves that are necessary or appropriate in the reasonable discretion of the general partner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provide for the proper conduct of our business;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comply with applicable law or any partnership debt instrument or other agreement;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provide funds for distributions to unitholders and the general partner in respect of any one or more of the next four quarters. </w:t>
            </w:r>
          </w:p>
        </w:tc>
      </w:tr>
    </w:tbl>
    <w:p>
      <w:pPr>
        <w:pStyle w:val="TextBody"/>
        <w:spacing w:before="270" w:after="0"/>
        <w:rPr>
          <w:rFonts w:ascii="Times New Roman" w:hAnsi="Times New Roman"/>
          <w:b/>
          <w:sz w:val="20"/>
        </w:rPr>
      </w:pPr>
      <w:r>
        <w:rPr>
          <w:rFonts w:ascii="Times New Roman" w:hAnsi="Times New Roman"/>
          <w:b/>
          <w:sz w:val="20"/>
        </w:rPr>
        <w:t xml:space="preserve">Operating Surplus and Capital Surplus </w:t>
      </w:r>
    </w:p>
    <w:p>
      <w:pPr>
        <w:pStyle w:val="TextBody"/>
        <w:spacing w:before="90" w:after="0"/>
        <w:rPr>
          <w:rFonts w:ascii="Times New Roman" w:hAnsi="Times New Roman"/>
          <w:sz w:val="20"/>
        </w:rPr>
      </w:pPr>
      <w:r>
        <w:rPr>
          <w:rFonts w:ascii="Times New Roman" w:hAnsi="Times New Roman"/>
          <w:i/>
          <w:sz w:val="20"/>
        </w:rPr>
        <w:t>General.</w:t>
      </w:r>
      <w:r>
        <w:rPr>
          <w:rFonts w:ascii="Times New Roman" w:hAnsi="Times New Roman"/>
          <w:sz w:val="20"/>
        </w:rPr>
        <w:t xml:space="preserve"> Cash distributions to our unitholders will be characterized as either operating surplus or capital surplus. We distribute available cash from operating surplus differently than available cash from capital surplus. See  Quarterly Distributions of Available Cash. </w:t>
      </w:r>
    </w:p>
    <w:p>
      <w:pPr>
        <w:pStyle w:val="TextBody"/>
        <w:spacing w:before="180" w:after="0"/>
        <w:rPr>
          <w:rFonts w:ascii="Times New Roman" w:hAnsi="Times New Roman"/>
          <w:sz w:val="20"/>
        </w:rPr>
      </w:pPr>
      <w:r>
        <w:rPr>
          <w:rFonts w:ascii="Times New Roman" w:hAnsi="Times New Roman"/>
          <w:i/>
          <w:sz w:val="20"/>
        </w:rPr>
        <w:t>Definition of Operating Surplus.</w:t>
      </w:r>
      <w:r>
        <w:rPr>
          <w:rFonts w:ascii="Times New Roman" w:hAnsi="Times New Roman"/>
          <w:sz w:val="20"/>
        </w:rPr>
        <w:t xml:space="preserve"> Operating surplus refers generally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cash balances on the closing date of our initial public offering; plus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$25 million; plus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of our cash receipts from operations, excluding cash that is capital surplus; less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of our operating expenses, debt service payments (but not including payments required with the sale of assets or any refinancing with the proceeds of new indebtedness or an equity offering), maintenance capital expenditures and reserves established for future operations. </w:t>
            </w:r>
          </w:p>
        </w:tc>
      </w:tr>
    </w:tbl>
    <w:p>
      <w:pPr>
        <w:pStyle w:val="TextBody"/>
        <w:spacing w:before="180" w:after="0"/>
        <w:rPr>
          <w:rFonts w:ascii="Times New Roman" w:hAnsi="Times New Roman"/>
          <w:sz w:val="20"/>
        </w:rPr>
      </w:pPr>
      <w:r>
        <w:rPr>
          <w:rFonts w:ascii="Times New Roman" w:hAnsi="Times New Roman"/>
          <w:i/>
          <w:sz w:val="20"/>
        </w:rPr>
        <w:t>Definition of Capital Surplus.</w:t>
      </w:r>
      <w:r>
        <w:rPr>
          <w:rFonts w:ascii="Times New Roman" w:hAnsi="Times New Roman"/>
          <w:sz w:val="20"/>
        </w:rPr>
        <w:t xml:space="preserve"> Capital surplus will generally be generated only by: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borrowings other than working capital borrowings;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sales of debt and equity securities;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0"/>
        <w:gridCol w:w="9393"/>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sales or other dispositions of assets for cash, other than inventory, accounts receivable and other assets in the ordinary course of business. </w:t>
            </w:r>
          </w:p>
        </w:tc>
      </w:tr>
    </w:tbl>
    <w:p>
      <w:pPr>
        <w:pStyle w:val="TextBody"/>
        <w:spacing w:before="180" w:after="0"/>
        <w:rPr>
          <w:rFonts w:ascii="Times New Roman" w:hAnsi="Times New Roman"/>
          <w:sz w:val="20"/>
        </w:rPr>
      </w:pPr>
      <w:r>
        <w:rPr>
          <w:rFonts w:ascii="Times New Roman" w:hAnsi="Times New Roman"/>
          <w:sz w:val="20"/>
        </w:rPr>
        <w:t xml:space="preserve">We will treat all available cash distributed as coming from operating surplus until the sum of all available cash distributed since we began equals the operating surplus as of the end of the quarter prior to the distribution. Any available cash in excess of operating surplus, regardless of its source, will be treated as capital surplus. </w:t>
      </w:r>
    </w:p>
    <w:p>
      <w:pPr>
        <w:pStyle w:val="TextBody"/>
        <w:spacing w:before="180" w:after="0"/>
        <w:rPr>
          <w:rFonts w:ascii="Times New Roman" w:hAnsi="Times New Roman"/>
          <w:sz w:val="20"/>
        </w:rPr>
      </w:pPr>
      <w:r>
        <w:rPr>
          <w:rFonts w:ascii="Times New Roman" w:hAnsi="Times New Roman"/>
          <w:sz w:val="20"/>
        </w:rPr>
        <w:t xml:space="preserve">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 </w:t>
      </w:r>
    </w:p>
    <w:p>
      <w:pPr>
        <w:pStyle w:val="TextBody"/>
        <w:spacing w:before="270" w:after="0"/>
        <w:rPr>
          <w:rFonts w:ascii="Times New Roman" w:hAnsi="Times New Roman"/>
          <w:b/>
          <w:sz w:val="20"/>
        </w:rPr>
      </w:pPr>
      <w:r>
        <w:rPr>
          <w:rFonts w:ascii="Times New Roman" w:hAnsi="Times New Roman"/>
          <w:b/>
          <w:sz w:val="20"/>
        </w:rPr>
        <w:t xml:space="preserve">Incentive Distribution Rights </w:t>
      </w:r>
    </w:p>
    <w:p>
      <w:pPr>
        <w:pStyle w:val="TextBody"/>
        <w:spacing w:before="90" w:after="0"/>
        <w:rPr>
          <w:rFonts w:ascii="Times New Roman" w:hAnsi="Times New Roman"/>
          <w:sz w:val="20"/>
        </w:rPr>
      </w:pPr>
      <w:r>
        <w:rPr>
          <w:rFonts w:ascii="Times New Roman" w:hAnsi="Times New Roman"/>
          <w:sz w:val="20"/>
        </w:rPr>
        <w:t xml:space="preserve">The incentive distribution rights represent the right to receive an increasing percentage of quarterly distributions of available cash from operating surplus after the minimum quarterly distribution and the target distribution levels have been achieved. The target distribution levels are based on the amounts of available cash from operating surplus distributed above the payments made under the minimum quarterly distribution, if any, and the related 2% distribution to the general partner.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Effect of Issuance of Additional Units </w:t>
      </w:r>
    </w:p>
    <w:p>
      <w:pPr>
        <w:pStyle w:val="TextBody"/>
        <w:spacing w:before="90" w:after="0"/>
        <w:rPr>
          <w:rFonts w:ascii="Times New Roman" w:hAnsi="Times New Roman"/>
          <w:sz w:val="20"/>
        </w:rPr>
      </w:pPr>
      <w:r>
        <w:rPr>
          <w:rFonts w:ascii="Times New Roman" w:hAnsi="Times New Roman"/>
          <w:sz w:val="20"/>
        </w:rPr>
        <w:t xml:space="preserve">We can issue additional common units or other equity securities for consideration and under terms and conditions approved by our general partner in its sole discretion and without the approval of our unitholders. We may fund acquisitions through the issuance of additional common units or other equity securities. </w:t>
      </w:r>
    </w:p>
    <w:p>
      <w:pPr>
        <w:pStyle w:val="TextBody"/>
        <w:spacing w:before="180" w:after="0"/>
        <w:rPr>
          <w:rFonts w:ascii="Times New Roman" w:hAnsi="Times New Roman"/>
          <w:sz w:val="20"/>
        </w:rPr>
      </w:pPr>
      <w:r>
        <w:rPr>
          <w:rFonts w:ascii="Times New Roman" w:hAnsi="Times New Roman"/>
          <w:sz w:val="20"/>
        </w:rPr>
        <w:t xml:space="preserve">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 </w:t>
      </w:r>
    </w:p>
    <w:p>
      <w:pPr>
        <w:pStyle w:val="TextBody"/>
        <w:spacing w:before="270" w:after="0"/>
        <w:rPr>
          <w:rFonts w:ascii="Times New Roman" w:hAnsi="Times New Roman"/>
          <w:b/>
          <w:sz w:val="20"/>
        </w:rPr>
      </w:pPr>
      <w:r>
        <w:rPr>
          <w:rFonts w:ascii="Times New Roman" w:hAnsi="Times New Roman"/>
          <w:b/>
          <w:sz w:val="20"/>
        </w:rPr>
        <w:t xml:space="preserve">Quarterly Distributions of Available Cash </w:t>
      </w:r>
    </w:p>
    <w:p>
      <w:pPr>
        <w:pStyle w:val="TextBody"/>
        <w:spacing w:before="90" w:after="0"/>
        <w:rPr>
          <w:rFonts w:ascii="Times New Roman" w:hAnsi="Times New Roman"/>
          <w:sz w:val="20"/>
        </w:rPr>
      </w:pPr>
      <w:r>
        <w:rPr>
          <w:rFonts w:ascii="Times New Roman" w:hAnsi="Times New Roman"/>
          <w:sz w:val="20"/>
        </w:rPr>
        <w:t xml:space="preserve">We will make quarterly distributions to our partners prior to our liquidation in an amount equal to 100% of our available cash for that quarter. We expect to make distributions of all available cash within approximately 45 days after the end of each quarter to holders of record on the applicable record date. The minimum quarterly distribution and the target distribution levels are also subject to certain other adjustments as described below under  Distributions from Capital Surplus and  Adjustment to the Minimum Quarterly Distribution and Target Distribution Levels. </w:t>
      </w:r>
    </w:p>
    <w:p>
      <w:pPr>
        <w:pStyle w:val="TextBody"/>
        <w:spacing w:before="270" w:after="0"/>
        <w:rPr>
          <w:rFonts w:ascii="Times New Roman" w:hAnsi="Times New Roman"/>
          <w:b/>
          <w:sz w:val="20"/>
        </w:rPr>
      </w:pPr>
      <w:r>
        <w:rPr>
          <w:rFonts w:ascii="Times New Roman" w:hAnsi="Times New Roman"/>
          <w:b/>
          <w:sz w:val="20"/>
        </w:rPr>
        <w:t xml:space="preserve">Distributions From Operating Surplus </w:t>
      </w:r>
    </w:p>
    <w:p>
      <w:pPr>
        <w:pStyle w:val="TextBody"/>
        <w:spacing w:before="90" w:after="0"/>
        <w:rPr>
          <w:rFonts w:ascii="Times New Roman" w:hAnsi="Times New Roman"/>
          <w:sz w:val="20"/>
        </w:rPr>
      </w:pPr>
      <w:r>
        <w:rPr>
          <w:rFonts w:ascii="Times New Roman" w:hAnsi="Times New Roman"/>
          <w:sz w:val="20"/>
        </w:rPr>
        <w:t xml:space="preserve">We will make distributions of available cash from operating surplus in the following manner: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First, 98% to all unitholders, pro rata, and 2% to the general partner, until we distribute for each unit an amount equal to the minimum quarterly distribution for that quarter;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Thereafter, in the manner described in  Incentive Distribution Rights below. </w:t>
            </w:r>
          </w:p>
        </w:tc>
      </w:tr>
    </w:tbl>
    <w:p>
      <w:pPr>
        <w:pStyle w:val="TextBody"/>
        <w:spacing w:before="270" w:after="0"/>
        <w:rPr>
          <w:rFonts w:ascii="Times New Roman" w:hAnsi="Times New Roman"/>
          <w:b/>
          <w:sz w:val="20"/>
        </w:rPr>
      </w:pPr>
      <w:r>
        <w:rPr>
          <w:rFonts w:ascii="Times New Roman" w:hAnsi="Times New Roman"/>
          <w:b/>
          <w:sz w:val="20"/>
        </w:rPr>
        <w:t xml:space="preserve">Incentive Distribution Rights </w:t>
      </w:r>
    </w:p>
    <w:p>
      <w:pPr>
        <w:pStyle w:val="TextBody"/>
        <w:spacing w:before="90" w:after="0"/>
        <w:rPr>
          <w:rFonts w:ascii="Times New Roman" w:hAnsi="Times New Roman"/>
          <w:sz w:val="20"/>
        </w:rPr>
      </w:pPr>
      <w:r>
        <w:rPr>
          <w:rFonts w:ascii="Times New Roman" w:hAnsi="Times New Roman"/>
          <w:sz w:val="20"/>
        </w:rPr>
        <w:t xml:space="preserve">For any quarter that we distribute available cash from operating surplus to the common unitholders in an amount equal to the minimum quarterly distribution on all units, then we will distribute any additional available cash from operating surplus in that quarter among the unitholders and the general partner in the following manner: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First, 85% to all unitholders, pro rata, and 15% to the general partner, until each unitholder receives a total of $0.495 for that quarter for each outstanding unit (the first target distribution);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Second, 75% to all unitholders, pro rata, and 25% to the general partner, until each unitholder receives a total of $0.675 for that quarter for each outstanding unit (the second target distribution);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Thereafter, 50% to all unitholders, pro rata, and 50% to the general partner. </w:t>
            </w:r>
          </w:p>
        </w:tc>
      </w:tr>
    </w:tbl>
    <w:p>
      <w:pPr>
        <w:pStyle w:val="TextBody"/>
        <w:spacing w:before="180" w:after="0"/>
        <w:rPr>
          <w:rFonts w:ascii="Times New Roman" w:hAnsi="Times New Roman"/>
          <w:sz w:val="20"/>
        </w:rPr>
      </w:pPr>
      <w:r>
        <w:rPr>
          <w:rFonts w:ascii="Times New Roman" w:hAnsi="Times New Roman"/>
          <w:sz w:val="20"/>
        </w:rPr>
        <w:t xml:space="preserve">Our distributions to the general partner above, other than in its capacity as holders of units, that are in excess of its aggregate 2% general partner interest represent the incentive distribution rights. The right to receive incentive distribution rights is not part of its general partner interest and may be transferred separately from that interest, subject to certain restrictions. </w:t>
      </w:r>
    </w:p>
    <w:p>
      <w:pPr>
        <w:pStyle w:val="TextBody"/>
        <w:spacing w:before="270" w:after="0"/>
        <w:rPr>
          <w:rFonts w:ascii="Times New Roman" w:hAnsi="Times New Roman"/>
          <w:b/>
          <w:sz w:val="20"/>
        </w:rPr>
      </w:pPr>
      <w:r>
        <w:rPr>
          <w:rFonts w:ascii="Times New Roman" w:hAnsi="Times New Roman"/>
          <w:b/>
          <w:sz w:val="20"/>
        </w:rPr>
        <w:t xml:space="preserve">Adjustments to Incentive Distribution Rights </w:t>
      </w:r>
    </w:p>
    <w:p>
      <w:pPr>
        <w:pStyle w:val="TextBody"/>
        <w:spacing w:before="90" w:after="0"/>
        <w:rPr>
          <w:rFonts w:ascii="Times New Roman" w:hAnsi="Times New Roman"/>
          <w:sz w:val="20"/>
        </w:rPr>
      </w:pPr>
      <w:r>
        <w:rPr>
          <w:rFonts w:ascii="Times New Roman" w:hAnsi="Times New Roman"/>
          <w:sz w:val="20"/>
        </w:rPr>
        <w:t xml:space="preserve">In connection with acquisitions or similar transactions, we have and may in the future modify the incentive distribution rights to, among other reasons, accelerate the accretion or other benefits of the transaction to limited partners. </w:t>
      </w:r>
    </w:p>
    <w:p>
      <w:pPr>
        <w:pStyle w:val="TextBody"/>
        <w:spacing w:before="180" w:after="0"/>
        <w:rPr>
          <w:rFonts w:ascii="Times New Roman" w:hAnsi="Times New Roman"/>
          <w:sz w:val="20"/>
        </w:rPr>
      </w:pPr>
      <w:r>
        <w:rPr>
          <w:rFonts w:ascii="Times New Roman" w:hAnsi="Times New Roman"/>
          <w:sz w:val="20"/>
        </w:rPr>
        <w:t xml:space="preserve">Upon closing of the Pacific, Rainbow and PNGS acquisitions, our general partner agreed to reduce the amounts due it as incentive distributions. The total reduction in incentive distributions related to these acquisitions is $83 million. Following our distribution in November 2009, the remaining incentive distribution reductions related to the Pacific, Rainbow and PNGS acquisitions totaled approximately $23 million.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Distributions from Capital Surplus </w:t>
      </w:r>
    </w:p>
    <w:p>
      <w:pPr>
        <w:pStyle w:val="TextBody"/>
        <w:spacing w:before="90" w:after="0"/>
        <w:rPr>
          <w:rFonts w:ascii="Times New Roman" w:hAnsi="Times New Roman"/>
          <w:sz w:val="20"/>
        </w:rPr>
      </w:pPr>
      <w:r>
        <w:rPr>
          <w:rFonts w:ascii="Times New Roman" w:hAnsi="Times New Roman"/>
          <w:i/>
          <w:sz w:val="20"/>
        </w:rPr>
        <w:t>How Distributions from Capital Surplus Will Be Made.</w:t>
      </w:r>
      <w:r>
        <w:rPr>
          <w:rFonts w:ascii="Times New Roman" w:hAnsi="Times New Roman"/>
          <w:sz w:val="20"/>
        </w:rPr>
        <w:t xml:space="preserve"> We will make distributions of available cash from capital surplus in the following manner: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First, 98% to all unitholders, pro rata, and 2% to the general partner, until we distribute, for each common unit issued in this offering, available cash from capital surplus in an aggregate amount per common unit equal to the initial public offering price;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Thereafter, we will make all distributions of available cash from capital surplus as if they were from operating surplus. </w:t>
            </w:r>
          </w:p>
        </w:tc>
      </w:tr>
    </w:tbl>
    <w:p>
      <w:pPr>
        <w:pStyle w:val="TextBody"/>
        <w:spacing w:before="180" w:after="0"/>
        <w:rPr>
          <w:rFonts w:ascii="Times New Roman" w:hAnsi="Times New Roman"/>
          <w:sz w:val="20"/>
        </w:rPr>
      </w:pPr>
      <w:r>
        <w:rPr>
          <w:rFonts w:ascii="Times New Roman" w:hAnsi="Times New Roman"/>
          <w:i/>
          <w:sz w:val="20"/>
        </w:rPr>
        <w:t>Effect of a Distribution from Capital Surplus.</w:t>
      </w:r>
      <w:r>
        <w:rPr>
          <w:rFonts w:ascii="Times New Roman" w:hAnsi="Times New Roman"/>
          <w:sz w:val="20"/>
        </w:rPr>
        <w:t xml:space="preserve"> Our partnership agreement treats a distribution of available cash from capital surplus as the repayment of the initial unit price. To show that repayment, the minimum quarterly distribution and the target distribution levels will be reduced by multiplying each amount by a fraction, the numerator of which is the unrecovered capital of the common units immediately after giving effect to that repayment and the denominator of which is the unrecovered capital of the common units immediately prior to that repayment. </w:t>
      </w:r>
    </w:p>
    <w:p>
      <w:pPr>
        <w:pStyle w:val="TextBody"/>
        <w:spacing w:before="180" w:after="0"/>
        <w:rPr>
          <w:rFonts w:ascii="Times New Roman" w:hAnsi="Times New Roman"/>
          <w:sz w:val="20"/>
        </w:rPr>
      </w:pPr>
      <w:r>
        <w:rPr>
          <w:rFonts w:ascii="Times New Roman" w:hAnsi="Times New Roman"/>
          <w:i/>
          <w:sz w:val="20"/>
        </w:rPr>
        <w:t>When Payback Occurs.</w:t>
      </w:r>
      <w:r>
        <w:rPr>
          <w:rFonts w:ascii="Times New Roman" w:hAnsi="Times New Roman"/>
          <w:sz w:val="20"/>
        </w:rPr>
        <w:t xml:space="preserve"> When payback of the reduced initial unit price has occurred, i.e., when the unrecovered capital of the common units is zero, then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minimum quarterly distribution and the target distribution levels will be reduced to zero for subsequent quarters;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distributions of available cash will be treated as operating surplus;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general partner will be entitled to receive 50% of distributions of available cash in its capacities as general partner and as holder of the incentive distribution rights. </w:t>
            </w:r>
          </w:p>
        </w:tc>
      </w:tr>
    </w:tbl>
    <w:p>
      <w:pPr>
        <w:pStyle w:val="TextBody"/>
        <w:spacing w:before="180" w:after="0"/>
        <w:rPr>
          <w:rFonts w:ascii="Times New Roman" w:hAnsi="Times New Roman"/>
          <w:sz w:val="20"/>
        </w:rPr>
      </w:pPr>
      <w:r>
        <w:rPr>
          <w:rFonts w:ascii="Times New Roman" w:hAnsi="Times New Roman"/>
          <w:sz w:val="20"/>
        </w:rPr>
        <w:t xml:space="preserve">Distributions of available cash from capital surplus will not reduce the minimum quarterly distribution or target distribution levels for the quarter in which they are distributed. </w:t>
      </w:r>
    </w:p>
    <w:p>
      <w:pPr>
        <w:pStyle w:val="TextBody"/>
        <w:spacing w:before="270" w:after="0"/>
        <w:rPr>
          <w:rFonts w:ascii="Times New Roman" w:hAnsi="Times New Roman"/>
          <w:b/>
          <w:sz w:val="20"/>
        </w:rPr>
      </w:pPr>
      <w:r>
        <w:rPr>
          <w:rFonts w:ascii="Times New Roman" w:hAnsi="Times New Roman"/>
          <w:b/>
          <w:sz w:val="20"/>
        </w:rPr>
        <w:t xml:space="preserve">Adjustment to the Minimum Quarterly Distribution and Target Distribution Levels </w:t>
      </w:r>
    </w:p>
    <w:p>
      <w:pPr>
        <w:pStyle w:val="TextBody"/>
        <w:spacing w:before="90" w:after="0"/>
        <w:rPr>
          <w:rFonts w:ascii="Times New Roman" w:hAnsi="Times New Roman"/>
          <w:sz w:val="20"/>
        </w:rPr>
      </w:pPr>
      <w:r>
        <w:rPr>
          <w:rFonts w:ascii="Times New Roman" w:hAnsi="Times New Roman"/>
          <w:i/>
          <w:sz w:val="20"/>
        </w:rPr>
        <w:t>How We Adjust the Minimum Quarterly Distribution and Target Distribution Levels</w:t>
      </w:r>
      <w:r>
        <w:rPr>
          <w:rFonts w:ascii="Times New Roman" w:hAnsi="Times New Roman"/>
          <w:sz w:val="20"/>
        </w:rPr>
        <w:t xml:space="preserve">. In addition to adjusting the minimum quarterly distribution and target distribution levels to reflect a distribution of capital surplus, if we combine our units into fewer units or subdivide our units into a greater number of units (but not if we issue additional common units for cash or property), we will proportionately adjust: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minimum quarterly distribution;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target distribution levels;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unrecovered capital;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other amounts calculated on a per unit basis. </w:t>
            </w:r>
          </w:p>
        </w:tc>
      </w:tr>
    </w:tbl>
    <w:p>
      <w:pPr>
        <w:pStyle w:val="TextBody"/>
        <w:spacing w:before="180" w:after="0"/>
        <w:rPr>
          <w:rFonts w:ascii="Times New Roman" w:hAnsi="Times New Roman"/>
          <w:sz w:val="20"/>
        </w:rPr>
      </w:pPr>
      <w:r>
        <w:rPr>
          <w:rFonts w:ascii="Times New Roman" w:hAnsi="Times New Roman"/>
          <w:sz w:val="20"/>
        </w:rPr>
        <w:t xml:space="preserve">For example, in the event of a two-for-one split of the common units (assuming no prior adjustments), the minimum quarterly distribution, each of the target distribution levels and the unrecovered capital of the common units would each be reduced to 50% of its initial level. </w:t>
      </w:r>
    </w:p>
    <w:p>
      <w:pPr>
        <w:pStyle w:val="TextBody"/>
        <w:spacing w:before="180" w:after="0"/>
        <w:rPr>
          <w:rFonts w:ascii="Times New Roman" w:hAnsi="Times New Roman"/>
          <w:sz w:val="20"/>
        </w:rPr>
      </w:pPr>
      <w:r>
        <w:rPr>
          <w:rFonts w:ascii="Times New Roman" w:hAnsi="Times New Roman"/>
          <w:i/>
          <w:sz w:val="20"/>
        </w:rPr>
        <w:t>If We Became Subject to Taxation.</w:t>
      </w:r>
      <w:r>
        <w:rPr>
          <w:rFonts w:ascii="Times New Roman" w:hAnsi="Times New Roman"/>
          <w:sz w:val="20"/>
        </w:rPr>
        <w:t xml:space="preserve"> If legislation is enacted or if existing law is modified or interpreted by the relevant governmental authority so that we become taxable as a corporation or otherwise subject to taxation as an entity for federal, state or local income tax purposes, we will adjust the minimum quarterly distribution and each of the target distribution levels, respectively, to equal the product obtained by multiplying the amount thereof by: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one minus the sum of (x) the maximum effective federal income tax rate to which we as an entity were subject plus (y) any increase in state and local income taxes to which we are subject for the taxable year of the event, after adjusting for any allowable deductions for federal income tax purposes for the payment of state and local income taxes.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For example, assuming we were not previously subject to state and local income tax, if we become taxable as an entity for federal income tax purposes and became subject to a maximum marginal federal, and effective state and local, income tax rate of 38%, then the minimum quarterly distribution and the target distribution levels would each be reduced to 62% of the amount immediately prior to that adjustment. </w:t>
      </w:r>
    </w:p>
    <w:p>
      <w:pPr>
        <w:pStyle w:val="TextBody"/>
        <w:spacing w:before="270" w:after="0"/>
        <w:rPr>
          <w:rFonts w:ascii="Times New Roman" w:hAnsi="Times New Roman"/>
          <w:b/>
          <w:sz w:val="20"/>
        </w:rPr>
      </w:pPr>
      <w:r>
        <w:rPr>
          <w:rFonts w:ascii="Times New Roman" w:hAnsi="Times New Roman"/>
          <w:b/>
          <w:sz w:val="20"/>
        </w:rPr>
        <w:t xml:space="preserve">Distribution of Cash Upon Liquidation </w:t>
      </w:r>
    </w:p>
    <w:p>
      <w:pPr>
        <w:pStyle w:val="TextBody"/>
        <w:spacing w:before="90" w:after="0"/>
        <w:rPr>
          <w:rFonts w:ascii="Times New Roman" w:hAnsi="Times New Roman"/>
          <w:sz w:val="20"/>
        </w:rPr>
      </w:pPr>
      <w:r>
        <w:rPr>
          <w:rFonts w:ascii="Times New Roman" w:hAnsi="Times New Roman"/>
          <w:i/>
          <w:sz w:val="20"/>
        </w:rPr>
        <w:t>General.</w:t>
      </w:r>
      <w:r>
        <w:rPr>
          <w:rFonts w:ascii="Times New Roman" w:hAnsi="Times New Roman"/>
          <w:sz w:val="20"/>
        </w:rPr>
        <w:t xml:space="preserve"> If we dissolve and liquidate, we will sell our assets or otherwise dispose of our assets and we will adjust the partners capital account balances to show any resulting gain or loss. We will first apply the proceeds of liquidation to the payment of our creditors in the order of priority provided in our partnership agreement and by law and, thereafter, distribute to the unitholders and the general partner in accordance with their adjusted capital account balances. </w:t>
      </w:r>
    </w:p>
    <w:p>
      <w:pPr>
        <w:pStyle w:val="TextBody"/>
        <w:spacing w:before="180" w:after="0"/>
        <w:rPr>
          <w:rFonts w:ascii="Times New Roman" w:hAnsi="Times New Roman"/>
          <w:sz w:val="20"/>
        </w:rPr>
      </w:pPr>
      <w:r>
        <w:rPr>
          <w:rFonts w:ascii="Times New Roman" w:hAnsi="Times New Roman"/>
          <w:i/>
          <w:sz w:val="20"/>
        </w:rPr>
        <w:t>Manner of Adjustment.</w:t>
      </w:r>
      <w:r>
        <w:rPr>
          <w:rFonts w:ascii="Times New Roman" w:hAnsi="Times New Roman"/>
          <w:sz w:val="20"/>
        </w:rPr>
        <w:t xml:space="preserve"> If we liquidate, we would allocate any loss to the general partner and each unitholder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First, 98% to the holders of common units who have positive balances in their capital accounts in proportion to those positive balances and 2% to the general partner, until the capital accounts of the common unitholders have been reduced to zero;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Thereafter, 100% to the general partner. </w:t>
            </w:r>
          </w:p>
        </w:tc>
      </w:tr>
    </w:tbl>
    <w:p>
      <w:pPr>
        <w:pStyle w:val="TextBody"/>
        <w:spacing w:before="180" w:after="0"/>
        <w:rPr>
          <w:rFonts w:ascii="Times New Roman" w:hAnsi="Times New Roman"/>
          <w:sz w:val="20"/>
        </w:rPr>
      </w:pPr>
      <w:r>
        <w:rPr>
          <w:rFonts w:ascii="Times New Roman" w:hAnsi="Times New Roman"/>
          <w:i/>
          <w:sz w:val="20"/>
        </w:rPr>
        <w:t>Interim Adjustments to Capital Accounts.</w:t>
      </w:r>
      <w:r>
        <w:rPr>
          <w:rFonts w:ascii="Times New Roman" w:hAnsi="Times New Roman"/>
          <w:sz w:val="20"/>
        </w:rPr>
        <w:t xml:space="preserve"> If we issued additional security interests or made distributions of property, interim adjustments to capital accounts would also be made. These adjustments would be based on the fair market value of the interests or the property distributed and any gain or loss would be allocated to the unitholders and the general partner in the same way that a gain or loss is allocated upon liquidation. If positive interim adjustments are made to the capital accounts, any subsequent negative adjustments to the capital accounts resulting from our issuance of additional interests, distributions of property, or upon our liquidation, would be allocated in a way that, to the extent possible, in the capital account balances of the general partner equaling the amount which would have been the general partners capital account balances if no prior positive adjustments to the capital accounts had been made.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3" w:name="tx348608_11"/>
      <w:bookmarkEnd w:id="23"/>
      <w:r>
        <w:rPr>
          <w:rFonts w:ascii="Times New Roman" w:hAnsi="Times New Roman"/>
          <w:b/>
          <w:sz w:val="20"/>
        </w:rPr>
        <w:t xml:space="preserve">DESCRIPTION OF OUR PARTNERSHIP AGREEMENT </w:t>
      </w:r>
    </w:p>
    <w:p>
      <w:pPr>
        <w:pStyle w:val="TextBody"/>
        <w:spacing w:before="180" w:after="0"/>
        <w:rPr>
          <w:rFonts w:ascii="Times New Roman" w:hAnsi="Times New Roman"/>
          <w:sz w:val="20"/>
        </w:rPr>
      </w:pPr>
      <w:r>
        <w:rPr>
          <w:rFonts w:ascii="Times New Roman" w:hAnsi="Times New Roman"/>
          <w:sz w:val="20"/>
        </w:rPr>
        <w:t xml:space="preserve">The following is a summary of the material provisions of our partnership agreement. The following provisions of our partnership agreement are summarized elsewhere in this prospectus: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distributions of our available cash are described under Cash Distribution Policy;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allocations of taxable income and other tax matters are described under Material Income Tax Consequences;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rights of holders of common units are described under Description of Our Common Units. </w:t>
            </w:r>
          </w:p>
        </w:tc>
      </w:tr>
    </w:tbl>
    <w:p>
      <w:pPr>
        <w:pStyle w:val="TextBody"/>
        <w:spacing w:before="270" w:after="0"/>
        <w:rPr>
          <w:rFonts w:ascii="Times New Roman" w:hAnsi="Times New Roman"/>
          <w:b/>
          <w:sz w:val="20"/>
        </w:rPr>
      </w:pPr>
      <w:r>
        <w:rPr>
          <w:rFonts w:ascii="Times New Roman" w:hAnsi="Times New Roman"/>
          <w:b/>
          <w:sz w:val="20"/>
        </w:rPr>
        <w:t xml:space="preserve">Purpose </w:t>
      </w:r>
    </w:p>
    <w:p>
      <w:pPr>
        <w:pStyle w:val="TextBody"/>
        <w:spacing w:before="90" w:after="0"/>
        <w:rPr>
          <w:rFonts w:ascii="Times New Roman" w:hAnsi="Times New Roman"/>
          <w:sz w:val="20"/>
        </w:rPr>
      </w:pPr>
      <w:r>
        <w:rPr>
          <w:rFonts w:ascii="Times New Roman" w:hAnsi="Times New Roman"/>
          <w:sz w:val="20"/>
        </w:rPr>
        <w:t xml:space="preserve">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 </w:t>
      </w:r>
    </w:p>
    <w:p>
      <w:pPr>
        <w:pStyle w:val="TextBody"/>
        <w:spacing w:before="270" w:after="0"/>
        <w:rPr>
          <w:rFonts w:ascii="Times New Roman" w:hAnsi="Times New Roman"/>
          <w:b/>
          <w:sz w:val="20"/>
        </w:rPr>
      </w:pPr>
      <w:r>
        <w:rPr>
          <w:rFonts w:ascii="Times New Roman" w:hAnsi="Times New Roman"/>
          <w:b/>
          <w:sz w:val="20"/>
        </w:rPr>
        <w:t xml:space="preserve">Power of Attorney </w:t>
      </w:r>
    </w:p>
    <w:p>
      <w:pPr>
        <w:pStyle w:val="TextBody"/>
        <w:spacing w:before="90" w:after="0"/>
        <w:rPr>
          <w:rFonts w:ascii="Times New Roman" w:hAnsi="Times New Roman"/>
          <w:sz w:val="20"/>
        </w:rPr>
      </w:pPr>
      <w:r>
        <w:rPr>
          <w:rFonts w:ascii="Times New Roman" w:hAnsi="Times New Roman"/>
          <w:sz w:val="20"/>
        </w:rPr>
        <w:t xml:space="preserve">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 </w:t>
      </w:r>
    </w:p>
    <w:p>
      <w:pPr>
        <w:pStyle w:val="TextBody"/>
        <w:spacing w:before="270" w:after="0"/>
        <w:rPr>
          <w:rFonts w:ascii="Times New Roman" w:hAnsi="Times New Roman"/>
          <w:b/>
          <w:sz w:val="20"/>
        </w:rPr>
      </w:pPr>
      <w:r>
        <w:rPr>
          <w:rFonts w:ascii="Times New Roman" w:hAnsi="Times New Roman"/>
          <w:b/>
          <w:sz w:val="20"/>
        </w:rPr>
        <w:t xml:space="preserve">Reimbursements of Our General Partner </w:t>
      </w:r>
    </w:p>
    <w:p>
      <w:pPr>
        <w:pStyle w:val="TextBody"/>
        <w:spacing w:before="90" w:after="0"/>
        <w:rPr>
          <w:rFonts w:ascii="Times New Roman" w:hAnsi="Times New Roman"/>
          <w:sz w:val="20"/>
        </w:rPr>
      </w:pPr>
      <w:r>
        <w:rPr>
          <w:rFonts w:ascii="Times New Roman" w:hAnsi="Times New Roman"/>
          <w:sz w:val="20"/>
        </w:rPr>
        <w:t xml:space="preserve">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 </w:t>
      </w:r>
    </w:p>
    <w:p>
      <w:pPr>
        <w:pStyle w:val="TextBody"/>
        <w:spacing w:before="270" w:after="0"/>
        <w:rPr>
          <w:rFonts w:ascii="Times New Roman" w:hAnsi="Times New Roman"/>
          <w:b/>
          <w:sz w:val="20"/>
        </w:rPr>
      </w:pPr>
      <w:r>
        <w:rPr>
          <w:rFonts w:ascii="Times New Roman" w:hAnsi="Times New Roman"/>
          <w:b/>
          <w:sz w:val="20"/>
        </w:rPr>
        <w:t xml:space="preserve">Issuance of Additional Securities </w:t>
      </w:r>
    </w:p>
    <w:p>
      <w:pPr>
        <w:pStyle w:val="TextBody"/>
        <w:spacing w:before="90" w:after="0"/>
        <w:rPr>
          <w:rFonts w:ascii="Times New Roman" w:hAnsi="Times New Roman"/>
          <w:sz w:val="20"/>
        </w:rPr>
      </w:pPr>
      <w:r>
        <w:rPr>
          <w:rFonts w:ascii="Times New Roman" w:hAnsi="Times New Roman"/>
          <w:sz w:val="20"/>
        </w:rPr>
        <w:t xml:space="preserve">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 </w:t>
      </w:r>
    </w:p>
    <w:p>
      <w:pPr>
        <w:pStyle w:val="TextBody"/>
        <w:spacing w:before="180" w:after="0"/>
        <w:rPr>
          <w:rFonts w:ascii="Times New Roman" w:hAnsi="Times New Roman"/>
          <w:sz w:val="20"/>
        </w:rPr>
      </w:pPr>
      <w:r>
        <w:rPr>
          <w:rFonts w:ascii="Times New Roman" w:hAnsi="Times New Roman"/>
          <w:sz w:val="20"/>
        </w:rPr>
        <w:t xml:space="preserve">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 </w:t>
      </w:r>
    </w:p>
    <w:p>
      <w:pPr>
        <w:pStyle w:val="TextBody"/>
        <w:spacing w:before="180" w:after="0"/>
        <w:rPr>
          <w:rFonts w:ascii="Times New Roman" w:hAnsi="Times New Roman"/>
          <w:sz w:val="20"/>
        </w:rPr>
      </w:pPr>
      <w:r>
        <w:rPr>
          <w:rFonts w:ascii="Times New Roman" w:hAnsi="Times New Roman"/>
          <w:sz w:val="20"/>
        </w:rPr>
        <w:t xml:space="preserve">In accordance with Delaware law and the provisions of our partnership agreement, we may also issue additional partnership interests that, in the sole discretion of our general partner, may have special voting rights to which common units are not entitled. </w:t>
      </w:r>
    </w:p>
    <w:p>
      <w:pPr>
        <w:pStyle w:val="TextBody"/>
        <w:spacing w:before="180" w:after="0"/>
        <w:rPr>
          <w:rFonts w:ascii="Times New Roman" w:hAnsi="Times New Roman"/>
          <w:sz w:val="20"/>
        </w:rPr>
      </w:pPr>
      <w:r>
        <w:rPr>
          <w:rFonts w:ascii="Times New Roman" w:hAnsi="Times New Roman"/>
          <w:sz w:val="20"/>
        </w:rPr>
        <w:t xml:space="preserve">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Amendments to Our Partnership Agreement </w:t>
      </w:r>
    </w:p>
    <w:p>
      <w:pPr>
        <w:pStyle w:val="TextBody"/>
        <w:spacing w:before="90" w:after="0"/>
        <w:rPr>
          <w:rFonts w:ascii="Times New Roman" w:hAnsi="Times New Roman"/>
          <w:sz w:val="20"/>
        </w:rPr>
      </w:pPr>
      <w:r>
        <w:rPr>
          <w:rFonts w:ascii="Times New Roman" w:hAnsi="Times New Roman"/>
          <w:sz w:val="20"/>
        </w:rPr>
        <w:t xml:space="preserve">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 </w:t>
      </w:r>
    </w:p>
    <w:p>
      <w:pPr>
        <w:pStyle w:val="TextBody"/>
        <w:spacing w:before="270" w:after="0"/>
        <w:rPr>
          <w:rFonts w:ascii="Times New Roman" w:hAnsi="Times New Roman"/>
          <w:b/>
          <w:sz w:val="20"/>
        </w:rPr>
      </w:pPr>
      <w:r>
        <w:rPr>
          <w:rFonts w:ascii="Times New Roman" w:hAnsi="Times New Roman"/>
          <w:b/>
          <w:sz w:val="20"/>
        </w:rPr>
        <w:t xml:space="preserve">Withdrawal or Removal of Our General Partner </w:t>
      </w:r>
    </w:p>
    <w:p>
      <w:pPr>
        <w:pStyle w:val="TextBody"/>
        <w:spacing w:before="90" w:after="0"/>
        <w:rPr>
          <w:rFonts w:ascii="Times New Roman" w:hAnsi="Times New Roman"/>
          <w:sz w:val="20"/>
        </w:rPr>
      </w:pPr>
      <w:r>
        <w:rPr>
          <w:rFonts w:ascii="Times New Roman" w:hAnsi="Times New Roman"/>
          <w:sz w:val="20"/>
        </w:rPr>
        <w:t xml:space="preserve">Our general partner has agreed not to withdraw voluntarily as our general partner prior to December 31, 2008 without obtaining the approval of the holders of a majority of our outstanding common units, excluding those held by our general partner and its affiliates, and furnishing an opinion of counsel regarding limited liability and tax matters. On or after December 31, 2008, our general partner may withdraw as general partner without first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 </w:t>
      </w:r>
    </w:p>
    <w:p>
      <w:pPr>
        <w:pStyle w:val="TextBody"/>
        <w:spacing w:before="180" w:after="0"/>
        <w:rPr>
          <w:rFonts w:ascii="Times New Roman" w:hAnsi="Times New Roman"/>
          <w:sz w:val="20"/>
        </w:rPr>
      </w:pPr>
      <w:r>
        <w:rPr>
          <w:rFonts w:ascii="Times New Roman" w:hAnsi="Times New Roman"/>
          <w:sz w:val="20"/>
        </w:rPr>
        <w:t xml:space="preserve">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 </w:t>
      </w:r>
    </w:p>
    <w:p>
      <w:pPr>
        <w:pStyle w:val="TextBody"/>
        <w:spacing w:before="180" w:after="0"/>
        <w:rPr>
          <w:rFonts w:ascii="Times New Roman" w:hAnsi="Times New Roman"/>
          <w:sz w:val="20"/>
        </w:rPr>
      </w:pPr>
      <w:r>
        <w:rPr>
          <w:rFonts w:ascii="Times New Roman" w:hAnsi="Times New Roman"/>
          <w:sz w:val="20"/>
        </w:rPr>
        <w:t xml:space="preserve">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 </w:t>
      </w:r>
    </w:p>
    <w:p>
      <w:pPr>
        <w:pStyle w:val="TextBody"/>
        <w:spacing w:before="180" w:after="0"/>
        <w:rPr>
          <w:rFonts w:ascii="Times New Roman" w:hAnsi="Times New Roman"/>
          <w:sz w:val="20"/>
        </w:rPr>
      </w:pPr>
      <w:r>
        <w:rPr>
          <w:rFonts w:ascii="Times New Roman" w:hAnsi="Times New Roman"/>
          <w:sz w:val="20"/>
        </w:rPr>
        <w:t xml:space="preserve">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 </w:t>
      </w:r>
    </w:p>
    <w:p>
      <w:pPr>
        <w:pStyle w:val="TextBody"/>
        <w:spacing w:before="180" w:after="0"/>
        <w:rPr>
          <w:rFonts w:ascii="Times New Roman" w:hAnsi="Times New Roman"/>
          <w:sz w:val="20"/>
        </w:rPr>
      </w:pPr>
      <w:r>
        <w:rPr>
          <w:rFonts w:ascii="Times New Roman" w:hAnsi="Times New Roman"/>
          <w:sz w:val="20"/>
        </w:rPr>
        <w:t xml:space="preserve">In addition, our partnership agreement expressly permits the sale, in whole or in part, of the ownership of our general partner. Our general partner may also transfer, in whole or in part, the common units it owns. </w:t>
      </w:r>
    </w:p>
    <w:p>
      <w:pPr>
        <w:pStyle w:val="TextBody"/>
        <w:spacing w:before="270" w:after="0"/>
        <w:rPr>
          <w:rFonts w:ascii="Times New Roman" w:hAnsi="Times New Roman"/>
          <w:b/>
          <w:sz w:val="20"/>
        </w:rPr>
      </w:pPr>
      <w:r>
        <w:rPr>
          <w:rFonts w:ascii="Times New Roman" w:hAnsi="Times New Roman"/>
          <w:b/>
          <w:sz w:val="20"/>
        </w:rPr>
        <w:t xml:space="preserve">Liquidation and Distribution of Proceeds </w:t>
      </w:r>
    </w:p>
    <w:p>
      <w:pPr>
        <w:pStyle w:val="TextBody"/>
        <w:spacing w:before="90" w:after="0"/>
        <w:rPr>
          <w:rFonts w:ascii="Times New Roman" w:hAnsi="Times New Roman"/>
          <w:sz w:val="20"/>
        </w:rPr>
      </w:pPr>
      <w:r>
        <w:rPr>
          <w:rFonts w:ascii="Times New Roman" w:hAnsi="Times New Roman"/>
          <w:sz w:val="20"/>
        </w:rPr>
        <w:t xml:space="preserve">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first, towards the payment of all of our creditors and the creation of a reserve for contingent liabilities;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then, to all partners in accordance with the positive balance in the respective capital accounts.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Under some circumstances and subject to some limitations, the liquidator may defer liquidation or distribution of our assets for a reasonable period of time. If the liquidator determines that a sale would be impractical or would cause a loss to our partners, our general partner may distribute assets in kind to our partners. </w:t>
      </w:r>
    </w:p>
    <w:p>
      <w:pPr>
        <w:pStyle w:val="TextBody"/>
        <w:spacing w:before="270" w:after="0"/>
        <w:rPr>
          <w:rFonts w:ascii="Times New Roman" w:hAnsi="Times New Roman"/>
          <w:b/>
          <w:sz w:val="20"/>
        </w:rPr>
      </w:pPr>
      <w:r>
        <w:rPr>
          <w:rFonts w:ascii="Times New Roman" w:hAnsi="Times New Roman"/>
          <w:b/>
          <w:sz w:val="20"/>
        </w:rPr>
        <w:t xml:space="preserve">Change of Management Provisions </w:t>
      </w:r>
    </w:p>
    <w:p>
      <w:pPr>
        <w:pStyle w:val="TextBody"/>
        <w:spacing w:before="90" w:after="0"/>
        <w:rPr>
          <w:rFonts w:ascii="Times New Roman" w:hAnsi="Times New Roman"/>
          <w:sz w:val="20"/>
        </w:rPr>
      </w:pPr>
      <w:r>
        <w:rPr>
          <w:rFonts w:ascii="Times New Roman" w:hAnsi="Times New Roman"/>
          <w:sz w:val="20"/>
        </w:rPr>
        <w:t xml:space="preserve">Our partnership agreement contains the following specific provisions that are intended to discourage a person or group from attempting to remove our general partner or otherwise change management: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generally, if a person acquires 20% or more of any class of units then outstanding other than from our general partner or its affiliates, the units owned by such person cannot be voted on any matter;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provisions limiting the ability of unitholders to call meetings or to acquire information about our operations, as well as other provisions limiting the unitholders ability to influence the manner or direction of management. </w:t>
            </w:r>
          </w:p>
        </w:tc>
      </w:tr>
    </w:tbl>
    <w:p>
      <w:pPr>
        <w:pStyle w:val="TextBody"/>
        <w:spacing w:before="270" w:after="0"/>
        <w:rPr>
          <w:rFonts w:ascii="Times New Roman" w:hAnsi="Times New Roman"/>
          <w:b/>
          <w:sz w:val="20"/>
        </w:rPr>
      </w:pPr>
      <w:r>
        <w:rPr>
          <w:rFonts w:ascii="Times New Roman" w:hAnsi="Times New Roman"/>
          <w:b/>
          <w:sz w:val="20"/>
        </w:rPr>
        <w:t xml:space="preserve">Limited Call Right </w:t>
      </w:r>
    </w:p>
    <w:p>
      <w:pPr>
        <w:pStyle w:val="TextBody"/>
        <w:spacing w:before="90" w:after="0"/>
        <w:rPr>
          <w:rFonts w:ascii="Times New Roman" w:hAnsi="Times New Roman"/>
          <w:sz w:val="20"/>
        </w:rPr>
      </w:pPr>
      <w:r>
        <w:rPr>
          <w:rFonts w:ascii="Times New Roman" w:hAnsi="Times New Roman"/>
          <w:sz w:val="20"/>
        </w:rPr>
        <w:t xml:space="preserve">If at any time our general partner and its affiliates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 (2) the highest cash price paid by our general partner or any of its affiliates for any limited partner interest of the class purchased within the 90 days preceding the date our general partner mails notice of its election to purchase the units. </w:t>
      </w:r>
    </w:p>
    <w:p>
      <w:pPr>
        <w:pStyle w:val="TextBody"/>
        <w:spacing w:before="270" w:after="0"/>
        <w:rPr>
          <w:rFonts w:ascii="Times New Roman" w:hAnsi="Times New Roman"/>
          <w:b/>
          <w:sz w:val="20"/>
        </w:rPr>
      </w:pPr>
      <w:r>
        <w:rPr>
          <w:rFonts w:ascii="Times New Roman" w:hAnsi="Times New Roman"/>
          <w:b/>
          <w:sz w:val="20"/>
        </w:rPr>
        <w:t xml:space="preserve">Indemnification </w:t>
      </w:r>
    </w:p>
    <w:p>
      <w:pPr>
        <w:pStyle w:val="TextBody"/>
        <w:spacing w:before="90" w:after="0"/>
        <w:rPr>
          <w:rFonts w:ascii="Times New Roman" w:hAnsi="Times New Roman"/>
          <w:sz w:val="20"/>
        </w:rPr>
      </w:pPr>
      <w:r>
        <w:rPr>
          <w:rFonts w:ascii="Times New Roman" w:hAnsi="Times New Roman"/>
          <w:sz w:val="20"/>
        </w:rPr>
        <w:t xml:space="preserve">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 </w:t>
      </w:r>
    </w:p>
    <w:p>
      <w:pPr>
        <w:pStyle w:val="TextBody"/>
        <w:spacing w:before="180" w:after="0"/>
        <w:rPr>
          <w:rFonts w:ascii="Times New Roman" w:hAnsi="Times New Roman"/>
          <w:sz w:val="20"/>
        </w:rPr>
      </w:pPr>
      <w:r>
        <w:rPr>
          <w:rFonts w:ascii="Times New Roman" w:hAnsi="Times New Roman"/>
          <w:sz w:val="20"/>
        </w:rPr>
        <w:t xml:space="preserve">We are authorized to purchase insurance against liabilities asserted against and expenses incurred by persons for our activities, regardless of whether we would have the power to indemnify the person against liabilities under our partnership agreement. </w:t>
      </w:r>
    </w:p>
    <w:p>
      <w:pPr>
        <w:pStyle w:val="TextBody"/>
        <w:spacing w:before="270" w:after="0"/>
        <w:rPr>
          <w:rFonts w:ascii="Times New Roman" w:hAnsi="Times New Roman"/>
          <w:b/>
          <w:sz w:val="20"/>
        </w:rPr>
      </w:pPr>
      <w:r>
        <w:rPr>
          <w:rFonts w:ascii="Times New Roman" w:hAnsi="Times New Roman"/>
          <w:b/>
          <w:sz w:val="20"/>
        </w:rPr>
        <w:t xml:space="preserve">Registration Rights </w:t>
      </w:r>
    </w:p>
    <w:p>
      <w:pPr>
        <w:pStyle w:val="TextBody"/>
        <w:spacing w:before="90" w:after="0"/>
        <w:rPr>
          <w:rFonts w:ascii="Times New Roman" w:hAnsi="Times New Roman"/>
          <w:sz w:val="20"/>
        </w:rPr>
      </w:pPr>
      <w:r>
        <w:rPr>
          <w:rFonts w:ascii="Times New Roman" w:hAnsi="Times New Roman"/>
          <w:sz w:val="20"/>
        </w:rPr>
        <w:t xml:space="preserve">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4" w:name="tx348608_12"/>
      <w:bookmarkEnd w:id="24"/>
      <w:r>
        <w:rPr>
          <w:rFonts w:ascii="Times New Roman" w:hAnsi="Times New Roman"/>
          <w:b/>
          <w:sz w:val="20"/>
        </w:rPr>
        <w:t xml:space="preserve">MATERIAL INCOME TAX CONSEQUENCES </w:t>
      </w:r>
    </w:p>
    <w:p>
      <w:pPr>
        <w:pStyle w:val="TextBody"/>
        <w:spacing w:before="180" w:after="0"/>
        <w:rPr>
          <w:rFonts w:ascii="Times New Roman" w:hAnsi="Times New Roman"/>
          <w:sz w:val="20"/>
        </w:rPr>
      </w:pPr>
      <w:r>
        <w:rPr>
          <w:rFonts w:ascii="Times New Roman" w:hAnsi="Times New Roman"/>
          <w:sz w:val="20"/>
        </w:rPr>
        <w:t xml:space="preserve">This section is a discussion of the material tax consequences that may be relevant to prospective unitholders who are individual citizens or residents of the United States and, unless otherwise noted in the following discussion, is the opinion of Vinson &amp; Elkins L.L.P., counsel to our general partner and us, insofar as it relates to legal conclusions with respect to matters of United States federal income tax law. This section is based upon current provisions of the Internal Revenue Code of 1986, as amended (the Internal Revenue Code), existing and proposed regulations promulgated under the Internal Revenue Code (the Treasury Regulations), current administrative rulings and court decisions, all of which are subject to change. Later changes in these authorities may cause the tax consequences to vary substantially from the consequences described below. Unless the context otherwise requires, references in this section to us or we are references to Plains All American Pipeline, L.P. </w:t>
      </w:r>
    </w:p>
    <w:p>
      <w:pPr>
        <w:pStyle w:val="TextBody"/>
        <w:spacing w:before="180" w:after="0"/>
        <w:rPr>
          <w:rFonts w:ascii="Times New Roman" w:hAnsi="Times New Roman"/>
          <w:sz w:val="20"/>
        </w:rPr>
      </w:pPr>
      <w:r>
        <w:rPr>
          <w:rFonts w:ascii="Times New Roman" w:hAnsi="Times New Roman"/>
          <w:sz w:val="20"/>
        </w:rPr>
        <w:t xml:space="preserve">The following discussion does not comment on all federal income tax matters affecting us or the unitholders. Moreover, the discussion focuses on unitholders who are individual citizens or residents of the United States and has only limited application to corporations, estates, trusts, nonresident aliens or other unitholders subject to specialized tax treatment, such as tax-exempt institutions, foreign persons, individual retirement accounts (IRAs), real estate investment trusts (REITs) or mutual funds. Accordingly, we urge each prospective unitholder to consult, and depend on, his own tax advisor in analyzing the federal, state, local and foreign tax consequences particular to him of the ownership or disposition of common units. </w:t>
      </w:r>
    </w:p>
    <w:p>
      <w:pPr>
        <w:pStyle w:val="TextBody"/>
        <w:spacing w:before="180" w:after="0"/>
        <w:rPr>
          <w:rFonts w:ascii="Times New Roman" w:hAnsi="Times New Roman"/>
          <w:sz w:val="20"/>
        </w:rPr>
      </w:pPr>
      <w:r>
        <w:rPr>
          <w:rFonts w:ascii="Times New Roman" w:hAnsi="Times New Roman"/>
          <w:sz w:val="20"/>
        </w:rPr>
        <w:t xml:space="preserve">All statements as to matters of law and legal conclusions, but not as to factual matters, contained in this section, unless otherwise noted, are the opinion of Vinson &amp; Elkins L.L.P. and are based on the accuracy of the representations made by us. </w:t>
      </w:r>
    </w:p>
    <w:p>
      <w:pPr>
        <w:pStyle w:val="TextBody"/>
        <w:spacing w:before="180" w:after="0"/>
        <w:rPr>
          <w:rFonts w:ascii="Times New Roman" w:hAnsi="Times New Roman"/>
          <w:sz w:val="20"/>
        </w:rPr>
      </w:pPr>
      <w:r>
        <w:rPr>
          <w:rFonts w:ascii="Times New Roman" w:hAnsi="Times New Roman"/>
          <w:sz w:val="20"/>
        </w:rPr>
        <w:t xml:space="preserve">No ruling has been or will be requested from the IRS regarding any matter affecting us or prospective unitholders. Instead, we will rely on opinions of Vinson &amp; Elkins L.L.P. Unlike a ruling, an opinion of counsel represents only that counsels best legal judgment and does not bind the IRS or the courts. Accordingly, the opinions and statements made herein may not be sustained by a court if contested by the IRS. Any contest of this sort with the IRS may materially and adversely impact the market for our common units and the prices at which common units trade. In addition, the costs of any contest with the IRS, principally legal, accounting and related fees, will result in a reduction in cash available for distribution to our unitholders and our general partner and thus will be borne indirectly by our unitholders and our general partner. Furthermore, the tax treatment of us, or of an investment in us, may be significantly modified by future legislative or administrative changes or court decisions. Any modifications may or may not be retroactively applied. </w:t>
      </w:r>
    </w:p>
    <w:p>
      <w:pPr>
        <w:pStyle w:val="TextBody"/>
        <w:spacing w:before="180" w:after="0"/>
        <w:rPr>
          <w:rFonts w:ascii="Times New Roman" w:hAnsi="Times New Roman"/>
          <w:sz w:val="20"/>
        </w:rPr>
      </w:pPr>
      <w:r>
        <w:rPr>
          <w:rFonts w:ascii="Times New Roman" w:hAnsi="Times New Roman"/>
          <w:sz w:val="20"/>
        </w:rPr>
        <w:t xml:space="preserve">For the reasons described below, Vinson &amp; Elkins L.L.P. has not rendered an opinion with respect to the following specific federal income tax issues: (1) the treatment of a unitholder whose common units are loaned to a short seller to cover a short sale of common units (please see  Tax Consequences of Unit Ownership  Treatment of Short Sales); (2) whether our monthly convention for allocating taxable income and losses is permitted by existing Treasury Regulations (please see  Disposition of Common Units  Allocations Between Transferors and Transferees); and (3) whether our method for depreciating Section 743 adjustments is sustainable in certain cases (please see  Tax Consequences of Unit Ownership  Section 754 Election). </w:t>
      </w:r>
    </w:p>
    <w:p>
      <w:pPr>
        <w:pStyle w:val="TextBody"/>
        <w:spacing w:before="270" w:after="0"/>
        <w:rPr>
          <w:rFonts w:ascii="Times New Roman" w:hAnsi="Times New Roman"/>
          <w:b/>
          <w:sz w:val="20"/>
        </w:rPr>
      </w:pPr>
      <w:r>
        <w:rPr>
          <w:rFonts w:ascii="Times New Roman" w:hAnsi="Times New Roman"/>
          <w:b/>
          <w:sz w:val="20"/>
        </w:rPr>
        <w:t xml:space="preserve">Partnership Status </w:t>
      </w:r>
    </w:p>
    <w:p>
      <w:pPr>
        <w:pStyle w:val="TextBody"/>
        <w:spacing w:before="90" w:after="0"/>
        <w:rPr>
          <w:rFonts w:ascii="Times New Roman" w:hAnsi="Times New Roman"/>
          <w:sz w:val="20"/>
        </w:rPr>
      </w:pPr>
      <w:r>
        <w:rPr>
          <w:rFonts w:ascii="Times New Roman" w:hAnsi="Times New Roman"/>
          <w:sz w:val="20"/>
        </w:rPr>
        <w:t xml:space="preserve">A partnership is not a taxable entity and incurs no federal income tax liability. Instead, each partner of a partnership is required to take into account his share of items of income, gain, loss and deduction of the partnership in computing his federal income tax liability, regardless of whether cash distributions are made to him by the partnership. Distributions by a partnership to a partner are generally not taxable to the partnership or to the partner unless the amount of cash distributed is in excess of the partners adjusted basis in his partnership interest.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Section 7704 of the Internal Revenue Code provides that publicly traded partnerships will, as a general rule, be taxed as corporations. However, an exception, referred to as the Qualifying Income Exception, exists with respect to publicly traded partnerships of which 90% or more of the gross income for every taxable year consists of qualifying income. Qualifying income includes income and gains derived from the transportation, storage, terminalling and marketing of crude oil, natural gas and products thereof. Other types of qualifying income include interest (other than from a financial business), dividends, gains from the sale of real property and gains from the sale or other disposition of capital assets held for the production of income that otherwise constitutes qualifying income. Moreover, recently enacted legislation has modified Section 7704(d)(1)(E) of the Internal Revenue Code to expand the definition of qualifying income to include income from the storage and transportation of certain alternative fuels and, among other things, the transportation and marketing of industrial source carbon dioxide. We estimate that less than 5% of our current gross income is not qualifying income; however, this estimate could change from time to time. Based upon and subject to this estimate, the factual representations made by us and the general partner and a review of the applicable legal authorities, Vinson &amp; Elkins L.L.P. is of the opinion that at least 90% of our current gross income constitutes qualifying income. The portion of our income that is qualifying income may change from time to time. </w:t>
      </w:r>
    </w:p>
    <w:p>
      <w:pPr>
        <w:pStyle w:val="TextBody"/>
        <w:spacing w:before="180" w:after="0"/>
        <w:rPr>
          <w:rFonts w:ascii="Times New Roman" w:hAnsi="Times New Roman"/>
          <w:sz w:val="20"/>
        </w:rPr>
      </w:pPr>
      <w:r>
        <w:rPr>
          <w:rFonts w:ascii="Times New Roman" w:hAnsi="Times New Roman"/>
          <w:sz w:val="20"/>
        </w:rPr>
        <w:t xml:space="preserve">No ruling has been or will be sought from the IRS and the IRS has made no determination as to our status or the status of the operating partnerships for federal income tax purposes or whether our operations generate qualifying income under Section 7704 of the Internal Revenue Code. Instead, we will rely on the opinion of Vinson &amp; Elkins L.L.P. on such matters. It is the opinion of Vinson &amp; Elkins L.L.P. that, based upon the Internal Revenue Code, its regulations, published revenue rulings and court decisions and the representations described below, we will be classified as a partnership and the operating partnerships will be treated as partnerships or disregarded as entities separate from us for federal income tax purposes. </w:t>
      </w:r>
    </w:p>
    <w:p>
      <w:pPr>
        <w:pStyle w:val="TextBody"/>
        <w:spacing w:before="180" w:after="0"/>
        <w:rPr>
          <w:rFonts w:ascii="Times New Roman" w:hAnsi="Times New Roman"/>
          <w:sz w:val="20"/>
        </w:rPr>
      </w:pPr>
      <w:r>
        <w:rPr>
          <w:rFonts w:ascii="Times New Roman" w:hAnsi="Times New Roman"/>
          <w:sz w:val="20"/>
        </w:rPr>
        <w:t xml:space="preserve">In rendering its opinion, Vinson &amp; Elkins L.L.P. has relied on factual representations made by us and our general partner. The representations made by us and our general partner upon which Vinson &amp; Elkins L.L.P. has relied are: </w:t>
      </w:r>
    </w:p>
    <w:p>
      <w:pPr>
        <w:pStyle w:val="TextBody"/>
        <w:spacing w:before="90" w:after="0"/>
        <w:rPr>
          <w:rFonts w:ascii="Times New Roman" w:hAnsi="Times New Roman"/>
          <w:sz w:val="20"/>
        </w:rPr>
      </w:pPr>
      <w:r>
        <w:rPr>
          <w:rFonts w:ascii="Times New Roman" w:hAnsi="Times New Roman"/>
          <w:sz w:val="20"/>
        </w:rPr>
        <w:t xml:space="preserve">(a) Neither we nor the operating partnerships have elected or will elect to be treated as a corporation; </w:t>
      </w:r>
    </w:p>
    <w:p>
      <w:pPr>
        <w:pStyle w:val="TextBody"/>
        <w:spacing w:before="180" w:after="0"/>
        <w:rPr>
          <w:rFonts w:ascii="Times New Roman" w:hAnsi="Times New Roman"/>
          <w:sz w:val="20"/>
        </w:rPr>
      </w:pPr>
      <w:r>
        <w:rPr>
          <w:rFonts w:ascii="Times New Roman" w:hAnsi="Times New Roman"/>
          <w:sz w:val="20"/>
        </w:rPr>
        <w:t xml:space="preserve">(b) For each taxable year, more than 90% of our gross income has been and will be income that Vinson &amp; Elkins L.L.P. has opined or will opine is qualifying income within the meaning of Section 7704(d) of the Internal Revenue Code; and </w:t>
      </w:r>
    </w:p>
    <w:p>
      <w:pPr>
        <w:pStyle w:val="TextBody"/>
        <w:spacing w:before="180" w:after="0"/>
        <w:rPr>
          <w:rFonts w:ascii="Times New Roman" w:hAnsi="Times New Roman"/>
          <w:sz w:val="20"/>
        </w:rPr>
      </w:pPr>
      <w:r>
        <w:rPr>
          <w:rFonts w:ascii="Times New Roman" w:hAnsi="Times New Roman"/>
          <w:sz w:val="20"/>
        </w:rPr>
        <w:t xml:space="preserve">(c) Each hedging transaction that we treat as resulting in qualifying income has been and will be appropriately identified as a hedging transaction pursuant to applicable Treasury Regulations, and has been and will be associated with oil, gas, or products thereof that are held or to be held by us in activities that Vinson &amp; Elkins L.L.P. has opined or will opine result in qualifying income. </w:t>
      </w:r>
    </w:p>
    <w:p>
      <w:pPr>
        <w:pStyle w:val="TextBody"/>
        <w:spacing w:before="180" w:after="0"/>
        <w:rPr>
          <w:rFonts w:ascii="Times New Roman" w:hAnsi="Times New Roman"/>
          <w:sz w:val="20"/>
        </w:rPr>
      </w:pPr>
      <w:r>
        <w:rPr>
          <w:rFonts w:ascii="Times New Roman" w:hAnsi="Times New Roman"/>
          <w:sz w:val="20"/>
        </w:rPr>
        <w:t xml:space="preserve">We believe that these representations have been true in the past and expect that these representations will be true in the future. </w:t>
      </w:r>
    </w:p>
    <w:p>
      <w:pPr>
        <w:pStyle w:val="TextBody"/>
        <w:spacing w:before="180" w:after="0"/>
        <w:rPr>
          <w:rFonts w:ascii="Times New Roman" w:hAnsi="Times New Roman"/>
          <w:sz w:val="20"/>
        </w:rPr>
      </w:pPr>
      <w:r>
        <w:rPr>
          <w:rFonts w:ascii="Times New Roman" w:hAnsi="Times New Roman"/>
          <w:sz w:val="20"/>
        </w:rPr>
        <w:t xml:space="preserve">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if we had transferred all of our assets, subject to liabilities, to a newly formed corporation, on the first day of the year in which we fail to meet the Qualifying Income Exception, in return for stock in that corporation, and then distributed that stock to the unitholders in liquidation of their interests in us. This deemed contribution and liquidation should be tax-free to unitholders and us so long as we, at that time, do not have liabilities in excess of the tax basis of our assets. Thereafter, we would be treated as a corporation for federal income tax purposes. </w:t>
      </w:r>
    </w:p>
    <w:p>
      <w:pPr>
        <w:pStyle w:val="TextBody"/>
        <w:spacing w:before="180" w:after="0"/>
        <w:rPr>
          <w:rFonts w:ascii="Times New Roman" w:hAnsi="Times New Roman"/>
          <w:sz w:val="20"/>
        </w:rPr>
      </w:pPr>
      <w:r>
        <w:rPr>
          <w:rFonts w:ascii="Times New Roman" w:hAnsi="Times New Roman"/>
          <w:sz w:val="20"/>
        </w:rPr>
        <w:t xml:space="preserve">If we were treated as an association taxable as a corporation in any taxable year, either as a result of a failure to meet the Qualifying Income Exception or otherwise, our items of income, gain, loss and deduction would be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reflected only on our tax return rather than being passed through to the unitholders, and our net income would be taxed to us at corporate rates. In addition, any distribution made to a unitholder would be treated as either taxable dividend income, to the extent of our current or accumulated earnings and profits, or, in the absence of earnings and profits, a nontaxable return of capital, to the extent of the unitholders tax basis in his common units, or taxable capital gain, after the unitholders tax basis in his common units is reduced to zero. Accordingly, taxation as a corporation would result in a material reduction in a unitholders cash flow and after-tax return and thus would likely result in a substantial reduction of the value of the units. </w:t>
      </w:r>
    </w:p>
    <w:p>
      <w:pPr>
        <w:pStyle w:val="TextBody"/>
        <w:spacing w:before="180" w:after="0"/>
        <w:rPr>
          <w:rFonts w:ascii="Times New Roman" w:hAnsi="Times New Roman"/>
          <w:sz w:val="20"/>
        </w:rPr>
      </w:pPr>
      <w:r>
        <w:rPr>
          <w:rFonts w:ascii="Times New Roman" w:hAnsi="Times New Roman"/>
          <w:sz w:val="20"/>
        </w:rPr>
        <w:t xml:space="preserve">The discussion below is based on Vinson &amp; Elkins L.L.P.s opinion that we will be classified as a partnership for federal income tax purposes. </w:t>
      </w:r>
    </w:p>
    <w:p>
      <w:pPr>
        <w:pStyle w:val="TextBody"/>
        <w:spacing w:before="270" w:after="0"/>
        <w:rPr>
          <w:rFonts w:ascii="Times New Roman" w:hAnsi="Times New Roman"/>
          <w:b/>
          <w:sz w:val="20"/>
        </w:rPr>
      </w:pPr>
      <w:r>
        <w:rPr>
          <w:rFonts w:ascii="Times New Roman" w:hAnsi="Times New Roman"/>
          <w:b/>
          <w:sz w:val="20"/>
        </w:rPr>
        <w:t xml:space="preserve">Limited Partner Status </w:t>
      </w:r>
    </w:p>
    <w:p>
      <w:pPr>
        <w:pStyle w:val="TextBody"/>
        <w:spacing w:before="90" w:after="0"/>
        <w:rPr>
          <w:rFonts w:ascii="Times New Roman" w:hAnsi="Times New Roman"/>
          <w:sz w:val="20"/>
        </w:rPr>
      </w:pPr>
      <w:r>
        <w:rPr>
          <w:rFonts w:ascii="Times New Roman" w:hAnsi="Times New Roman"/>
          <w:sz w:val="20"/>
        </w:rPr>
        <w:t xml:space="preserve">Unitholders who have become limited partners of Plains All American Pipeline, L.P. will be treated as partners of Plains All American Pipeline, L.P. for federal income tax purposes. Also: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0"/>
        <w:gridCol w:w="93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assignees who have executed and delivered transfer applications, and are awaiting admission as limited partners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unitholders whose common units are held in street name or by a nominee and who have the right to direct the nominee in the exercise of all substantive rights attendant to the ownership of their common units </w:t>
            </w:r>
          </w:p>
        </w:tc>
      </w:tr>
    </w:tbl>
    <w:p>
      <w:pPr>
        <w:pStyle w:val="TextBody"/>
        <w:spacing w:before="180" w:after="0"/>
        <w:rPr>
          <w:rFonts w:ascii="Times New Roman" w:hAnsi="Times New Roman"/>
          <w:sz w:val="20"/>
        </w:rPr>
      </w:pPr>
      <w:r>
        <w:rPr>
          <w:rFonts w:ascii="Times New Roman" w:hAnsi="Times New Roman"/>
          <w:sz w:val="20"/>
        </w:rPr>
        <w:t xml:space="preserve">will be treated as partners of Plains All American Pipeline, L.P. for federal income tax purposes. As there is no direct or indirect controlling authority addressing assignees of common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common units who does not execute and deliver a transfer application may not receive some federal income tax information or reports furnished to record holders of common units unless the common units are held in a nominee or street name account and the nominee or broker has executed and delivered a transfer application for those common units. </w:t>
      </w:r>
    </w:p>
    <w:p>
      <w:pPr>
        <w:pStyle w:val="TextBody"/>
        <w:spacing w:before="180" w:after="0"/>
        <w:rPr>
          <w:rFonts w:ascii="Times New Roman" w:hAnsi="Times New Roman"/>
          <w:sz w:val="20"/>
        </w:rPr>
      </w:pPr>
      <w:r>
        <w:rPr>
          <w:rFonts w:ascii="Times New Roman" w:hAnsi="Times New Roman"/>
          <w:sz w:val="20"/>
        </w:rPr>
        <w:t xml:space="preserve">A beneficial owner of common units whose units have been transferred to a short seller to complete a short sale would appear to lose his status as a partner with respect to those units for federal income tax purposes. Please see  Tax Consequences of Unit Ownership  Treatment of Short Sales. </w:t>
      </w:r>
    </w:p>
    <w:p>
      <w:pPr>
        <w:pStyle w:val="TextBody"/>
        <w:spacing w:before="180" w:after="0"/>
        <w:rPr>
          <w:rFonts w:ascii="Times New Roman" w:hAnsi="Times New Roman"/>
          <w:sz w:val="20"/>
        </w:rPr>
      </w:pPr>
      <w:r>
        <w:rPr>
          <w:rFonts w:ascii="Times New Roman" w:hAnsi="Times New Roman"/>
          <w:sz w:val="20"/>
        </w:rPr>
        <w:t xml:space="preserve">Income, gain, deductions or losses would not appear to be reportable by a unitholder who is not a partner for federal income tax purposes, and any cash distributions received by a unitholder who is not a partner for federal income tax purposes would therefore appear to be fully taxable as ordinary income. These holders are urged to consult their own tax advisors with respect to their tax consequences of holding common units in Plains All American Pipeline, L.P. </w:t>
      </w:r>
    </w:p>
    <w:p>
      <w:pPr>
        <w:pStyle w:val="TextBody"/>
        <w:spacing w:before="180" w:after="0"/>
        <w:rPr>
          <w:rFonts w:ascii="Times New Roman" w:hAnsi="Times New Roman"/>
          <w:sz w:val="20"/>
        </w:rPr>
      </w:pPr>
      <w:r>
        <w:rPr>
          <w:rFonts w:ascii="Times New Roman" w:hAnsi="Times New Roman"/>
          <w:sz w:val="20"/>
        </w:rPr>
        <w:t xml:space="preserve">The references to unitholders in the discussion that follows are to persons who are treated as partners in Plains All American Pipeline, L.P. for federal income tax purposes. </w:t>
      </w:r>
    </w:p>
    <w:p>
      <w:pPr>
        <w:pStyle w:val="TextBody"/>
        <w:spacing w:before="270" w:after="0"/>
        <w:rPr>
          <w:rFonts w:ascii="Times New Roman" w:hAnsi="Times New Roman"/>
          <w:b/>
          <w:sz w:val="20"/>
        </w:rPr>
      </w:pPr>
      <w:r>
        <w:rPr>
          <w:rFonts w:ascii="Times New Roman" w:hAnsi="Times New Roman"/>
          <w:b/>
          <w:sz w:val="20"/>
        </w:rPr>
        <w:t xml:space="preserve">Tax Consequences of Unit Ownership </w:t>
      </w:r>
    </w:p>
    <w:p>
      <w:pPr>
        <w:pStyle w:val="TextBody"/>
        <w:spacing w:before="90" w:after="0"/>
        <w:rPr>
          <w:rFonts w:ascii="Times New Roman" w:hAnsi="Times New Roman"/>
          <w:sz w:val="20"/>
        </w:rPr>
      </w:pPr>
      <w:r>
        <w:rPr>
          <w:rFonts w:ascii="Times New Roman" w:hAnsi="Times New Roman"/>
          <w:i/>
          <w:sz w:val="20"/>
        </w:rPr>
        <w:t>Flow-Through of Taxable Income.</w:t>
      </w:r>
      <w:r>
        <w:rPr>
          <w:rFonts w:ascii="Times New Roman" w:hAnsi="Times New Roman"/>
          <w:sz w:val="20"/>
        </w:rPr>
        <w:t xml:space="preserve"> We will not pay any federal income tax. Instead, each unitholder will be required to report on his income tax return his share of our income, gains, losses and deductions without regard to whether corresponding cash distributions are received by him. Consequently, we may allocate income to a unitholder even if he has not received a cash distribution. Each unitholder will be required to include in income his allocable share of our income, gains, losses and deductions for our taxable year ending with or within his taxable year. Our taxable year ends on December 31.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i/>
          <w:sz w:val="20"/>
        </w:rPr>
        <w:t>Treatment of Distributions.</w:t>
      </w:r>
      <w:r>
        <w:rPr>
          <w:rFonts w:ascii="Times New Roman" w:hAnsi="Times New Roman"/>
          <w:sz w:val="20"/>
        </w:rPr>
        <w:t xml:space="preserve"> Distributions by us to a unitholder generally will not be taxable to the unitholder for federal income tax purposes, except to the extent the amount of any such cash distribution exceeds his tax basis in his common units immediately before the distribution. Our cash distributions in excess of a unitholders tax basis generally will be considered to be gain from the sale or exchange of our common units, taxable in accordance with the rules described under  Disposition of Common Units. Any reduction in a unitholders share of our liabilities for which no partner, including the general partner, bears the economic risk of loss, known as nonrecourse liabilities, will be treated as a distribution of cash to that unitholder. To the extent our distributions cause a unitholders at risk amount to be less than zero at the end of any taxable year, he must recapture any losses deducted in previous years. Please see  Limitations on Deductibility of Losses. </w:t>
      </w:r>
    </w:p>
    <w:p>
      <w:pPr>
        <w:pStyle w:val="TextBody"/>
        <w:spacing w:before="180" w:after="0"/>
        <w:rPr>
          <w:rFonts w:ascii="Times New Roman" w:hAnsi="Times New Roman"/>
          <w:sz w:val="20"/>
        </w:rPr>
      </w:pPr>
      <w:r>
        <w:rPr>
          <w:rFonts w:ascii="Times New Roman" w:hAnsi="Times New Roman"/>
          <w:sz w:val="20"/>
        </w:rPr>
        <w:t xml:space="preserve">A decrease in a unitholders percentage interest in us because of our issuance of additional common units will decrease his share of our nonrecourse liabilities, and thus will result in a corresponding deemed distribution of cash. This deemed distribution may constitute a non-pro rata distribution. A non-pro rata distribution of money or property may result in ordinary income to a unitholder, regardless of his tax basis in his common units, if the distribution reduces the unitholders share of our unrealized receivables, including depreciation recapture, and/or substantially appreciated inventory items, both as defined in the Internal Revenue Code, and collectively, Section 751 Assets. To that extent, he will be treated as having been distributed his proportionate share of the Section 751 Assets and then having exchanged those assets with us in return for the non-pro rata portion of the actual distribution made to him. This latter deemed exchange will generally result in the unitholders realization of ordinary income, which will equal the excess of (1) the non-pro rata portion of that distribution over (2) the unitholders tax basis (generally zero) for the share of Section 751 Assets deemed relinquished in the exchange. </w:t>
      </w:r>
    </w:p>
    <w:p>
      <w:pPr>
        <w:pStyle w:val="TextBody"/>
        <w:spacing w:before="180" w:after="0"/>
        <w:rPr>
          <w:rFonts w:ascii="Times New Roman" w:hAnsi="Times New Roman"/>
          <w:sz w:val="20"/>
        </w:rPr>
      </w:pPr>
      <w:r>
        <w:rPr>
          <w:rFonts w:ascii="Times New Roman" w:hAnsi="Times New Roman"/>
          <w:i/>
          <w:sz w:val="20"/>
        </w:rPr>
        <w:t>Basis of Common Units.</w:t>
      </w:r>
      <w:r>
        <w:rPr>
          <w:rFonts w:ascii="Times New Roman" w:hAnsi="Times New Roman"/>
          <w:sz w:val="20"/>
        </w:rPr>
        <w:t xml:space="preserve"> A unitholders initial tax basis for his common units will be the amount he paid for our common units plus his share of our nonrecourse liabilities. That basis will be increased by his share of our income and by any increases in his share of our nonrecourse liabilities. That basis will be decreased, but not below zero, by distributions from us, by the unitholders share of our losses, by any decreases in his share of our nonrecourse liabilities and by his share of our expenditures that are not deductible in computing taxable income and are not required to be capitalized. A unitholder will have no share of our debt that is recourse to our general partner, but will have a share, generally based on his share of profits, of our nonrecourse liabilities. Please see  Disposition of Common Units  Recognition of Gain or Loss. </w:t>
      </w:r>
    </w:p>
    <w:p>
      <w:pPr>
        <w:pStyle w:val="TextBody"/>
        <w:spacing w:before="180" w:after="0"/>
        <w:rPr>
          <w:rFonts w:ascii="Times New Roman" w:hAnsi="Times New Roman"/>
          <w:sz w:val="20"/>
        </w:rPr>
      </w:pPr>
      <w:r>
        <w:rPr>
          <w:rFonts w:ascii="Times New Roman" w:hAnsi="Times New Roman"/>
          <w:i/>
          <w:sz w:val="20"/>
        </w:rPr>
        <w:t>Limitations on Deductibility of Losses.</w:t>
      </w:r>
      <w:r>
        <w:rPr>
          <w:rFonts w:ascii="Times New Roman" w:hAnsi="Times New Roman"/>
          <w:sz w:val="20"/>
        </w:rPr>
        <w:t xml:space="preserve"> The deduction by a unitholder of his share of our losses will be limited to the tax basis in his units and, in the case of an individual unitholder, estate, trust, or corporate unitholder (if more than 50% of the value of the corporate unitholders stock is owned directly or indirectly by or for five or fewer individuals) or some tax-exempt organizations, to the amount for which the unitholder is considered to be at risk with respect to our activities, if that is less than his tax basis. A common unitholder subject to these limitations must recapture losses deducted in previous years to the extent that distributions cause his at-risk amount to be less than zero at the end of any taxable year. Losses disallowed to a unitholder or recaptured as a result of these limitations will carry forward and will be allowable as a deduction to the extent that his at-risk amount is subsequently increased provided such losses do not exceed such common unitholders tax basis in his common units. Upon the taxable disposition of a unit, any gain recognized by a unitholder can be offset by losses that were previously suspended by the at-risk limitation but may not be offset by losses suspended by the basis limitation. Any loss previously suspended by the at-risk limitation in excess of that gain would no longer be utilizable. </w:t>
      </w:r>
    </w:p>
    <w:p>
      <w:pPr>
        <w:pStyle w:val="TextBody"/>
        <w:spacing w:before="180" w:after="0"/>
        <w:rPr>
          <w:rFonts w:ascii="Times New Roman" w:hAnsi="Times New Roman"/>
          <w:sz w:val="20"/>
        </w:rPr>
      </w:pPr>
      <w:r>
        <w:rPr>
          <w:rFonts w:ascii="Times New Roman" w:hAnsi="Times New Roman"/>
          <w:sz w:val="20"/>
        </w:rPr>
        <w:t xml:space="preserve">In general, a unitholder will be at risk to the extent of the tax basis of his units, excluding any portion of that basis attributable to his share of our nonrecourse liabilities, reduced by (i) any portion of that basis representing amounts otherwise protected against loss because of a guarantee, stop loss agreement or other similar arrangement and (ii) any amount of money he borrows to acquire or hold his units, if the lender of those borrowed funds owns an interest in us, is related to the unitholder or can look only to the units for repayment. A unitholders at-risk amount will increase or decrease as the tax basis of the unitholders units increases or decreases, other than tax basis increases or decreases attributable to increases or decreases in his share of our nonrecourse liabilities.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In addition to the basis and at-risk limitations on the deductibility of losses, the passive loss limitations generally provide that individuals, estates, trusts and some closely-held corporations and personal service corporations can deduct losses from passive activities, which are generally trade or business activities in which the taxpayer does not materially participate, only to the extent of the taxpayers income from those passive activities. The passive loss limitations are applied separately with respect to each publicly traded partnership. Consequently, any passive losses we generate will only be available to offset our passive income generated in the future and will not be available to offset income from other passive activities or investments, including our investments or investments in other publicly traded partnerships, or salary or active business income. Passive losses that are not deductible because they exceed a unitholders share of income we generate may be deducted in full when he disposes of his entire investment in us in a fully taxable transaction with an unrelated party. The passive loss limitations are applied after other applicable limitations on deductions, including the at-risk rules and the basis limitation. </w:t>
      </w:r>
    </w:p>
    <w:p>
      <w:pPr>
        <w:pStyle w:val="TextBody"/>
        <w:spacing w:before="180" w:after="0"/>
        <w:rPr>
          <w:rFonts w:ascii="Times New Roman" w:hAnsi="Times New Roman"/>
          <w:sz w:val="20"/>
        </w:rPr>
      </w:pPr>
      <w:r>
        <w:rPr>
          <w:rFonts w:ascii="Times New Roman" w:hAnsi="Times New Roman"/>
          <w:sz w:val="20"/>
        </w:rPr>
        <w:t xml:space="preserve">A unitholders share of our net income may be offset by any of our suspended passive losses, but it may not be offset by any other current or carryover losses from other passive activities, including those attributable to other publicly traded partnerships. </w:t>
      </w:r>
    </w:p>
    <w:p>
      <w:pPr>
        <w:pStyle w:val="TextBody"/>
        <w:spacing w:before="180" w:after="0"/>
        <w:rPr>
          <w:rFonts w:ascii="Times New Roman" w:hAnsi="Times New Roman"/>
          <w:sz w:val="20"/>
        </w:rPr>
      </w:pPr>
      <w:r>
        <w:rPr>
          <w:rFonts w:ascii="Times New Roman" w:hAnsi="Times New Roman"/>
          <w:i/>
          <w:sz w:val="20"/>
        </w:rPr>
        <w:t>Limitations on Interest Deductions.</w:t>
      </w:r>
      <w:r>
        <w:rPr>
          <w:rFonts w:ascii="Times New Roman" w:hAnsi="Times New Roman"/>
          <w:sz w:val="20"/>
        </w:rPr>
        <w:t xml:space="preserve"> The deductibility of a non-corporate taxpayers investment interest expense is generally limited to the amount of that taxpayers net investment income. Investment interest expense includes: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interest on indebtedness properly allocable to property held for investment;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interest expense attributed to portfolio income;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portion of interest expense incurred to purchase or carry an interest in a passive activity to the extent attributable to portfolio income. </w:t>
            </w:r>
          </w:p>
        </w:tc>
      </w:tr>
    </w:tbl>
    <w:p>
      <w:pPr>
        <w:pStyle w:val="TextBody"/>
        <w:spacing w:before="180" w:after="0"/>
        <w:rPr>
          <w:rFonts w:ascii="Times New Roman" w:hAnsi="Times New Roman"/>
          <w:sz w:val="20"/>
        </w:rPr>
      </w:pPr>
      <w:r>
        <w:rPr>
          <w:rFonts w:ascii="Times New Roman" w:hAnsi="Times New Roman"/>
          <w:sz w:val="20"/>
        </w:rPr>
        <w:t xml:space="preserve">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but generally does not include gains attributable to the disposition of property held for investment or qualified dividend income. The IRS has indicated that the net passive income earned by a publicly traded partnership will be treated as investment income to its unitholders. In addition, the unitholders share of our portfolio income will be treated as investment income. </w:t>
      </w:r>
    </w:p>
    <w:p>
      <w:pPr>
        <w:pStyle w:val="TextBody"/>
        <w:spacing w:before="180" w:after="0"/>
        <w:rPr>
          <w:rFonts w:ascii="Times New Roman" w:hAnsi="Times New Roman"/>
          <w:sz w:val="20"/>
        </w:rPr>
      </w:pPr>
      <w:r>
        <w:rPr>
          <w:rFonts w:ascii="Times New Roman" w:hAnsi="Times New Roman"/>
          <w:i/>
          <w:sz w:val="20"/>
        </w:rPr>
        <w:t>Entity-Level Collections.</w:t>
      </w:r>
      <w:r>
        <w:rPr>
          <w:rFonts w:ascii="Times New Roman" w:hAnsi="Times New Roman"/>
          <w:sz w:val="20"/>
        </w:rPr>
        <w:t xml:space="preserve"> If we are required or elect under applicable law to pay any federal, state, local or foreign income tax on behalf of any unitholder or our general partner or any former unitholder, we are authorized to pay those taxes from our funds. That payment, if made, will be treated as a distribution of cash to the partner on whose behalf the payment was made. If the payment is made on behalf of a person whose identity cannot be determined, we are authorized to treat the payment as a distribution to all current unitholders. We are authorized to amend our partnership agreement in the manner necessary to maintain uniformity of intrinsic tax characteristics of units and to adjust later distributions, so that after giving effect to these distributions, the priority and characterization of distributions otherwise applicable under our partnership agreement is maintained as nearly as is practicable. Payments by us as described above could give rise to an overpayment of tax on behalf of an individual partner in which event the partner would be required to file a claim in order to obtain a credit or refund. </w:t>
      </w:r>
    </w:p>
    <w:p>
      <w:pPr>
        <w:pStyle w:val="TextBody"/>
        <w:spacing w:before="180" w:after="0"/>
        <w:rPr>
          <w:rFonts w:ascii="Times New Roman" w:hAnsi="Times New Roman"/>
          <w:sz w:val="20"/>
        </w:rPr>
      </w:pPr>
      <w:r>
        <w:rPr>
          <w:rFonts w:ascii="Times New Roman" w:hAnsi="Times New Roman"/>
          <w:i/>
          <w:sz w:val="20"/>
        </w:rPr>
        <w:t>Allocation of Income, Gain, Loss and Deduction.</w:t>
      </w:r>
      <w:r>
        <w:rPr>
          <w:rFonts w:ascii="Times New Roman" w:hAnsi="Times New Roman"/>
          <w:sz w:val="20"/>
        </w:rPr>
        <w:t xml:space="preserve"> In general, if we have a net profit, our items of income, gain, loss and deduction will be allocated among our general partner and the unitholders in accordance with their percentage interests in us. At any time that distributions are made to our common units in excess of distributions to the subordinated units, or incentive distributions are made to our general partner, gross income will be allocated to the recipients to the extent of these distributions. If we have a net loss, that loss will be allocated first to the general partner and the unitholders in accordance with their percentage interests in us to the extent of their positive capital accounts and, second, to the general partner.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Specified items of our income, gain, loss and deduction will be allocated to account for (i) any difference between the tax basis and fair market value of our assets at the time of an offering and (ii) any difference between the tax basis and fair market value of any property contributed to us by the general partner and its affiliates that exists at the time of such contribution, together, referred to in this discussion as Contributed Property. The effect of these allocations, referred to as Section 704(c) Allocations, to a unitholder purchasing common units from us in an offering will be essentially the same as if the tax basis of our assets were equal to their fair market value at the time of such offering. In the event we issue additional common units or engage in certain other transactions in the future reverse Section 704(c) Allocations, similar to the Section 704(c) Allocations described above, will be made to all holders of partnership interests immediately prior to such other transactions to account for the difference between the book basis for purposes of maintaining capital accounts and the fair market value of all property held by us at the time of the future transaction. In addition, items of recapture income will be allocated to the extent possible to the partner who was allocated the deduction giving rise to the treatment of that gain as recapture income in order to minimize the recognition of ordinary income by some unitholders. Finally, although we do not expect that our operations will result in the creation of negative capital accounts, if negative capital accounts nevertheless result, items of our income and gain will be allocated in an amount and manner as is needed to eliminate the negative balance as quickly as possible. </w:t>
      </w:r>
    </w:p>
    <w:p>
      <w:pPr>
        <w:pStyle w:val="TextBody"/>
        <w:spacing w:before="180" w:after="0"/>
        <w:rPr>
          <w:rFonts w:ascii="Times New Roman" w:hAnsi="Times New Roman"/>
          <w:sz w:val="20"/>
        </w:rPr>
      </w:pPr>
      <w:r>
        <w:rPr>
          <w:rFonts w:ascii="Times New Roman" w:hAnsi="Times New Roman"/>
          <w:sz w:val="20"/>
        </w:rPr>
        <w:t xml:space="preserve">An allocation of items of our income, gain, loss or deduction, other than an allocation required by the Internal Revenue Code to eliminate the difference between a partners book capital account, credited with the fair market value of Contributed Property, and tax capital account, credited with the tax basis of Contributed Property, referred to in this discussion as the Book-Tax Disparity, will generally be given effect for federal income tax purposes in determining a partners share of an item of income, gain, loss or deduction only if the allocation has substantial economic effect. In any other case, a partners share of an item will be determined on the basis of his interest in us, which will be determined by taking into account all the facts and circumstances, including: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his relative contributions to 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interests of all the partners in profits and losses;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interest of all the partners in cash flow;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rights of all the partners to distributions of capital upon liquidation. </w:t>
            </w:r>
          </w:p>
        </w:tc>
      </w:tr>
    </w:tbl>
    <w:p>
      <w:pPr>
        <w:pStyle w:val="TextBody"/>
        <w:spacing w:before="180" w:after="0"/>
        <w:rPr>
          <w:rFonts w:ascii="Times New Roman" w:hAnsi="Times New Roman"/>
          <w:sz w:val="20"/>
        </w:rPr>
      </w:pPr>
      <w:r>
        <w:rPr>
          <w:rFonts w:ascii="Times New Roman" w:hAnsi="Times New Roman"/>
          <w:sz w:val="20"/>
        </w:rPr>
        <w:t xml:space="preserve">Vinson &amp; Elkins L.L.P. is of the opinion that, with the exception of the issues described in  Section 754 Election and  Disposition of Common Units  Allocations Between Transferors and Transferees, allocations under our partnership agreement will be given effect for federal income tax purposes in determining a partners share of an item of income, gain, loss or deduction. </w:t>
      </w:r>
    </w:p>
    <w:p>
      <w:pPr>
        <w:pStyle w:val="TextBody"/>
        <w:spacing w:before="180" w:after="0"/>
        <w:rPr>
          <w:rFonts w:ascii="Times New Roman" w:hAnsi="Times New Roman"/>
          <w:sz w:val="20"/>
        </w:rPr>
      </w:pPr>
      <w:r>
        <w:rPr>
          <w:rFonts w:ascii="Times New Roman" w:hAnsi="Times New Roman"/>
          <w:i/>
          <w:sz w:val="20"/>
        </w:rPr>
        <w:t>Treatment of Short Sales.</w:t>
      </w:r>
      <w:r>
        <w:rPr>
          <w:rFonts w:ascii="Times New Roman" w:hAnsi="Times New Roman"/>
          <w:sz w:val="20"/>
        </w:rPr>
        <w:t xml:space="preserve"> A unitholder whose units are loaned to a short seller to cover a short sale of units may be considered as having disposed of those units. If so, he would no longer be treated for tax purposes as a partner with respect to those units during the period of the loan and may recognize gain or loss from the disposition. As a result, during this period: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of our income, gain, loss or deduction with respect to those units would not be reportable by the unitholder;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cash distributions received by the unitholder as to those units would be fully taxable;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of these distributions would appear to be ordinary income. </w:t>
            </w:r>
          </w:p>
        </w:tc>
      </w:tr>
    </w:tbl>
    <w:p>
      <w:pPr>
        <w:pStyle w:val="TextBody"/>
        <w:spacing w:before="180" w:after="0"/>
        <w:rPr>
          <w:rFonts w:ascii="Times New Roman" w:hAnsi="Times New Roman"/>
          <w:sz w:val="20"/>
        </w:rPr>
      </w:pPr>
      <w:r>
        <w:rPr>
          <w:rFonts w:ascii="Times New Roman" w:hAnsi="Times New Roman"/>
          <w:sz w:val="20"/>
        </w:rPr>
        <w:t xml:space="preserve">Vinson &amp; Elkins L.L.P. has not rendered an opinion regarding the treatment of a unitholder where common units are loaned to a short seller to cover a short sale of common units; therefore, unitholders desiring to assure their status as partners and avoid the risk of gain recognition from a loan to a short seller are urged to modify any applicable brokerage account agreements to prohibit their brokers from borrowing their units. The IRS has announced that it is actively studying issues relating to the tax treatment of short sales of partnership interests. Please also read  Disposition of Common Units  Recognition of Gain or Loss.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i/>
          <w:sz w:val="20"/>
        </w:rPr>
        <w:t>Alternative Minimum Tax.</w:t>
      </w:r>
      <w:r>
        <w:rPr>
          <w:rFonts w:ascii="Times New Roman" w:hAnsi="Times New Roman"/>
          <w:sz w:val="20"/>
        </w:rPr>
        <w:t xml:space="preserve"> Each unitholder will be required to take into account his distributive share of any items of our income, gain, loss or deduction for purposes of the alternative minimum tax. The current minimum tax rate for noncorporate taxpayers is 26% on the first $175,000 of alternative minimum taxable income in excess of the exemption amount and 28% on any additional alternative minimum taxable income. Prospective unitholders are urged to consult with their tax advisors as to the impact of an investment in units on their liability for the alternative minimum tax. </w:t>
      </w:r>
    </w:p>
    <w:p>
      <w:pPr>
        <w:pStyle w:val="TextBody"/>
        <w:spacing w:before="180" w:after="0"/>
        <w:rPr>
          <w:rFonts w:ascii="Times New Roman" w:hAnsi="Times New Roman"/>
          <w:sz w:val="20"/>
        </w:rPr>
      </w:pPr>
      <w:r>
        <w:rPr>
          <w:rFonts w:ascii="Times New Roman" w:hAnsi="Times New Roman"/>
          <w:i/>
          <w:sz w:val="20"/>
        </w:rPr>
        <w:t>Tax Rates.</w:t>
      </w:r>
      <w:r>
        <w:rPr>
          <w:rFonts w:ascii="Times New Roman" w:hAnsi="Times New Roman"/>
          <w:sz w:val="20"/>
        </w:rPr>
        <w:t xml:space="preserve"> Under current law, the highest marginal U.S. federal income tax rate applicable to ordinary income of individuals is 35% and the highest marginal U.S. federal income tax rate applicable to long-term capital gains (generally, capital gains on certain assets held for more than 12 months) of individuals is 15%. However, absent new legislation extending the current rates, beginning January 1, 2011, the highest marginal U.S. federal income tax rate applicable to ordinary income and long-term capital gains of individuals will increase to 39.6% and 20%, respectively. Moreover, these rates are subject to change by new legislation at any time. </w:t>
      </w:r>
    </w:p>
    <w:p>
      <w:pPr>
        <w:pStyle w:val="TextBody"/>
        <w:spacing w:before="180" w:after="0"/>
        <w:rPr>
          <w:rFonts w:ascii="Times New Roman" w:hAnsi="Times New Roman"/>
          <w:sz w:val="20"/>
        </w:rPr>
      </w:pPr>
      <w:r>
        <w:rPr>
          <w:rFonts w:ascii="Times New Roman" w:hAnsi="Times New Roman"/>
          <w:i/>
          <w:sz w:val="20"/>
        </w:rPr>
        <w:t>Section 754 Election.</w:t>
      </w:r>
      <w:r>
        <w:rPr>
          <w:rFonts w:ascii="Times New Roman" w:hAnsi="Times New Roman"/>
          <w:sz w:val="20"/>
        </w:rPr>
        <w:t xml:space="preserve"> We have made the election permitted by Section 754 of the Internal Revenue Code. That election is irrevocable without the consent of the IRS. The election will generally permit us to adjust a common unit purchasers tax basis in our assets (inside basis) under Section 743(b) of the Internal Revenue Code to reflect his purchase price. This election does not apply to a person who purchases common units directly from us. The Section 743(b) adjustment belongs to the purchaser and not to other unitholders. For purposes of this discussion, a unitholders inside basis in our assets will be considered to have two components: (1) his share of our tax basis in our assets (common basis) and (2) his Section 743(b) adjustment to that basis. </w:t>
      </w:r>
    </w:p>
    <w:p>
      <w:pPr>
        <w:pStyle w:val="TextBody"/>
        <w:spacing w:before="180" w:after="0"/>
        <w:rPr>
          <w:rFonts w:ascii="Times New Roman" w:hAnsi="Times New Roman"/>
          <w:sz w:val="20"/>
        </w:rPr>
      </w:pPr>
      <w:r>
        <w:rPr>
          <w:rFonts w:ascii="Times New Roman" w:hAnsi="Times New Roman"/>
          <w:sz w:val="20"/>
        </w:rPr>
        <w:t xml:space="preserve">Where the remedial allocation method is adopted (which we have generally adopted as to all of our properties), the Treasury Regulations under Section 743 of the Internal Revenue Code require a portion of the Section 743(b) adjustment that is attributable to recovery property subject to depreciation under Section 168 of the Internal Revenue Code whose book basis is in excess of its tax basis to be depreciated over the remaining cost recovery period for the propertys unamortized Book-Tax Disparity. Under Treasury Regulation Section 1.167(c)-1(a)(6), a Section 743(b) adjustment attributable to property subject to depreciation under Section 167 of the Internal Revenue Code, rather than cost recovery deductions under Section 168, is generally required to be depreciated using either the straight-line method or the 150% declining balance method. If we elect a method other than the remedial method, the depreciation and amortization methods and useful lives associated with the Section 743(b) adjustment, therefore, may differ from the methods and useful lives generally used to depreciate the inside basis in such properties. Under our partnership agreement, the general partner is authorized to take a position to preserve the uniformity of units even if that position is not consistent with these and any other Treasury Regulations. If we elect a method other than the remedial method with respect to a goodwill property, the common basis of such property is not amortizable. Please see  Uniformity of Units. </w:t>
      </w:r>
    </w:p>
    <w:p>
      <w:pPr>
        <w:pStyle w:val="TextBody"/>
        <w:spacing w:before="180" w:after="0"/>
        <w:rPr>
          <w:rFonts w:ascii="Times New Roman" w:hAnsi="Times New Roman"/>
          <w:sz w:val="20"/>
        </w:rPr>
      </w:pPr>
      <w:r>
        <w:rPr>
          <w:rFonts w:ascii="Times New Roman" w:hAnsi="Times New Roman"/>
          <w:sz w:val="20"/>
        </w:rPr>
        <w:t xml:space="preserve">Although Vinson &amp; Elkins L.L.P. is unable to opine as to the validity of this approach because there is no direct or indirect controlling authority on this issue, 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propertys unamortized Book-Tax Disparity, or treat that portion as non-amortizable to the extent attributable to property which is not amortizable. This method is consistent with the methods employed by other publicly traded partnerships but is arguably inconsistent with Treasury Regulation Section 1.167(c)-1(a)(6), which is not expected to directly apply to a material portion of our assets. To the extent this Section 743(b) adjustment is attributable to appreciation in value in excess of the unamortized Book-Tax Disparity, we will apply the rules described in the Treasury Regulations and legislative history. If we determine that this position cannot reasonably be taken, we may take a depreciation or amortization position under which all purchasers acquiring units in the same month would receive depreciation or amortization, whether attributable to common basis or a Section 743(b) adjustment, based upon the same applicable rate as if they had purchased a direct interest in our assets. This kind of aggregate approach may result in lower annual depreciation or amortization deductions than would otherwise be allowable to some unitholders.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Please see  Uniformity of Units. A unitholders tax basis for his common units is reduced by his share of our deductions (whether or not such deductions were claimed on an individuals income tax return) so that any position we take that understates deductions will overstate the common unitholders basis in his common units, which may cause the unitholder to understate gain or overstate loss on any sale of such units. Please see  Disposition of Common Units  Recognition of Gain or Loss. The IRS may challenge our position with respect to depreciating or amortizing the Section 743(b) adjustment we take to preserve the uniformity of the units. If such a challenge were sustained, the gain from the sale of units might be increased without the benefit of additional deductions. </w:t>
      </w:r>
    </w:p>
    <w:p>
      <w:pPr>
        <w:pStyle w:val="TextBody"/>
        <w:spacing w:before="180" w:after="0"/>
        <w:rPr>
          <w:rFonts w:ascii="Times New Roman" w:hAnsi="Times New Roman"/>
          <w:sz w:val="20"/>
        </w:rPr>
      </w:pPr>
      <w:r>
        <w:rPr>
          <w:rFonts w:ascii="Times New Roman" w:hAnsi="Times New Roman"/>
          <w:sz w:val="20"/>
        </w:rPr>
        <w:t xml:space="preserve">A Section 754 election is advantageous if the transferees tax basis in his units is higher than the units share of the aggregate tax basis of our assets immediately prior to the transfer. In that case, as a result of the election, the transferee would have, among other items, a greater amount of depreciation deductions and his share of any gain or loss on a sale of our assets would be less. Conversely, a Section 754 election is disadvantageous if the transferees tax basis in his units is lower than those units share of the aggregate tax basis of our assets immediately prior to the transfer. Thus, the fair market value of the units may be affected either favorably or unfavorably by the election. A basis adjustment is required regardless of whether a Section 754 election is made in the case of a transfer of an interest in us if we have a substantial built-in loss immediately after the transfer, or if we distribute property and have a substantial basis reduction. Generally a built-in loss or a basis reduction is substantial if it exceeds $250,000. </w:t>
      </w:r>
    </w:p>
    <w:p>
      <w:pPr>
        <w:pStyle w:val="TextBody"/>
        <w:spacing w:before="180" w:after="0"/>
        <w:rPr>
          <w:rFonts w:ascii="Times New Roman" w:hAnsi="Times New Roman"/>
          <w:sz w:val="20"/>
        </w:rPr>
      </w:pPr>
      <w:r>
        <w:rPr>
          <w:rFonts w:ascii="Times New Roman" w:hAnsi="Times New Roman"/>
          <w:sz w:val="20"/>
        </w:rPr>
        <w:t xml:space="preserve">The calculations involved in the Section 754 election are complex and will be made on the basis of assumptions as to the value of our assets and other matters. For example, the allocation of the Section 743(b) adjustment among our assets must be made in accordance with the Internal Revenue Code. The IRS could seek to reallocate some or all of any Section 743(b) adjustment allocated by us to our tangible assets to goodwill instead. Goodwill, as an intangible asset, is generally nonamortizable or amortizable over a longer period of time or under a less accelerated method than our tangible assets. We cannot assure you that the determinations we make will not be successfully challenged by the IRS and that the deductions resulting from them will not be reduced or disallowed altogether. Should the IRS require a different basis adjustment to be made, and should, in our opinion, the expense of compliance exceed the benefit of the election, we may seek permission from the IRS to revoke our Section 754 election. If permission is granted, a subsequent purchaser of units may be allocated more income than he would have been allocated had the election not been revoked. </w:t>
      </w:r>
    </w:p>
    <w:p>
      <w:pPr>
        <w:pStyle w:val="TextBody"/>
        <w:spacing w:before="270" w:after="0"/>
        <w:rPr>
          <w:rFonts w:ascii="Times New Roman" w:hAnsi="Times New Roman"/>
          <w:b/>
          <w:sz w:val="20"/>
        </w:rPr>
      </w:pPr>
      <w:r>
        <w:rPr>
          <w:rFonts w:ascii="Times New Roman" w:hAnsi="Times New Roman"/>
          <w:b/>
          <w:sz w:val="20"/>
        </w:rPr>
        <w:t xml:space="preserve">Tax Treatment of Operations </w:t>
      </w:r>
    </w:p>
    <w:p>
      <w:pPr>
        <w:pStyle w:val="TextBody"/>
        <w:spacing w:before="90" w:after="0"/>
        <w:rPr>
          <w:rFonts w:ascii="Times New Roman" w:hAnsi="Times New Roman"/>
          <w:sz w:val="20"/>
        </w:rPr>
      </w:pPr>
      <w:r>
        <w:rPr>
          <w:rFonts w:ascii="Times New Roman" w:hAnsi="Times New Roman"/>
          <w:i/>
          <w:sz w:val="20"/>
        </w:rPr>
        <w:t>Accounting Method and Taxable Year.</w:t>
      </w:r>
      <w:r>
        <w:rPr>
          <w:rFonts w:ascii="Times New Roman" w:hAnsi="Times New Roman"/>
          <w:sz w:val="20"/>
        </w:rPr>
        <w:t xml:space="preserve"> We use the year ending December 31 as our taxable year and the accrual method of accounting for federal income tax purposes. Each unitholder will be required to include in income his share of our income, gain, loss and deduction for our taxable year ending within or with his taxable year. In addition, a unitholder who has a taxable year ending on a date other than December 31 and who disposes of all of his units following the close of our taxable year but before the close of his taxable year must include his share of our income, gain, loss and deduction in income for his taxable year, with the result that he will be required to include in income for his taxable year his share of more than one year of our income, gain, loss and deduction. Please see  Disposition of Common Units  Allocations Between Transferors and Transferees. </w:t>
      </w:r>
    </w:p>
    <w:p>
      <w:pPr>
        <w:pStyle w:val="TextBody"/>
        <w:spacing w:before="180" w:after="0"/>
        <w:rPr>
          <w:rFonts w:ascii="Times New Roman" w:hAnsi="Times New Roman"/>
          <w:sz w:val="20"/>
        </w:rPr>
      </w:pPr>
      <w:r>
        <w:rPr>
          <w:rFonts w:ascii="Times New Roman" w:hAnsi="Times New Roman"/>
          <w:i/>
          <w:sz w:val="20"/>
        </w:rPr>
        <w:t>Initial Tax Basis, Depreciation and Amortization.</w:t>
      </w:r>
      <w:r>
        <w:rPr>
          <w:rFonts w:ascii="Times New Roman" w:hAnsi="Times New Roman"/>
          <w:sz w:val="20"/>
        </w:rPr>
        <w:t xml:space="preserve"> The tax basis of our assets will be used for purposes of computing depreciation and cost recovery deductions and, ultimately, gain or loss on the disposition of these assets. The federal income tax burden associated with the difference between the fair market value of our assets and their tax basis immediately prior to an offering will be borne by our unitholders holding interests in us prior to any such offering. Please see  Tax Consequences of Unit Ownership  Allocation of Income, Gain, Loss and Deduction. </w:t>
      </w:r>
    </w:p>
    <w:p>
      <w:pPr>
        <w:pStyle w:val="TextBody"/>
        <w:spacing w:before="180" w:after="0"/>
        <w:rPr>
          <w:rFonts w:ascii="Times New Roman" w:hAnsi="Times New Roman"/>
          <w:sz w:val="20"/>
        </w:rPr>
      </w:pPr>
      <w:r>
        <w:rPr>
          <w:rFonts w:ascii="Times New Roman" w:hAnsi="Times New Roman"/>
          <w:sz w:val="20"/>
        </w:rPr>
        <w:t xml:space="preserve">To the extent allowable, we may elect to use the depreciation and cost recovery methods that will result in the largest deductions being taken in the early years after assets subject to these allowances are placed in service. Because our general partner may determine not to adopt the remedial method of allocation with respect to any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difference between the tax basis and the fair market value of goodwill immediately prior to any future offering, we may not be entitled to any amortization deductions with respect to any goodwill conveyed to us on formation or held by us at the time of any future offering. Please see  Uniformity of Units. Property we subsequently acquire or construct may be depreciated using accelerated methods permitted by the Internal Revenue Code. </w:t>
      </w:r>
    </w:p>
    <w:p>
      <w:pPr>
        <w:pStyle w:val="TextBody"/>
        <w:spacing w:before="180" w:after="0"/>
        <w:rPr>
          <w:rFonts w:ascii="Times New Roman" w:hAnsi="Times New Roman"/>
          <w:sz w:val="20"/>
        </w:rPr>
      </w:pPr>
      <w:r>
        <w:rPr>
          <w:rFonts w:ascii="Times New Roman" w:hAnsi="Times New Roman"/>
          <w:sz w:val="20"/>
        </w:rPr>
        <w:t xml:space="preserve">If we dispose of depreciable property by sale, foreclosure or otherwise, all or a portion of any gain, determined by reference to the amount of depreciation previously deducted and the nature of the property,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his interest in us. Please see  Tax Consequences of Unit Ownership  Allocation of Income, Gain, Loss and Deduction and  Disposition of Common Units  Recognition of Gain or Loss. </w:t>
      </w:r>
    </w:p>
    <w:p>
      <w:pPr>
        <w:pStyle w:val="TextBody"/>
        <w:spacing w:before="180" w:after="0"/>
        <w:rPr>
          <w:rFonts w:ascii="Times New Roman" w:hAnsi="Times New Roman"/>
          <w:sz w:val="20"/>
        </w:rPr>
      </w:pPr>
      <w:r>
        <w:rPr>
          <w:rFonts w:ascii="Times New Roman" w:hAnsi="Times New Roman"/>
          <w:sz w:val="20"/>
        </w:rPr>
        <w:t xml:space="preserve">The costs we incur in selling our units (called syndication expenses) must be capitalized and cannot be deducted currently, ratably or upon our termination. There are uncertainties regarding the classification of costs as organization expenses, which may be amortized by us, and as syndication expenses, which may not be amortized by us. The underwriting discounts and commissions we incur will be treated as syndication expenses. </w:t>
      </w:r>
    </w:p>
    <w:p>
      <w:pPr>
        <w:pStyle w:val="TextBody"/>
        <w:spacing w:before="180" w:after="0"/>
        <w:rPr>
          <w:rFonts w:ascii="Times New Roman" w:hAnsi="Times New Roman"/>
          <w:sz w:val="20"/>
        </w:rPr>
      </w:pPr>
      <w:r>
        <w:rPr>
          <w:rFonts w:ascii="Times New Roman" w:hAnsi="Times New Roman"/>
          <w:i/>
          <w:sz w:val="20"/>
        </w:rPr>
        <w:t>Valuation and Tax Basis of Our Properties.</w:t>
      </w:r>
      <w:r>
        <w:rPr>
          <w:rFonts w:ascii="Times New Roman" w:hAnsi="Times New Roman"/>
          <w:sz w:val="20"/>
        </w:rPr>
        <w:t xml:space="preserve"> The federal income tax consequences of the ownership and disposition of units will depend in part on our estimates of the relative fair market values, and the initial tax bases, of our assets. Although we may from time to time consult with professional appraisers regarding valuation matters, we will make many of the relative fair market value estimates ourselves. These estimates and determinations of basis are subject to challenge and will not be binding on the IRS or the courts. If the estimates of fair market value or basis are later found to be incorrect, the character and amount of items of income, gain, loss or deductions previously reported by unitholders might change, and unitholders might be required to adjust their tax liability for prior years and incur interest and penalties with respect to those adjustments. </w:t>
      </w:r>
    </w:p>
    <w:p>
      <w:pPr>
        <w:pStyle w:val="TextBody"/>
        <w:spacing w:before="270" w:after="0"/>
        <w:rPr>
          <w:rFonts w:ascii="Times New Roman" w:hAnsi="Times New Roman"/>
          <w:b/>
          <w:sz w:val="20"/>
        </w:rPr>
      </w:pPr>
      <w:r>
        <w:rPr>
          <w:rFonts w:ascii="Times New Roman" w:hAnsi="Times New Roman"/>
          <w:b/>
          <w:sz w:val="20"/>
        </w:rPr>
        <w:t xml:space="preserve">Disposition of Common Units </w:t>
      </w:r>
    </w:p>
    <w:p>
      <w:pPr>
        <w:pStyle w:val="TextBody"/>
        <w:spacing w:before="90" w:after="0"/>
        <w:rPr>
          <w:rFonts w:ascii="Times New Roman" w:hAnsi="Times New Roman"/>
          <w:sz w:val="20"/>
        </w:rPr>
      </w:pPr>
      <w:r>
        <w:rPr>
          <w:rFonts w:ascii="Times New Roman" w:hAnsi="Times New Roman"/>
          <w:i/>
          <w:sz w:val="20"/>
        </w:rPr>
        <w:t>Recognition of Gain or Loss.</w:t>
      </w:r>
      <w:r>
        <w:rPr>
          <w:rFonts w:ascii="Times New Roman" w:hAnsi="Times New Roman"/>
          <w:sz w:val="20"/>
        </w:rPr>
        <w:t xml:space="preserve"> Gain or loss will be recognized on a sale of units equal to the difference between the amount realized and the unitholders tax basis for the units sold. A unitholders amount realized will be measured by the sum of the cash or the fair market value of other property received by him plus his share of our nonrecourse liabilities. Because the amount realized includes a unitholders share of our nonrecourse liabilities, the gain recognized on the sale of units could result in a tax liability in excess of any cash received from the sale. </w:t>
      </w:r>
    </w:p>
    <w:p>
      <w:pPr>
        <w:pStyle w:val="TextBody"/>
        <w:spacing w:before="180" w:after="0"/>
        <w:rPr>
          <w:rFonts w:ascii="Times New Roman" w:hAnsi="Times New Roman"/>
          <w:sz w:val="20"/>
        </w:rPr>
      </w:pPr>
      <w:r>
        <w:rPr>
          <w:rFonts w:ascii="Times New Roman" w:hAnsi="Times New Roman"/>
          <w:sz w:val="20"/>
        </w:rPr>
        <w:t xml:space="preserve">Prior distributions from us in excess of cumulative net taxable income for a common unit that decreased a unitholders tax basis in that common unit will, in effect, become taxable income if the common unit is sold at a price greater than the unitholders tax basis in that common unit, even if the price received is less than his original cost. </w:t>
      </w:r>
    </w:p>
    <w:p>
      <w:pPr>
        <w:pStyle w:val="TextBody"/>
        <w:spacing w:before="180" w:after="0"/>
        <w:rPr>
          <w:rFonts w:ascii="Times New Roman" w:hAnsi="Times New Roman"/>
          <w:sz w:val="20"/>
        </w:rPr>
      </w:pPr>
      <w:r>
        <w:rPr>
          <w:rFonts w:ascii="Times New Roman" w:hAnsi="Times New Roman"/>
          <w:sz w:val="20"/>
        </w:rPr>
        <w:t xml:space="preserve">Except as noted below, gain or loss recognized by a unitholder, other than a dealer in units, on the sale or exchange of a unit held for more than one year will generally be taxable as long term capital gain or loss. Capital gain recognized by an individual on the sale of units held more than twelve months will generally be taxed at a maximum rate of 15% through December 31, 2010 and 20% thereafter (absent new legislation extending or adjusting the current rate). However, a portion of this gain or loss, which will likely be substantial, will be separately computed and taxed as ordinary income or loss under Section 751 of the Internal Revenue Code to the extent attributable to assets giving rise to depreciation recapture or other unrealized receivables or to inventory items we own. The term unrealized receivables includes potential recapture items, including depreciation recapture. Ordinary income attributable to unrealized receivables, inventory items and depreciation recapture may exceed net taxable gain realized upon the sale of a unit and may be recognized even if there is a net taxable loss realized on the sale of a unit. Thus, a unitholder may recognize both ordinary income and a capital loss upon a sale of units. Net capital losses may offset capital gains and no more than $3,000 of ordinary income, in the case of individuals, and may only be used to offset capital gains in the case of corporations.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his entire interest in the partnership as the value of the interest sold bears to the value of the partners entire interest in the partnership. Treasury Regulations under Section 1223 of the Internal Revenue Code allow a selling unitholder who can identify common units transferred with an ascertainable holding period to elect to use the actual holding period of the common units transferred. Thus, according to the ruling, a common unitholder will be unable to select high or low basis common units to sell as would be the case with corporate stock, but, according to the Treasury Regulations, may designate specific common units sold for purposes of determining the holding period of units transferred. A unitholder electing to use the actual holding period of common units transferred must consistently use that identification method for all subsequent sales or exchanges of common units. A unitholder considering the purchase of additional units or a sale of common units purchased in separate transactions is urged to consult his tax advisor as to the possible consequences of this ruling and application of the Treasury Regulations. </w:t>
      </w:r>
    </w:p>
    <w:p>
      <w:pPr>
        <w:pStyle w:val="TextBody"/>
        <w:spacing w:before="180" w:after="0"/>
        <w:rPr>
          <w:rFonts w:ascii="Times New Roman" w:hAnsi="Times New Roman"/>
          <w:sz w:val="20"/>
        </w:rPr>
      </w:pPr>
      <w:r>
        <w:rPr>
          <w:rFonts w:ascii="Times New Roman" w:hAnsi="Times New Roman"/>
          <w:sz w:val="20"/>
        </w:rPr>
        <w:t xml:space="preserve">Specific provisions of the Internal Revenue Code affect the taxation of some financial products and securities, including partnership interests, by treating a taxpayer as having sold an appreciated partnership interest, one in which gain would be recognized if it were sold, assigned or terminated at its fair market value, if the taxpayer or related persons enter(s) into: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short sale;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 offsetting notional principal contract;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0"/>
        <w:gridCol w:w="93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futures or forward contract with respect to the partnership interest or substantially identical property. </w:t>
            </w:r>
          </w:p>
        </w:tc>
      </w:tr>
    </w:tbl>
    <w:p>
      <w:pPr>
        <w:pStyle w:val="TextBody"/>
        <w:spacing w:before="180" w:after="0"/>
        <w:rPr>
          <w:rFonts w:ascii="Times New Roman" w:hAnsi="Times New Roman"/>
          <w:sz w:val="20"/>
        </w:rPr>
      </w:pPr>
      <w:r>
        <w:rPr>
          <w:rFonts w:ascii="Times New Roman" w:hAnsi="Times New Roman"/>
          <w:sz w:val="20"/>
        </w:rPr>
        <w:t xml:space="preserve">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also authorized to issue regulations that treat a taxpayer that enters into transactions or positions that have substantially the same effect as the preceding transactions as having constructively sold the financial position. </w:t>
      </w:r>
    </w:p>
    <w:p>
      <w:pPr>
        <w:pStyle w:val="TextBody"/>
        <w:spacing w:before="180" w:after="0"/>
        <w:rPr>
          <w:rFonts w:ascii="Times New Roman" w:hAnsi="Times New Roman"/>
          <w:sz w:val="20"/>
        </w:rPr>
      </w:pPr>
      <w:r>
        <w:rPr>
          <w:rFonts w:ascii="Times New Roman" w:hAnsi="Times New Roman"/>
          <w:i/>
          <w:sz w:val="20"/>
        </w:rPr>
        <w:t>Allocations Between Transferors and Transferees.</w:t>
      </w:r>
      <w:r>
        <w:rPr>
          <w:rFonts w:ascii="Times New Roman" w:hAnsi="Times New Roman"/>
          <w:sz w:val="20"/>
        </w:rPr>
        <w:t xml:space="preserve"> In general, our taxable income and losses will be determined annually, will be prorated on a monthly basis and will be subsequently apportioned among the unitholders in proportion to the number of units owned by each of them as of the opening of the applicable exchange on the first business day of the month, which we refer to in this prospectus as the Allocation Date. However, gain or loss realized on a sale or other disposition of our assets other than in the ordinary course of business will be allocated among the unitholders on the Allocation Date in the month in which that gain or loss is recognized. As a result, a unitholder transferring units may be allocated income, gain, loss and deduction realized after the date of transfer. </w:t>
      </w:r>
    </w:p>
    <w:p>
      <w:pPr>
        <w:pStyle w:val="TextBody"/>
        <w:spacing w:before="180" w:after="0"/>
        <w:rPr>
          <w:rFonts w:ascii="Times New Roman" w:hAnsi="Times New Roman"/>
          <w:sz w:val="20"/>
        </w:rPr>
      </w:pPr>
      <w:r>
        <w:rPr>
          <w:rFonts w:ascii="Times New Roman" w:hAnsi="Times New Roman"/>
          <w:sz w:val="20"/>
        </w:rPr>
        <w:t xml:space="preserve">Although simplifying conventions are contemplated by the Internal Revenue Code and most publicly traded partnerships use similar simplifying conventions, the use of this method may not be permitted under existing Treasury Regulations. Recently, however, the Department of the Treasury and the IRS issued proposed Treasury Regulations that provide a safe harbor pursuant to which a publicly traded partnership may use a similar monthly simplifying convention to allocate tax items among transferor and transferee unitholders, although such tax items must be prorated on a daily basis. Existing publicly traded partnerships are entitled to rely on these proposed Treasury Regulations; however, they are not binding on the IRS and are subject to change until final Treasury Regulations are issued. Accordingly, Vinson &amp; Elkins L.L.P. is unable to opine on the validity of this method of allocating income and deductions between transferor and transferee unitholders. If this method is not allowed under the Treasury Regulations, or only applies to transfers of less than all of the unitholders interest, our taxable income or losses might be reallocated among the unitholders. We are authorized to revise our method of allocation between transferor and transferee unitholders, as well as unitholders whose interests vary during a taxable year, to conform to a method permitted under future Treasury Regulations.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 unitholder who owns units at any time during a quarter and who disposes of them prior to the record date set for a cash distribution for that quarter will be allocated items of our income, gain, loss and deductions attributable to that quarter but will not be entitled to receive that cash distribution. </w:t>
      </w:r>
    </w:p>
    <w:p>
      <w:pPr>
        <w:pStyle w:val="TextBody"/>
        <w:spacing w:before="180" w:after="0"/>
        <w:rPr>
          <w:rFonts w:ascii="Times New Roman" w:hAnsi="Times New Roman"/>
          <w:sz w:val="20"/>
        </w:rPr>
      </w:pPr>
      <w:r>
        <w:rPr>
          <w:rFonts w:ascii="Times New Roman" w:hAnsi="Times New Roman"/>
          <w:i/>
          <w:sz w:val="20"/>
        </w:rPr>
        <w:t>Notification Requirements.</w:t>
      </w:r>
      <w:r>
        <w:rPr>
          <w:rFonts w:ascii="Times New Roman" w:hAnsi="Times New Roman"/>
          <w:sz w:val="20"/>
        </w:rPr>
        <w:t xml:space="preserve"> A unitholder who sells any of his units is generally required to notify us in writing of that sale within 30 days after the sale (or, if earlier, January 15 of the year following the sale). A purchaser of units who purchases units from another unitholder is also generally required to notify us in writing of that purchase within 30 days after the purchase. Upon receiving such notifications, we are required to notify the IRS of that transaction and to furnish specified information to the transferor and transferee. Failure to notify us of a purchase may, in some cases, lead to the imposition of penalties. However, these reporting requirements do not apply to a sale by an individual who is a citizen of the United States and who effects the sale or exchange through a broker who will satisfy such requirements. </w:t>
      </w:r>
    </w:p>
    <w:p>
      <w:pPr>
        <w:pStyle w:val="TextBody"/>
        <w:spacing w:before="180" w:after="0"/>
        <w:rPr>
          <w:rFonts w:ascii="Times New Roman" w:hAnsi="Times New Roman"/>
          <w:sz w:val="20"/>
        </w:rPr>
      </w:pPr>
      <w:r>
        <w:rPr>
          <w:rFonts w:ascii="Times New Roman" w:hAnsi="Times New Roman"/>
          <w:i/>
          <w:sz w:val="20"/>
        </w:rPr>
        <w:t>Constructive Termination.</w:t>
      </w:r>
      <w:r>
        <w:rPr>
          <w:rFonts w:ascii="Times New Roman" w:hAnsi="Times New Roman"/>
          <w:sz w:val="20"/>
        </w:rPr>
        <w:t xml:space="preserve"> We will be considered to have been terminated for tax purposes if there are sales or exchanges which, in the aggregate, constitute 50% or more of the total interests in our capital and profits within a twelve-month period. For purposes of measuring whether the 50% threshold is reached, multiple sales of the same interest are counted only once. A constructive termination results in the closing of our taxable year for all unitholders. In the case of a unitholder reporting on a taxable year other than a fiscal year ending December 31, the closing of our taxable year may result in more than twelve months of our taxable income or loss being includable in his taxable income for the year of termination. A constructive termination occurring on a date other than December 31 will result in us filing two tax returns (and common unitholders receiving two Schedules K-1) for one fiscal year and the cost of the preparation of these returns will be borne by all common unitholders. We would be required to make new tax elections after a termination, including a new election under Section 754 of the Internal Revenue Code, and a termination would result in a deferral of our deductions for depreciation. A termination could also result in penalties if we were unable to determine that the termination had occurred. Moreover, a termination might either accelerate the application of, or subject us to, any tax legislation enacted before the termination. The IRS has recently announced that it plans to issue guidance regarding the treatment of constructive terminations of publicly traded partnerships such as us. Any such guidance may change the application of the rules discussed above and may affect the tax treatment of a unitholder. </w:t>
      </w:r>
    </w:p>
    <w:p>
      <w:pPr>
        <w:pStyle w:val="TextBody"/>
        <w:spacing w:before="270" w:after="0"/>
        <w:rPr>
          <w:rFonts w:ascii="Times New Roman" w:hAnsi="Times New Roman"/>
          <w:b/>
          <w:sz w:val="20"/>
        </w:rPr>
      </w:pPr>
      <w:r>
        <w:rPr>
          <w:rFonts w:ascii="Times New Roman" w:hAnsi="Times New Roman"/>
          <w:b/>
          <w:sz w:val="20"/>
        </w:rPr>
        <w:t xml:space="preserve">Uniformity of Units </w:t>
      </w:r>
    </w:p>
    <w:p>
      <w:pPr>
        <w:pStyle w:val="TextBody"/>
        <w:spacing w:before="90" w:after="0"/>
        <w:rPr>
          <w:rFonts w:ascii="Times New Roman" w:hAnsi="Times New Roman"/>
          <w:sz w:val="20"/>
        </w:rPr>
      </w:pPr>
      <w:r>
        <w:rPr>
          <w:rFonts w:ascii="Times New Roman" w:hAnsi="Times New Roman"/>
          <w:sz w:val="20"/>
        </w:rPr>
        <w:t xml:space="preserve">Because we cannot match transferors and transferees of units, we must maintain uniformity of the economic and tax characteristics of the units to a purchaser of these units. In the absence of uniformity, we may be unable to completely comply with a number of federal income tax requirements, both statutory and regulatory. A lack of uniformity can result from a literal application of Treasury Regulation Section 1.167(c)-1(a)(6). Any non-uniformity could have a negative impact on the value of the units. Please see  Tax Consequences of Unit Ownership  Section 754 Election. </w:t>
      </w:r>
    </w:p>
    <w:p>
      <w:pPr>
        <w:pStyle w:val="TextBody"/>
        <w:spacing w:before="180" w:after="0"/>
        <w:rPr>
          <w:rFonts w:ascii="Times New Roman" w:hAnsi="Times New Roman"/>
          <w:sz w:val="20"/>
        </w:rPr>
      </w:pPr>
      <w:r>
        <w:rPr>
          <w:rFonts w:ascii="Times New Roman" w:hAnsi="Times New Roman"/>
          <w:sz w:val="20"/>
        </w:rPr>
        <w:t xml:space="preserve">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propertys unamortized Book-Tax Disparity, or treat that portion as nonamortizable, to the extent attributable to property the common basis of which is not amortizable, consistent with the regulations under Section 743 of the Internal Revenue Code, even though that position may be inconsistent with Treasury Regulation Section 1.167(c)-1(a)(6), which is not expected to directly apply to a material portion of our assets, and Treasury Regulation Section 1.197-2(g)(3). Please see  Tax Consequences of Unit Ownership  Section 754 Election. To the extent that the Section 743(b) adjustment is attributable to appreciation in value in excess of the unamortized Book-Tax Disparity, we will apply the rules described in the Treasury Regulations and legislative history. If we determine that this position cannot reasonably be taken, we may adopt a depreciation and amortization position under which all purchasers acquiring units in the same month would receive depreciation and amortization deductions, whether attributable to a common basis or Section 743(b) adjustment, based upon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same applicable methods and lives as if they had purchased a direct interest in our property. If this position is adopted, it may result in lower annual depreciation and amortization deductions than would otherwise be allowable to some unitholders and risk the loss of depreciation and amortization deductions not taken in the year that these deductions are otherwise allowable. This position will not be adopted if we determine that the loss of depreciation and amortization deductions will have a material adverse effect on the unitholders. If we choose not to utilize this aggregate method, we may use any other reasonable depreciation and amortization method to preserve the uniformity of the intrinsic tax characteristics of any units that would not have a material adverse effect on the unitholders. The IRS may challenge any method of depreciating the Section 743(b) adjustment described in this paragraph. If this challenge were sustained, the uniformity of units might be affected, and the gain from the sale of units might be increased without the benefit of additional deductions. Please see  Disposition of Common Units  Recognition of Gain or Loss. </w:t>
      </w:r>
    </w:p>
    <w:p>
      <w:pPr>
        <w:pStyle w:val="TextBody"/>
        <w:spacing w:before="270" w:after="0"/>
        <w:rPr>
          <w:rFonts w:ascii="Times New Roman" w:hAnsi="Times New Roman"/>
          <w:b/>
          <w:sz w:val="20"/>
        </w:rPr>
      </w:pPr>
      <w:r>
        <w:rPr>
          <w:rFonts w:ascii="Times New Roman" w:hAnsi="Times New Roman"/>
          <w:b/>
          <w:sz w:val="20"/>
        </w:rPr>
        <w:t xml:space="preserve">Tax-Exempt Organizations and Other Investors </w:t>
      </w:r>
    </w:p>
    <w:p>
      <w:pPr>
        <w:pStyle w:val="TextBody"/>
        <w:spacing w:before="90" w:after="0"/>
        <w:rPr>
          <w:rFonts w:ascii="Times New Roman" w:hAnsi="Times New Roman"/>
          <w:sz w:val="20"/>
        </w:rPr>
      </w:pPr>
      <w:r>
        <w:rPr>
          <w:rFonts w:ascii="Times New Roman" w:hAnsi="Times New Roman"/>
          <w:sz w:val="20"/>
        </w:rPr>
        <w:t xml:space="preserve">Ownership of units by employee benefit plans, other tax-exempt organizations, non-resident aliens, foreign corporations and other non-U.S. persons raises issues unique to those investors and, as described below, may have substantially adverse tax consequences to them. If you are a tax-exempt entity or a non-U.S. person, you should consult your tax advisor before investing in our common units. </w:t>
      </w:r>
    </w:p>
    <w:p>
      <w:pPr>
        <w:pStyle w:val="TextBody"/>
        <w:spacing w:before="180" w:after="0"/>
        <w:rPr>
          <w:rFonts w:ascii="Times New Roman" w:hAnsi="Times New Roman"/>
          <w:sz w:val="20"/>
        </w:rPr>
      </w:pPr>
      <w:r>
        <w:rPr>
          <w:rFonts w:ascii="Times New Roman" w:hAnsi="Times New Roman"/>
          <w:sz w:val="20"/>
        </w:rPr>
        <w:t xml:space="preserve">Employee benefit plans and most other organizations exempt from federal income tax, including individual retirement accounts and other retirement plans, are subject to federal income tax on unrelated business taxable income. Virtually all of our income allocated to a unitholder that is a tax-exempt organization will be unrelated business taxable income and will be taxable to it. </w:t>
      </w:r>
    </w:p>
    <w:p>
      <w:pPr>
        <w:pStyle w:val="TextBody"/>
        <w:spacing w:before="180" w:after="0"/>
        <w:rPr>
          <w:rFonts w:ascii="Times New Roman" w:hAnsi="Times New Roman"/>
          <w:sz w:val="20"/>
        </w:rPr>
      </w:pPr>
      <w:r>
        <w:rPr>
          <w:rFonts w:ascii="Times New Roman" w:hAnsi="Times New Roman"/>
          <w:sz w:val="20"/>
        </w:rPr>
        <w:t xml:space="preserve">Non-resident aliens and foreign corporations, trusts or estates that own units will be considered to be engaged in business in the United States because of the ownership of units. As a consequence, they will be required to file federal tax returns to report their share of our income, gain, loss or deduction and pay federal income tax at regular rates on their share of our net income or gain. Moreover, under rules applicable to publicly traded partnerships, we will withhold at the highest applicable effective tax rate from cash distributions made quarterly to non-U.S. unitholders. Each non-U.S. unitholder must obtain a taxpayer identification number from the IRS and submit that number to our transfer agent on a Form W-8BEN or applicable substitute form in order to obtain credit for these withholding taxes. A change in applicable law may require us to change these procedures. </w:t>
      </w:r>
    </w:p>
    <w:p>
      <w:pPr>
        <w:pStyle w:val="TextBody"/>
        <w:spacing w:before="180" w:after="0"/>
        <w:rPr>
          <w:rFonts w:ascii="Times New Roman" w:hAnsi="Times New Roman"/>
          <w:sz w:val="20"/>
        </w:rPr>
      </w:pPr>
      <w:r>
        <w:rPr>
          <w:rFonts w:ascii="Times New Roman" w:hAnsi="Times New Roman"/>
          <w:sz w:val="20"/>
        </w:rPr>
        <w:t xml:space="preserve">In addition, because a foreign corporation that owns units will be treated as engaged in a United States trade or business, that corporation may be subject to the United States branch profits tax at a rate of 30%, in addition to regular federal income tax, on its share of our income and gain, as adjusted for changes in the foreign corporations U.S. net equity, which are effectively connected with the conduct of a United States trade or business.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Internal Revenue Code. </w:t>
      </w:r>
    </w:p>
    <w:p>
      <w:pPr>
        <w:pStyle w:val="TextBody"/>
        <w:spacing w:before="180" w:after="0"/>
        <w:rPr>
          <w:rFonts w:ascii="Times New Roman" w:hAnsi="Times New Roman"/>
          <w:sz w:val="20"/>
        </w:rPr>
      </w:pPr>
      <w:r>
        <w:rPr>
          <w:rFonts w:ascii="Times New Roman" w:hAnsi="Times New Roman"/>
          <w:sz w:val="20"/>
        </w:rPr>
        <w:t xml:space="preserve">A foreign unitholder who sells or otherwise disposes of a unit will be subject to U.S. federal income tax on gain realized from the sale or disposition of that unit to the extent the gain is effectively connected with a U.S. trade or business of the foreign unitholder. Under a ruling published by the IRS, interpreting the scope of effectively connected income, a foreign unitholder would be considered to be engaged in a trade or business in the U.S. by virtue of the U.S. activities of the partnership, and part or all of that unitholders gain would be effectively connected with that unitholders indirect U.S. trade or business. Moreover, under the Foreign Investment in Real Property Tax Act, a foreign unitholder generally will be subject to U.S. federal income tax upon the sale or disposition of a unit if (i) he owned (directly or constructively applying certain attribution rules) more than 5% of our common units at any time during the five-year period ending on the date of such disposition and (ii) 50% or more of the fair market value of all of our assets consisted of U.S. real property interests at any time during the shorter of the period during which such unitholder held the common units or the 5-year period ending on the date of disposition. Currently, more than 50% of our assets consist of U.S. real property interests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and we do not expect that to change in the foreseeable future. Therefore, foreign unitholders may be subject to federal income tax on gain from the sale or disposition of their units. </w:t>
      </w:r>
    </w:p>
    <w:p>
      <w:pPr>
        <w:pStyle w:val="TextBody"/>
        <w:spacing w:before="270" w:after="0"/>
        <w:rPr>
          <w:rFonts w:ascii="Times New Roman" w:hAnsi="Times New Roman"/>
          <w:b/>
          <w:sz w:val="20"/>
        </w:rPr>
      </w:pPr>
      <w:r>
        <w:rPr>
          <w:rFonts w:ascii="Times New Roman" w:hAnsi="Times New Roman"/>
          <w:b/>
          <w:sz w:val="20"/>
        </w:rPr>
        <w:t xml:space="preserve">Administrative Matters </w:t>
      </w:r>
    </w:p>
    <w:p>
      <w:pPr>
        <w:pStyle w:val="TextBody"/>
        <w:spacing w:before="90" w:after="0"/>
        <w:rPr>
          <w:rFonts w:ascii="Times New Roman" w:hAnsi="Times New Roman"/>
          <w:sz w:val="20"/>
        </w:rPr>
      </w:pPr>
      <w:r>
        <w:rPr>
          <w:rFonts w:ascii="Times New Roman" w:hAnsi="Times New Roman"/>
          <w:i/>
          <w:sz w:val="20"/>
        </w:rPr>
        <w:t>Information Returns and Audit Procedures.</w:t>
      </w:r>
      <w:r>
        <w:rPr>
          <w:rFonts w:ascii="Times New Roman" w:hAnsi="Times New Roman"/>
          <w:sz w:val="20"/>
        </w:rPr>
        <w:t xml:space="preserve"> We intend to furnish to each unitholder, within 90 days after the close of each calendar year, specific tax information, including a Schedule K-1, which describes his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you that those positions will in all cases yield a result that conforms to the requirements of the Internal Revenue Code, Treasury Regulations or administrative interpretations of the IRS. Neither we nor Vinson &amp; Elkins L.L.P. can assure prospective unitholders that the IRS will not successfully contend in court that those positions are impermissible. Any challenge by the IRS could negatively affect the value of the units. </w:t>
      </w:r>
    </w:p>
    <w:p>
      <w:pPr>
        <w:pStyle w:val="TextBody"/>
        <w:spacing w:before="180" w:after="0"/>
        <w:rPr>
          <w:rFonts w:ascii="Times New Roman" w:hAnsi="Times New Roman"/>
          <w:sz w:val="20"/>
        </w:rPr>
      </w:pPr>
      <w:r>
        <w:rPr>
          <w:rFonts w:ascii="Times New Roman" w:hAnsi="Times New Roman"/>
          <w:sz w:val="20"/>
        </w:rPr>
        <w:t xml:space="preserve">The IRS may audit our federal income tax information returns. Adjustments resulting from an IRS audit may require each unitholder to adjust a prior years tax liability, and possibly may result in an audit of his return. Any audit of a unitholders return could result in adjustments not related to our returns as well as those related to our returns. </w:t>
      </w:r>
    </w:p>
    <w:p>
      <w:pPr>
        <w:pStyle w:val="TextBody"/>
        <w:spacing w:before="180" w:after="0"/>
        <w:rPr>
          <w:rFonts w:ascii="Times New Roman" w:hAnsi="Times New Roman"/>
          <w:sz w:val="20"/>
        </w:rPr>
      </w:pPr>
      <w:r>
        <w:rPr>
          <w:rFonts w:ascii="Times New Roman" w:hAnsi="Times New Roman"/>
          <w:sz w:val="20"/>
        </w:rPr>
        <w:t xml:space="preserve">Partnerships generally are treated as separate entities for purposes of federal tax audits, judicial review of administrative adjustments by the IRS and tax settlement proceedings. The tax treatment of partnership items of income, gain, loss and deduction are determined in a partnership proceeding rather than in separate proceedings with the partners. The Internal Revenue Code requires that one partner be designated as the Tax Matters Partner for these purposes. Our partnership agreement names our general partner as our Tax Matters Partner. </w:t>
      </w:r>
    </w:p>
    <w:p>
      <w:pPr>
        <w:pStyle w:val="TextBody"/>
        <w:spacing w:before="180" w:after="0"/>
        <w:rPr>
          <w:rFonts w:ascii="Times New Roman" w:hAnsi="Times New Roman"/>
          <w:sz w:val="20"/>
        </w:rPr>
      </w:pPr>
      <w:r>
        <w:rPr>
          <w:rFonts w:ascii="Times New Roman" w:hAnsi="Times New Roman"/>
          <w:sz w:val="20"/>
        </w:rPr>
        <w:t xml:space="preserve">The Tax Matters Partner has made and will make some elections on our behalf and on behalf of unitholders. In addition, 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will go forward, and each unitholder with an interest in the outcome may participate. </w:t>
      </w:r>
    </w:p>
    <w:p>
      <w:pPr>
        <w:pStyle w:val="TextBody"/>
        <w:spacing w:before="180" w:after="0"/>
        <w:rPr>
          <w:rFonts w:ascii="Times New Roman" w:hAnsi="Times New Roman"/>
          <w:sz w:val="20"/>
        </w:rPr>
      </w:pPr>
      <w:r>
        <w:rPr>
          <w:rFonts w:ascii="Times New Roman" w:hAnsi="Times New Roman"/>
          <w:sz w:val="20"/>
        </w:rPr>
        <w:t xml:space="preserve">A unitholder must file a statement with the IRS identifying the treatment of any item on his federal income tax return that is not consistent with the treatment of the item on our return. Intentional or negligent disregard of this consistency requirement may subject a unitholder to substantial penalties. Nominee Reporting. Persons who hold an interest in us as a nominee for another person are required to furnish to us: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name, address and taxpayer identification number of the beneficial owner and the nominee;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102"/>
        <w:gridCol w:w="9392"/>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the beneficial owner is: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408"/>
        <w:gridCol w:w="100"/>
        <w:gridCol w:w="8881"/>
      </w:tblGrid>
      <w:tr>
        <w:trPr/>
        <w:tc>
          <w:tcPr>
            <w:tcW w:w="816"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person that is not a United States person;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407"/>
        <w:gridCol w:w="102"/>
        <w:gridCol w:w="8881"/>
      </w:tblGrid>
      <w:tr>
        <w:trPr/>
        <w:tc>
          <w:tcPr>
            <w:tcW w:w="815"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foreign government, an international organization or any wholly owned agency or instrumentality of either of the foregoing;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408"/>
        <w:gridCol w:w="102"/>
        <w:gridCol w:w="8879"/>
      </w:tblGrid>
      <w:tr>
        <w:trPr/>
        <w:tc>
          <w:tcPr>
            <w:tcW w:w="816"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887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tax-exempt entity;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amount and description of units held, acquired or transferred for the beneficial owner;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0"/>
        <w:gridCol w:w="9393"/>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specific information including the dates of acquisitions and transfers, means of acquisitions and transfers, and acquisition cost for purchases, as well as the amount of net proceeds from sales.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Brokers and financial institutions are required to furnish additional information, including whether they are United States persons and specific information on units they acquire, hold or transfer for their own account. A penalty of $50 per failure, up to a maximum of $100,000 per calendar year, is imposed by the Internal Revenue Code for failure to report that information to us. The nominee is required to supply the beneficial owner of the units with the information furnished to us. </w:t>
      </w:r>
    </w:p>
    <w:p>
      <w:pPr>
        <w:pStyle w:val="TextBody"/>
        <w:spacing w:before="180" w:after="0"/>
        <w:rPr>
          <w:rFonts w:ascii="Times New Roman" w:hAnsi="Times New Roman"/>
          <w:sz w:val="20"/>
        </w:rPr>
      </w:pPr>
      <w:r>
        <w:rPr>
          <w:rFonts w:ascii="Times New Roman" w:hAnsi="Times New Roman"/>
          <w:i/>
          <w:sz w:val="20"/>
        </w:rPr>
        <w:t>Accuracy-Related Penalties.</w:t>
      </w:r>
      <w:r>
        <w:rPr>
          <w:rFonts w:ascii="Times New Roman" w:hAnsi="Times New Roman"/>
          <w:sz w:val="20"/>
        </w:rPr>
        <w:t xml:space="preserve"> An additional tax equal to 20% of the amount of any portion of an underpayment of tax that is attributable to one or more specified causes, including negligence or disregard of rules or regulations, substantial understatements of income tax and substantial valuation misstatements, is imposed by the Internal Revenue Code. No penalty will be imposed, however, for any portion of an underpayment if it is shown that there was a reasonable cause for that portion and that the taxpayer acted in good faith regarding that portion. </w:t>
      </w:r>
    </w:p>
    <w:p>
      <w:pPr>
        <w:pStyle w:val="TextBody"/>
        <w:spacing w:before="180" w:after="0"/>
        <w:rPr>
          <w:rFonts w:ascii="Times New Roman" w:hAnsi="Times New Roman"/>
          <w:sz w:val="20"/>
        </w:rPr>
      </w:pPr>
      <w:r>
        <w:rPr>
          <w:rFonts w:ascii="Times New Roman" w:hAnsi="Times New Roman"/>
          <w:sz w:val="20"/>
        </w:rPr>
        <w:t xml:space="preserve">For individuals, a substantial understatement of income tax in any taxable year exists if the amount of the understatement exceeds the greater of 10% of the tax required to be shown on the return for the taxable year or $5,000 ($10,000 for most corporations). The amount of any understatement subject to penalty generally is reduced if any portion is attributable to a position adopted on the return: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102"/>
        <w:gridCol w:w="9392"/>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 which there is, or was, substantial authority;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as to which there is a reasonable basis and the pertinent facts of that position are disclosed on the return. </w:t>
            </w:r>
          </w:p>
        </w:tc>
      </w:tr>
    </w:tbl>
    <w:p>
      <w:pPr>
        <w:pStyle w:val="TextBody"/>
        <w:spacing w:before="180" w:after="0"/>
        <w:rPr>
          <w:rFonts w:ascii="Times New Roman" w:hAnsi="Times New Roman"/>
          <w:sz w:val="20"/>
        </w:rPr>
      </w:pPr>
      <w:r>
        <w:rPr>
          <w:rFonts w:ascii="Times New Roman" w:hAnsi="Times New Roman"/>
          <w:sz w:val="20"/>
        </w:rPr>
        <w:t xml:space="preserve">If any item of income, gain, loss or deduction included in the distributive shares of unitholders might result in that kind of an understatement of income for which no substantial authority exists, we must disclose the pertinent facts on our return. In addition, we will make a reasonable effort to furnish sufficient information for unitholders to make adequate disclosure on their returns and to take other actions as may be appropriate to permit unitholders to avoid liability for this penalty. More stringent rules apply to tax shelters, which we do not believe includes us or any of our investments, plans or arrangements. </w:t>
      </w:r>
    </w:p>
    <w:p>
      <w:pPr>
        <w:pStyle w:val="TextBody"/>
        <w:spacing w:before="180" w:after="0"/>
        <w:rPr>
          <w:rFonts w:ascii="Times New Roman" w:hAnsi="Times New Roman"/>
          <w:sz w:val="20"/>
        </w:rPr>
      </w:pPr>
      <w:r>
        <w:rPr>
          <w:rFonts w:ascii="Times New Roman" w:hAnsi="Times New Roman"/>
          <w:sz w:val="20"/>
        </w:rPr>
        <w:t xml:space="preserve">A substantial valuation misstatement exists if (i) the value of any property, or the tax basis of any property, claimed on a tax return is 150% or more of the amount determined to be the correct amount of the valuation or tax basis, (ii) the price for any property or services (or for the use of property) claimed on any such return with respect to any transaction between persons described in Internal Revenue Code Section 482 is 200% or more (or 50% or less) of the amount determined under Internal Revenue Code Section 482 to be the correct amount of such price or (iii) the net Internal Revenue Code Section 482 transfer price adjustment for the taxable year exceeds the lesser of $5 million or 10% of the taxpayers gross receipts. No penalty is imposed unless the portion of the underpayment attributable to a substantial valuation misstatement exceeds $5,000 ($10,000 for a corporation other than an S Corporation or a personal holding company). The penalty is increased to 40% in the event of a gross valuation misstatement. </w:t>
      </w:r>
    </w:p>
    <w:p>
      <w:pPr>
        <w:pStyle w:val="TextBody"/>
        <w:spacing w:before="180" w:after="0"/>
        <w:rPr>
          <w:rFonts w:ascii="Times New Roman" w:hAnsi="Times New Roman"/>
          <w:sz w:val="20"/>
        </w:rPr>
      </w:pPr>
      <w:r>
        <w:rPr>
          <w:rFonts w:ascii="Times New Roman" w:hAnsi="Times New Roman"/>
          <w:i/>
          <w:sz w:val="20"/>
        </w:rPr>
        <w:t>Reportable Transactions.</w:t>
      </w:r>
      <w:r>
        <w:rPr>
          <w:rFonts w:ascii="Times New Roman" w:hAnsi="Times New Roman"/>
          <w:sz w:val="20"/>
        </w:rPr>
        <w:t xml:space="preserve"> If we were to engage in a reportable transaction, we (and possibly you and others) would be required to make a detailed disclosure of the transaction to the IRS. A transaction may be a reportable transaction based upon any of several factors, including the fact that it is a type of tax avoidance transaction publicly identified by the IRS as a listed transaction or that it produces certain kinds of losses for partnerships, individuals, S corporations, and trusts in excess of $2 million in any single year, or $4 million in any combination of 6 successive tax years. Our participation in a reportable transaction could increase the likelihood that our federal income tax information return (and possibly your tax return) would be audited by the IRS. Please see  Information Returns and Audit Procedures. </w:t>
      </w:r>
    </w:p>
    <w:p>
      <w:pPr>
        <w:pStyle w:val="TextBody"/>
        <w:spacing w:before="180" w:after="0"/>
        <w:rPr>
          <w:rFonts w:ascii="Times New Roman" w:hAnsi="Times New Roman"/>
          <w:sz w:val="20"/>
        </w:rPr>
      </w:pPr>
      <w:r>
        <w:rPr>
          <w:rFonts w:ascii="Times New Roman" w:hAnsi="Times New Roman"/>
          <w:sz w:val="20"/>
        </w:rPr>
        <w:t xml:space="preserve">Moreover, if we were to participate in a reportable transaction with a significant purpose to avoid or evade tax, or in any listed transaction, you may be subject to the following provisions of the American Jobs Creation Act of 2004: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accuracy-related penalties with a broader scope, significantly narrower exceptions, and potentially greater amounts than described above at  Accuracy-Related Penalties;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 those persons otherwise entitled to deduct interest on federal tax deficiencies, nondeductibility of interest on any resulting tax liability;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the case of a listed transaction, an extended statute of limitations. </w:t>
            </w:r>
          </w:p>
        </w:tc>
      </w:tr>
    </w:tbl>
    <w:p>
      <w:pPr>
        <w:pStyle w:val="TextBody"/>
        <w:spacing w:before="180" w:after="0"/>
        <w:rPr>
          <w:rFonts w:ascii="Times New Roman" w:hAnsi="Times New Roman"/>
          <w:sz w:val="20"/>
        </w:rPr>
      </w:pPr>
      <w:r>
        <w:rPr>
          <w:rFonts w:ascii="Times New Roman" w:hAnsi="Times New Roman"/>
          <w:sz w:val="20"/>
        </w:rPr>
        <w:t xml:space="preserve">We do not expect to engage in any reportable transactions. </w:t>
      </w:r>
    </w:p>
    <w:p>
      <w:pPr>
        <w:pStyle w:val="TextBody"/>
        <w:spacing w:before="270" w:after="0"/>
        <w:rPr>
          <w:rFonts w:ascii="Times New Roman" w:hAnsi="Times New Roman"/>
          <w:b/>
          <w:sz w:val="20"/>
        </w:rPr>
      </w:pPr>
      <w:r>
        <w:rPr>
          <w:rFonts w:ascii="Times New Roman" w:hAnsi="Times New Roman"/>
          <w:b/>
          <w:sz w:val="20"/>
        </w:rPr>
        <w:t xml:space="preserve">State, Local, Foreign and Other Tax Considerations </w:t>
      </w:r>
    </w:p>
    <w:p>
      <w:pPr>
        <w:pStyle w:val="TextBody"/>
        <w:spacing w:before="90" w:after="0"/>
        <w:rPr>
          <w:rFonts w:ascii="Times New Roman" w:hAnsi="Times New Roman"/>
          <w:sz w:val="20"/>
        </w:rPr>
      </w:pPr>
      <w:r>
        <w:rPr>
          <w:rFonts w:ascii="Times New Roman" w:hAnsi="Times New Roman"/>
          <w:sz w:val="20"/>
        </w:rPr>
        <w:t xml:space="preserve">In addition to federal income taxes, you may be subject to other taxes, such as state, local and foreign income taxes, unincorporated business taxes, and estate, inheritance or intangible taxes that may be imposed by the various jurisdictions in which we do business or own property or in which you are a resident. Although an analysis of those various taxes is not presented here, each prospective unitholder should consider their potential impact on his investment in us. We currently own property and do business in Canada and most states of the United States. A unitholder may be required to file Canadian federal income tax returns and pay Canadian federal and provincial income taxes and to file state income tax returns and to pay taxes in various states and may be subject to penalties for failure to comply with those requirements. In some jurisdictions, tax losses may not produce a tax benefit in the year incurred and may not be available to offset income in subsequent taxable years. Some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 Amounts withheld will be treated as if distributed to unitholders for purposes of determining the amounts distributed by us. Please see  Tax Consequences of Unit Ownership  Entity-Level Collections. Based on current law and our estimate of our future operations, the general partner anticipates that any amounts required to be withheld will not be material. </w:t>
      </w:r>
    </w:p>
    <w:p>
      <w:pPr>
        <w:pStyle w:val="TextBody"/>
        <w:spacing w:before="270" w:after="0"/>
        <w:rPr>
          <w:rFonts w:ascii="Times New Roman" w:hAnsi="Times New Roman"/>
          <w:b/>
          <w:sz w:val="20"/>
        </w:rPr>
      </w:pPr>
      <w:r>
        <w:rPr>
          <w:rFonts w:ascii="Times New Roman" w:hAnsi="Times New Roman"/>
          <w:b/>
          <w:sz w:val="20"/>
        </w:rPr>
        <w:t xml:space="preserve">Tax Consequences of Ownership of Debt Securities </w:t>
      </w:r>
    </w:p>
    <w:p>
      <w:pPr>
        <w:pStyle w:val="TextBody"/>
        <w:spacing w:before="90" w:after="0"/>
        <w:rPr>
          <w:rFonts w:ascii="Times New Roman" w:hAnsi="Times New Roman"/>
          <w:sz w:val="20"/>
        </w:rPr>
      </w:pPr>
      <w:r>
        <w:rPr>
          <w:rFonts w:ascii="Times New Roman" w:hAnsi="Times New Roman"/>
          <w:sz w:val="20"/>
        </w:rPr>
        <w:t xml:space="preserve">A description of the material federal income tax consequences of the acquisition, ownership and disposition of debt securities will be set forth in the prospectus supplement relating to the offering of debt securities. </w:t>
      </w:r>
    </w:p>
    <w:p>
      <w:pPr>
        <w:pStyle w:val="TextBody"/>
        <w:spacing w:before="180" w:after="0"/>
        <w:rPr>
          <w:rFonts w:ascii="Times New Roman" w:hAnsi="Times New Roman"/>
          <w:b/>
          <w:sz w:val="20"/>
        </w:rPr>
      </w:pPr>
      <w:r>
        <w:rPr>
          <w:rFonts w:ascii="Times New Roman" w:hAnsi="Times New Roman"/>
          <w:b/>
          <w:sz w:val="20"/>
        </w:rPr>
        <w:t xml:space="preserve">It is the responsibility of each unitholder to investigate the legal and tax consequences, under the laws of pertinent jurisdictions, of his investment in us. Accordingly, each prospective unitholder is urged to consult, and depend upon, his tax counsel or other advisor with regard to those matters. Further, it is the responsibility of each unitholder to file all state, local and foreign, as well as United States federal tax returns, that may be required of him. Vinson &amp; Elkins L.L.P. has not rendered an opinion on the state, local or foreign tax consequences of an investment in us.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5" w:name="tx348608_13"/>
      <w:bookmarkEnd w:id="25"/>
      <w:r>
        <w:rPr>
          <w:rFonts w:ascii="Times New Roman" w:hAnsi="Times New Roman"/>
          <w:b/>
          <w:sz w:val="20"/>
        </w:rPr>
        <w:t xml:space="preserve">PLAN OF DISTRIBUTION </w:t>
      </w:r>
    </w:p>
    <w:p>
      <w:pPr>
        <w:pStyle w:val="TextBody"/>
        <w:spacing w:before="180" w:after="0"/>
        <w:rPr>
          <w:rFonts w:ascii="Times New Roman" w:hAnsi="Times New Roman"/>
          <w:sz w:val="20"/>
        </w:rPr>
      </w:pPr>
      <w:r>
        <w:rPr>
          <w:rFonts w:ascii="Times New Roman" w:hAnsi="Times New Roman"/>
          <w:sz w:val="20"/>
        </w:rPr>
        <w:t xml:space="preserve">Under this prospectus, we intend to offer our securities to the public: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through one or more broker-dealers;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101"/>
        <w:gridCol w:w="9393"/>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through underwriters;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directly to investors. </w:t>
            </w:r>
          </w:p>
        </w:tc>
      </w:tr>
    </w:tbl>
    <w:p>
      <w:pPr>
        <w:pStyle w:val="TextBody"/>
        <w:spacing w:before="180" w:after="0"/>
        <w:rPr>
          <w:rFonts w:ascii="Times New Roman" w:hAnsi="Times New Roman"/>
          <w:sz w:val="20"/>
        </w:rPr>
      </w:pPr>
      <w:r>
        <w:rPr>
          <w:rFonts w:ascii="Times New Roman" w:hAnsi="Times New Roman"/>
          <w:sz w:val="20"/>
        </w:rPr>
        <w:t xml:space="preserve">We will fix a price or prices of our securities 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market prices prevailing at the time of any sale under this registration statement;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prices related to market prices;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negotiated prices. </w:t>
            </w:r>
          </w:p>
        </w:tc>
      </w:tr>
    </w:tbl>
    <w:p>
      <w:pPr>
        <w:pStyle w:val="TextBody"/>
        <w:spacing w:before="180" w:after="0"/>
        <w:rPr>
          <w:rFonts w:ascii="Times New Roman" w:hAnsi="Times New Roman"/>
          <w:sz w:val="20"/>
        </w:rPr>
      </w:pPr>
      <w:r>
        <w:rPr>
          <w:rFonts w:ascii="Times New Roman" w:hAnsi="Times New Roman"/>
          <w:sz w:val="20"/>
        </w:rPr>
        <w:t xml:space="preserve">We may change the price of the securities offered from time to time. </w:t>
      </w:r>
    </w:p>
    <w:p>
      <w:pPr>
        <w:pStyle w:val="TextBody"/>
        <w:spacing w:before="180" w:after="0"/>
        <w:rPr>
          <w:rFonts w:ascii="Times New Roman" w:hAnsi="Times New Roman"/>
          <w:sz w:val="20"/>
        </w:rPr>
      </w:pPr>
      <w:r>
        <w:rPr>
          <w:rFonts w:ascii="Times New Roman" w:hAnsi="Times New Roman"/>
          <w:sz w:val="20"/>
        </w:rPr>
        <w:t xml:space="preserve">We will pay or allow distributors or sellers commissions that will not exceed those customary in the types of transactions involved. Broker-dealers may act as agent or may purchase securities as principal and thereafter resell the securities from time to time: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or through one or more transactions (which may involve crosses and block transactions) or distributions;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102"/>
        <w:gridCol w:w="9392"/>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on the New York Stock Exchange;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the over-the-counter market;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private transactions. </w:t>
            </w:r>
          </w:p>
        </w:tc>
      </w:tr>
    </w:tbl>
    <w:p>
      <w:pPr>
        <w:pStyle w:val="TextBody"/>
        <w:spacing w:before="180" w:after="0"/>
        <w:rPr>
          <w:rFonts w:ascii="Times New Roman" w:hAnsi="Times New Roman"/>
          <w:sz w:val="20"/>
        </w:rPr>
      </w:pPr>
      <w:r>
        <w:rPr>
          <w:rFonts w:ascii="Times New Roman" w:hAnsi="Times New Roman"/>
          <w:sz w:val="20"/>
        </w:rPr>
        <w:t xml:space="preserve">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 </w:t>
      </w:r>
    </w:p>
    <w:p>
      <w:pPr>
        <w:pStyle w:val="TextBody"/>
        <w:spacing w:before="180" w:after="0"/>
        <w:rPr>
          <w:rFonts w:ascii="Times New Roman" w:hAnsi="Times New Roman"/>
          <w:sz w:val="20"/>
        </w:rPr>
      </w:pPr>
      <w:r>
        <w:rPr>
          <w:rFonts w:ascii="Times New Roman" w:hAnsi="Times New Roman"/>
          <w:sz w:val="20"/>
        </w:rPr>
        <w:t xml:space="preserve">To the extent required, the names of the specific managing underwriter or underwriters, if any, as well as other important information, will be set forth in prospectus supplements. In that event, the discounts and commissions we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 </w:t>
      </w:r>
    </w:p>
    <w:p>
      <w:pPr>
        <w:pStyle w:val="TextBody"/>
        <w:spacing w:before="180" w:after="0"/>
        <w:rPr>
          <w:rFonts w:ascii="Times New Roman" w:hAnsi="Times New Roman"/>
          <w:sz w:val="20"/>
        </w:rPr>
      </w:pPr>
      <w:r>
        <w:rPr>
          <w:rFonts w:ascii="Times New Roman" w:hAnsi="Times New Roman"/>
          <w:sz w:val="20"/>
        </w:rPr>
        <w:t xml:space="preserve">Offers to purchase securities may be solicited directly by us and the sale thereof may be made by us directly to institutional investors or others, who may be deemed to be underwriters within the meaning of the Securities Act of 1933 with respect to any resale thereof. The terms of any such sales will be described in the prospectus supplement relating thereto. </w:t>
      </w:r>
    </w:p>
    <w:p>
      <w:pPr>
        <w:pStyle w:val="TextBody"/>
        <w:spacing w:before="180" w:after="0"/>
        <w:rPr>
          <w:rFonts w:ascii="Times New Roman" w:hAnsi="Times New Roman"/>
          <w:sz w:val="20"/>
        </w:rPr>
      </w:pPr>
      <w:r>
        <w:rPr>
          <w:rFonts w:ascii="Times New Roman" w:hAnsi="Times New Roman"/>
          <w:sz w:val="20"/>
        </w:rPr>
        <w:t xml:space="preserve">We may offer our units into an existing trading market on the terms described in the prospectus supplement relating thereto. Underwriters and dealers who may participate in any at-the-market offerings will be described in the prospectus supplement relating thereto. </w:t>
      </w:r>
    </w:p>
    <w:p>
      <w:pPr>
        <w:pStyle w:val="TextBody"/>
        <w:spacing w:before="180" w:after="0"/>
        <w:rPr>
          <w:rFonts w:ascii="Times New Roman" w:hAnsi="Times New Roman"/>
          <w:sz w:val="20"/>
        </w:rPr>
      </w:pPr>
      <w:r>
        <w:rPr>
          <w:rFonts w:ascii="Times New Roman" w:hAnsi="Times New Roman"/>
          <w:sz w:val="20"/>
        </w:rPr>
        <w:t xml:space="preserve">The aggregate maximum compensation the underwriters will receive in connection with the sale of any securities under this prospectus and the registration statement of which it forms a part will not exceed 10% of the gross proceeds from the sale.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Because FINRA views our common units as interests in a direct participation program, any offering of common units under the registration statement of which this prospectus forms a part will be made in compliance with Rule 2310 of the FINRA Rules. </w:t>
      </w:r>
    </w:p>
    <w:p>
      <w:pPr>
        <w:pStyle w:val="TextBody"/>
        <w:spacing w:before="180" w:after="0"/>
        <w:rPr>
          <w:rFonts w:ascii="Times New Roman" w:hAnsi="Times New Roman"/>
          <w:sz w:val="20"/>
        </w:rPr>
      </w:pPr>
      <w:r>
        <w:rPr>
          <w:rFonts w:ascii="Times New Roman" w:hAnsi="Times New Roman"/>
          <w:sz w:val="20"/>
        </w:rPr>
        <w:t xml:space="preserve">To the extent required, this prospectus may be amended or supplemented from time to time to describe a specific plan of distribution. The place and time of delivery for the securities in respect of which this prospectus is delivered will be set forth in the accompanying prospectus supplement. </w:t>
      </w:r>
    </w:p>
    <w:p>
      <w:pPr>
        <w:pStyle w:val="TextBody"/>
        <w:spacing w:before="180" w:after="0"/>
        <w:rPr>
          <w:rFonts w:ascii="Times New Roman" w:hAnsi="Times New Roman"/>
          <w:sz w:val="20"/>
        </w:rPr>
      </w:pPr>
      <w:r>
        <w:rPr>
          <w:rFonts w:ascii="Times New Roman" w:hAnsi="Times New Roman"/>
          <w:sz w:val="20"/>
        </w:rPr>
        <w:t xml:space="preserve">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6" w:name="tx348608_14"/>
      <w:bookmarkEnd w:id="26"/>
      <w:r>
        <w:rPr>
          <w:rFonts w:ascii="Times New Roman" w:hAnsi="Times New Roman"/>
          <w:b/>
          <w:sz w:val="20"/>
        </w:rPr>
        <w:t xml:space="preserve">LEGAL MATTERS </w:t>
      </w:r>
    </w:p>
    <w:p>
      <w:pPr>
        <w:pStyle w:val="TextBody"/>
        <w:spacing w:before="180" w:after="0"/>
        <w:rPr>
          <w:rFonts w:ascii="Times New Roman" w:hAnsi="Times New Roman"/>
          <w:sz w:val="20"/>
        </w:rPr>
      </w:pPr>
      <w:r>
        <w:rPr>
          <w:rFonts w:ascii="Times New Roman" w:hAnsi="Times New Roman"/>
          <w:sz w:val="20"/>
        </w:rPr>
        <w:t xml:space="preserve">The validity of the securities offered in this prospectus will be passed upon for us by Vinson &amp; Elkins L.L.P., Houston, Texas. Vinson &amp; Elkins L.L.P. will also render an opinion on the material federal income tax consequences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 </w:t>
      </w:r>
    </w:p>
    <w:p>
      <w:pPr>
        <w:pStyle w:val="TextBody"/>
        <w:spacing w:before="360" w:after="0"/>
        <w:jc w:val="center"/>
        <w:rPr>
          <w:rFonts w:ascii="Times New Roman" w:hAnsi="Times New Roman"/>
          <w:b/>
          <w:sz w:val="20"/>
        </w:rPr>
      </w:pPr>
      <w:bookmarkStart w:id="27" w:name="tx348608_15"/>
      <w:bookmarkEnd w:id="27"/>
      <w:r>
        <w:rPr>
          <w:rFonts w:ascii="Times New Roman" w:hAnsi="Times New Roman"/>
          <w:b/>
          <w:sz w:val="20"/>
        </w:rPr>
        <w:t xml:space="preserve">EXPERTS </w:t>
      </w:r>
    </w:p>
    <w:p>
      <w:pPr>
        <w:pStyle w:val="TextBody"/>
        <w:spacing w:before="180" w:after="0"/>
        <w:rPr>
          <w:rFonts w:ascii="Times New Roman" w:hAnsi="Times New Roman"/>
          <w:sz w:val="20"/>
        </w:rPr>
      </w:pPr>
      <w:r>
        <w:rPr>
          <w:rFonts w:ascii="Times New Roman" w:hAnsi="Times New Roman"/>
          <w:sz w:val="20"/>
        </w:rPr>
        <w:t xml:space="preserve">The financial statements of Plains All American Pipeline, L.P. and managements assessment of the effectiveness of internal control over financial reporting (which is included in Managements Report on Internal Control over Financial Reporting) incorporated in this prospectus by reference to the Annual Report on Form 10-K of Plains All American Pipeline, L.P. for the year ended December 31, 2008, have been so incorporated in reliance on the report of PricewaterhouseCoopers LLP, an independent registered public accounting firm, given on the authority of said firm as experts in auditing and accounting. </w:t>
      </w:r>
    </w:p>
    <w:p>
      <w:pPr>
        <w:pStyle w:val="TextBody"/>
        <w:spacing w:before="180" w:after="0"/>
        <w:rPr>
          <w:rFonts w:ascii="Times New Roman" w:hAnsi="Times New Roman"/>
          <w:sz w:val="20"/>
        </w:rPr>
      </w:pPr>
      <w:r>
        <w:rPr>
          <w:rFonts w:ascii="Times New Roman" w:hAnsi="Times New Roman"/>
          <w:sz w:val="20"/>
        </w:rPr>
        <w:t xml:space="preserve">The balance sheet as of December 31, 2008 of PAA GP LLC incorporated in this prospectus by reference to the Current Report on Form 8-K of Plains All American Pipeline, L.P. filed March 12, 2009 has been so incorporated in reliance on the report of PricewaterhouseCoopers LLP, an independent registered public accounting firm, given on the authority of said firm as experts in auditing and accounting.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pBdr>
          <w:bottom w:val="single" w:sz="16" w:space="1" w:color="000000"/>
        </w:pBdr>
        <w:spacing w:lineRule="atLeast" w:line="141" w:before="0" w:after="0"/>
        <w:rPr/>
      </w:pPr>
      <w:r>
        <w:rPr/>
        <w:t> </w:t>
      </w:r>
    </w:p>
    <w:p>
      <w:pPr>
        <w:pStyle w:val="TextBody"/>
        <w:pBdr>
          <w:bottom w:val="single" w:sz="4" w:space="1" w:color="000000"/>
        </w:pBdr>
        <w:spacing w:lineRule="atLeast" w:line="141" w:before="0" w:after="30"/>
        <w:rPr/>
      </w:pPr>
      <w:r>
        <w:rPr/>
        <w:t> </w:t>
      </w:r>
    </w:p>
    <w:p>
      <w:pPr>
        <w:pStyle w:val="TextBody"/>
        <w:spacing w:before="0" w:after="0"/>
        <w:rPr/>
      </w:pPr>
      <w:r>
        <w:rPr/>
        <w:t> </w:t>
      </w:r>
    </w:p>
    <w:p>
      <w:pPr>
        <w:pStyle w:val="TextBody"/>
        <w:spacing w:before="0" w:after="0"/>
        <w:jc w:val="center"/>
        <w:rPr>
          <w:rFonts w:ascii="Times New Roman" w:hAnsi="Times New Roman"/>
          <w:b/>
          <w:sz w:val="36"/>
        </w:rPr>
      </w:pPr>
      <w:r>
        <w:rPr>
          <w:rFonts w:ascii="Times New Roman" w:hAnsi="Times New Roman"/>
          <w:b/>
          <w:sz w:val="36"/>
        </w:rPr>
        <w:t xml:space="preserve">Common Units </w:t>
      </w:r>
    </w:p>
    <w:p>
      <w:pPr>
        <w:pStyle w:val="TextBody"/>
        <w:spacing w:before="0" w:after="0"/>
        <w:jc w:val="center"/>
        <w:rPr>
          <w:rFonts w:ascii="Times New Roman" w:hAnsi="Times New Roman"/>
          <w:b/>
          <w:sz w:val="36"/>
        </w:rPr>
      </w:pPr>
      <w:r>
        <w:rPr>
          <w:rFonts w:ascii="Times New Roman" w:hAnsi="Times New Roman"/>
          <w:b/>
          <w:sz w:val="36"/>
        </w:rPr>
        <w:t xml:space="preserve">Representing Limited Partner Interests </w:t>
      </w:r>
    </w:p>
    <w:p>
      <w:pPr>
        <w:pStyle w:val="TextBody"/>
        <w:spacing w:before="0" w:after="0"/>
        <w:jc w:val="center"/>
        <w:rPr>
          <w:rFonts w:ascii="Times New Roman" w:hAnsi="Times New Roman"/>
          <w:b/>
          <w:sz w:val="36"/>
        </w:rPr>
      </w:pPr>
      <w:r>
        <w:rPr>
          <w:rFonts w:ascii="Times New Roman" w:hAnsi="Times New Roman"/>
          <w:b/>
          <w:sz w:val="36"/>
        </w:rPr>
        <w:t xml:space="preserve">Having an Aggregate Offering Price of Up to </w:t>
      </w:r>
    </w:p>
    <w:p>
      <w:pPr>
        <w:pStyle w:val="TextBody"/>
        <w:spacing w:before="0" w:after="0"/>
        <w:jc w:val="center"/>
        <w:rPr>
          <w:rFonts w:ascii="Times New Roman" w:hAnsi="Times New Roman"/>
          <w:b/>
          <w:sz w:val="36"/>
        </w:rPr>
      </w:pPr>
      <w:r>
        <w:rPr>
          <w:rFonts w:ascii="Times New Roman" w:hAnsi="Times New Roman"/>
          <w:b/>
          <w:sz w:val="36"/>
        </w:rPr>
        <w:t xml:space="preserve">$300,000,000 </w:t>
      </w:r>
    </w:p>
    <w:p>
      <w:pPr>
        <w:pStyle w:val="TextBody"/>
        <w:spacing w:before="0" w:after="0"/>
        <w:rPr/>
      </w:pPr>
      <w:r>
        <w:rPr/>
        <w:t> </w:t>
      </w:r>
    </w:p>
    <w:p>
      <w:pPr>
        <w:pStyle w:val="TextBody"/>
        <w:spacing w:before="0" w:after="0"/>
        <w:jc w:val="center"/>
        <w:rPr/>
      </w:pPr>
      <w:r>
        <w:rPr/>
        <w:drawing>
          <wp:inline distT="0" distB="0" distL="0" distR="0">
            <wp:extent cx="1885950" cy="5905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85950" cy="590550"/>
                    </a:xfrm>
                    <a:prstGeom prst="rect">
                      <a:avLst/>
                    </a:prstGeom>
                  </pic:spPr>
                </pic:pic>
              </a:graphicData>
            </a:graphic>
          </wp:inline>
        </w:drawing>
      </w:r>
      <w:r>
        <w:rPr/>
        <w:t xml:space="preserve"> </w:t>
      </w:r>
    </w:p>
    <w:p>
      <w:pPr>
        <w:pStyle w:val="TextBody"/>
        <w:spacing w:before="0" w:after="0"/>
        <w:rPr/>
      </w:pPr>
      <w:r>
        <w:rPr/>
        <w:t> </w:t>
      </w:r>
    </w:p>
    <w:p>
      <w:pPr>
        <w:pStyle w:val="TextBody"/>
        <w:pBdr>
          <w:bottom w:val="single" w:sz="4" w:space="1" w:color="000000"/>
        </w:pBdr>
        <w:spacing w:lineRule="atLeast" w:line="141" w:before="0" w:after="30"/>
        <w:jc w:val="center"/>
        <w:rPr/>
      </w:pPr>
      <w:r>
        <w:rPr/>
        <w:t>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PROSPECTUS  SUPPLEMENT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May 9, 2012 </w:t>
      </w:r>
    </w:p>
    <w:p>
      <w:pPr>
        <w:pStyle w:val="TextBody"/>
        <w:spacing w:before="0" w:after="0"/>
        <w:rPr/>
      </w:pPr>
      <w:r>
        <w:rPr/>
        <w:t> </w:t>
      </w:r>
    </w:p>
    <w:p>
      <w:pPr>
        <w:pStyle w:val="TextBody"/>
        <w:pBdr>
          <w:bottom w:val="single" w:sz="4" w:space="1" w:color="000000"/>
        </w:pBdr>
        <w:spacing w:lineRule="atLeast" w:line="141" w:before="0" w:after="30"/>
        <w:jc w:val="center"/>
        <w:rPr/>
      </w:pPr>
      <w:r>
        <w:rPr/>
        <w:t> </w:t>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sz w:val="48"/>
        </w:rPr>
      </w:pPr>
      <w:r>
        <w:rPr>
          <w:rFonts w:ascii="Times New Roman" w:hAnsi="Times New Roman"/>
          <w:b/>
          <w:sz w:val="48"/>
        </w:rPr>
        <w:t xml:space="preserve">Citigroup </w:t>
      </w:r>
    </w:p>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16" w:space="1" w:color="000000"/>
        </w:pBdr>
        <w:spacing w:lineRule="atLeast" w:line="141" w:before="0" w:after="30"/>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64</Pages>
  <Words>31767</Words>
  <CharactersWithSpaces>195820</CharactersWithSpaces>
  <Paragraphs>2179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