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ARMSTRONG GREG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02/11/2016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Chairman of the Board &amp; CEO</w:t>
      </w:r>
    </w:p>
    <w:p>
      <w:pPr>
        <w:spacing w:after="0" w:line="281" w:lineRule="exact"/>
        <w:rPr>
          <w:sz w:val="24"/>
          <w:szCs w:val="24"/>
          <w:color w:val="auto"/>
        </w:rPr>
      </w:pPr>
    </w:p>
    <w:p>
      <w:pPr>
        <w:sectPr>
          <w:pgSz w:w="11900" w:h="16838" w:orient="portrait"/>
          <w:cols w:equalWidth="0" w:num="3">
            <w:col w:w="3353" w:space="720"/>
            <w:col w:w="3727" w:space="257"/>
            <w:col w:w="3363"/>
          </w:cols>
          <w:pgMar w:left="240" w:top="226" w:right="239" w:bottom="144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02/11/2016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50,000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15.6477</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1,475,416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98"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Reflects the weighted average purchase price for the Common Units. These units were purchased in multiple transactions at prices ranging from $15.16 to $16.00, inclusive. The reporting person will provide upon request by the SEC staff, the issuer or any security holder of the issuer, full information regarding the number of units purchased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Ann F. Gullion, attorney-in- </w:t>
      </w:r>
      <w:r>
        <w:rPr>
          <w:rFonts w:ascii="Arial" w:cs="Arial" w:eastAsia="Arial" w:hAnsi="Arial"/>
          <w:sz w:val="35"/>
          <w:szCs w:val="35"/>
          <w:color w:val="0000FF"/>
          <w:vertAlign w:val="subscript"/>
        </w:rPr>
        <w:t>02/11/2016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4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2020-01-19T05:43:49Z</dcterms:created>
  <dcterms:modified xsi:type="dcterms:W3CDTF">2020-01-19T05:43:49Z</dcterms:modified>
</cp:coreProperties>
</file>