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80"/>
        <w:spacing w:after="0"/>
        <w:rPr>
          <w:sz w:val="20"/>
          <w:szCs w:val="20"/>
          <w:color w:val="auto"/>
        </w:rPr>
      </w:pPr>
      <w:r>
        <w:rPr>
          <w:rFonts w:ascii="Courier New" w:cs="Courier New" w:eastAsia="Courier New" w:hAnsi="Courier New"/>
          <w:sz w:val="18"/>
          <w:szCs w:val="18"/>
          <w:color w:val="auto"/>
        </w:rPr>
        <w:t>OMB APPROVAL</w:t>
      </w:r>
    </w:p>
    <w:p>
      <w:pPr>
        <w:ind w:left="5480"/>
        <w:spacing w:after="0"/>
        <w:tabs>
          <w:tab w:leader="none" w:pos="71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5480"/>
        <w:spacing w:after="0"/>
        <w:rPr>
          <w:sz w:val="20"/>
          <w:szCs w:val="20"/>
          <w:color w:val="auto"/>
        </w:rPr>
      </w:pPr>
      <w:r>
        <w:rPr>
          <w:rFonts w:ascii="Courier New" w:cs="Courier New" w:eastAsia="Courier New" w:hAnsi="Courier New"/>
          <w:sz w:val="18"/>
          <w:szCs w:val="18"/>
          <w:color w:val="auto"/>
        </w:rPr>
        <w:t>Expires: October 31, 2002</w:t>
      </w:r>
    </w:p>
    <w:p>
      <w:pPr>
        <w:ind w:left="5480"/>
        <w:spacing w:after="0" w:line="237" w:lineRule="auto"/>
        <w:rPr>
          <w:sz w:val="20"/>
          <w:szCs w:val="20"/>
          <w:color w:val="auto"/>
        </w:rPr>
      </w:pPr>
      <w:r>
        <w:rPr>
          <w:rFonts w:ascii="Courier New" w:cs="Courier New" w:eastAsia="Courier New" w:hAnsi="Courier New"/>
          <w:sz w:val="18"/>
          <w:szCs w:val="18"/>
          <w:color w:val="auto"/>
        </w:rPr>
        <w:t>Estimated average burden</w:t>
      </w:r>
    </w:p>
    <w:p>
      <w:pPr>
        <w:spacing w:after="0" w:line="5" w:lineRule="exact"/>
        <w:rPr>
          <w:sz w:val="24"/>
          <w:szCs w:val="24"/>
          <w:color w:val="auto"/>
        </w:rPr>
      </w:pPr>
    </w:p>
    <w:p>
      <w:pPr>
        <w:ind w:left="5480"/>
        <w:spacing w:after="0"/>
        <w:rPr>
          <w:sz w:val="20"/>
          <w:szCs w:val="20"/>
          <w:color w:val="auto"/>
        </w:rPr>
      </w:pPr>
      <w:r>
        <w:rPr>
          <w:rFonts w:ascii="Courier New" w:cs="Courier New" w:eastAsia="Courier New" w:hAnsi="Courier New"/>
          <w:sz w:val="16"/>
          <w:szCs w:val="16"/>
          <w:color w:val="auto"/>
        </w:rPr>
        <w:t>Hours per response ... 14.90</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PLAINS ALL AMERICAN PIPELINE, LP</w:t>
      </w:r>
    </w:p>
    <w:p>
      <w:pPr>
        <w:ind w:left="4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UNITS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726503105</w:t>
      </w:r>
    </w:p>
    <w:p>
      <w:pPr>
        <w:ind w:left="4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4"/>
          <w:szCs w:val="24"/>
          <w:color w:val="auto"/>
        </w:rPr>
      </w:pPr>
    </w:p>
    <w:p>
      <w:pPr>
        <w:jc w:val="right"/>
        <w:ind w:left="960" w:right="2739"/>
        <w:spacing w:after="0" w:line="268" w:lineRule="auto"/>
        <w:rPr>
          <w:sz w:val="20"/>
          <w:szCs w:val="20"/>
          <w:color w:val="auto"/>
        </w:rPr>
      </w:pPr>
      <w:r>
        <w:rPr>
          <w:rFonts w:ascii="Courier New" w:cs="Courier New" w:eastAsia="Courier New" w:hAnsi="Courier New"/>
          <w:sz w:val="16"/>
          <w:szCs w:val="16"/>
          <w:color w:val="auto"/>
        </w:rPr>
        <w:t>DAVID J. SHLADOVSKY, C/O KAYNE ANDERSON CAPITAL ADVISORS, L.P. 1800 AVENUE OF THE STARS, SECOND FLOOR, LOS ANGELES, CA 90067</w:t>
      </w:r>
    </w:p>
    <w:p>
      <w:pPr>
        <w:ind w:left="4120" w:hanging="636"/>
        <w:spacing w:after="0" w:line="233"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556-2721</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165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5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02-25-05</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13d-1(f) or 13d-1(g), check the following box [ ].</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13d-7(b)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3560" w:val="left"/>
          <w:tab w:leader="none" w:pos="6620" w:val="left"/>
        </w:tabs>
        <w:rPr>
          <w:sz w:val="20"/>
          <w:szCs w:val="20"/>
          <w:color w:val="auto"/>
        </w:rPr>
      </w:pPr>
      <w:r>
        <w:rPr>
          <w:rFonts w:ascii="Courier New" w:cs="Courier New" w:eastAsia="Courier New" w:hAnsi="Courier New"/>
          <w:sz w:val="18"/>
          <w:szCs w:val="18"/>
          <w:color w:val="auto"/>
        </w:rPr>
        <w:t>CUSIP NO. 726503105</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2 OF 7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73"/>
              </w:rPr>
              <w:t>1</w:t>
            </w:r>
          </w:p>
        </w:tc>
        <w:tc>
          <w:tcPr>
            <w:tcW w:w="5520" w:type="dxa"/>
            <w:vAlign w:val="bottom"/>
          </w:tcPr>
          <w:p>
            <w:pPr>
              <w:ind w:left="320"/>
              <w:spacing w:after="0"/>
              <w:rPr>
                <w:sz w:val="20"/>
                <w:szCs w:val="20"/>
                <w:color w:val="auto"/>
              </w:rPr>
            </w:pPr>
            <w:r>
              <w:rPr>
                <w:rFonts w:ascii="Courier New" w:cs="Courier New" w:eastAsia="Courier New" w:hAnsi="Courier New"/>
                <w:sz w:val="18"/>
                <w:szCs w:val="18"/>
                <w:color w:val="auto"/>
              </w:rPr>
              <w:t>NAME OF REPORTING PERSON</w:t>
            </w:r>
          </w:p>
        </w:tc>
        <w:tc>
          <w:tcPr>
            <w:tcW w:w="14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S.S. or I.R.S. IDENTIFICATION NO. OF ABOVE PERSON</w:t>
            </w:r>
          </w:p>
        </w:tc>
        <w:tc>
          <w:tcPr>
            <w:tcW w:w="1420" w:type="dxa"/>
            <w:vAlign w:val="bottom"/>
          </w:tcPr>
          <w:p>
            <w:pPr>
              <w:spacing w:after="0"/>
              <w:rPr>
                <w:sz w:val="17"/>
                <w:szCs w:val="17"/>
                <w:color w:val="auto"/>
              </w:rPr>
            </w:pPr>
          </w:p>
        </w:tc>
      </w:tr>
      <w:tr>
        <w:trPr>
          <w:trHeight w:val="405"/>
        </w:trPr>
        <w:tc>
          <w:tcPr>
            <w:tcW w:w="420" w:type="dxa"/>
            <w:vAlign w:val="bottom"/>
          </w:tcPr>
          <w:p>
            <w:pPr>
              <w:spacing w:after="0"/>
              <w:rPr>
                <w:sz w:val="24"/>
                <w:szCs w:val="24"/>
                <w:color w:val="auto"/>
              </w:rPr>
            </w:pPr>
          </w:p>
        </w:tc>
        <w:tc>
          <w:tcPr>
            <w:tcW w:w="5520" w:type="dxa"/>
            <w:vAlign w:val="bottom"/>
          </w:tcPr>
          <w:p>
            <w:pPr>
              <w:ind w:left="320"/>
              <w:spacing w:after="0"/>
              <w:rPr>
                <w:sz w:val="20"/>
                <w:szCs w:val="20"/>
                <w:color w:val="auto"/>
              </w:rPr>
            </w:pPr>
            <w:r>
              <w:rPr>
                <w:rFonts w:ascii="Courier New" w:cs="Courier New" w:eastAsia="Courier New" w:hAnsi="Courier New"/>
                <w:sz w:val="18"/>
                <w:szCs w:val="18"/>
                <w:color w:val="auto"/>
              </w:rPr>
              <w:t>RICHARD A. KAYNE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73"/>
              </w:rPr>
              <w:t>2</w:t>
            </w:r>
          </w:p>
        </w:tc>
        <w:tc>
          <w:tcPr>
            <w:tcW w:w="626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260" w:type="dxa"/>
            <w:vAlign w:val="bottom"/>
          </w:tcPr>
          <w:p>
            <w:pPr>
              <w:ind w:left="90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hanging="747"/>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AF PF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hanging="747"/>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w:t>
      </w:r>
    </w:p>
    <w:p>
      <w:pPr>
        <w:jc w:val="right"/>
        <w:ind w:right="1779"/>
        <w:spacing w:after="0"/>
        <w:tabs>
          <w:tab w:leader="none" w:pos="30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84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 U.S. CITIZEN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2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235,730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w:t>
            </w: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52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520" w:type="dxa"/>
            <w:vAlign w:val="bottom"/>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5,326,491</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rPr>
                <w:sz w:val="17"/>
                <w:szCs w:val="17"/>
                <w:color w:val="auto"/>
              </w:rPr>
            </w:pP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w:t>
            </w: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235,730</w:t>
            </w:r>
          </w:p>
        </w:tc>
      </w:tr>
      <w:tr>
        <w:trPr>
          <w:trHeight w:val="203"/>
        </w:trPr>
        <w:tc>
          <w:tcPr>
            <w:tcW w:w="2280" w:type="dxa"/>
            <w:vAlign w:val="bottom"/>
          </w:tcPr>
          <w:p>
            <w:pPr>
              <w:spacing w:after="0"/>
              <w:rPr>
                <w:sz w:val="17"/>
                <w:szCs w:val="17"/>
                <w:color w:val="auto"/>
              </w:rPr>
            </w:pP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rPr>
                <w:sz w:val="17"/>
                <w:szCs w:val="17"/>
                <w:color w:val="auto"/>
              </w:rPr>
            </w:pP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w:t>
            </w: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5,326,491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5,562,221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12</w:t>
            </w:r>
          </w:p>
        </w:tc>
        <w:tc>
          <w:tcPr>
            <w:tcW w:w="7220" w:type="dxa"/>
            <w:vAlign w:val="bottom"/>
          </w:tcPr>
          <w:p>
            <w:pPr>
              <w:ind w:left="320"/>
              <w:spacing w:after="0"/>
              <w:rPr>
                <w:sz w:val="20"/>
                <w:szCs w:val="20"/>
                <w:color w:val="auto"/>
              </w:rPr>
            </w:pPr>
            <w:r>
              <w:rPr>
                <w:rFonts w:ascii="Courier New" w:cs="Courier New" w:eastAsia="Courier New" w:hAnsi="Courier New"/>
                <w:sz w:val="18"/>
                <w:szCs w:val="18"/>
                <w:color w:val="auto"/>
              </w:rPr>
              <w:t>CHECK BOX IF THE AGGREGATE AMOUNT IN ROW (11) EXCLUDES CERTAIN</w:t>
            </w:r>
          </w:p>
        </w:tc>
        <w:tc>
          <w:tcPr>
            <w:tcW w:w="6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8.20%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3560" w:val="left"/>
          <w:tab w:leader="none" w:pos="6620" w:val="left"/>
        </w:tabs>
        <w:rPr>
          <w:sz w:val="20"/>
          <w:szCs w:val="20"/>
          <w:color w:val="auto"/>
        </w:rPr>
      </w:pPr>
      <w:r>
        <w:rPr>
          <w:rFonts w:ascii="Courier New" w:cs="Courier New" w:eastAsia="Courier New" w:hAnsi="Courier New"/>
          <w:sz w:val="18"/>
          <w:szCs w:val="18"/>
          <w:color w:val="auto"/>
        </w:rPr>
        <w:t>CUSIP NO. 726503105</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3 OF 7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73"/>
              </w:rPr>
              <w:t>1</w:t>
            </w:r>
          </w:p>
        </w:tc>
        <w:tc>
          <w:tcPr>
            <w:tcW w:w="5520" w:type="dxa"/>
            <w:vAlign w:val="bottom"/>
          </w:tcPr>
          <w:p>
            <w:pPr>
              <w:ind w:left="320"/>
              <w:spacing w:after="0"/>
              <w:rPr>
                <w:sz w:val="20"/>
                <w:szCs w:val="20"/>
                <w:color w:val="auto"/>
              </w:rPr>
            </w:pPr>
            <w:r>
              <w:rPr>
                <w:rFonts w:ascii="Courier New" w:cs="Courier New" w:eastAsia="Courier New" w:hAnsi="Courier New"/>
                <w:sz w:val="18"/>
                <w:szCs w:val="18"/>
                <w:color w:val="auto"/>
              </w:rPr>
              <w:t>NAME OF REPORTING PERSON</w:t>
            </w:r>
          </w:p>
        </w:tc>
        <w:tc>
          <w:tcPr>
            <w:tcW w:w="13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S.S. or I.R.S. IDENTIFICATION NO. OF ABOVE PERSON</w:t>
            </w:r>
          </w:p>
        </w:tc>
        <w:tc>
          <w:tcPr>
            <w:tcW w:w="1320" w:type="dxa"/>
            <w:vAlign w:val="bottom"/>
          </w:tcPr>
          <w:p>
            <w:pPr>
              <w:spacing w:after="0"/>
              <w:rPr>
                <w:sz w:val="17"/>
                <w:szCs w:val="17"/>
                <w:color w:val="auto"/>
              </w:rPr>
            </w:pPr>
          </w:p>
        </w:tc>
      </w:tr>
      <w:tr>
        <w:trPr>
          <w:trHeight w:val="405"/>
        </w:trPr>
        <w:tc>
          <w:tcPr>
            <w:tcW w:w="420" w:type="dxa"/>
            <w:vAlign w:val="bottom"/>
          </w:tcPr>
          <w:p>
            <w:pPr>
              <w:spacing w:after="0"/>
              <w:rPr>
                <w:sz w:val="24"/>
                <w:szCs w:val="24"/>
                <w:color w:val="auto"/>
              </w:rPr>
            </w:pPr>
          </w:p>
        </w:tc>
        <w:tc>
          <w:tcPr>
            <w:tcW w:w="5520" w:type="dxa"/>
            <w:vAlign w:val="bottom"/>
          </w:tcPr>
          <w:p>
            <w:pPr>
              <w:ind w:left="320"/>
              <w:spacing w:after="0"/>
              <w:rPr>
                <w:sz w:val="20"/>
                <w:szCs w:val="20"/>
                <w:color w:val="auto"/>
              </w:rPr>
            </w:pPr>
            <w:r>
              <w:rPr>
                <w:rFonts w:ascii="Courier New" w:cs="Courier New" w:eastAsia="Courier New" w:hAnsi="Courier New"/>
                <w:sz w:val="18"/>
                <w:szCs w:val="18"/>
                <w:color w:val="auto"/>
              </w:rPr>
              <w:t>KAYNE ANDERSON CAPITAL ADVISORS, L.P.</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- 95-4486379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73"/>
              </w:rPr>
              <w:t>2</w:t>
            </w:r>
          </w:p>
        </w:tc>
        <w:tc>
          <w:tcPr>
            <w:tcW w:w="626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260" w:type="dxa"/>
            <w:vAlign w:val="bottom"/>
          </w:tcPr>
          <w:p>
            <w:pPr>
              <w:ind w:left="90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hanging="747"/>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AF PF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hanging="747"/>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w:t>
      </w:r>
    </w:p>
    <w:p>
      <w:pPr>
        <w:jc w:val="right"/>
        <w:ind w:right="1779"/>
        <w:spacing w:after="0"/>
        <w:tabs>
          <w:tab w:leader="none" w:pos="30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84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 CALIFORNIA LIMITED PARTNERSHIP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52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w:t>
            </w: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52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520" w:type="dxa"/>
            <w:vAlign w:val="bottom"/>
          </w:tcPr>
          <w:p>
            <w:pPr>
              <w:spacing w:after="0"/>
              <w:rPr>
                <w:sz w:val="17"/>
                <w:szCs w:val="17"/>
                <w:color w:val="auto"/>
              </w:rPr>
            </w:pP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5,326,491</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rPr>
                <w:sz w:val="17"/>
                <w:szCs w:val="17"/>
                <w:color w:val="auto"/>
              </w:rPr>
            </w:pP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w:t>
            </w: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spacing w:after="0"/>
              <w:rPr>
                <w:sz w:val="17"/>
                <w:szCs w:val="17"/>
                <w:color w:val="auto"/>
              </w:rPr>
            </w:pPr>
          </w:p>
        </w:tc>
        <w:tc>
          <w:tcPr>
            <w:tcW w:w="6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rPr>
                <w:sz w:val="17"/>
                <w:szCs w:val="17"/>
                <w:color w:val="auto"/>
              </w:rPr>
            </w:pP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w:t>
            </w: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5,326,491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5,326,491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12</w:t>
            </w:r>
          </w:p>
        </w:tc>
        <w:tc>
          <w:tcPr>
            <w:tcW w:w="7220" w:type="dxa"/>
            <w:vAlign w:val="bottom"/>
          </w:tcPr>
          <w:p>
            <w:pPr>
              <w:ind w:left="320"/>
              <w:spacing w:after="0"/>
              <w:rPr>
                <w:sz w:val="20"/>
                <w:szCs w:val="20"/>
                <w:color w:val="auto"/>
              </w:rPr>
            </w:pPr>
            <w:r>
              <w:rPr>
                <w:rFonts w:ascii="Courier New" w:cs="Courier New" w:eastAsia="Courier New" w:hAnsi="Courier New"/>
                <w:sz w:val="18"/>
                <w:szCs w:val="18"/>
                <w:color w:val="auto"/>
              </w:rPr>
              <w:t>CHECK BOX IF THE AGGREGATE AMOUNT IN ROW (11) EXCLUDES CERTAIN</w:t>
            </w:r>
          </w:p>
        </w:tc>
        <w:tc>
          <w:tcPr>
            <w:tcW w:w="6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7.85%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480"/>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Units, $0.10 par value.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Plains All American Pipeline, LP</w:t>
      </w:r>
    </w:p>
    <w:p>
      <w:pPr>
        <w:ind w:left="860"/>
        <w:spacing w:after="0" w:line="238" w:lineRule="auto"/>
        <w:rPr>
          <w:sz w:val="20"/>
          <w:szCs w:val="20"/>
          <w:color w:val="auto"/>
        </w:rPr>
      </w:pPr>
      <w:r>
        <w:rPr>
          <w:rFonts w:ascii="Courier New" w:cs="Courier New" w:eastAsia="Courier New" w:hAnsi="Courier New"/>
          <w:sz w:val="18"/>
          <w:szCs w:val="18"/>
          <w:color w:val="auto"/>
        </w:rPr>
        <w:t>333 Clay Street, Suite 1600</w:t>
      </w:r>
    </w:p>
    <w:p>
      <w:pPr>
        <w:ind w:left="860"/>
        <w:spacing w:after="0"/>
        <w:tabs>
          <w:tab w:leader="none" w:pos="2200" w:val="left"/>
        </w:tabs>
        <w:rPr>
          <w:sz w:val="20"/>
          <w:szCs w:val="20"/>
          <w:color w:val="auto"/>
        </w:rPr>
      </w:pPr>
      <w:r>
        <w:rPr>
          <w:rFonts w:ascii="Courier New" w:cs="Courier New" w:eastAsia="Courier New" w:hAnsi="Courier New"/>
          <w:sz w:val="18"/>
          <w:szCs w:val="18"/>
          <w:color w:val="auto"/>
        </w:rPr>
        <w:t>Houston, TX</w:t>
      </w:r>
      <w:r>
        <w:rPr>
          <w:sz w:val="20"/>
          <w:szCs w:val="20"/>
          <w:color w:val="auto"/>
        </w:rPr>
        <w:tab/>
      </w:r>
      <w:r>
        <w:rPr>
          <w:rFonts w:ascii="Courier New" w:cs="Courier New" w:eastAsia="Courier New" w:hAnsi="Courier New"/>
          <w:sz w:val="16"/>
          <w:szCs w:val="16"/>
          <w:color w:val="auto"/>
        </w:rPr>
        <w:t>77002</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Reporting Persons include Kayne Anderson Capital Advisors, L.P. and Richard A. Kayne.</w:t>
      </w:r>
    </w:p>
    <w:p>
      <w:pPr>
        <w:spacing w:after="0" w:line="203"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KAYNE ANDERSON CAPITAL ADVISORS, L.P.</w:t>
      </w:r>
    </w:p>
    <w:p>
      <w:pPr>
        <w:spacing w:after="0" w:line="206" w:lineRule="exact"/>
        <w:rPr>
          <w:rFonts w:ascii="Courier New" w:cs="Courier New" w:eastAsia="Courier New" w:hAnsi="Courier New"/>
          <w:sz w:val="18"/>
          <w:szCs w:val="18"/>
          <w:color w:val="auto"/>
        </w:rPr>
      </w:pPr>
    </w:p>
    <w:p>
      <w:pPr>
        <w:ind w:left="8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Kayne Anderson Capital Advisors, L.P. ("KACALP"), a California limited partnership, is an investment adviser registered with the Securities and Exchange Commission under the Investment Advisers Act of 1940. It serves as sole general partner of and investment adviser to various investment partnerships holding the issuer's Common Units. KACALP also serves as investment adviser to Kayne Anderson MLP Investment Company ("KAMIC"), a publicly traded closed-end fund, and a small number of separate account clients which hold the issuer's Common Stock.</w:t>
      </w:r>
    </w:p>
    <w:p>
      <w:pPr>
        <w:spacing w:after="0" w:line="212" w:lineRule="exact"/>
        <w:rPr>
          <w:rFonts w:ascii="Courier New" w:cs="Courier New" w:eastAsia="Courier New" w:hAnsi="Courier New"/>
          <w:sz w:val="18"/>
          <w:szCs w:val="18"/>
          <w:color w:val="auto"/>
        </w:rPr>
      </w:pPr>
    </w:p>
    <w:p>
      <w:pPr>
        <w:ind w:left="8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Kayne Anderson Investment Management, Inc. ("KAIM"), a Nevada corporation, is the sole general partner of KACALP. KAIM is owned by KA Holdings, Inc. ("KA Holdings"), a California corporation, the shareholders of which are Richard A. Kayne and John E. Anderson. The principal business address of the Reporting Persons, KAIM and KA Holdings is 1800 Avenue of the Stars, Second Floor, Los Angeles, California 90067.</w:t>
      </w:r>
    </w:p>
    <w:p>
      <w:pPr>
        <w:spacing w:after="0" w:line="205"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RICHARD A. KAYNE</w:t>
      </w:r>
    </w:p>
    <w:p>
      <w:pPr>
        <w:spacing w:after="0" w:line="206" w:lineRule="exact"/>
        <w:rPr>
          <w:rFonts w:ascii="Courier New" w:cs="Courier New" w:eastAsia="Courier New" w:hAnsi="Courier New"/>
          <w:sz w:val="18"/>
          <w:szCs w:val="18"/>
          <w:color w:val="auto"/>
        </w:rPr>
      </w:pPr>
    </w:p>
    <w:p>
      <w:pPr>
        <w:ind w:left="86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Kayne, a U.S. citizen, is President, Chief Executive Officer and Director of KAIM and KA Holdings.</w:t>
      </w:r>
    </w:p>
    <w:p>
      <w:pPr>
        <w:spacing w:after="0" w:line="208" w:lineRule="exact"/>
        <w:rPr>
          <w:rFonts w:ascii="Courier New" w:cs="Courier New" w:eastAsia="Courier New" w:hAnsi="Courier New"/>
          <w:sz w:val="18"/>
          <w:szCs w:val="18"/>
          <w:color w:val="auto"/>
        </w:rPr>
      </w:pPr>
    </w:p>
    <w:p>
      <w:pPr>
        <w:ind w:left="8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Kayne also serves as Co-Management Chair and Chief Executive Officer of Kayne Anderson Rudnick Investment Management, LLC, a California limited liability company ("KARIM"), and President and Director of KA Associates, Inc., a Nevada corporation ("KAA"). KARIM is a registered investment adviser. KAA is a registered broker/dealer. The principal business address of KARIM and KAA is 1800 Avenue of the Stars, Second Floor, Los Angeles, CA 90067.</w:t>
      </w:r>
    </w:p>
    <w:p>
      <w:pPr>
        <w:spacing w:after="0" w:line="211" w:lineRule="exact"/>
        <w:rPr>
          <w:rFonts w:ascii="Courier New" w:cs="Courier New" w:eastAsia="Courier New" w:hAnsi="Courier New"/>
          <w:sz w:val="18"/>
          <w:szCs w:val="18"/>
          <w:color w:val="auto"/>
        </w:rPr>
      </w:pPr>
    </w:p>
    <w:p>
      <w:pPr>
        <w:ind w:left="860" w:right="177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Reporting Persons, KAIM or KA Holdings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ind w:left="860" w:right="1779" w:hanging="852"/>
        <w:spacing w:after="0" w:line="27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additional persons are officers and/or directors of one or more of KAIM and KA Holdings. (KACALP, a limited partnership, does not have any officers or directors.) Each such person is a U.S. citizen whose address is, unless noted otherwise, 1800 Avenue of the Stars, Second Floor, Los Angeles, California 90067. None of such persons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pacing w:after="0" w:line="385"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200" w:type="dxa"/>
            <w:vAlign w:val="bottom"/>
          </w:tcPr>
          <w:p>
            <w:pPr>
              <w:spacing w:after="0"/>
              <w:rPr>
                <w:sz w:val="20"/>
                <w:szCs w:val="20"/>
                <w:color w:val="auto"/>
              </w:rPr>
            </w:pPr>
            <w:r>
              <w:rPr>
                <w:rFonts w:ascii="Courier New" w:cs="Courier New" w:eastAsia="Courier New" w:hAnsi="Courier New"/>
                <w:sz w:val="18"/>
                <w:szCs w:val="18"/>
                <w:color w:val="auto"/>
              </w:rPr>
              <w:t>JOHN E. ANDERSON.</w:t>
            </w:r>
          </w:p>
        </w:tc>
        <w:tc>
          <w:tcPr>
            <w:tcW w:w="52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Chairman of Topa Equities, Ltd., a diversified</w:t>
            </w:r>
          </w:p>
        </w:tc>
      </w:tr>
      <w:tr>
        <w:trPr>
          <w:trHeight w:val="203"/>
        </w:trPr>
        <w:tc>
          <w:tcPr>
            <w:tcW w:w="2200" w:type="dxa"/>
            <w:vAlign w:val="bottom"/>
          </w:tcPr>
          <w:p>
            <w:pPr>
              <w:spacing w:after="0"/>
              <w:rPr>
                <w:sz w:val="17"/>
                <w:szCs w:val="17"/>
                <w:color w:val="auto"/>
              </w:rPr>
            </w:pPr>
          </w:p>
        </w:tc>
        <w:tc>
          <w:tcPr>
            <w:tcW w:w="52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investment company located at 1800 Avenue of the</w:t>
            </w:r>
          </w:p>
        </w:tc>
      </w:tr>
      <w:tr>
        <w:trPr>
          <w:trHeight w:val="203"/>
        </w:trPr>
        <w:tc>
          <w:tcPr>
            <w:tcW w:w="2200" w:type="dxa"/>
            <w:vAlign w:val="bottom"/>
          </w:tcPr>
          <w:p>
            <w:pPr>
              <w:spacing w:after="0"/>
              <w:rPr>
                <w:sz w:val="17"/>
                <w:szCs w:val="17"/>
                <w:color w:val="auto"/>
              </w:rPr>
            </w:pPr>
          </w:p>
        </w:tc>
        <w:tc>
          <w:tcPr>
            <w:tcW w:w="52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Stars, Suite 1400, Los Angeles, California 90067.</w:t>
            </w:r>
          </w:p>
        </w:tc>
      </w:tr>
      <w:tr>
        <w:trPr>
          <w:trHeight w:val="203"/>
        </w:trPr>
        <w:tc>
          <w:tcPr>
            <w:tcW w:w="220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Mr. Anderson is</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Director of KAIM and KA Holdings.</w:t>
            </w:r>
          </w:p>
        </w:tc>
      </w:tr>
      <w:tr>
        <w:trPr>
          <w:trHeight w:val="405"/>
        </w:trPr>
        <w:tc>
          <w:tcPr>
            <w:tcW w:w="2200" w:type="dxa"/>
            <w:vAlign w:val="bottom"/>
          </w:tcPr>
          <w:p>
            <w:pPr>
              <w:spacing w:after="0"/>
              <w:rPr>
                <w:sz w:val="20"/>
                <w:szCs w:val="20"/>
                <w:color w:val="auto"/>
              </w:rPr>
            </w:pPr>
            <w:r>
              <w:rPr>
                <w:rFonts w:ascii="Courier New" w:cs="Courier New" w:eastAsia="Courier New" w:hAnsi="Courier New"/>
                <w:sz w:val="18"/>
                <w:szCs w:val="18"/>
                <w:color w:val="auto"/>
              </w:rPr>
              <w:t>HOWARD M. ZELIKOW.</w:t>
            </w:r>
          </w:p>
        </w:tc>
        <w:tc>
          <w:tcPr>
            <w:tcW w:w="52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Vice President and Director of KAIM</w:t>
            </w:r>
          </w:p>
        </w:tc>
      </w:tr>
      <w:tr>
        <w:trPr>
          <w:trHeight w:val="405"/>
        </w:trPr>
        <w:tc>
          <w:tcPr>
            <w:tcW w:w="2200" w:type="dxa"/>
            <w:vAlign w:val="bottom"/>
          </w:tcPr>
          <w:p>
            <w:pPr>
              <w:spacing w:after="0"/>
              <w:rPr>
                <w:sz w:val="20"/>
                <w:szCs w:val="20"/>
                <w:color w:val="auto"/>
              </w:rPr>
            </w:pPr>
            <w:r>
              <w:rPr>
                <w:rFonts w:ascii="Courier New" w:cs="Courier New" w:eastAsia="Courier New" w:hAnsi="Courier New"/>
                <w:sz w:val="18"/>
                <w:szCs w:val="18"/>
                <w:color w:val="auto"/>
              </w:rPr>
              <w:t>ROBERT V. SINNOTT.</w:t>
            </w:r>
          </w:p>
        </w:tc>
        <w:tc>
          <w:tcPr>
            <w:tcW w:w="52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Vice President of KAIM</w:t>
            </w:r>
          </w:p>
        </w:tc>
      </w:tr>
      <w:tr>
        <w:trPr>
          <w:trHeight w:val="405"/>
        </w:trPr>
        <w:tc>
          <w:tcPr>
            <w:tcW w:w="2200" w:type="dxa"/>
            <w:vAlign w:val="bottom"/>
          </w:tcPr>
          <w:p>
            <w:pPr>
              <w:spacing w:after="0"/>
              <w:rPr>
                <w:sz w:val="20"/>
                <w:szCs w:val="20"/>
                <w:color w:val="auto"/>
              </w:rPr>
            </w:pPr>
            <w:r>
              <w:rPr>
                <w:rFonts w:ascii="Courier New" w:cs="Courier New" w:eastAsia="Courier New" w:hAnsi="Courier New"/>
                <w:sz w:val="18"/>
                <w:szCs w:val="18"/>
                <w:color w:val="auto"/>
              </w:rPr>
              <w:t>RALPH C. WALTER.</w:t>
            </w:r>
          </w:p>
        </w:tc>
        <w:tc>
          <w:tcPr>
            <w:tcW w:w="1740" w:type="dxa"/>
            <w:vAlign w:val="bottom"/>
          </w:tcPr>
          <w:p>
            <w:pPr>
              <w:ind w:left="100"/>
              <w:spacing w:after="0"/>
              <w:rPr>
                <w:sz w:val="20"/>
                <w:szCs w:val="20"/>
                <w:color w:val="auto"/>
              </w:rPr>
            </w:pPr>
            <w:r>
              <w:rPr>
                <w:rFonts w:ascii="Courier New" w:cs="Courier New" w:eastAsia="Courier New" w:hAnsi="Courier New"/>
                <w:sz w:val="18"/>
                <w:szCs w:val="18"/>
                <w:color w:val="auto"/>
                <w:w w:val="99"/>
              </w:rPr>
              <w:t>Chief Operating</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Officer of KAIM and KA Holdings.</w:t>
            </w:r>
          </w:p>
        </w:tc>
      </w:tr>
      <w:tr>
        <w:trPr>
          <w:trHeight w:val="405"/>
        </w:trPr>
        <w:tc>
          <w:tcPr>
            <w:tcW w:w="2200" w:type="dxa"/>
            <w:vAlign w:val="bottom"/>
          </w:tcPr>
          <w:p>
            <w:pPr>
              <w:spacing w:after="0"/>
              <w:rPr>
                <w:sz w:val="20"/>
                <w:szCs w:val="20"/>
                <w:color w:val="auto"/>
              </w:rPr>
            </w:pPr>
            <w:r>
              <w:rPr>
                <w:rFonts w:ascii="Courier New" w:cs="Courier New" w:eastAsia="Courier New" w:hAnsi="Courier New"/>
                <w:sz w:val="18"/>
                <w:szCs w:val="18"/>
                <w:color w:val="auto"/>
              </w:rPr>
              <w:t>DAVID J. SHLADOVSKY.</w:t>
            </w:r>
          </w:p>
        </w:tc>
        <w:tc>
          <w:tcPr>
            <w:tcW w:w="1740" w:type="dxa"/>
            <w:vAlign w:val="bottom"/>
          </w:tcPr>
          <w:p>
            <w:pPr>
              <w:ind w:left="100"/>
              <w:spacing w:after="0"/>
              <w:rPr>
                <w:sz w:val="20"/>
                <w:szCs w:val="20"/>
                <w:color w:val="auto"/>
              </w:rPr>
            </w:pPr>
            <w:r>
              <w:rPr>
                <w:rFonts w:ascii="Courier New" w:cs="Courier New" w:eastAsia="Courier New" w:hAnsi="Courier New"/>
                <w:sz w:val="18"/>
                <w:szCs w:val="18"/>
                <w:color w:val="auto"/>
                <w:w w:val="99"/>
              </w:rPr>
              <w:t>General Counsel</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and Secretary of KAIM and KA</w:t>
            </w:r>
          </w:p>
        </w:tc>
      </w:tr>
      <w:tr>
        <w:trPr>
          <w:trHeight w:val="203"/>
        </w:trPr>
        <w:tc>
          <w:tcPr>
            <w:tcW w:w="220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Holdings.</w:t>
            </w:r>
          </w:p>
        </w:tc>
        <w:tc>
          <w:tcPr>
            <w:tcW w:w="3540" w:type="dxa"/>
            <w:vAlign w:val="bottom"/>
          </w:tcPr>
          <w:p>
            <w:pPr>
              <w:spacing w:after="0"/>
              <w:rPr>
                <w:sz w:val="17"/>
                <w:szCs w:val="17"/>
                <w:color w:val="auto"/>
              </w:rPr>
            </w:pPr>
          </w:p>
        </w:tc>
      </w:tr>
      <w:tr>
        <w:trPr>
          <w:trHeight w:val="405"/>
        </w:trPr>
        <w:tc>
          <w:tcPr>
            <w:tcW w:w="2200" w:type="dxa"/>
            <w:vAlign w:val="bottom"/>
          </w:tcPr>
          <w:p>
            <w:pPr>
              <w:spacing w:after="0"/>
              <w:rPr>
                <w:sz w:val="20"/>
                <w:szCs w:val="20"/>
                <w:color w:val="auto"/>
              </w:rPr>
            </w:pPr>
            <w:r>
              <w:rPr>
                <w:rFonts w:ascii="Courier New" w:cs="Courier New" w:eastAsia="Courier New" w:hAnsi="Courier New"/>
                <w:sz w:val="18"/>
                <w:szCs w:val="18"/>
                <w:color w:val="auto"/>
              </w:rPr>
              <w:t>JOHN F. DALEY.</w:t>
            </w:r>
          </w:p>
        </w:tc>
        <w:tc>
          <w:tcPr>
            <w:tcW w:w="1740" w:type="dxa"/>
            <w:vAlign w:val="bottom"/>
          </w:tcPr>
          <w:p>
            <w:pPr>
              <w:ind w:left="100"/>
              <w:spacing w:after="0"/>
              <w:rPr>
                <w:sz w:val="20"/>
                <w:szCs w:val="20"/>
                <w:color w:val="auto"/>
              </w:rPr>
            </w:pPr>
            <w:r>
              <w:rPr>
                <w:rFonts w:ascii="Courier New" w:cs="Courier New" w:eastAsia="Courier New" w:hAnsi="Courier New"/>
                <w:sz w:val="18"/>
                <w:szCs w:val="18"/>
                <w:color w:val="auto"/>
                <w:w w:val="99"/>
              </w:rPr>
              <w:t>Chief Financial</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w w:val="97"/>
              </w:rPr>
              <w:t>Officer and Treasurer of KAIM and</w:t>
            </w:r>
          </w:p>
        </w:tc>
      </w:tr>
      <w:tr>
        <w:trPr>
          <w:trHeight w:val="203"/>
        </w:trPr>
        <w:tc>
          <w:tcPr>
            <w:tcW w:w="220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KA Holdings.</w:t>
            </w:r>
          </w:p>
        </w:tc>
        <w:tc>
          <w:tcPr>
            <w:tcW w:w="3540" w:type="dxa"/>
            <w:vAlign w:val="bottom"/>
          </w:tcPr>
          <w:p>
            <w:pPr>
              <w:spacing w:after="0"/>
              <w:rPr>
                <w:sz w:val="17"/>
                <w:szCs w:val="17"/>
                <w:color w:val="auto"/>
              </w:rPr>
            </w:pPr>
          </w:p>
        </w:tc>
      </w:tr>
    </w:tbl>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This Schedule 13D is filed for purposes of disclosing that the Reporting Persons have acquired additional shares of Issuer's outstanding Common Units.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As of February 25, 2005, Mr. Kayne beneficially owns 5,562,221 Common Units, or approximately 8.20% of the outstanding Common Units. Of those Common Units, KACALP, as general partner of or investment adviser to investment funds accounts, beneficially owns 5,326,491 Common Units, or approximately 7.85% of the outstanding Common Units.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 (i) Mr. Kayne has the sole power to vote and dispose, or direct the disposition, of 235,730 Common Units, and (ii) Mr. Kayne and KACALP have the shared power to vote and dispose, or direct the disposition, of 5,326,491 Common Units.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Common Units over which Mr. Kayne has sole voting and dispositive power are held by him directly or by accounts for which he serves as trustee or custodian. The Common Units over which Mr. Kayne and KACALP have shared voting and dispositive power are held by accounts for which KACALP serves as general partner or investment adviser.</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KACALP disclaims beneficial ownership of the Common Units reported, except those Common Units attributable to it by virtue of its general partner interests in the limited partnerships holding such shares. Mr. Kayne disclaims beneficial ownership of the Common Units reported, except those Common Units held by him or attributable to him by virtue of his limited partner interests in such limited partnerships, by virtue of his indirect interest in the interest of KACALP in such limited partnerships and by his ownership of shares in KAMIC.</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 The following transactions in the Common Units beneficially owned by the</w:t>
      </w:r>
    </w:p>
    <w:p>
      <w:pPr>
        <w:spacing w:after="0" w:line="238" w:lineRule="auto"/>
        <w:rPr>
          <w:sz w:val="20"/>
          <w:szCs w:val="20"/>
          <w:color w:val="auto"/>
        </w:rPr>
      </w:pPr>
      <w:r>
        <w:rPr>
          <w:rFonts w:ascii="Courier New" w:cs="Courier New" w:eastAsia="Courier New" w:hAnsi="Courier New"/>
          <w:sz w:val="18"/>
          <w:szCs w:val="18"/>
          <w:color w:val="auto"/>
        </w:rPr>
        <w:t>Reporting Persons were effected in the last 60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Common Stock</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Stock</w:t>
            </w:r>
          </w:p>
        </w:tc>
        <w:tc>
          <w:tcPr>
            <w:tcW w:w="3380" w:type="dxa"/>
            <w:vAlign w:val="bottom"/>
          </w:tcPr>
          <w:p>
            <w:pPr>
              <w:spacing w:after="0"/>
              <w:rPr>
                <w:sz w:val="17"/>
                <w:szCs w:val="17"/>
                <w:color w:val="auto"/>
              </w:rPr>
            </w:pPr>
          </w:p>
        </w:tc>
      </w:tr>
      <w:tr>
        <w:trPr>
          <w:trHeight w:val="203"/>
        </w:trPr>
        <w:tc>
          <w:tcPr>
            <w:tcW w:w="11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Date</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Type</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of shares</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Price</w:t>
            </w:r>
          </w:p>
        </w:tc>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Where/how transaction effected</w:t>
            </w:r>
          </w:p>
        </w:tc>
      </w:tr>
      <w:tr>
        <w:trPr>
          <w:trHeight w:val="203"/>
        </w:trPr>
        <w:tc>
          <w:tcPr>
            <w:tcW w:w="11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12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9"/>
              </w:rPr>
              <w:t>02/25/05</w:t>
            </w:r>
          </w:p>
        </w:tc>
        <w:tc>
          <w:tcPr>
            <w:tcW w:w="1000" w:type="dxa"/>
            <w:vAlign w:val="bottom"/>
          </w:tcPr>
          <w:p>
            <w:pPr>
              <w:ind w:left="460"/>
              <w:spacing w:after="0"/>
              <w:rPr>
                <w:sz w:val="20"/>
                <w:szCs w:val="20"/>
                <w:color w:val="auto"/>
              </w:rPr>
            </w:pPr>
            <w:r>
              <w:rPr>
                <w:rFonts w:ascii="Courier New" w:cs="Courier New" w:eastAsia="Courier New" w:hAnsi="Courier New"/>
                <w:sz w:val="18"/>
                <w:szCs w:val="18"/>
                <w:color w:val="auto"/>
              </w:rPr>
              <w:t>buy</w:t>
            </w:r>
          </w:p>
        </w:tc>
        <w:tc>
          <w:tcPr>
            <w:tcW w:w="1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575,000</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38.08</w:t>
            </w:r>
          </w:p>
        </w:tc>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open market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March 14, 2005</w:t>
      </w:r>
    </w:p>
    <w:p>
      <w:pPr>
        <w:spacing w:after="0" w:line="238" w:lineRule="auto"/>
        <w:rPr>
          <w:sz w:val="20"/>
          <w:szCs w:val="20"/>
          <w:color w:val="auto"/>
        </w:rPr>
      </w:pPr>
      <w:r>
        <w:rPr>
          <w:rFonts w:ascii="Courier New" w:cs="Courier New" w:eastAsia="Courier New" w:hAnsi="Courier New"/>
          <w:sz w:val="18"/>
          <w:szCs w:val="18"/>
          <w:color w:val="auto"/>
        </w:rPr>
        <w:t>-----------------------------------------------------</w:t>
      </w:r>
    </w:p>
    <w:p>
      <w:pPr>
        <w:ind w:left="23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 Richard A. Kayne</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Richard A. Kayne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KAYNE ANDERSON CAPITAL ADVISORS, L.P.</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Kayne Anderson Investment Management, Inc.</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J. Shladovsky</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David J. Shladovsky, Secretary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6" w:name="page7"/>
    <w:bookmarkEnd w:id="6"/>
    <w:p>
      <w:pPr>
        <w:ind w:left="1580"/>
        <w:spacing w:after="0"/>
        <w:rPr>
          <w:sz w:val="20"/>
          <w:szCs w:val="20"/>
          <w:color w:val="auto"/>
        </w:rPr>
      </w:pPr>
      <w:r>
        <w:rPr>
          <w:rFonts w:ascii="Courier New" w:cs="Courier New" w:eastAsia="Courier New" w:hAnsi="Courier New"/>
          <w:sz w:val="18"/>
          <w:szCs w:val="18"/>
          <w:color w:val="auto"/>
        </w:rPr>
        <w:t>JOINT FILING AGREEMENT PURSUANT TO RULE 13d-1(f)(1)</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agreement is made pursuant to Rule 13d-1(f)(1) under the Securities Exchange Act of 1934 (the "Act") by and between the parties listed below, each referred to herein as a "Joint Filer." The Joint Filers agree that a statement of beneficial ownership as required by Section 13(d) of the Act and the Rules thereunder may be filed on each of their behalf on Schedule 13D or Schedule 13G, as appropriate, and that said joint filing may thereafter be amended by further joint filings. The Joint Filers state that they each satisfy the requirements for making a joint filing under Rule 13d-1.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Richard A. Kayne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Richard A. Kayne</w:t>
      </w: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David J. Shladovsky</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Kayne Anderson Capital Advisors, L.P., by</w:t>
      </w:r>
    </w:p>
    <w:p>
      <w:pPr>
        <w:ind w:left="860"/>
        <w:spacing w:after="0" w:line="237" w:lineRule="auto"/>
        <w:rPr>
          <w:sz w:val="20"/>
          <w:szCs w:val="20"/>
          <w:color w:val="auto"/>
        </w:rPr>
      </w:pPr>
      <w:r>
        <w:rPr>
          <w:rFonts w:ascii="Courier New" w:cs="Courier New" w:eastAsia="Courier New" w:hAnsi="Courier New"/>
          <w:sz w:val="18"/>
          <w:szCs w:val="18"/>
          <w:color w:val="auto"/>
        </w:rPr>
        <w:t>David J. Shladovsky, Secretary of</w:t>
      </w:r>
    </w:p>
    <w:p>
      <w:pPr>
        <w:ind w:left="860"/>
        <w:spacing w:after="0" w:line="238" w:lineRule="auto"/>
        <w:rPr>
          <w:sz w:val="20"/>
          <w:szCs w:val="20"/>
          <w:color w:val="auto"/>
        </w:rPr>
      </w:pPr>
      <w:r>
        <w:rPr>
          <w:rFonts w:ascii="Courier New" w:cs="Courier New" w:eastAsia="Courier New" w:hAnsi="Courier New"/>
          <w:sz w:val="18"/>
          <w:szCs w:val="18"/>
          <w:color w:val="auto"/>
        </w:rPr>
        <w:t>Kayne Anderson Investment Management, Inc.,</w:t>
      </w:r>
    </w:p>
    <w:p>
      <w:pPr>
        <w:ind w:left="860"/>
        <w:spacing w:after="0"/>
        <w:rPr>
          <w:sz w:val="20"/>
          <w:szCs w:val="20"/>
          <w:color w:val="auto"/>
        </w:rPr>
      </w:pPr>
      <w:r>
        <w:rPr>
          <w:rFonts w:ascii="Courier New" w:cs="Courier New" w:eastAsia="Courier New" w:hAnsi="Courier New"/>
          <w:sz w:val="18"/>
          <w:szCs w:val="18"/>
          <w:color w:val="auto"/>
        </w:rPr>
        <w:t>general partner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310"/>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5"/>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2019-12-16T14:10:09Z</dcterms:created>
  <dcterms:modified xsi:type="dcterms:W3CDTF">2019-12-16T14:10:09Z</dcterms:modified>
</cp:coreProperties>
</file>