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June 27,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8"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On June 27, 2024, Plains All American Pipeline, L.P. (“PAA”) and PAA Finance Corp. (together with PAA, the “Issuers”) completed the public offering (the “Offering”) of $650 million aggregate principal amount of the Issuers’ 5.700% Senior Notes due 2034 (the “Notes”).</w:t>
      </w:r>
    </w:p>
    <w:p>
      <w:pPr>
        <w:spacing w:after="0" w:line="162"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terms of the Notes are governed by the indenture (the “Base Indenture,” and as amended and supplemented by the Supplemental Indenture (defined below), the “Indenture”) dated as of September 25, 2002 by and among the Issuers and U.S. Bank Trust Company, National Association (as successor trustee), as trustee (the “Trustee”), as supplemented by the Thirty-Third Supplemental Indenture dated as of June 27, 2024 by and among the Issuers and the Trustee (the “Supplemental Indenture”).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will mature on September 15, 2034. Interest is payable on the Notes on each March 15 and September 15, commencing on March 15,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may redeem some or all of the Notes at any time and from time to time prior to maturity at the redemption prices specified in the Indenture.</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material terms of the Notes, the Base Indenture and the Supplemental Indenture are described in the prospectus supplement, dated June 17, 2024. The foregoing descriptions of the Indenture and the Notes are qualified in their entirety by reference to such Indenture (including the form of Notes attached thereto). A copy of the Supplemental Indenture is filed as Exhibit 4.1 to this Current Report on Form 8-K and is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ectPr>
          <w:pgSz w:w="11900" w:h="16838" w:orient="portrait"/>
          <w:cols w:equalWidth="0" w:num="1">
            <w:col w:w="11220"/>
          </w:cols>
          <w:pgMar w:left="320" w:top="900" w:right="3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57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EE"/>
        </w:rPr>
        <w:t>5.1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EE"/>
        </w:rPr>
        <w:t>23.1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6129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0000EE"/>
        </w:rPr>
        <w:t>Thirty-Third Supplemental Indenture, dated June 27, 2024, by and among Plains All American Pipeline, L.P., PAA Finance Corp. and U.S. Bank Trust Company, National Association, as trustee.</w:t>
      </w:r>
    </w:p>
    <w:p>
      <w:pPr>
        <w:spacing w:after="0"/>
        <w:rPr>
          <w:sz w:val="20"/>
          <w:szCs w:val="20"/>
          <w:color w:val="auto"/>
        </w:rPr>
      </w:pPr>
      <w:r>
        <w:rPr>
          <w:rFonts w:ascii="Times New Roman" w:cs="Times New Roman" w:eastAsia="Times New Roman" w:hAnsi="Times New Roman"/>
          <w:sz w:val="18"/>
          <w:szCs w:val="18"/>
          <w:u w:val="single" w:color="auto"/>
          <w:color w:val="0000EE"/>
        </w:rPr>
        <w:t>Form of 5.700% Senior Notes due 2034 (included as Exhibit A in Exhibit 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Opinion of Vinson &amp; Elkins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Vinson &amp; Elkins L.L.P. (included in Exhibit 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000" w:space="580"/>
            <w:col w:w="9640"/>
          </w:cols>
          <w:pgMar w:left="320" w:top="900" w:right="35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14"/>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184785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$650,000,000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5.700% SENIOR NOTES DUE 2034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THIRTY-THIRD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June 27,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605790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76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17"/>
                <w:szCs w:val="17"/>
                <w:color w:val="auto"/>
              </w:rPr>
            </w:pPr>
          </w:p>
        </w:tc>
      </w:tr>
      <w:tr>
        <w:trPr>
          <w:trHeight w:val="4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Establishment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Global Security Legend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Limitations on Liens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Restriction of Sale-leaseback Transactions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Consolidation and Mergers of the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Rights and Duties of Successor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to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 on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Waiver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Guarantee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Amendments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Integral Part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Adoption, Ratification and Confirmation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10.06.</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Recitals; Trustee Makes No Representation; Trustee’s Rights and Duties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Note</w:t>
            </w:r>
          </w:p>
        </w:tc>
        <w:tc>
          <w:tcPr>
            <w:tcW w:w="2260" w:type="dxa"/>
            <w:vAlign w:val="bottom"/>
          </w:tcPr>
          <w:p>
            <w:pPr>
              <w:spacing w:after="0"/>
              <w:rPr>
                <w:sz w:val="24"/>
                <w:szCs w:val="24"/>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22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THIRTY-THIRD SUPPLEMENTAL INDENTURE dated as of June 27, 2024 (this “Supplemental Indenture”) among PLAINS ALL AMERICAN PIPELINE, L.P., a Delaware limited partnership (the “Partnership”), PAA FINANCE CORP., a wholly owned subsidiary of the Partnership and a Delaware corporation (“PAA Finance” and, together with the Partnership, the “Issuers”), and U.S. BANK TRUST COMPANY, NATIONAL ASSOCIATION, as trustee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Trust Company, National Association (successor to Wachovia Bank, National Association), as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Establishment.</w:t>
      </w:r>
      <w:r>
        <w:rPr>
          <w:rFonts w:ascii="Times New Roman" w:cs="Times New Roman" w:eastAsia="Times New Roman" w:hAnsi="Times New Roman"/>
          <w:sz w:val="18"/>
          <w:szCs w:val="18"/>
          <w:color w:val="auto"/>
        </w:rPr>
        <w:t xml:space="preserve"> There is hereby established a new series of Debt Securities to be issued under the Indenture, to be designated as the Issuers’ 5.700% Senior Notes due 2034 (the “Notes”). Initially, there will be no Subsidiary Guarantors for the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There are to be authenticated and delivered $650,000,000 principal amount of Notes on the Issue Date, and from time to time thereafter there may be authenticated and delivered an unlimited principal amount of Additional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Notes shall be issued initially in the form of one or more Global Securities in substantially the form set out in Exhibit A hereto. The Depositary with respect to the Notes shall be The Depository Trust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Note shall be dated the date of authentication thereof and shall bear interest from the date of original issuance thereof or from the most recent date to which interest has been paid or duly provided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and to the extent that the provisions of the Original Indenture are duplicative of, or in contradiction with, the provisions of this Supplemental Indenture, the provisions of this Supplemental Indenture shall govern.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firstLine="1296"/>
        <w:spacing w:after="0" w:line="282" w:lineRule="auto"/>
        <w:rPr>
          <w:sz w:val="20"/>
          <w:szCs w:val="20"/>
          <w:color w:val="auto"/>
        </w:rPr>
      </w:pPr>
      <w:r>
        <w:rPr>
          <w:rFonts w:ascii="Times New Roman" w:cs="Times New Roman" w:eastAsia="Times New Roman" w:hAnsi="Times New Roman"/>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5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the right reserved to, or vested in, any municipality or public authority by the terms of any right, power, franchise, grant, license, permit or by any provision of law, to purchase or recapture or to designate a purchaser of, any property;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Liens of taxes and assessments which are (A) for the then current year, (B) not at the time delinquent, or (C) delinquent but the validity of which is being contested at the time by an Issuer or any Restricted Subsidiary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of, or to secure performance of, leases, other than capital leases;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any Lien upon, or deposits of, any assets in favor of any surety company or clerk of court for the purpose of obtaining indemnity or stay of judicial proceedings;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any Lien upon property or assets acquired or sold by an Issuer or any Restricted Subsidiary resulting from the exercise of any rights arising out of defaults on receivables;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any Lien in favor of an Issuer or any Restricted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color w:val="auto"/>
        </w:rPr>
        <w:t>(11)           any Lien securing industrial development, pollution control or similar revenue bonds;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Liens in favor of any Person to secure obligations under the provisions of any letters of credit, bank guarantees, bonds or surety obligations required or requested by any governmental authority in connection with any contract or statute;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any Lien upon or deposits of any assets to secure performance of bids, trade contracts, leases or statutory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(18)           any obligations or duties to any municipality or public authority with respect to any lease, easement, right-of-way, license, franchise, privilege, permit or grant.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2" w:name="page13"/>
    <w:bookmarkEnd w:id="1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“Subsidiary Guarantors”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the Partnership that executes a supplemental Indenture to provide a Guarantee in accordance with the provisions of the Indenture; and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            its successors and assigns.</w:t>
            </w:r>
          </w:p>
        </w:tc>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Section 2.02.          Other Definitions.</w:t>
            </w:r>
          </w:p>
        </w:tc>
        <w:tc>
          <w:tcPr>
            <w:tcW w:w="5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0"/>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6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198"/>
        </w:trPr>
        <w:tc>
          <w:tcPr>
            <w:tcW w:w="720" w:type="dxa"/>
            <w:vAlign w:val="bottom"/>
          </w:tcPr>
          <w:p>
            <w:pPr>
              <w:spacing w:after="0"/>
              <w:rPr>
                <w:sz w:val="17"/>
                <w:szCs w:val="17"/>
                <w:color w:val="auto"/>
              </w:rPr>
            </w:pPr>
          </w:p>
        </w:tc>
        <w:tc>
          <w:tcPr>
            <w:tcW w:w="39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Term </w:t>
            </w:r>
          </w:p>
        </w:tc>
        <w:tc>
          <w:tcPr>
            <w:tcW w:w="662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Notes” </w:t>
            </w:r>
          </w:p>
        </w:tc>
        <w:tc>
          <w:tcPr>
            <w:tcW w:w="57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“Covenant Defeasance”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 of Default”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“Legal Defeasance”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 Obligations”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5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“Successor Company”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648"/>
        </w:trPr>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jc w:val="right"/>
              <w:ind w:right="459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 w:name="page14"/>
    <w:bookmarkEnd w:id="13"/>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Form</w:t>
      </w:r>
      <w:r>
        <w:rPr>
          <w:rFonts w:ascii="Times New Roman" w:cs="Times New Roman" w:eastAsia="Times New Roman" w:hAnsi="Times New Roman"/>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Issuance of Additional Notes</w:t>
      </w:r>
      <w:r>
        <w:rPr>
          <w:rFonts w:ascii="Times New Roman" w:cs="Times New Roman" w:eastAsia="Times New Roman" w:hAnsi="Times New Roman"/>
          <w:sz w:val="18"/>
          <w:szCs w:val="18"/>
          <w:color w:val="auto"/>
        </w:rPr>
        <w:t>.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$650,000,000. The Notes issued on the Issue Date and any Additional Notes subsequently issued shall be treated as a single series for all purposes under the Indenture, including waivers, amendments, redemptions and offers to purchase.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Global Security Legend</w:t>
      </w:r>
      <w:r>
        <w:rPr>
          <w:rFonts w:ascii="Times New Roman" w:cs="Times New Roman" w:eastAsia="Times New Roman" w:hAnsi="Times New Roman"/>
          <w:sz w:val="18"/>
          <w:szCs w:val="18"/>
          <w:color w:val="auto"/>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At their option at any time prior to maturity, the Issuers may choose to redeem all or any portion of the Notes, at once or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redemption pursuant to this Section 4.01 shall otherwise be made pursuant to the provisions of Sections 3.01 through 3.03 of 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Lien upon any property or assets of an Issuer or any Restricted Subsidiary in existence on December 10, 2003 or provided for pursuant to agreements existing on December 10, 2003;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any Lien resulting from the deposit of moneys or evidence of indebtedness in trust for the purpose of defeasing Debt of an Issuer or any Restricted Subsidiary.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15%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Sale-leaseback Transaction involves a lease for a period, including renewals, of not more than three years;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15% of Consolidated Net Tangible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Partnership shall provide the Trustee with a sufficient number of copies of all reports and other documents and information that the Trustee may be required to deliver to Holders of Notes under clause (b) of this Section 5.04.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“Event of Default” occurs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(i)           the Issuers default for 60 days in the payment when due of interest on the Notes;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(ii)          the Issuers default in the payment when due of principal of or premium, if any, on the Notes at maturity, upon redemption or otherwise;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(vi)        an Issuer or any Subsidiary Guarantor pursuant to or within the meaning of any Bankruptcy Law:</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(vii)       a court of competent jurisdiction enters an order or decree under any Bankruptcy Law that: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            is for relief against an Issuer or any Subsidiary Guarantor in an involuntary case;</w:t>
      </w:r>
    </w:p>
    <w:p>
      <w:pPr>
        <w:spacing w:after="0" w:line="225"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(B)            appoints a custodian of an Issuer or any Subsidiary Guarantor or for all or substantially all of the property of an Issuer or any Subsidiary Guarantor; or</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            orders the liquidation of an Issuer or any Subsidiary Guarantor;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0" w:name="page21"/>
    <w:bookmarkEnd w:id="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Issuers’ obligations with respect to such Notes under Sections 2.07, 2.08, 2.09 and 4.02 of the Original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duties and immunities of the Trustee hereunder and the Issuers’ obligations in connection therewith,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Article VIII,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Issuers’ rights of optional redemption under Section 4.01 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5" w:lineRule="exact"/>
        <w:rPr>
          <w:sz w:val="20"/>
          <w:szCs w:val="20"/>
          <w:color w:val="auto"/>
        </w:rPr>
      </w:pPr>
    </w:p>
    <w:p>
      <w:pPr>
        <w:ind w:firstLine="8"/>
        <w:spacing w:after="0" w:line="260"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sale or other disposition of all of the Equity Interests of a Subsidiary Guarantor, to any Person that is not an Affiliate of either of the Issuers;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1" w:lineRule="exact"/>
        <w:rPr>
          <w:sz w:val="20"/>
          <w:szCs w:val="20"/>
          <w:color w:val="auto"/>
        </w:rPr>
      </w:pPr>
    </w:p>
    <w:p>
      <w:pPr>
        <w:ind w:firstLine="8"/>
        <w:spacing w:after="0" w:line="260"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(a)(vii)” of this Supplemental Indenture; and (D) “Article X” in the Original Indenture shall be deemed to be references to “Article VI” of this Supplemental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PAA GP LLC</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By: Plains AAP, L.P.</w:t>
      </w:r>
    </w:p>
    <w:p>
      <w:pPr>
        <w:spacing w:after="0" w:line="2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Thirty-Third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449580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2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Signature Page to Thirty-Third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27" w:right="1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EXHIBIT A</w:t>
            </w:r>
          </w:p>
        </w:tc>
      </w:tr>
      <w:tr>
        <w:trPr>
          <w:trHeight w:val="237"/>
        </w:trPr>
        <w:tc>
          <w:tcPr>
            <w:tcW w:w="2840" w:type="dxa"/>
            <w:vAlign w:val="bottom"/>
          </w:tcPr>
          <w:p>
            <w:pPr>
              <w:spacing w:after="0"/>
              <w:rPr>
                <w:sz w:val="20"/>
                <w:szCs w:val="20"/>
                <w:color w:val="auto"/>
              </w:rPr>
            </w:pPr>
          </w:p>
        </w:tc>
        <w:tc>
          <w:tcPr>
            <w:tcW w:w="840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CUSIP 72650R BP6</w:t>
            </w:r>
          </w:p>
        </w:tc>
        <w:tc>
          <w:tcPr>
            <w:tcW w:w="8400" w:type="dxa"/>
            <w:vAlign w:val="bottom"/>
            <w:gridSpan w:val="4"/>
          </w:tcPr>
          <w:p>
            <w:pPr>
              <w:ind w:left="7280"/>
              <w:spacing w:after="0"/>
              <w:rPr>
                <w:sz w:val="20"/>
                <w:szCs w:val="20"/>
                <w:color w:val="auto"/>
              </w:rPr>
            </w:pPr>
            <w:r>
              <w:rPr>
                <w:rFonts w:ascii="Times New Roman" w:cs="Times New Roman" w:eastAsia="Times New Roman" w:hAnsi="Times New Roman"/>
                <w:sz w:val="18"/>
                <w:szCs w:val="18"/>
                <w:color w:val="auto"/>
              </w:rPr>
              <w:t>             No. __</w:t>
            </w:r>
          </w:p>
        </w:tc>
      </w:tr>
      <w:tr>
        <w:trPr>
          <w:trHeight w:val="194"/>
        </w:trPr>
        <w:tc>
          <w:tcPr>
            <w:tcW w:w="2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ISIN US72650RBP64  </w:t>
            </w:r>
          </w:p>
        </w:tc>
        <w:tc>
          <w:tcPr>
            <w:tcW w:w="8260" w:type="dxa"/>
            <w:vAlign w:val="bottom"/>
            <w:gridSpan w:val="3"/>
          </w:tcPr>
          <w:p>
            <w:pPr>
              <w:ind w:left="7280"/>
              <w:spacing w:after="0" w:line="194" w:lineRule="exact"/>
              <w:rPr>
                <w:sz w:val="20"/>
                <w:szCs w:val="20"/>
                <w:color w:val="auto"/>
              </w:rPr>
            </w:pPr>
            <w:r>
              <w:rPr>
                <w:rFonts w:ascii="Times New Roman" w:cs="Times New Roman" w:eastAsia="Times New Roman" w:hAnsi="Times New Roman"/>
                <w:sz w:val="18"/>
                <w:szCs w:val="18"/>
                <w:color w:val="auto"/>
                <w:w w:val="96"/>
              </w:rPr>
              <w:t>$__________</w:t>
            </w:r>
          </w:p>
        </w:tc>
        <w:tc>
          <w:tcPr>
            <w:tcW w:w="140" w:type="dxa"/>
            <w:vAlign w:val="bottom"/>
          </w:tcPr>
          <w:p>
            <w:pPr>
              <w:spacing w:after="0"/>
              <w:rPr>
                <w:sz w:val="16"/>
                <w:szCs w:val="16"/>
                <w:color w:val="auto"/>
              </w:rPr>
            </w:pPr>
          </w:p>
        </w:tc>
      </w:tr>
      <w:tr>
        <w:trPr>
          <w:trHeight w:val="434"/>
        </w:trPr>
        <w:tc>
          <w:tcPr>
            <w:tcW w:w="2840" w:type="dxa"/>
            <w:vAlign w:val="bottom"/>
          </w:tcPr>
          <w:p>
            <w:pPr>
              <w:spacing w:after="0"/>
              <w:rPr>
                <w:sz w:val="24"/>
                <w:szCs w:val="24"/>
                <w:color w:val="auto"/>
              </w:rPr>
            </w:pPr>
          </w:p>
        </w:tc>
        <w:tc>
          <w:tcPr>
            <w:tcW w:w="736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c>
          <w:tcPr>
            <w:tcW w:w="900" w:type="dxa"/>
            <w:vAlign w:val="bottom"/>
            <w:tcBorders>
              <w:top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8400" w:type="dxa"/>
            <w:vAlign w:val="bottom"/>
            <w:gridSpan w:val="4"/>
          </w:tcPr>
          <w:p>
            <w:pPr>
              <w:jc w:val="center"/>
              <w:ind w:right="2820"/>
              <w:spacing w:after="0"/>
              <w:rPr>
                <w:sz w:val="20"/>
                <w:szCs w:val="20"/>
                <w:color w:val="auto"/>
              </w:rPr>
            </w:pPr>
            <w:r>
              <w:rPr>
                <w:rFonts w:ascii="Times New Roman" w:cs="Times New Roman" w:eastAsia="Times New Roman" w:hAnsi="Times New Roman"/>
                <w:sz w:val="18"/>
                <w:szCs w:val="18"/>
                <w:color w:val="auto"/>
                <w:w w:val="97"/>
              </w:rPr>
              <w:t>PAA FINANCE CORP.</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5.700% Senior Notes due 2034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 Delaware limited partnership, and PAA Finance Corp., a Delaware corporation, jointly and severally promise to pay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registered assigns, the principal sum of _______________ Dollars [or such greater or lesser amount as may be endorsed on the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September 15, 2034.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March 15 and September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March 1 and September 1</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1"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5.700% Senior Notes due 2034</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29"/>
          <w:szCs w:val="29"/>
          <w:color w:val="auto"/>
          <w:vertAlign w:val="superscript"/>
        </w:rPr>
        <w:t>2</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5.700% per annum from June 27, 2024 until maturity. The Issuers shall pay interest semi-annually on March 15 and September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March 15, 2025.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Method of Payment</w:t>
      </w:r>
      <w:r>
        <w:rPr>
          <w:rFonts w:ascii="Times New Roman" w:cs="Times New Roman" w:eastAsia="Times New Roman" w:hAnsi="Times New Roman"/>
          <w:sz w:val="18"/>
          <w:szCs w:val="18"/>
          <w:color w:val="auto"/>
        </w:rPr>
        <w:t xml:space="preserve">. The Issuers shall pay interest on the Notes (except defaulted interest) to the Persons who are registered Holders of Notes at the close of business on the March 1 or September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Paying Agent and Registrar</w:t>
      </w:r>
      <w:r>
        <w:rPr>
          <w:rFonts w:ascii="Times New Roman" w:cs="Times New Roman" w:eastAsia="Times New Roman" w:hAnsi="Times New Roman"/>
          <w:sz w:val="18"/>
          <w:szCs w:val="18"/>
          <w:color w:val="auto"/>
        </w:rPr>
        <w:t>. Initially, U.S. Bank Trust Company,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Thirty-Third Supplemental Indenture dated as of June 27, 2024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$650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redeem the Notes before the Par Call Date (as defined below), the Issuers must pay a redemption price equal to the greater of</w:t>
      </w:r>
    </w:p>
    <w:p>
      <w:pPr>
        <w:spacing w:after="0" w:line="27" w:lineRule="exact"/>
        <w:rPr>
          <w:sz w:val="20"/>
          <w:szCs w:val="20"/>
          <w:color w:val="auto"/>
        </w:rPr>
      </w:pPr>
    </w:p>
    <w:p>
      <w:pPr>
        <w:jc w:val="both"/>
        <w:ind w:firstLine="8"/>
        <w:spacing w:after="0" w:line="253" w:lineRule="auto"/>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(ii)(a)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25 basis points less (b) interest accrued to the date of redemption, plus, in either case, accrued and unpaid interest thereon to the date of redemption (subject to the right of Holders on the relevant record date to receive interest due on the relevant interest payment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Issuers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Issuers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“Par Call Date” means June 15, 2034 (three months prior to the maturity date).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 of Redemption; Selection of Notes</w:t>
      </w:r>
      <w:r>
        <w:rPr>
          <w:rFonts w:ascii="Times New Roman" w:cs="Times New Roman" w:eastAsia="Times New Roman" w:hAnsi="Times New Roman"/>
          <w:sz w:val="18"/>
          <w:szCs w:val="18"/>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Events of Default with respect to the Notes include: (i) default for 60 days in the payment when due of interest on the Notes; (ii) default in payment when due of principal of or premium, if any, on the Notes at maturity, upon redemption or otherwise,</w:t>
      </w:r>
    </w:p>
    <w:p>
      <w:pPr>
        <w:jc w:val="both"/>
        <w:ind w:firstLine="8"/>
        <w:spacing w:after="0" w:line="250" w:lineRule="auto"/>
        <w:tabs>
          <w:tab w:leader="none" w:pos="3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Issuer or any Subsidiary Guarantor for 90 days after notice to comply with any of the other agreements in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of the Supplemental Indenture);</w:t>
      </w:r>
    </w:p>
    <w:p>
      <w:pPr>
        <w:jc w:val="both"/>
        <w:ind w:firstLine="8"/>
        <w:spacing w:after="0" w:line="250" w:lineRule="auto"/>
        <w:tabs>
          <w:tab w:leader="none" w:pos="3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49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8890</wp:posOffset>
            </wp:positionV>
            <wp:extent cx="6060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1071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jc w:val="both"/>
        <w:ind w:left="170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original principal amount of this Global Note is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 xml:space="preserve"> . The following increases or decreases in this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following such</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440" w:type="dxa"/>
            <w:vAlign w:val="bottom"/>
          </w:tcPr>
          <w:p>
            <w:pPr>
              <w:spacing w:after="0"/>
              <w:rPr>
                <w:sz w:val="18"/>
                <w:szCs w:val="18"/>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decrease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Trustee or Note</w:t>
            </w:r>
          </w:p>
        </w:tc>
      </w:tr>
      <w:tr>
        <w:trPr>
          <w:trHeight w:val="238"/>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Custodian</w:t>
            </w:r>
          </w:p>
        </w:tc>
      </w:tr>
      <w:tr>
        <w:trPr>
          <w:trHeight w:val="210"/>
        </w:trPr>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120" w:hanging="112"/>
        <w:spacing w:after="0" w:line="187"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 ___________________, among Plains All American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(or its successor), a Delaware limited partnership (the “Partnership”), and U.S. Bank Trust Company, National Association, as trustee under the indenture referred to below (the “Trustee”).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Thirty-Third Supplemental Indenture (the “Thirty-Third Supplemental Indenture” and, together with the Original Indenture, the “Indenture”) dated as of June 27, 2034, among the Issuers and the Trustee, providing for the issuance of the Issuers’ 5.700% Senior Notes due 2034 (the “Notes”);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Section 5.05 of the Thirty-Third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76" w:lineRule="exact"/>
        <w:rPr>
          <w:sz w:val="20"/>
          <w:szCs w:val="20"/>
          <w:color w:val="auto"/>
        </w:rPr>
      </w:pPr>
    </w:p>
    <w:p>
      <w:pPr>
        <w:ind w:left="1480" w:hanging="176"/>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assigned to them in the Indenture.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Agreement to Guarantee.</w:t>
      </w:r>
      <w:r>
        <w:rPr>
          <w:rFonts w:ascii="Times New Roman" w:cs="Times New Roman" w:eastAsia="Times New Roman" w:hAnsi="Times New Roman"/>
          <w:sz w:val="17"/>
          <w:szCs w:val="17"/>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Thirty-Third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64" w:lineRule="exact"/>
        <w:rPr>
          <w:sz w:val="20"/>
          <w:szCs w:val="20"/>
          <w:color w:val="auto"/>
        </w:rPr>
      </w:pPr>
    </w:p>
    <w:p>
      <w:pPr>
        <w:ind w:right="20" w:firstLine="1296"/>
        <w:spacing w:after="0" w:line="317"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THIS SUPPLEMENTAL INDENTURE SHALL BE DEEMED TO BE A NEW YORK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FOR ALL PURPOSES SHALL BE CONSTRUED IN ACCORDANCE WITH, THE LAWS OF THE STATE OF NEW YORK.</w:t>
      </w:r>
    </w:p>
    <w:p>
      <w:pPr>
        <w:spacing w:after="0" w:line="13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0561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5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PAA Finance Corp., a Delaware corporation and wholly owned subsidiary of the Partnership (“</w:t>
      </w:r>
      <w:r>
        <w:rPr>
          <w:rFonts w:ascii="Times New Roman" w:cs="Times New Roman" w:eastAsia="Times New Roman" w:hAnsi="Times New Roman"/>
          <w:sz w:val="18"/>
          <w:szCs w:val="18"/>
          <w:b w:val="1"/>
          <w:bCs w:val="1"/>
          <w:color w:val="auto"/>
        </w:rPr>
        <w:t>PAA 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with respect to certain legal matters in connection with the registration by the Issuers,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sale by the Issuers of $650 million aggregate principal amount of 5.700% Senior Notes due 2034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 be issued and sold pursuant to the Underwriting Agreement dated June 17, 2024, by and among the Issuers and the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are being offered and sold pursuant to a prospectus supplement dated June 17,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424(b)(5) on June 20, 2024, to the prospectus dated September 8, 2021, (such prospectus, as amended and supplemented by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and forming part of the Registration Statement on Form S-3 (Registration No. 333-259387)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became automatically effective upon filing with the Commission on September 8, 2021. Capitalized terms used but not defined herein shall have the meanings given such terms in the Underwriting Agreement. This opinion is being furnished in connection with the requirements of Item 601(b)(5) of Regulation S-K under the Securities Act, and no opinion is expressed herein as to any matter pertaining to the contents of the Registration Statement or Prospectus, other than as expressly stated herein with respect to the issuance of the Notes.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Notes are to be issued as securities pursuant to that certain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Issuers and U.S. Bank Trust Company, National Association, as successor in interest,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Thirty-Third Supplemental Indenture thereto, to be dated as of June 27, 2024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by and among the Issuers and the Trustee (the Base Indenture, as so supplemented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Vinson &amp; Elkins LLP Attorneys at Law</w:t>
            </w:r>
          </w:p>
        </w:tc>
        <w:tc>
          <w:tcPr>
            <w:tcW w:w="6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845 Texas Avenue, Suite 4700</w:t>
            </w:r>
          </w:p>
        </w:tc>
      </w:tr>
      <w:tr>
        <w:trPr>
          <w:trHeight w:val="21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Austin  Dallas  Dubai</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Houston  London  Los Angeles</w:t>
            </w:r>
          </w:p>
        </w:tc>
        <w:tc>
          <w:tcPr>
            <w:tcW w:w="6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New York  Richmond</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 Francisco  Tokyo Washington</w:t>
            </w:r>
          </w:p>
        </w:tc>
        <w:tc>
          <w:tcPr>
            <w:tcW w:w="6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+1.713.758.2222</w:t>
            </w:r>
            <w:r>
              <w:rPr>
                <w:rFonts w:ascii="Times New Roman" w:cs="Times New Roman" w:eastAsia="Times New Roman" w:hAnsi="Times New Roman"/>
                <w:sz w:val="18"/>
                <w:szCs w:val="18"/>
                <w:b w:val="1"/>
                <w:bCs w:val="1"/>
                <w:color w:val="auto"/>
              </w:rPr>
              <w:t xml:space="preserve"> Fax </w:t>
            </w:r>
            <w:r>
              <w:rPr>
                <w:rFonts w:ascii="Times New Roman" w:cs="Times New Roman" w:eastAsia="Times New Roman" w:hAnsi="Times New Roman"/>
                <w:sz w:val="18"/>
                <w:szCs w:val="18"/>
                <w:color w:val="auto"/>
              </w:rPr>
              <w:t>+1.713.758.2346 velaw.com</w:t>
            </w:r>
          </w:p>
        </w:tc>
      </w:tr>
      <w:tr>
        <w:trPr>
          <w:trHeight w:val="675"/>
        </w:trPr>
        <w:tc>
          <w:tcPr>
            <w:tcW w:w="1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43" w:name="page44"/>
    <w:bookmarkEnd w:id="43"/>
    <w:p>
      <w:pPr>
        <w:ind w:left="7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65785" cy="283210"/>
                    </a:xfrm>
                    <a:prstGeom prst="rect">
                      <a:avLst/>
                    </a:prstGeom>
                    <a:noFill/>
                  </pic:spPr>
                </pic:pic>
              </a:graphicData>
            </a:graphic>
          </wp:anchor>
        </w:drawing>
        <w:t>Plains All American Pipeline, L.P. June 27, 2024 Page 2</w:t>
      </w:r>
    </w:p>
    <w:p>
      <w:pPr>
        <w:sectPr>
          <w:pgSz w:w="11900" w:h="16838" w:orient="portrait"/>
          <w:cols w:equalWidth="0" w:num="1">
            <w:col w:w="11240"/>
          </w:cols>
          <w:pgMar w:left="320" w:top="1008" w:right="339" w:bottom="1440" w:gutter="0" w:footer="0" w:header="0"/>
        </w:sectPr>
      </w:pPr>
    </w:p>
    <w:p>
      <w:pPr>
        <w:spacing w:after="0" w:line="3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which is the general partner of the Partnership, of Plains AAP, L.P., a Delaware limited partnership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which owns a 100% membership interest in the General Partner, of Plains All American GP LLC, a Delaware limited liability company (“</w:t>
      </w:r>
      <w:r>
        <w:rPr>
          <w:rFonts w:ascii="Times New Roman" w:cs="Times New Roman" w:eastAsia="Times New Roman" w:hAnsi="Times New Roman"/>
          <w:sz w:val="18"/>
          <w:szCs w:val="18"/>
          <w:b w:val="1"/>
          <w:bCs w:val="1"/>
          <w:color w:val="auto"/>
        </w:rPr>
        <w:t>GP LLC</w:t>
      </w:r>
      <w:r>
        <w:rPr>
          <w:rFonts w:ascii="Times New Roman" w:cs="Times New Roman" w:eastAsia="Times New Roman" w:hAnsi="Times New Roman"/>
          <w:sz w:val="18"/>
          <w:szCs w:val="18"/>
          <w:color w:val="auto"/>
        </w:rPr>
        <w:t>”), which is the general partner of Plains AAP, of Plains GP Holdings, L.P., a Delaware limited partnership (“</w:t>
      </w:r>
      <w:r>
        <w:rPr>
          <w:rFonts w:ascii="Times New Roman" w:cs="Times New Roman" w:eastAsia="Times New Roman" w:hAnsi="Times New Roman"/>
          <w:sz w:val="18"/>
          <w:szCs w:val="18"/>
          <w:b w:val="1"/>
          <w:bCs w:val="1"/>
          <w:color w:val="auto"/>
        </w:rPr>
        <w:t>PAGP</w:t>
      </w:r>
      <w:r>
        <w:rPr>
          <w:rFonts w:ascii="Times New Roman" w:cs="Times New Roman" w:eastAsia="Times New Roman" w:hAnsi="Times New Roman"/>
          <w:sz w:val="18"/>
          <w:szCs w:val="18"/>
          <w:color w:val="auto"/>
        </w:rPr>
        <w:t>”), which owns a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 in GP LLC, and of PAA GP Holdings, LLC, a Delaware limited liability company, which is the general partner of PAGP; (iv) the bylaws and certificate of incorporation of PAA Finance; (v) the Underwriting Agreement, a copy of which is being filed with the Commission, together with this Exhibit 5.1, as an exhibit to the Partnership’s Current Report on Form 8-K in connection with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and the assumptions, limitations and qualifications set forth herein, we are of the opinion that when</w:t>
      </w:r>
    </w:p>
    <w:p>
      <w:pPr>
        <w:spacing w:after="0" w:line="27" w:lineRule="exact"/>
        <w:rPr>
          <w:sz w:val="20"/>
          <w:szCs w:val="20"/>
          <w:color w:val="auto"/>
        </w:rPr>
      </w:pPr>
    </w:p>
    <w:p>
      <w:pPr>
        <w:jc w:val="both"/>
        <w:ind w:firstLine="8"/>
        <w:spacing w:after="0" w:line="253"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have been duly authorized by all necessary limited partnership or corporate action of the Issuers, as applicable, and will constitute valid and legally binding obligations of the Issuers, enforceable against the Issuers in accordance with their terms.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firstLine="8"/>
        <w:spacing w:after="0" w:line="253" w:lineRule="auto"/>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This opinion is limited in all respects to the laws of the State of New York, the Delaware General Corporation Law, the Delaware Revised Uniform Limited Partnership Act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4" w:name="page45"/>
    <w:bookmarkEnd w:id="44"/>
    <w:p>
      <w:pPr>
        <w:ind w:left="7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65785" cy="283210"/>
                    </a:xfrm>
                    <a:prstGeom prst="rect">
                      <a:avLst/>
                    </a:prstGeom>
                    <a:noFill/>
                  </pic:spPr>
                </pic:pic>
              </a:graphicData>
            </a:graphic>
          </wp:anchor>
        </w:drawing>
        <w:t>Plains All American Pipeline, L.P. June 27, 2024 Page 3</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of the Partnership dated on or about the date hereof, and to the reference to our Firm under the heading “Legal Matters” in the Registration Statement,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lowerRoman"/>
      <w:start w:val="5"/>
    </w:lvl>
  </w:abstractNum>
  <w:abstractNum w:abstractNumId="3">
    <w:nsid w:val="7545E146"/>
    <w:multiLevelType w:val="hybridMultilevel"/>
    <w:lvl w:ilvl="0">
      <w:lvlJc w:val="left"/>
      <w:lvlText w:val="(%1)"/>
      <w:numFmt w:val="lowerRoman"/>
      <w:start w:val="6"/>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Roman"/>
      <w:start w:val="3"/>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2024-06-27T16:05:14Z</dcterms:created>
  <dcterms:modified xsi:type="dcterms:W3CDTF">2024-06-27T16:05:14Z</dcterms:modified>
</cp:coreProperties>
</file>