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206"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jc w:val="center"/>
        <w:ind w:right="120"/>
        <w:spacing w:after="0"/>
        <w:rPr>
          <w:sz w:val="20"/>
          <w:szCs w:val="20"/>
          <w:color w:val="auto"/>
        </w:rPr>
      </w:pPr>
      <w:r>
        <w:rPr>
          <w:rFonts w:ascii="Arial" w:cs="Arial" w:eastAsia="Arial" w:hAnsi="Arial"/>
          <w:sz w:val="21"/>
          <w:szCs w:val="21"/>
          <w:b w:val="1"/>
          <w:bCs w:val="1"/>
          <w:color w:val="auto"/>
        </w:rPr>
        <w:t>o  TRANSITION REPORT PURSUANT TO SECTION 13 OR 15(d) OF THE SECURITIES EXCHANGE ACT OF 1934</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378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Delaware</w:t>
            </w:r>
          </w:p>
        </w:tc>
        <w:tc>
          <w:tcPr>
            <w:tcW w:w="4180" w:type="dxa"/>
            <w:vAlign w:val="bottom"/>
          </w:tcPr>
          <w:p>
            <w:pPr>
              <w:jc w:val="right"/>
              <w:ind w:right="150"/>
              <w:spacing w:after="0"/>
              <w:rPr>
                <w:sz w:val="20"/>
                <w:szCs w:val="20"/>
                <w:color w:val="auto"/>
              </w:rPr>
            </w:pPr>
            <w:r>
              <w:rPr>
                <w:rFonts w:ascii="Arial" w:cs="Arial" w:eastAsia="Arial" w:hAnsi="Arial"/>
                <w:sz w:val="18"/>
                <w:szCs w:val="18"/>
                <w:b w:val="1"/>
                <w:bCs w:val="1"/>
                <w:color w:val="auto"/>
              </w:rPr>
              <w:t>76-0582150</w:t>
            </w:r>
          </w:p>
        </w:tc>
      </w:tr>
      <w:tr>
        <w:trPr>
          <w:trHeight w:val="270"/>
        </w:trPr>
        <w:tc>
          <w:tcPr>
            <w:tcW w:w="3780" w:type="dxa"/>
            <w:vAlign w:val="bottom"/>
          </w:tcPr>
          <w:p>
            <w:pPr>
              <w:jc w:val="center"/>
              <w:ind w:right="350"/>
              <w:spacing w:after="0"/>
              <w:rPr>
                <w:sz w:val="20"/>
                <w:szCs w:val="20"/>
                <w:color w:val="auto"/>
              </w:rPr>
            </w:pPr>
            <w:r>
              <w:rPr>
                <w:rFonts w:ascii="Arial" w:cs="Arial" w:eastAsia="Arial" w:hAnsi="Arial"/>
                <w:sz w:val="18"/>
                <w:szCs w:val="18"/>
                <w:color w:val="auto"/>
                <w:w w:val="93"/>
              </w:rPr>
              <w:t>(State or other jurisdiction of</w:t>
            </w:r>
          </w:p>
        </w:tc>
        <w:tc>
          <w:tcPr>
            <w:tcW w:w="4180" w:type="dxa"/>
            <w:vAlign w:val="bottom"/>
          </w:tcPr>
          <w:p>
            <w:pPr>
              <w:jc w:val="center"/>
              <w:ind w:left="2750"/>
              <w:spacing w:after="0"/>
              <w:rPr>
                <w:sz w:val="20"/>
                <w:szCs w:val="20"/>
                <w:color w:val="auto"/>
              </w:rPr>
            </w:pPr>
            <w:r>
              <w:rPr>
                <w:rFonts w:ascii="Arial" w:cs="Arial" w:eastAsia="Arial" w:hAnsi="Arial"/>
                <w:sz w:val="18"/>
                <w:szCs w:val="18"/>
                <w:color w:val="auto"/>
                <w:w w:val="92"/>
              </w:rPr>
              <w:t>(I.R.S. Employer</w:t>
            </w:r>
          </w:p>
        </w:tc>
      </w:tr>
      <w:tr>
        <w:trPr>
          <w:trHeight w:val="270"/>
        </w:trPr>
        <w:tc>
          <w:tcPr>
            <w:tcW w:w="3780" w:type="dxa"/>
            <w:vAlign w:val="bottom"/>
          </w:tcPr>
          <w:p>
            <w:pPr>
              <w:jc w:val="center"/>
              <w:ind w:right="350"/>
              <w:spacing w:after="0"/>
              <w:rPr>
                <w:sz w:val="20"/>
                <w:szCs w:val="20"/>
                <w:color w:val="auto"/>
              </w:rPr>
            </w:pPr>
            <w:r>
              <w:rPr>
                <w:rFonts w:ascii="Arial" w:cs="Arial" w:eastAsia="Arial" w:hAnsi="Arial"/>
                <w:sz w:val="18"/>
                <w:szCs w:val="18"/>
                <w:color w:val="auto"/>
                <w:w w:val="93"/>
              </w:rPr>
              <w:t>incorporation or organization)</w:t>
            </w:r>
          </w:p>
        </w:tc>
        <w:tc>
          <w:tcPr>
            <w:tcW w:w="4180" w:type="dxa"/>
            <w:vAlign w:val="bottom"/>
          </w:tcPr>
          <w:p>
            <w:pPr>
              <w:jc w:val="center"/>
              <w:ind w:left="2750"/>
              <w:spacing w:after="0"/>
              <w:rPr>
                <w:sz w:val="20"/>
                <w:szCs w:val="20"/>
                <w:color w:val="auto"/>
              </w:rPr>
            </w:pPr>
            <w:r>
              <w:rPr>
                <w:rFonts w:ascii="Arial" w:cs="Arial" w:eastAsia="Arial" w:hAnsi="Arial"/>
                <w:sz w:val="18"/>
                <w:szCs w:val="18"/>
                <w:color w:val="auto"/>
                <w:w w:val="95"/>
              </w:rPr>
              <w:t>Identification No.)</w:t>
            </w:r>
          </w:p>
        </w:tc>
      </w:tr>
      <w:tr>
        <w:trPr>
          <w:trHeight w:val="405"/>
        </w:trPr>
        <w:tc>
          <w:tcPr>
            <w:tcW w:w="378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4180" w:type="dxa"/>
            <w:vAlign w:val="bottom"/>
          </w:tcPr>
          <w:p>
            <w:pPr>
              <w:jc w:val="right"/>
              <w:ind w:right="350"/>
              <w:spacing w:after="0"/>
              <w:rPr>
                <w:sz w:val="20"/>
                <w:szCs w:val="20"/>
                <w:color w:val="auto"/>
              </w:rPr>
            </w:pPr>
            <w:r>
              <w:rPr>
                <w:rFonts w:ascii="Arial" w:cs="Arial" w:eastAsia="Arial" w:hAnsi="Arial"/>
                <w:sz w:val="18"/>
                <w:szCs w:val="18"/>
                <w:b w:val="1"/>
                <w:bCs w:val="1"/>
                <w:color w:val="auto"/>
              </w:rPr>
              <w:t>77002</w:t>
            </w:r>
          </w:p>
        </w:tc>
      </w:tr>
      <w:tr>
        <w:trPr>
          <w:trHeight w:val="270"/>
        </w:trPr>
        <w:tc>
          <w:tcPr>
            <w:tcW w:w="378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4180" w:type="dxa"/>
            <w:vAlign w:val="bottom"/>
          </w:tcPr>
          <w:p>
            <w:pPr>
              <w:jc w:val="center"/>
              <w:ind w:left="2770"/>
              <w:spacing w:after="0"/>
              <w:rPr>
                <w:sz w:val="20"/>
                <w:szCs w:val="20"/>
                <w:color w:val="auto"/>
              </w:rPr>
            </w:pPr>
            <w:r>
              <w:rPr>
                <w:rFonts w:ascii="Arial" w:cs="Arial" w:eastAsia="Arial" w:hAnsi="Arial"/>
                <w:sz w:val="18"/>
                <w:szCs w:val="18"/>
                <w:color w:val="auto"/>
                <w:w w:val="94"/>
              </w:rPr>
              <w:t>(Zip Code)</w:t>
            </w:r>
          </w:p>
        </w:tc>
      </w:tr>
      <w:tr>
        <w:trPr>
          <w:trHeight w:val="392"/>
        </w:trPr>
        <w:tc>
          <w:tcPr>
            <w:tcW w:w="3780" w:type="dxa"/>
            <w:vAlign w:val="bottom"/>
          </w:tcPr>
          <w:p>
            <w:pPr>
              <w:spacing w:after="0"/>
              <w:rPr>
                <w:sz w:val="24"/>
                <w:szCs w:val="24"/>
                <w:color w:val="auto"/>
              </w:rPr>
            </w:pPr>
          </w:p>
        </w:tc>
        <w:tc>
          <w:tcPr>
            <w:tcW w:w="4180" w:type="dxa"/>
            <w:vAlign w:val="bottom"/>
          </w:tcPr>
          <w:p>
            <w:pPr>
              <w:jc w:val="right"/>
              <w:ind w:right="2530"/>
              <w:spacing w:after="0"/>
              <w:rPr>
                <w:sz w:val="20"/>
                <w:szCs w:val="20"/>
                <w:color w:val="auto"/>
              </w:rPr>
            </w:pPr>
            <w:r>
              <w:rPr>
                <w:rFonts w:ascii="Arial" w:cs="Arial" w:eastAsia="Arial" w:hAnsi="Arial"/>
                <w:sz w:val="18"/>
                <w:szCs w:val="18"/>
                <w:b w:val="1"/>
                <w:bCs w:val="1"/>
                <w:color w:val="auto"/>
              </w:rPr>
              <w:t>(713) 646-4100</w:t>
            </w:r>
          </w:p>
        </w:tc>
      </w:tr>
    </w:tbl>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11"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84"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84"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60" w:lineRule="exact"/>
        <w:rPr>
          <w:sz w:val="24"/>
          <w:szCs w:val="24"/>
          <w:color w:val="auto"/>
        </w:rPr>
      </w:pPr>
    </w:p>
    <w:p>
      <w:pPr>
        <w:ind w:left="17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6840" w:space="720"/>
            <w:col w:w="3820"/>
          </w:cols>
          <w:pgMar w:left="240" w:top="233" w:right="279" w:bottom="1440" w:gutter="0" w:footer="0" w:header="0"/>
          <w:type w:val="continuous"/>
        </w:sectPr>
      </w:pPr>
    </w:p>
    <w:p>
      <w:pPr>
        <w:spacing w:after="0" w:line="15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460" w:space="720"/>
            <w:col w:w="4200"/>
          </w:cols>
          <w:pgMar w:left="240" w:top="233" w:right="27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80"/>
          </w:cols>
          <w:pgMar w:left="240" w:top="233" w:right="279" w:bottom="1440" w:gutter="0" w:footer="0" w:header="0"/>
          <w:type w:val="continuous"/>
        </w:sectPr>
      </w:pPr>
    </w:p>
    <w:p>
      <w:pPr>
        <w:spacing w:after="0" w:line="243"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1, 2016, there were 412,962,773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9"/>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00" w:type="dxa"/>
            <w:vAlign w:val="bottom"/>
            <w:gridSpan w:val="17"/>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2016 and December 31, 2015</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580" w:type="dxa"/>
            <w:vAlign w:val="bottom"/>
            <w:tcBorders>
              <w:bottom w:val="single" w:sz="8" w:color="0000EE"/>
            </w:tcBorders>
            <w:gridSpan w:val="3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2016 and 2015</w:t>
              </w:r>
            </w:hyperlink>
          </w:p>
        </w:tc>
        <w:tc>
          <w:tcPr>
            <w:tcW w:w="16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500" w:type="dxa"/>
            <w:vAlign w:val="bottom"/>
            <w:tcBorders>
              <w:bottom w:val="single" w:sz="8" w:color="0000EE"/>
            </w:tcBorders>
            <w:gridSpan w:val="3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nine months ended September 30, 2016 and 2015</w:t>
              </w:r>
            </w:hyperlink>
          </w:p>
        </w:tc>
        <w:tc>
          <w:tcPr>
            <w:tcW w:w="72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36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nine</w:t>
              </w:r>
            </w:hyperlink>
          </w:p>
        </w:tc>
        <w:tc>
          <w:tcPr>
            <w:tcW w:w="1860" w:type="dxa"/>
            <w:vAlign w:val="bottom"/>
            <w:gridSpan w:val="5"/>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months ended September 30, 2016 and 2015</w:t>
              </w:r>
            </w:hyperlink>
          </w:p>
        </w:tc>
        <w:tc>
          <w:tcPr>
            <w:tcW w:w="6860" w:type="dxa"/>
            <w:vAlign w:val="bottom"/>
            <w:gridSpan w:val="15"/>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7920" w:type="dxa"/>
            <w:vAlign w:val="bottom"/>
            <w:tcBorders>
              <w:bottom w:val="single" w:sz="8" w:color="0000EE"/>
            </w:tcBorders>
            <w:gridSpan w:val="2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2016 and 2015</w:t>
              </w:r>
            </w:hyperlink>
          </w:p>
        </w:tc>
        <w:tc>
          <w:tcPr>
            <w:tcW w:w="2300" w:type="dxa"/>
            <w:vAlign w:val="bottom"/>
            <w:gridSpan w:val="6"/>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140" w:type="dxa"/>
            <w:vAlign w:val="bottom"/>
            <w:tcBorders>
              <w:bottom w:val="single" w:sz="8" w:color="0000EE"/>
            </w:tcBorders>
            <w:gridSpan w:val="3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Changes in Partners’ Capital: For the nine months ended September 30, 2016 and 2015</w:t>
              </w:r>
            </w:hyperlink>
          </w:p>
        </w:tc>
        <w:tc>
          <w:tcPr>
            <w:tcW w:w="108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430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5920" w:type="dxa"/>
            <w:vAlign w:val="bottom"/>
            <w:gridSpan w:val="13"/>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660" w:type="dxa"/>
            <w:vAlign w:val="bottom"/>
            <w:gridSpan w:val="1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2680" w:type="dxa"/>
            <w:vAlign w:val="bottom"/>
            <w:gridSpan w:val="16"/>
          </w:tcPr>
          <w:p>
            <w:pPr>
              <w:ind w:left="2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Recent Accounting Pronouncements</w:t>
              </w:r>
            </w:hyperlink>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0" w:type="dxa"/>
            <w:vAlign w:val="bottom"/>
            <w:gridSpan w:val="13"/>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3. Net Income Per Common Unit</w:t>
              </w:r>
            </w:hyperlink>
          </w:p>
        </w:tc>
        <w:tc>
          <w:tcPr>
            <w:tcW w:w="440" w:type="dxa"/>
            <w:vAlign w:val="bottom"/>
            <w:gridSpan w:val="4"/>
          </w:tcPr>
          <w:p>
            <w:pPr>
              <w:spacing w:after="0"/>
              <w:rPr>
                <w:sz w:val="21"/>
                <w:szCs w:val="21"/>
                <w:color w:val="auto"/>
              </w:rPr>
            </w:pPr>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4.</w:t>
              </w:r>
            </w:hyperlink>
          </w:p>
        </w:tc>
        <w:tc>
          <w:tcPr>
            <w:tcW w:w="2240" w:type="dxa"/>
            <w:vAlign w:val="bottom"/>
            <w:gridSpan w:val="12"/>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Accounts Receivable, Net</w:t>
              </w:r>
            </w:hyperlink>
          </w:p>
        </w:tc>
        <w:tc>
          <w:tcPr>
            <w:tcW w:w="762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5.</w:t>
              </w:r>
            </w:hyperlink>
          </w:p>
        </w:tc>
        <w:tc>
          <w:tcPr>
            <w:tcW w:w="4240" w:type="dxa"/>
            <w:vAlign w:val="bottom"/>
            <w:gridSpan w:val="21"/>
          </w:tcPr>
          <w:p>
            <w:pPr>
              <w:ind w:left="20"/>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Inventory, Linefill and Base Gas and Long-term Inventory</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6.</w:t>
              </w:r>
            </w:hyperlink>
          </w:p>
        </w:tc>
        <w:tc>
          <w:tcPr>
            <w:tcW w:w="4240" w:type="dxa"/>
            <w:vAlign w:val="bottom"/>
            <w:gridSpan w:val="21"/>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Goodwill</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7.</w:t>
              </w:r>
            </w:hyperlink>
          </w:p>
        </w:tc>
        <w:tc>
          <w:tcPr>
            <w:tcW w:w="380" w:type="dxa"/>
            <w:vAlign w:val="bottom"/>
          </w:tcPr>
          <w:p>
            <w:pPr>
              <w:ind w:left="20"/>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Debt</w:t>
              </w:r>
            </w:hyperlink>
          </w:p>
        </w:tc>
        <w:tc>
          <w:tcPr>
            <w:tcW w:w="320" w:type="dxa"/>
            <w:vAlign w:val="bottom"/>
            <w:gridSpan w:val="2"/>
          </w:tcPr>
          <w:p>
            <w:pPr>
              <w:spacing w:after="0"/>
              <w:rPr>
                <w:sz w:val="21"/>
                <w:szCs w:val="21"/>
                <w:color w:val="auto"/>
              </w:rPr>
            </w:pPr>
          </w:p>
        </w:tc>
        <w:tc>
          <w:tcPr>
            <w:tcW w:w="9160" w:type="dxa"/>
            <w:vAlign w:val="bottom"/>
            <w:gridSpan w:val="2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8.</w:t>
              </w:r>
            </w:hyperlink>
          </w:p>
        </w:tc>
        <w:tc>
          <w:tcPr>
            <w:tcW w:w="2500" w:type="dxa"/>
            <w:vAlign w:val="bottom"/>
            <w:gridSpan w:val="14"/>
          </w:tcPr>
          <w:p>
            <w:pPr>
              <w:ind w:left="2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Partners’ Capital and Distributions</w:t>
              </w:r>
            </w:hyperlink>
          </w:p>
        </w:tc>
        <w:tc>
          <w:tcPr>
            <w:tcW w:w="73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9.</w:t>
              </w:r>
            </w:hyperlink>
          </w:p>
        </w:tc>
        <w:tc>
          <w:tcPr>
            <w:tcW w:w="9860" w:type="dxa"/>
            <w:vAlign w:val="bottom"/>
            <w:gridSpan w:val="32"/>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Derivatives and Risk Management Activities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10. Related Party Transactions</w:t>
              </w:r>
            </w:hyperlink>
          </w:p>
        </w:tc>
        <w:tc>
          <w:tcPr>
            <w:tcW w:w="662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20" w:type="dxa"/>
            <w:vAlign w:val="bottom"/>
            <w:gridSpan w:val="3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11. Equity-Indexed Compensation Plans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5"/>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12. Commitments and Contingencies</w:t>
              </w:r>
            </w:hyperlink>
          </w:p>
        </w:tc>
        <w:tc>
          <w:tcPr>
            <w:tcW w:w="180" w:type="dxa"/>
            <w:vAlign w:val="bottom"/>
            <w:gridSpan w:val="2"/>
          </w:tcPr>
          <w:p>
            <w:pPr>
              <w:spacing w:after="0"/>
              <w:rPr>
                <w:sz w:val="21"/>
                <w:szCs w:val="21"/>
                <w:color w:val="auto"/>
              </w:rPr>
            </w:pPr>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13. Operating Segments</w:t>
              </w:r>
            </w:hyperlink>
          </w:p>
        </w:tc>
        <w:tc>
          <w:tcPr>
            <w:tcW w:w="73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60" w:type="dxa"/>
            <w:vAlign w:val="bottom"/>
            <w:gridSpan w:val="25"/>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14. Acquisitions, Investments in Unconsolidated Entities, Dispositions and Impairments</w:t>
              </w:r>
            </w:hyperlink>
          </w:p>
        </w:tc>
        <w:tc>
          <w:tcPr>
            <w:tcW w:w="366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360" w:type="dxa"/>
            <w:vAlign w:val="bottom"/>
            <w:gridSpan w:val="2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15. Simplification Transactions</w:t>
              </w:r>
            </w:hyperlink>
          </w:p>
        </w:tc>
        <w:tc>
          <w:tcPr>
            <w:tcW w:w="366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3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360" w:type="dxa"/>
            <w:vAlign w:val="bottom"/>
            <w:gridSpan w:val="3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6"/>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8"/>
          </w:tcPr>
          <w:p>
            <w:pP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Item 3. QUANTITATIVE AND QUALITATIVE DISCLOSURES ABOUT MARKET RISK</w:t>
              </w:r>
            </w:hyperlink>
          </w:p>
        </w:tc>
        <w:tc>
          <w:tcPr>
            <w:tcW w:w="2760" w:type="dxa"/>
            <w:vAlign w:val="bottom"/>
            <w:gridSpan w:val="6"/>
          </w:tcPr>
          <w:p>
            <w:pPr>
              <w:spacing w:after="0"/>
              <w:rPr>
                <w:sz w:val="21"/>
                <w:szCs w:val="21"/>
                <w:color w:val="auto"/>
              </w:rPr>
            </w:pPr>
          </w:p>
        </w:tc>
        <w:tc>
          <w:tcPr>
            <w:tcW w:w="90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6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20"/>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Item 4. CONTROLS AND PROCEDURES</w:t>
              </w:r>
            </w:hyperlink>
          </w:p>
        </w:tc>
        <w:tc>
          <w:tcPr>
            <w:tcW w:w="3520" w:type="dxa"/>
            <w:vAlign w:val="bottom"/>
            <w:gridSpan w:val="8"/>
          </w:tcPr>
          <w:p>
            <w:pPr>
              <w:spacing w:after="0"/>
              <w:rPr>
                <w:sz w:val="21"/>
                <w:szCs w:val="21"/>
                <w:color w:val="auto"/>
              </w:rPr>
            </w:pPr>
          </w:p>
        </w:tc>
        <w:tc>
          <w:tcPr>
            <w:tcW w:w="366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520"/>
        </w:trPr>
        <w:tc>
          <w:tcPr>
            <w:tcW w:w="2760" w:type="dxa"/>
            <w:vAlign w:val="bottom"/>
            <w:tcBorders>
              <w:top w:val="single" w:sz="8" w:color="0000EE"/>
              <w:bottom w:val="single" w:sz="8" w:color="0000EE"/>
            </w:tcBorders>
            <w:gridSpan w:val="17"/>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 OTHER INFORMATION</w:t>
              </w:r>
            </w:hyperlink>
          </w:p>
        </w:tc>
        <w:tc>
          <w:tcPr>
            <w:tcW w:w="420" w:type="dxa"/>
            <w:vAlign w:val="bottom"/>
            <w:tcBorders>
              <w:top w:val="single" w:sz="8" w:color="0000EE"/>
            </w:tcBorders>
            <w:gridSpan w:val="3"/>
          </w:tcPr>
          <w:p>
            <w:pPr>
              <w:spacing w:after="0"/>
              <w:rPr>
                <w:sz w:val="24"/>
                <w:szCs w:val="24"/>
                <w:color w:val="auto"/>
              </w:rPr>
            </w:pPr>
          </w:p>
        </w:tc>
        <w:tc>
          <w:tcPr>
            <w:tcW w:w="7180" w:type="dxa"/>
            <w:vAlign w:val="bottom"/>
            <w:gridSpan w:val="16"/>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1. 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1A. RISK FACTORS</w:t>
              </w:r>
            </w:hyperlink>
          </w:p>
        </w:tc>
        <w:tc>
          <w:tcPr>
            <w:tcW w:w="7940" w:type="dxa"/>
            <w:vAlign w:val="bottom"/>
            <w:gridSpan w:val="2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2. 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2880" w:type="dxa"/>
            <w:vAlign w:val="bottom"/>
            <w:tcBorders>
              <w:left w:val="single" w:sz="8" w:color="0000EE"/>
            </w:tcBorders>
            <w:gridSpan w:val="5"/>
            <w:shd w:val="clear" w:color="auto" w:fill="0000EE"/>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2"/>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Item 3. DEFAULTS UPON SENIOR SECURITIES</w:t>
              </w:r>
            </w:hyperlink>
          </w:p>
        </w:tc>
        <w:tc>
          <w:tcPr>
            <w:tcW w:w="2880" w:type="dxa"/>
            <w:vAlign w:val="bottom"/>
            <w:gridSpan w:val="5"/>
          </w:tcPr>
          <w:p>
            <w:pPr>
              <w:spacing w:after="0"/>
              <w:rPr>
                <w:sz w:val="21"/>
                <w:szCs w:val="21"/>
                <w:color w:val="auto"/>
              </w:rPr>
            </w:pPr>
          </w:p>
        </w:tc>
        <w:tc>
          <w:tcPr>
            <w:tcW w:w="3740" w:type="dxa"/>
            <w:vAlign w:val="bottom"/>
            <w:gridSpan w:val="9"/>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662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8"/>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Item 4. MINE SAFETY DISCLOSURES</w:t>
              </w:r>
            </w:hyperlink>
          </w:p>
        </w:tc>
        <w:tc>
          <w:tcPr>
            <w:tcW w:w="740" w:type="dxa"/>
            <w:vAlign w:val="bottom"/>
            <w:gridSpan w:val="4"/>
          </w:tcPr>
          <w:p>
            <w:pPr>
              <w:spacing w:after="0"/>
              <w:rPr>
                <w:sz w:val="21"/>
                <w:szCs w:val="21"/>
                <w:color w:val="auto"/>
              </w:rPr>
            </w:pPr>
          </w:p>
        </w:tc>
        <w:tc>
          <w:tcPr>
            <w:tcW w:w="662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7360" w:type="dxa"/>
            <w:vAlign w:val="bottom"/>
            <w:gridSpan w:val="1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Item 5. OTHER INFORMATION</w:t>
              </w:r>
            </w:hyperlink>
          </w:p>
        </w:tc>
        <w:tc>
          <w:tcPr>
            <w:tcW w:w="560" w:type="dxa"/>
            <w:vAlign w:val="bottom"/>
            <w:gridSpan w:val="5"/>
          </w:tcPr>
          <w:p>
            <w:pPr>
              <w:spacing w:after="0"/>
              <w:rPr>
                <w:sz w:val="21"/>
                <w:szCs w:val="21"/>
                <w:color w:val="auto"/>
              </w:rPr>
            </w:pPr>
          </w:p>
        </w:tc>
        <w:tc>
          <w:tcPr>
            <w:tcW w:w="73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920" w:type="dxa"/>
            <w:vAlign w:val="bottom"/>
            <w:gridSpan w:val="2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6. EXHIBITS</w:t>
              </w:r>
            </w:hyperlink>
          </w:p>
        </w:tc>
        <w:tc>
          <w:tcPr>
            <w:tcW w:w="7920" w:type="dxa"/>
            <w:vAlign w:val="bottom"/>
            <w:gridSpan w:val="2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0" w:type="dxa"/>
            <w:vAlign w:val="bottom"/>
            <w:gridSpan w:val="2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6"/>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9000" w:type="dxa"/>
            <w:vAlign w:val="bottom"/>
            <w:gridSpan w:val="2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723"/>
        </w:trPr>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300" w:type="dxa"/>
            <w:vAlign w:val="bottom"/>
            <w:gridSpan w:val="20"/>
          </w:tcPr>
          <w:p>
            <w:pPr>
              <w:jc w:val="right"/>
              <w:ind w:right="6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80" w:type="dxa"/>
            <w:vAlign w:val="bottom"/>
            <w:gridSpan w:val="4"/>
          </w:tcPr>
          <w:p>
            <w:pPr>
              <w:jc w:val="right"/>
              <w:ind w:right="1071"/>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16,103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15,654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(2,292)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13,811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13,474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7"/>
              </w:rPr>
              <w:t>23,507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22,288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10,356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PARTNERS’ CAPITAL</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unitholders (63,126,331 units outstanding)</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Common unitholders (408,107,646 and 397,727,624 units outstanding, respectively)</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partner</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partners’ capital excluding noncontrolling interests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23,507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22,288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20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206"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2"/>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5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4,876</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13,344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17,225</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393</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5,170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14,231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18,156</w:t>
            </w:r>
          </w:p>
        </w:tc>
      </w:tr>
      <w:tr>
        <w:trPr>
          <w:trHeight w:val="297"/>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4,429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15,591</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217</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13,454</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17,238</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918</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2"/>
              </w:rPr>
              <w:t>Interest expense (net of capitalized interest of $11, $14, $37 and $42,</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5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318"/>
        </w:trPr>
        <w:tc>
          <w:tcPr>
            <w:tcW w:w="5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 (NOTE 3):</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Basic</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211</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r>
      <w:tr>
        <w:trPr>
          <w:trHeight w:val="30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net income per common unit</w:t>
            </w:r>
          </w:p>
        </w:tc>
        <w:tc>
          <w:tcPr>
            <w:tcW w:w="90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0.54</w:t>
            </w:r>
          </w:p>
        </w:tc>
      </w:tr>
      <w:tr>
        <w:trPr>
          <w:trHeight w:val="311"/>
        </w:trPr>
        <w:tc>
          <w:tcPr>
            <w:tcW w:w="5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Diluted</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211</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r>
      <w:tr>
        <w:trPr>
          <w:trHeight w:val="264"/>
        </w:trPr>
        <w:tc>
          <w:tcPr>
            <w:tcW w:w="5160" w:type="dxa"/>
            <w:vAlign w:val="bottom"/>
          </w:tcPr>
          <w:p>
            <w:pPr>
              <w:ind w:left="180"/>
              <w:spacing w:after="0"/>
              <w:rPr>
                <w:sz w:val="20"/>
                <w:szCs w:val="20"/>
                <w:color w:val="auto"/>
              </w:rPr>
            </w:pPr>
            <w:r>
              <w:rPr>
                <w:rFonts w:ascii="Arial" w:cs="Arial" w:eastAsia="Arial" w:hAnsi="Arial"/>
                <w:sz w:val="18"/>
                <w:szCs w:val="18"/>
                <w:color w:val="auto"/>
              </w:rPr>
              <w:t>Diluted net income per common unit</w:t>
            </w:r>
          </w:p>
        </w:tc>
        <w:tc>
          <w:tcPr>
            <w:tcW w:w="90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income/(loss) attributable to PAA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Translation</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loss on cash flow hedges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of terminated interest rate hedging instruments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fair value of Preferred Distribution Rate Reset Option (Note 9)</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from unconsolidated entities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r>
      <w:tr>
        <w:trPr>
          <w:trHeight w:val="264"/>
        </w:trPr>
        <w:tc>
          <w:tcPr>
            <w:tcW w:w="83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purchases of linefill and base gas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(2,069)</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borrowings/(repayments) under commercial paper program (Note 7)</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borrowings under senior secured hedged inventory facility (Note 7)</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senior notes</w:t>
            </w:r>
          </w:p>
        </w:tc>
        <w:tc>
          <w:tcPr>
            <w:tcW w:w="9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senior notes (Note 7)</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the sale of Series A preferred units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proceeds from the sale of common units (Note 8)</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1,099</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from general partner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common unitholders (Note 8)</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paid to general partner (Note 8)</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64"/>
        </w:trPr>
        <w:tc>
          <w:tcPr>
            <w:tcW w:w="83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increase/(decrease) in cash and cash equivalents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net of amounts refunded</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3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Partners’ Capital</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Series A</w:t>
            </w:r>
          </w:p>
        </w:tc>
        <w:tc>
          <w:tcPr>
            <w:tcW w:w="160" w:type="dxa"/>
            <w:vAlign w:val="bottom"/>
          </w:tcPr>
          <w:p>
            <w:pPr>
              <w:spacing w:after="0"/>
              <w:rPr>
                <w:sz w:val="13"/>
                <w:szCs w:val="13"/>
                <w:color w:val="auto"/>
              </w:rPr>
            </w:pPr>
          </w:p>
        </w:tc>
        <w:tc>
          <w:tcPr>
            <w:tcW w:w="10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Excluding</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3"/>
                <w:szCs w:val="13"/>
                <w:color w:val="auto"/>
              </w:rPr>
            </w:pPr>
          </w:p>
        </w:tc>
        <w:tc>
          <w:tcPr>
            <w:tcW w:w="94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Unitholders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Unitholders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Partner</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ind w:left="7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7,580</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7,881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Sale of Series A preferred units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common units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7,240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9,016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4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5"/>
              </w:rPr>
              <w:t>Limited Partners</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Partners’ Capital</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4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Excluding</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vMerge w:val="restart"/>
          </w:tcPr>
          <w:p>
            <w:pPr>
              <w:ind w:left="100"/>
              <w:spacing w:after="0" w:line="149" w:lineRule="exact"/>
              <w:rPr>
                <w:sz w:val="20"/>
                <w:szCs w:val="20"/>
                <w:color w:val="auto"/>
              </w:rPr>
            </w:pPr>
            <w:r>
              <w:rPr>
                <w:rFonts w:ascii="Arial" w:cs="Arial" w:eastAsia="Arial" w:hAnsi="Arial"/>
                <w:sz w:val="14"/>
                <w:szCs w:val="14"/>
                <w:b w:val="1"/>
                <w:bCs w:val="1"/>
                <w:color w:val="auto"/>
              </w:rPr>
              <w:t>General</w:t>
            </w:r>
          </w:p>
        </w:tc>
        <w:tc>
          <w:tcPr>
            <w:tcW w:w="140" w:type="dxa"/>
            <w:vAlign w:val="bottom"/>
          </w:tcPr>
          <w:p>
            <w:pPr>
              <w:spacing w:after="0" w:line="20" w:lineRule="exact"/>
              <w:rPr>
                <w:sz w:val="1"/>
                <w:szCs w:val="1"/>
                <w:color w:val="auto"/>
              </w:rPr>
            </w:pPr>
          </w:p>
        </w:tc>
        <w:tc>
          <w:tcPr>
            <w:tcW w:w="13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line="20" w:lineRule="exact"/>
              <w:rPr>
                <w:sz w:val="1"/>
                <w:szCs w:val="1"/>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line="20" w:lineRule="exact"/>
              <w:rPr>
                <w:sz w:val="1"/>
                <w:szCs w:val="1"/>
                <w:color w:val="auto"/>
              </w:rPr>
            </w:pPr>
          </w:p>
        </w:tc>
        <w:tc>
          <w:tcPr>
            <w:tcW w:w="940" w:type="dxa"/>
            <w:vAlign w:val="bottom"/>
            <w:vMerge w:val="restart"/>
          </w:tcPr>
          <w:p>
            <w:pPr>
              <w:jc w:val="center"/>
              <w:ind w:right="115"/>
              <w:spacing w:after="0" w:line="14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06"/>
        </w:trPr>
        <w:tc>
          <w:tcPr>
            <w:tcW w:w="3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 Unitholders</w:t>
            </w:r>
          </w:p>
        </w:tc>
        <w:tc>
          <w:tcPr>
            <w:tcW w:w="2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Partner</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ind w:left="82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7,793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8,133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to partners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Sale of common units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7,799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8,158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4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for crude oil, natural gas liquids (“NGL”), natural gas and refined products.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2% general partner interest is held by PAA GP LLC (“PAA GP”), a Delaware limited liability company, whose sole member is Plains AAP, L.P. (“AAP”), a Delaware limited partnership. In addition to its ownership of PAA GP, AAP also owns all of our incentive distribution rights (“IDRs”). Plains All American GP LLC (“GP LLC”), a Delaware limited liability company, is AAP’s general partner. Plains GP Holdings, L.P. (“PAGP”) is the sole member of GP LLC, and at September 30, 2016, owned an approximate 42% limited partner interest in AAP. PAA GP Holdings LLC (“GP Holdings”) is PAGP’s general partner.</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GP LLC manages our operations and activities and employs our domestic officers and personnel. Our Canadian officers and personnel are employed by our subsidiary, Plains Midstream Canada ULC (“PMC”). References to our “general partner,” as the context requires, include any or all of PAA GP, AAP and GP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Agreement</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On July 11, 2016, PAA, PAGP, AAP, PAA GP, GP LLC and GP Holdings entered into a Simplification Agreement pursuant to which, upon closing, in exchange for the issuance by PAA to AAP of approximately 245.5 million common units representing limited partner interests in PAA and the assumption by PAA of AAP’s outstanding debt, AAP will contribute the IDRs to PAA and PAA GP’s 2% economic general partner interest in PAA will be converted into a non-economic general partner interest in PAA. Following the closing of the transactions contemplated by the Simplification Agreement, which is expected to occur on November 15, 2016, both PAA and PAGP will continue to be publicly traded. See Note 15 for further discussion of this transaction.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DERs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MLP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Master limited partnership</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2015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Such reclassifications include $2 million and $7 million reclassified from “Depreciation and amortization” to “Interest expense, net” in our accompanying Condensed Consolidated Statements of Operations for the three and nine months ended September 30, 2015, respectively, due to the retrospective application of revised debt issuance costs guidance issued by the FASB, which we adopted during the fourth quarter of 2015. These reclassifications do not affect net income attributable to PAA. The condensed consolidated balance sheet data as of December 31, 2015 was derived from audited financial statements, but does not include all disclosures required by GAAP. The results of operations for the three and nine months ended September 30, 2016 should not be taken as indicative of results to be expected for the entire year.</w:t>
      </w:r>
    </w:p>
    <w:p>
      <w:pPr>
        <w:spacing w:after="0" w:line="16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Allocation</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Net income for partners’ capital presentation purposes is allocated in accordance with our partnership agreement. Our general partner and common unitholders are allocated income based on their respective partnership percentages, after giving effect to income allocations for (i) incentive distributions, if any, to our general partner (the holder of the IDRs pursuant to our partnership agreement) for distributions declared and paid following the close of each quarter and (ii) cash distributions to our preferred unitholders. In accordance with our partnership agreement, our preferred unitholders are not allocated income for paid-in-kind distributions.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purposes of determining basic and diluted net income per common unit, income is allocated as prescribed in FASB guidance for calculating earnings per unit including application of the two-class method for MLPs. See Note 3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Except as discussed below and in our 2015 Annual Report on Form 10-K, there have been no new accounting pronouncements that have become effective or have been issued during the nine months ended September 30, 2016 that are of significance or potential significance to us.</w:t>
      </w:r>
    </w:p>
    <w:p>
      <w:pPr>
        <w:spacing w:after="0" w:line="14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February 2016, the FASB issued guidance that revises the current accounting model for leases. The most significant changes are the clarification of the definition of a lease and required lessee recognition on the balance sheet of lease assets and liabilities with lease terms of more than 12 months,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We are currently evaluating the effect that adopting this guidance will have on our financial position, results of operations and cash flows. Although our evaluation is ongoing, we do expect that the adoption will impact our financial statements as the standard requires the recognition on the balance sheet of a right of use asset and corresponding lease liability. We are currently analyzing our contracts to determine whether they contain a lease under the revised guidance and have not quantified the amount of the asset and liability that will be recognized on our consolidated balance sheet.</w:t>
      </w:r>
    </w:p>
    <w:p>
      <w:pPr>
        <w:spacing w:after="0" w:line="16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March 2016, the FASB issued guidance to simplify several aspects of the accounting for share-based payment transactions, including the income tax consequences, classification of awards as either equity or liabilities and classification of certain related payments on the statement of cash flows. This guidance will become effective for interim and annual periods beginning after December 15, 2016, with early adoption permitted. We expect to adopt this guidance on January 1, 2017, and do not anticipate that our adoption will have a material impact on our financial position, results of operations or cash flows.</w:t>
      </w:r>
    </w:p>
    <w:p>
      <w:pPr>
        <w:spacing w:after="0" w:line="15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June 2016, the FASB issued new guidance for the accounting for credit losses on certain financial instruments. This guidance will become effective for interim and annual periods beginning after December 15, 2019, with early adoption permitted by one year. We expect to adopt this guidance on January 1, 2020, and we are currently evaluating the effect that adopting this guidance will have on our financial position, results of operations and cash flows.</w:t>
      </w:r>
    </w:p>
    <w:p>
      <w:pPr>
        <w:spacing w:after="0" w:line="187"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In August 2016, the FASB issued guidance relating to the classification and presentation of eight specific cash flow issues. This guidance will become effective for interim and annual periods beginning after December 15, 2018, with early adoption permitted. We plan to early adopt this guidance during the fourth quarter of 2016, and we do not currently expect that our adoption will impact our statement of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Common Unit</w:t>
      </w:r>
    </w:p>
    <w:p>
      <w:pPr>
        <w:spacing w:after="0" w:line="229"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Basic and diluted net income per common unit is determined pursuant to the two-class method for MLPs as prescribed in FASB guidance. The two-class method is an earnings allocation formula that is used to determine earnings to our general partner, limited partners and participating securities according to distributions pertaining to the current period’s net income and participation rights in undistributed earnings. Under this method, all earnings are allocated to our preferred unitholders, general partner, common unitholders and participating securities based on their respective rights to receive distributions, regardless of whether those earnings would actually be distributed during a particular period from an economic or practical perspective.</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calculate basic and diluted net income per common unit by dividing net income attributable to PAA (after deducting the amount allocated to the preferred unitholders, the general partner’s interest, IDRs and participating securities) by the basic and diluted weighted-average number of common units outstanding during the period. Participating securities include LTIP awards that have vested DERs, which entitle the grantee to a cash payment equal to the cash distribution paid on our outstanding common units.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Diluted net income per common unit is computed based on the weighted-average number of common units plus the effect of potentially dilutive securities outstanding during the period. When applying the if-converted method prescribed by FASB guidance, the possible conversion of our Series A preferred units was excluded from the calculation of diluted net income per common unit for the three and nine months ended September 30, 2016 as the effect was antidilutive. See Note 8 to our Condensed Consolidated Financial Statements for additional information regarding our Series A preferred units. Our LTIP awards that contemplate the issuance of common units are considered dilutive unless (i) vesting occurs only upon the satisfaction of a performance condition and (ii) that performance condition has yet to be satisfied. LTIP awards that are deemed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be dilutive are reduced by a hypothetical common unit repurchase based on the remaining unamortized fair value, as prescribed by the treasury stock method in guidance issued by the FASB. See Note 15 to our Consolidated Financial Statements included in Part IV of our 2015 Annual Report on Form 10-K for a complete discussion of our LTIP awards including specific discussion regarding 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1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w w:val="98"/>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Net income attributable to PAA</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(102)</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5"/>
                <w:szCs w:val="25"/>
                <w:color w:val="auto"/>
                <w:vertAlign w:val="superscript"/>
              </w:rPr>
              <w:t>(1)</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Net income allocated to common unitholders in accordance with application of</w:t>
            </w:r>
          </w:p>
        </w:tc>
        <w:tc>
          <w:tcPr>
            <w:tcW w:w="800" w:type="dxa"/>
            <w:vAlign w:val="bottom"/>
            <w:vMerge w:val="restart"/>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the two-class method for MLPs</w:t>
            </w: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net income per common unit</w:t>
            </w: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0.40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Net income attributable to PAA</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Distributions to Series A preferred units </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Distributions to general partner </w:t>
            </w:r>
            <w:r>
              <w:rPr>
                <w:rFonts w:ascii="Arial" w:cs="Arial" w:eastAsia="Arial" w:hAnsi="Arial"/>
                <w:sz w:val="25"/>
                <w:szCs w:val="25"/>
                <w:color w:val="auto"/>
                <w:vertAlign w:val="superscript"/>
              </w:rPr>
              <w:t>(1)</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(102)</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Distributions to participating securities </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Undistributed loss allocated to general partner </w:t>
            </w:r>
            <w:r>
              <w:rPr>
                <w:rFonts w:ascii="Arial" w:cs="Arial" w:eastAsia="Arial" w:hAnsi="Arial"/>
                <w:sz w:val="25"/>
                <w:szCs w:val="25"/>
                <w:color w:val="auto"/>
                <w:vertAlign w:val="superscript"/>
              </w:rPr>
              <w:t>(1)</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Net income allocated to common unitholders in accordance with application of</w:t>
            </w:r>
          </w:p>
        </w:tc>
        <w:tc>
          <w:tcPr>
            <w:tcW w:w="800" w:type="dxa"/>
            <w:vAlign w:val="bottom"/>
            <w:vMerge w:val="restart"/>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the two-class method for MLPs</w:t>
            </w: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Effect of dilutive securities: Weighted average LTIP units</w:t>
            </w:r>
          </w:p>
        </w:tc>
        <w:tc>
          <w:tcPr>
            <w:tcW w:w="8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8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net income per common unit</w:t>
            </w: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0.40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32" w:lineRule="auto"/>
        <w:tabs>
          <w:tab w:leader="none" w:pos="66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pacing w:after="0" w:line="20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Pursuant to the terms of our partnership agreement, the general partner’s incentive distribution is limited to a percentage of available cash, which, as defined in our partnership agreement, is net of reserves deemed appropriate. As such, IDRs are not allocated undistributed earnings or distributions in excess of earnings in the calculation of net income per common unit. If, however, undistributed earnings were allocated to our IDRs beyond amounts distributed to them under the terms of our partnership agreement, basic and diluted net income per common unit as reflected in the table above would not have been impacted, as we did not have undistributed earnings for any of the periods presented.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4—Accounts Receivable, Net</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 guarantees. As of September 30, 2016 and December 31, 2015, we had received $62 million and $88 million, respectively, of advance cash payments from third parties to mitigate credit risk. We also received $103 million and $36 million as of September 30, 2016 and December 31, 2015,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19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September 30, 2016 and December 31, 2015, substantially all of our trade accounts receivable (net of allowance for doubtful accounts) were less than 30 days past their scheduled invoice date. Our allowance for doubtful accounts receivable totaled $3 million and $4 million at September 30, 2016 and December 31, 2015, respectively. Although we consider our allowance for doubtful accounts receivable to be adequate, actual amounts could vary significantly from estimated amounts.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September 30, 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8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20,494</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879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42.89</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16,345</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21,087</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13,907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15,116</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2.12</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22,080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12,215</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12,298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30.87</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30,812</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30,812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3,428</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1,418</w:t>
            </w:r>
          </w:p>
        </w:tc>
        <w:tc>
          <w:tcPr>
            <w:tcW w:w="14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15.51</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spacing w:after="0" w:line="49" w:lineRule="exact"/>
        <w:rPr>
          <w:sz w:val="20"/>
          <w:szCs w:val="20"/>
          <w:color w:val="auto"/>
        </w:rPr>
      </w:pPr>
    </w:p>
    <w:p>
      <w:pPr>
        <w:ind w:left="660" w:right="160" w:hanging="652"/>
        <w:spacing w:after="0" w:line="21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63"/>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2,405</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 and reclassifications to assets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Balance at September 30, 2016</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2,353</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completed our annual goodwill impairment test as of June 30, 2016 and determined that there was no impairment of goodwill.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Commercial paper notes, bearing a weighted-average interest rate of 1.3% and 1.1%, respectively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secured hedged inventory facility, bearing a weighted-average interest rate of 1.5% and 1.4%,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respectively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6.13% senior notes due January 2017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84"/>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Senior notes, net of unamortized discounts and debt issuance costs of $70 and $77, respectively</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Commercial paper notes, bearing a weighted-average interest rate of 1.3% and 1.1%, respectively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64"/>
        </w:trPr>
        <w:tc>
          <w:tcPr>
            <w:tcW w:w="8340" w:type="dxa"/>
            <w:vAlign w:val="bottom"/>
          </w:tcPr>
          <w:p>
            <w:pPr>
              <w:ind w:left="58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60" w:hanging="652"/>
        <w:spacing w:after="0" w:line="22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We classified these commercial paper notes and credit facility borrowings as short-term as of September 30, 2016 and December 31, 2015, as these notes and borrowings were primarily designated as working capital borrowings, were required to be repaid within one year and were primarily for hedged NGL and crude oil inventory and NYMEX and ICE margin deposits.</w:t>
      </w:r>
    </w:p>
    <w:p>
      <w:pPr>
        <w:spacing w:after="0" w:line="203" w:lineRule="exact"/>
        <w:rPr>
          <w:rFonts w:ascii="Arial" w:cs="Arial" w:eastAsia="Arial" w:hAnsi="Arial"/>
          <w:sz w:val="25"/>
          <w:szCs w:val="25"/>
          <w:color w:val="auto"/>
          <w:vertAlign w:val="superscript"/>
        </w:rPr>
      </w:pPr>
    </w:p>
    <w:p>
      <w:pPr>
        <w:ind w:left="660" w:right="44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As of September 30, 2016 and December 31, 2015, we classified a portion of our commercial paper notes as long-term based on our ability and intent to refinance such amounts on a long-term basis under our credit facilities.</w:t>
      </w:r>
    </w:p>
    <w:p>
      <w:pPr>
        <w:spacing w:after="0" w:line="203" w:lineRule="exact"/>
        <w:rPr>
          <w:rFonts w:ascii="Arial" w:cs="Arial" w:eastAsia="Arial" w:hAnsi="Arial"/>
          <w:sz w:val="25"/>
          <w:szCs w:val="25"/>
          <w:color w:val="auto"/>
          <w:vertAlign w:val="superscript"/>
        </w:rPr>
      </w:pPr>
    </w:p>
    <w:p>
      <w:pPr>
        <w:ind w:left="660" w:hanging="652"/>
        <w:spacing w:after="0" w:line="254" w:lineRule="auto"/>
        <w:tabs>
          <w:tab w:leader="none" w:pos="66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Our fixed-rate senior notes (including current maturities) had a face value of approximately $9.6 billion and $9.8 billion as of September 30, 2016 and December 31, 2015, respectively. We estimated the aggregate fair value of these notes as of September 30, 2016 and December 31, 2015 to be approximately $9.7 billion and $8.6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August 2016, we extended the maturity dates of our senior unsecured revolving credit facility, senior secured hedged inventory facility and 364-day credit facility to August 2021, August 2019 and August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Total borrowings under our credit facilities and commercial paper program for the nine months ended September 30, 2016 and 2015 were approximately $41.4 billion and $37.1 billion, respectively. Total repayments under our credit facilities and commercial paper program were approximately $41.6 billion and $36.9 billion for the nine months ended September 30, 2016 and 2015, respectively. The variance in total gross borrowings and repayments is impacted by various business and financial factors including, but not limited to, the timing, average term and method of general partnership borrowing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September 30, 2016 and December 31, 2015, we had outstanding letters of credit of $47 million and $46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$175 million, 5.88% senior notes were repaid in August 2016. We utilized cash on hand and available capacity under our commercial paper program and credit facilities to repay these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Series A preferred units and common units: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1034"/>
              <w:spacing w:after="0"/>
              <w:rPr>
                <w:sz w:val="20"/>
                <w:szCs w:val="20"/>
                <w:color w:val="auto"/>
              </w:rPr>
            </w:pPr>
            <w:r>
              <w:rPr>
                <w:rFonts w:ascii="Arial" w:cs="Arial" w:eastAsia="Arial" w:hAnsi="Arial"/>
                <w:sz w:val="14"/>
                <w:szCs w:val="14"/>
                <w:b w:val="1"/>
                <w:bCs w:val="1"/>
                <w:color w:val="auto"/>
              </w:rPr>
              <w:t>Limited Partners</w:t>
            </w:r>
          </w:p>
        </w:tc>
      </w:tr>
      <w:tr>
        <w:trPr>
          <w:trHeight w:val="264"/>
        </w:trPr>
        <w:tc>
          <w:tcPr>
            <w:tcW w:w="8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Preferred Units</w:t>
            </w:r>
          </w:p>
        </w:tc>
        <w:tc>
          <w:tcPr>
            <w:tcW w:w="120" w:type="dxa"/>
            <w:vAlign w:val="bottom"/>
            <w:tcBorders>
              <w:bottom w:val="single" w:sz="8" w:color="CCEEFF"/>
            </w:tcBorders>
            <w:gridSpan w:val="2"/>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Common Units</w:t>
            </w:r>
          </w:p>
        </w:tc>
      </w:tr>
      <w:tr>
        <w:trPr>
          <w:trHeight w:val="26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397,727,624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Sale of Series A preferred units</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61,030,127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Series A preferred units in connection with in-kind distributions</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2,096,204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Sale of common units</w:t>
            </w:r>
          </w:p>
        </w:tc>
        <w:tc>
          <w:tcPr>
            <w:tcW w:w="17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9,922,733</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units under LTIP</w:t>
            </w:r>
          </w:p>
        </w:tc>
        <w:tc>
          <w:tcPr>
            <w:tcW w:w="17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457,289</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Outstanding at September 30, 2016</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63,126,331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408,107,646</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35"/>
        </w:trPr>
        <w:tc>
          <w:tcPr>
            <w:tcW w:w="8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Limited Partners</w:t>
            </w:r>
          </w:p>
        </w:tc>
      </w:tr>
      <w:tr>
        <w:trPr>
          <w:trHeight w:val="196"/>
        </w:trPr>
        <w:tc>
          <w:tcPr>
            <w:tcW w:w="812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Units</w:t>
            </w:r>
          </w:p>
        </w:tc>
      </w:tr>
      <w:tr>
        <w:trPr>
          <w:trHeight w:val="26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375,107,793</w:t>
            </w:r>
          </w:p>
        </w:tc>
      </w:tr>
      <w:tr>
        <w:trPr>
          <w:trHeight w:val="20"/>
        </w:trPr>
        <w:tc>
          <w:tcPr>
            <w:tcW w:w="8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Sale of common units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22,133,904</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units under LTIP</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485,927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Outstanding at September 30, 2015</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397,727,624</w:t>
            </w:r>
          </w:p>
        </w:tc>
      </w:tr>
      <w:tr>
        <w:trPr>
          <w:trHeight w:val="20"/>
        </w:trPr>
        <w:tc>
          <w:tcPr>
            <w:tcW w:w="8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Offerings</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i w:val="1"/>
          <w:iCs w:val="1"/>
          <w:color w:val="auto"/>
        </w:rPr>
        <w:t xml:space="preserve">Series A Preferred Unit Offering. </w:t>
      </w:r>
      <w:r>
        <w:rPr>
          <w:rFonts w:ascii="Arial" w:cs="Arial" w:eastAsia="Arial" w:hAnsi="Arial"/>
          <w:sz w:val="17"/>
          <w:szCs w:val="17"/>
          <w:color w:val="auto"/>
        </w:rPr>
        <w:t>On January 28, 2016 (the "Issuance Date"), we completed the private placement of approximately 61.0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Series A preferred units representing limited partner interests in us for a cash purchase price of $26.25 per unit (the “Issue Price”).</w:t>
      </w:r>
    </w:p>
    <w:p>
      <w:pPr>
        <w:spacing w:after="0" w:line="14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Series A preferred units are a new class of equity security that ranks senior to all classes or series of our equity securities with respect to distribution rights and rights upon liquidation. The holders of the Series A preferred units receive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cumulative quarterly distributions, subject to customary antidilution adjustments, equal to $0.525 per unit ($2.10 per unit annualized). With respect to any quarter ending on or prior to December 31, 2017 (the “Initial Distribution Period”), we may elect to pay distributions on the Series A preferred units in additional preferred units, in cash or a combination of both. With respect to any quarter ending after the Initial Distribution Period, we must pay distributions on the Series A preferred units in cash.</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purchasers may convert their Series A preferred units into common units, generally on a one-for-one basis and subject to customary antidilution adjustments, at any time after the second anniversary of the Issuance Date (or prior to a liquidation), in whole or in part, subject to certain minimum conversion amounts. We may convert the Series A preferred units into common units at any time (but not more often than once per quarter) after the third anniversary of the Issuance Date, in whole or in part, subject to certain minimum conversion amounts, if the closing price of our common units is greater than 150% of the Issue Price for the preceding 20 trading days. The Series A preferred units will vote on an as-converted basis with our common units and will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to common units at the then applicable conversion rate.</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a period of 30 days following (a) the fifth anniversary of the Issuance Date of the Series A preferred units and (b) each subsequent anniversary of the Issuance Date, the holders of the Series A preferred units, acting by majority vote, may make a one-time election to reset the distribution rate to equal the then applicable rate of the ten-year U.S. Treasury plus 5.85% (the “Preferred Distribution Rate Reset Option”). The Preferred Distribution Rate Reset Option is accounted for as an embedded derivative. See Note 9 for additional information. If the holders of the Series A preferred units have exercised the Preferred Distribution Rate Reset Option, then, at any time following 30 days after the sixth anniversary of the Issuance Date, we may redeem all or any portion of the outstanding Series A preferred units in exchange for cash, common units (valued at 95% of the volume-weighted average price of the common units for a trading day period specified in our partnership agreement) or a combination of cash and common units at a redemption price equal to 110% of the Issue Price, plus any accrued and unpaid distributions.</w:t>
      </w:r>
    </w:p>
    <w:p>
      <w:pPr>
        <w:spacing w:after="0" w:line="17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i w:val="1"/>
          <w:iCs w:val="1"/>
          <w:color w:val="auto"/>
        </w:rPr>
        <w:t xml:space="preserve">Continuous Offering Program. </w:t>
      </w:r>
      <w:r>
        <w:rPr>
          <w:rFonts w:ascii="Arial" w:cs="Arial" w:eastAsia="Arial" w:hAnsi="Arial"/>
          <w:sz w:val="18"/>
          <w:szCs w:val="18"/>
          <w:color w:val="auto"/>
        </w:rPr>
        <w:t>During the nine months ended September 30, 2016, we issued an aggregate of approximately 9.9 million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units under our continuous offering program, generating proceeds of $289 million, including our general partner's proportionate capital contribution of $6 million, net of $2 million of commissions paid to our sales agents.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Cash Distributions</w:t>
      </w:r>
      <w:r>
        <w:rPr>
          <w:rFonts w:ascii="Arial" w:cs="Arial" w:eastAsia="Arial" w:hAnsi="Arial"/>
          <w:sz w:val="18"/>
          <w:szCs w:val="18"/>
          <w:color w:val="auto"/>
        </w:rPr>
        <w:t>. The following table details the distributions paid in cash during or pertaining to the first nine months of 2016, net of reductions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general partner’s incentive distributions (in millions, except per unit data):</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Distributions</w:t>
      </w:r>
    </w:p>
    <w:tbl>
      <w:tblPr>
        <w:tblLayout w:type="fixed"/>
        <w:tblInd w:w="0" w:type="dxa"/>
        <w:tblCellMar>
          <w:top w:w="0" w:type="dxa"/>
          <w:left w:w="0" w:type="dxa"/>
          <w:bottom w:w="0" w:type="dxa"/>
          <w:right w:w="0" w:type="dxa"/>
        </w:tblCellMar>
      </w:tblPr>
      <w:tr>
        <w:trPr>
          <w:trHeight w:val="47"/>
        </w:trPr>
        <w:tc>
          <w:tcPr>
            <w:tcW w:w="3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vMerge w:val="restart"/>
          </w:tcPr>
          <w:p>
            <w:pPr>
              <w:jc w:val="right"/>
              <w:ind w:right="356"/>
              <w:spacing w:after="0" w:line="133" w:lineRule="exact"/>
              <w:rPr>
                <w:sz w:val="20"/>
                <w:szCs w:val="20"/>
                <w:color w:val="auto"/>
              </w:rPr>
            </w:pPr>
            <w:r>
              <w:rPr>
                <w:rFonts w:ascii="Arial" w:cs="Arial" w:eastAsia="Arial" w:hAnsi="Arial"/>
                <w:sz w:val="14"/>
                <w:szCs w:val="14"/>
                <w:b w:val="1"/>
                <w:bCs w:val="1"/>
                <w:color w:val="auto"/>
              </w:rPr>
              <w:t>Distributions per</w:t>
            </w:r>
          </w:p>
        </w:tc>
        <w:tc>
          <w:tcPr>
            <w:tcW w:w="0" w:type="dxa"/>
            <w:vAlign w:val="bottom"/>
          </w:tcPr>
          <w:p>
            <w:pPr>
              <w:spacing w:after="0"/>
              <w:rPr>
                <w:sz w:val="1"/>
                <w:szCs w:val="1"/>
                <w:color w:val="auto"/>
              </w:rPr>
            </w:pPr>
          </w:p>
        </w:tc>
      </w:tr>
      <w:tr>
        <w:trPr>
          <w:trHeight w:val="65"/>
        </w:trPr>
        <w:tc>
          <w:tcPr>
            <w:tcW w:w="3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Date</w:t>
            </w:r>
          </w:p>
        </w:tc>
        <w:tc>
          <w:tcPr>
            <w:tcW w:w="1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6"/>
              </w:rPr>
              <w:t>Common Unitholders</w:t>
            </w:r>
          </w:p>
        </w:tc>
        <w:tc>
          <w:tcPr>
            <w:tcW w:w="10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General Partner</w:t>
            </w:r>
          </w:p>
        </w:tc>
        <w:tc>
          <w:tcPr>
            <w:tcW w:w="1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146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31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November 14, 2016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328</w:t>
            </w:r>
          </w:p>
        </w:tc>
        <w:tc>
          <w:tcPr>
            <w:tcW w:w="120" w:type="dxa"/>
            <w:vAlign w:val="bottom"/>
            <w:tcBorders>
              <w:right w:val="single" w:sz="8" w:color="auto"/>
            </w:tcBorders>
            <w:shd w:val="clear" w:color="auto" w:fill="CCEEFF"/>
          </w:tcPr>
          <w:p>
            <w:pPr>
              <w:spacing w:after="0"/>
              <w:rPr>
                <w:sz w:val="23"/>
                <w:szCs w:val="2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August 12,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433</w:t>
            </w:r>
          </w:p>
        </w:tc>
        <w:tc>
          <w:tcPr>
            <w:tcW w:w="120" w:type="dxa"/>
            <w:vAlign w:val="bottom"/>
            <w:tcBorders>
              <w:right w:val="single" w:sz="8" w:color="auto"/>
            </w:tcBorders>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13,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color w:val="auto"/>
              </w:rPr>
              <w:t>February 12,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433</w:t>
            </w:r>
          </w:p>
        </w:tc>
        <w:tc>
          <w:tcPr>
            <w:tcW w:w="120" w:type="dxa"/>
            <w:vAlign w:val="bottom"/>
            <w:tcBorders>
              <w:right w:val="single" w:sz="8" w:color="auto"/>
            </w:tcBorders>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ind w:left="660" w:hanging="652"/>
        <w:spacing w:after="0" w:line="233"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October 31, 2016 for the period July 1, 2016 through September 30, 2016.</w:t>
      </w:r>
    </w:p>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In-Kind Distributions</w:t>
      </w:r>
      <w:r>
        <w:rPr>
          <w:rFonts w:ascii="Arial" w:cs="Arial" w:eastAsia="Arial" w:hAnsi="Arial"/>
          <w:sz w:val="18"/>
          <w:szCs w:val="18"/>
          <w:color w:val="auto"/>
        </w:rPr>
        <w:t>. On May 13, 2016, we issued 858,439 additional Series A preferred units in lieu of a cash distribution of $23 million. Such</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was issued to Series A preferred unitholders of record as of April 29, 2016 and was prorated for the period beginning on January 28, 2016, the issuance date of the Series A preferred units, through March 31, 2016. On August 12, 2016, we issued 1,237,765 additional Series A preferred units in lieu of a cash distribution of $33 million.</w:t>
      </w:r>
    </w:p>
    <w:p>
      <w:pPr>
        <w:spacing w:after="0" w:line="187"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On November 14, 2016, we will issue 1,262,522 additional Series A preferred units in lieu of a cash distribution of $33 million. Since the November 14, 2016 Series A preferred unit distribution was declared as payment-in-kind, this distribution payable was accrued to partners’ capital as of September 30, 2016 and thus had no net impact on the Series A preferred unitholders’ capital account.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2016, noncontrolling interests in our subsidiaries consisted of a 25% interest in SLC Pipeline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9—Derivatives and Risk Management Activities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2016, net derivative positions related to these activities included:</w:t>
      </w:r>
    </w:p>
    <w:p>
      <w:pPr>
        <w:spacing w:after="0" w:line="147" w:lineRule="exact"/>
        <w:rPr>
          <w:sz w:val="20"/>
          <w:szCs w:val="20"/>
          <w:color w:val="auto"/>
        </w:rPr>
      </w:pPr>
    </w:p>
    <w:p>
      <w:pPr>
        <w:ind w:left="980" w:right="2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net long position of 4.4 million barrels associated with our crude oil purchases, which was unwound ratably during October 2016 to match monthly average pricing.</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net short time spread position of 3.1 million barrels, which hedges a portion of our anticipated crude oil lease gathering purchases through December 2017.</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crude oil grade spread position of 16.0 million barrels through December 2019. These derivatives allow us to lock in grade basis differentials.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net short position of 12.9 Bcf through July 2017 related to anticipated sales of natural gas inventory.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net short position of 34.7 million barrels through December 2019 related to anticipated net sales of our crude oil and NGL inventory.</w:t>
      </w:r>
    </w:p>
    <w:p>
      <w:pPr>
        <w:spacing w:after="0" w:line="23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that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among other things, offset losses due to evaporation, measurement and other losses in transit. We utilize derivative instruments to hedge a portion of the anticipated sales of the loss allowance oil that is to be collected under our tariffs. As of September 30, 2016, our PLA hedges included a long call option position of 1.1 million barrels through December 2018.</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September 30, 2016, we had a long natural gas position of 31.6 Bcf of which 27.7 Bcf hedges our natural gas processing needs through December 2017. The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25"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remaining 3.9 Bcf of our natural gas position hedges natural gas required for operational needs through December 2018. We also had a short propane position of 5.1 million barrels through December 2017, a short butane position of 1.6 million barrels through December 2017 and a short WTI position of 0.7 million barrels through December 2017. In addition, we had a long power position of 0.4 million megawatt hours, which hedges a portion of our power supply requirements at our Canadian natural gas processing and fractionation plants through December 2018.</w:t>
      </w:r>
    </w:p>
    <w:p>
      <w:pPr>
        <w:spacing w:after="0" w:line="17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use interest rate derivatives to hedge interest rate risk associated with anticipated and outstanding interest payments occurring as a result of debt issuances. The derivative instruments we use to manage this risk consist of forward starting interest rate swaps and treasury locks. As of September 30, 2016, AOCI includes deferred losses of $353 million that relate to open and terminated interest rate derivatives that were designated as cash flow hedges. The majority of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17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We have entered into forward starting interest rate swaps to hedge the underlying benchmark interest rate related to forecasted interest payments through 2049. The following table summarizes the terms of our forward starting interest rate swaps as of September 30, 2016 (notional amounts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4/13/2017</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6/15/2017</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During June 2016, we made a cash payment of approximately $52 million in connection with the termination of eight forward starting interest rate swaps that had an aggregate notional amount of $200 million and an average fixed rate of 3.06%. In conjunction with this termination, a loss of approximately $50 million was deferred to AOCI, and a loss of approximately $2 million was immediately recognized in interest expense attributable to the determination that a previously forecasted interest payment is now considered probable of not occurring.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of September 30, 2016,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2016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$1.00 - $1.31</w:t>
            </w:r>
          </w:p>
        </w:tc>
        <w:tc>
          <w:tcPr>
            <w:tcW w:w="0" w:type="dxa"/>
            <w:vAlign w:val="bottom"/>
          </w:tcPr>
          <w:p>
            <w:pPr>
              <w:spacing w:after="0"/>
              <w:rPr>
                <w:sz w:val="1"/>
                <w:szCs w:val="1"/>
                <w:color w:val="auto"/>
              </w:rPr>
            </w:pPr>
          </w:p>
        </w:tc>
      </w:tr>
      <w:tr>
        <w:trPr>
          <w:trHeight w:val="297"/>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$1.30</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income/(expense), net” in our Condensed Consolidated Statement of Operations. At September 30, 2016, the fair value of this embedded derivative was a liability of approximately $18 million. We recognized gains of approximately $17 million and $42 million during the three and nine months ended September 30, 2016, respectively, due to changes in fair value during the periods. See Note 8 for additional information regarding our Series A preferred units and the Preferred Distribution Rate Reset Option.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 activities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 2016</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7"/>
          </w:tcPr>
          <w:p>
            <w:pPr>
              <w:jc w:val="right"/>
              <w:ind w:right="552"/>
              <w:spacing w:after="0"/>
              <w:rPr>
                <w:sz w:val="20"/>
                <w:szCs w:val="20"/>
                <w:color w:val="auto"/>
              </w:rPr>
            </w:pPr>
            <w:r>
              <w:rPr>
                <w:rFonts w:ascii="Arial" w:cs="Arial" w:eastAsia="Arial" w:hAnsi="Arial"/>
                <w:sz w:val="14"/>
                <w:szCs w:val="14"/>
                <w:b w:val="1"/>
                <w:bCs w:val="1"/>
                <w:color w:val="auto"/>
              </w:rPr>
              <w:t>Three Months Ended September 30, 2015</w:t>
            </w: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8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40" w:type="dxa"/>
            <w:vAlign w:val="bottom"/>
          </w:tcPr>
          <w:p>
            <w:pPr>
              <w:spacing w:after="0"/>
              <w:rPr>
                <w:sz w:val="12"/>
                <w:szCs w:val="12"/>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 xml:space="preserve">Relationships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as a Hedge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9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10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31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Nine Months Ended September 30, 2016</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 2015</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60" w:type="dxa"/>
            <w:vAlign w:val="bottom"/>
          </w:tcPr>
          <w:p>
            <w:pPr>
              <w:spacing w:after="0"/>
              <w:rPr>
                <w:sz w:val="12"/>
                <w:szCs w:val="12"/>
                <w:color w:val="auto"/>
              </w:rPr>
            </w:pPr>
          </w:p>
        </w:tc>
        <w:tc>
          <w:tcPr>
            <w:tcW w:w="7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60" w:type="dxa"/>
            <w:vAlign w:val="bottom"/>
          </w:tcPr>
          <w:p>
            <w:pPr>
              <w:spacing w:after="0"/>
              <w:rPr>
                <w:sz w:val="12"/>
                <w:szCs w:val="12"/>
                <w:color w:val="auto"/>
              </w:rPr>
            </w:pPr>
          </w:p>
        </w:tc>
        <w:tc>
          <w:tcPr>
            <w:tcW w:w="7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0"/>
              </w:rPr>
              <w:t xml:space="preserve">Relationships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 xml:space="preserve">Relationships </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Transportation 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Reset Option</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76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8"/>
              </w:rPr>
              <w:t>Total Gain/(Loss) on Derivatives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spacing w:after="0" w:line="49" w:lineRule="exact"/>
        <w:rPr>
          <w:sz w:val="20"/>
          <w:szCs w:val="20"/>
          <w:color w:val="auto"/>
        </w:rPr>
      </w:pPr>
    </w:p>
    <w:p>
      <w:pPr>
        <w:ind w:left="660" w:right="320" w:hanging="652"/>
        <w:spacing w:after="0" w:line="232"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During the nine months ended September 30, 2016 we reclassified losses of approximately $2 million and $2 million to Supply and Logistics segment revenues and Interest expense, net, respectively, due to anticipated hedged transactions being probable of not occurring. During the nine months ended September 30, 2015, we reclassified a loss of approximately $4 million from AOCI to Interest expense, net due to an anticipated hedged transaction being probable of not occurring.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9"/>
              </w:rPr>
              <w:t>Other long-term liabilities and deferred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60" w:type="dxa"/>
            <w:vAlign w:val="bottom"/>
          </w:tcPr>
          <w:p>
            <w:pPr>
              <w:spacing w:after="0"/>
              <w:rPr>
                <w:sz w:val="20"/>
                <w:szCs w:val="20"/>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81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vMerge w:val="restart"/>
          </w:tcPr>
          <w:p>
            <w:pPr>
              <w:ind w:left="21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2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275</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September 30, 2016, we had a net broker receivable of $142 million (consisting of initial margin of $96 million increased by $46 million of variation margin that had been posted by us). As of December 31, 2015, we had a net broker payable of $156 million (consisting of initial margin of $91 million reduced by $247 million of variation margin that had been returned to 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1"/>
              </w:rPr>
              <w:t>September 30, 2016</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2015</w:t>
            </w:r>
          </w:p>
        </w:tc>
      </w:tr>
      <w:tr>
        <w:trPr>
          <w:trHeight w:val="152"/>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66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420" w:type="dxa"/>
            <w:vAlign w:val="bottom"/>
          </w:tcPr>
          <w:p>
            <w:pPr>
              <w:jc w:val="right"/>
              <w:ind w:right="39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6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Liability Positions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paid/(received)</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50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As of September 30, 2016, there was a net loss of $374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September 30, 2016, we expect to reclassify a net loss of $7 million to earnings in the next twelve months. The remaining deferred loss of $367 million is expected to be reclassified to earnings through 2049. A portion of these amounts is based on market prices as of September 30, 2016;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gain/(loss) recognized in AOCI for derivatives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derivatives,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594"/>
        <w:spacing w:after="0" w:line="264" w:lineRule="auto"/>
        <w:rPr>
          <w:sz w:val="20"/>
          <w:szCs w:val="20"/>
          <w:color w:val="auto"/>
        </w:rPr>
      </w:pPr>
      <w:r>
        <w:rPr>
          <w:rFonts w:ascii="Arial" w:cs="Arial" w:eastAsia="Arial" w:hAnsi="Arial"/>
          <w:sz w:val="18"/>
          <w:szCs w:val="18"/>
          <w:color w:val="auto"/>
        </w:rPr>
        <w:t>At September 30, 2016 and December 31, 2015,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September 30, 2016</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Fair Value as of December 31, 2015</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01"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5"/>
          <w:szCs w:val="25"/>
          <w:color w:val="auto"/>
          <w:vertAlign w:val="superscript"/>
        </w:rPr>
      </w:pPr>
    </w:p>
    <w:p>
      <w:pPr>
        <w:ind w:left="660" w:right="20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5"/>
          <w:szCs w:val="25"/>
          <w:color w:val="auto"/>
          <w:vertAlign w:val="superscript"/>
        </w:rPr>
      </w:pPr>
    </w:p>
    <w:p>
      <w:pPr>
        <w:ind w:left="660" w:right="460"/>
        <w:spacing w:after="0" w:line="286" w:lineRule="auto"/>
        <w:rPr>
          <w:rFonts w:ascii="Arial" w:cs="Arial" w:eastAsia="Arial" w:hAnsi="Arial"/>
          <w:sz w:val="25"/>
          <w:szCs w:val="25"/>
          <w:color w:val="auto"/>
          <w:vertAlign w:val="superscript"/>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Level 3</w:t>
      </w:r>
    </w:p>
    <w:p>
      <w:pPr>
        <w:spacing w:after="0" w:line="225" w:lineRule="exact"/>
        <w:rPr>
          <w:rFonts w:ascii="Arial" w:cs="Arial" w:eastAsia="Arial" w:hAnsi="Arial"/>
          <w:sz w:val="25"/>
          <w:szCs w:val="25"/>
          <w:color w:val="auto"/>
          <w:vertAlign w:val="superscript"/>
        </w:rPr>
      </w:pPr>
    </w:p>
    <w:p>
      <w:pPr>
        <w:ind w:left="660" w:right="14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Level 3 of the fair value hierarchy includes certain physical commodity contracts and the Preferred Distribution Rate Reset Option contained in our partnership agreement classified as an embedded derivative.</w:t>
      </w:r>
    </w:p>
    <w:p>
      <w:pPr>
        <w:spacing w:after="0" w:line="170" w:lineRule="exact"/>
        <w:rPr>
          <w:rFonts w:ascii="Arial" w:cs="Arial" w:eastAsia="Arial" w:hAnsi="Arial"/>
          <w:sz w:val="25"/>
          <w:szCs w:val="25"/>
          <w:color w:val="auto"/>
          <w:vertAlign w:val="superscript"/>
        </w:rPr>
      </w:pPr>
    </w:p>
    <w:p>
      <w:pPr>
        <w:ind w:left="660" w:right="200"/>
        <w:spacing w:after="0" w:line="276" w:lineRule="auto"/>
        <w:rPr>
          <w:rFonts w:ascii="Arial" w:cs="Arial" w:eastAsia="Arial" w:hAnsi="Arial"/>
          <w:sz w:val="25"/>
          <w:szCs w:val="25"/>
          <w:color w:val="auto"/>
          <w:vertAlign w:val="superscript"/>
        </w:rPr>
      </w:pPr>
      <w:r>
        <w:rPr>
          <w:rFonts w:ascii="Arial" w:cs="Arial" w:eastAsia="Arial" w:hAnsi="Arial"/>
          <w:sz w:val="17"/>
          <w:szCs w:val="17"/>
          <w:color w:val="auto"/>
        </w:rPr>
        <w:t>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physical commodity contracts. We report unrealized gains and losses associated with these physical commodity contracts in our Condensed Consolidated Statements of Operations as Supply and Logistics segment revenues.</w:t>
      </w:r>
    </w:p>
    <w:p>
      <w:pPr>
        <w:spacing w:after="0" w:line="172" w:lineRule="exact"/>
        <w:rPr>
          <w:rFonts w:ascii="Arial" w:cs="Arial" w:eastAsia="Arial" w:hAnsi="Arial"/>
          <w:sz w:val="25"/>
          <w:szCs w:val="25"/>
          <w:color w:val="auto"/>
          <w:vertAlign w:val="superscript"/>
        </w:rPr>
      </w:pPr>
    </w:p>
    <w:p>
      <w:pPr>
        <w:ind w:left="660" w:right="140"/>
        <w:spacing w:after="0" w:line="297" w:lineRule="auto"/>
        <w:rPr>
          <w:rFonts w:ascii="Arial" w:cs="Arial" w:eastAsia="Arial" w:hAnsi="Arial"/>
          <w:sz w:val="25"/>
          <w:szCs w:val="25"/>
          <w:color w:val="auto"/>
          <w:vertAlign w:val="superscript"/>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as “Other income/(expense), net.”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Gains for the period included in earnings</w:t>
            </w:r>
          </w:p>
        </w:tc>
        <w:tc>
          <w:tcPr>
            <w:tcW w:w="90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Derivatives entered into during the period</w:t>
            </w:r>
          </w:p>
        </w:tc>
        <w:tc>
          <w:tcPr>
            <w:tcW w:w="90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Change in unrealized gains included in earnings relating to Level 3</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derivatives still held at the end of the period</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7"/>
        </w:trPr>
        <w:tc>
          <w:tcPr>
            <w:tcW w:w="5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 Party Transactions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14 to our Consolidated Financial Statements included in Part IV of our 2015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As of September 30, 2016, Oxy owned approximately 12% of the limited partner interests in our general partner and had a representative on the board of directors of GP LLC. During the three and nine months ended September 30, 2016 and 2015,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745</w:t>
            </w:r>
          </w:p>
        </w:tc>
      </w:tr>
      <w:tr>
        <w:trPr>
          <w:trHeight w:val="297"/>
        </w:trPr>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112</w:t>
            </w:r>
          </w:p>
        </w:tc>
      </w:tr>
      <w:tr>
        <w:trPr>
          <w:trHeight w:val="230"/>
        </w:trPr>
        <w:tc>
          <w:tcPr>
            <w:tcW w:w="5160" w:type="dxa"/>
            <w:vAlign w:val="bottom"/>
          </w:tcPr>
          <w:p>
            <w:pPr>
              <w:jc w:val="right"/>
              <w:ind w:right="1190"/>
              <w:spacing w:after="0"/>
              <w:rPr>
                <w:sz w:val="20"/>
                <w:szCs w:val="20"/>
                <w:color w:val="auto"/>
              </w:rPr>
            </w:pPr>
            <w:r>
              <w:rPr>
                <w:rFonts w:ascii="Arial" w:cs="Arial" w:eastAsia="Arial" w:hAnsi="Arial"/>
                <w:sz w:val="18"/>
                <w:szCs w:val="18"/>
                <w:color w:val="auto"/>
                <w:w w:val="89"/>
              </w:rPr>
              <w:t>___________________________________________</w:t>
            </w: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5" w:lineRule="exact"/>
        <w:rPr>
          <w:sz w:val="20"/>
          <w:szCs w:val="20"/>
          <w:color w:val="auto"/>
        </w:rPr>
      </w:pPr>
    </w:p>
    <w:p>
      <w:pPr>
        <w:ind w:left="660" w:right="660" w:hanging="652"/>
        <w:spacing w:after="0" w:line="216"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Purchases and related costs include crude oil buy/sell transactions that are accounted for as inventory exchanges and are presented net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11—Equity-Indexed Compensation Plans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refer to the PAA LTIPs and AAP Management Units collectively as our “equity-indexed compensation plans.” For additional discussion of our equity-indexed compensation plans and awards, see Note 15 to our Consolidated Financial Statements included in Part IV of our 2015 Annual Report on Form 10-K.</w:t>
      </w:r>
    </w:p>
    <w:p>
      <w:pPr>
        <w:spacing w:after="0" w:line="23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third quarter of 2016, modifications were made to the vesting criteria of approximately 2.2 million PAA LTIP units to eliminate distribution performance thresholds, if any, greater than $0.70 per common unit per quarter, and provide that such units will vest based solely on the passage of time during the years 2017 to 2020. In addition, approximately 1.7 million PAA LTIP units were granted with a weighted average grant date fair value of $22.85 per unit.</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Modifications were also made to the distribution performance thresholds of approximately 2.2 million unearned AAP Management Units such that the awards will become earned based on the attainment of PAA distribution levels between $2.20 and $2.40 per common unit, on an annualized basis, and additional performance conditions based on our distributable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September 30, 2016, our estimated undiscounted reserve for environmental liabilities (including liabilities related to the Line 901 incident, as discussed further below) totaled $160 million, of which $57 million was classified as short-term and $103 million was classified as long-term. At December 31, 2015, our estimated undiscounted reserve for environmental liabilities (including liabilities related to the Line 901 incident) totaled $185 million, of which $81 million was classified as short-term and $104 million was classified as long-term. The short- and long-term environmental liabilities referenced above are reflected in “Accounts payable and accrued liabilities” and “Other long-term liabilities and deferred credits,” respectively, on our Condensed Consolidated Balance Sheets. At September 30, 2016, we had recorded receivables totaling $79 million for amounts probable of recovery under insurance and from third parties under indemnification agreements, of which $57 million was reflected in “Trade accounts receivable and other receivables, net” and $22 million was reflected in “Other long-term assets, net” on our Condensed Consolidated Balance Sheets. At December 31, 2015, we had recorded $161 million of such receivables, of which $138 million was reflected in “Trade accounts receivable and other receivables, net” and $23 million was reflected in “Other long-term assets, net” on our Condensed Consolidated Balance Sheets.</w:t>
      </w:r>
    </w:p>
    <w:p>
      <w:pPr>
        <w:spacing w:after="0" w:line="17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subject to continued shoreline monitoring. Our current “worst case” estimate of the amount of oil spilled, representing the maximum volume of oil that we believed could have been spilled based on relevant facts, data and information, is approximately 2,935 barrels.</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11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and 903 to service; the CAO also imposes a pressure restriction on Line 903 and requires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No timeline has been established for the restart of Line 901 or Line 903. 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pursued any such civil or criminal charges with respect to the Line 901 release, their investigation is still open and we may have fines or penalties imposed upon us, or civil or criminal charges brought against us, in the future.</w:t>
      </w:r>
    </w:p>
    <w:p>
      <w:pPr>
        <w:spacing w:after="0" w:line="10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September 11, 2015, we received a Notice of Probable Violation and Proposed Compliance Order from PHMSA arising out of its inspection of Lines 901 and 903 in August, September and October of 2013 (the “2013 Audit NOPV”). The 2013 Audit NOPV alleges that the Partnership committed probable violations of various federal pipeline safety regulations by failing to document, or inadequately documenting, certain activities. On October 12, 2015, the Partnership filed a response to the 2013 Audit NOPV. To date, PHMSA has not issued a final order with respect to the 2013 Audit NOPV, nor has it assessed any fines or penalties with respect thereto; however, we cannot provide any assurances that any such fines or penalties will not be assessed against us.</w:t>
      </w:r>
    </w:p>
    <w:p>
      <w:pPr>
        <w:spacing w:after="0" w:line="12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California law in connection with the Line 901 incident. The indictment included a total of 46 counts, 36 of which were misdemeanor charges relating to wildlife allegedly taken as a result of the accidental release. The remaining 10 counts (four felony and six misdemeanor charges) relate to the release of crude oil or reporting of the release. PAA believes that the criminal charges are unwarranted and that neither PAA nor any of its employees engaged in any criminal behavior at any time in connection with this accident. PAA intends to vigorously defend itself against the charges. On July 28, 2016, at an arraignment hearing held in California Superior Court in Santa Barbara County, PAA pled not guilty to all counts.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or criminal charges brought against us, our officers or our employees in the future, whether by those or other governmental agencies.</w:t>
      </w:r>
    </w:p>
    <w:p>
      <w:pPr>
        <w:spacing w:after="0" w:line="11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individuals and businesses that were allegedly impacted by the release.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deny the allegations in these lawsuits and intend to respond accordingly. Consistent with and subject to the terms of our governing organizational documents (and to the extent applicable, insurance policies), we are indemnifying and funding the defense costs of our officers and directors in connection with these lawsuits; we are also indemnifying and funding the defense costs of our underwriters pursuant to the terms of the underwriting agreements we previously entered into with such underwriters.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three unitholder derivative lawsuits have been filed by certain purported investors in the Partnership against the Partnership, certain of its affiliates and certain officers and directors. Two of these lawsuits were filed in the United States District Court for the Southern District of Texas and have been administratively consolidated into one action; the other lawsuit was filed in State District Court in Harris County, Texas. In general, these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claim that the Partnership suffered unspecified damages as a result of the actions of the various defendants and seek to hold the defendants liable for such damages, in addition to other remedies. The defendants deny the allegations in these lawsuits and intend to respond accordingly. Consistent with and subject to the terms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governing organizational documents (and to the extent applicable, insurance policies), we are indemnifying and funding the defense costs of our officers and directors in connection with these lawsuits.</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have also had two lawsuits filed against us wherein the respective plaintiffs seek to compel the production of certain books and records that purportedly relate to the Line 901 incident, our alleged failure to comply with certain regulations and other matters. These lawsuits have been consolidated into a single proceeding in the Chancery Court for the State of Delaware.</w:t>
      </w:r>
    </w:p>
    <w:p>
      <w:pPr>
        <w:spacing w:after="0" w:line="18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September 30, 2016, we estimate that the aggregate total costs we have incurred or will incur with respect to the Line 901 incident will be approximately $280 million, which estimate includes actual and projected emergency response and clean-up costs, natural resource damage assessments and certain third party claims settlements, as well as estimates for fines, penalties and certain legal fees.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monitoring services will be required,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but excluding fines and penalties that are not probable and reasonably estimable and (v)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As of September 30, 2016, we had a remaining undiscounted gross liability of $87 million related to this event, of which approximately $47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2016, we had collected, subject to customary reservations, $129 million out of the approximate $197 million of release costs that we believe are probable of recovery from insurance carriers, net of deductibles. Therefore, as of September 30, 2016, we have recognized a receivable of approximately $68 million for the portion of the release costs that we believe is probable of recovery from insurance, net of deductibles and amounts already collected. Of this amount, approximately $48 million is recognized as a current asset in “Trade accounts receivable and other receivables, net” on our Condensed Consolidated Balance Sheet, with the remainder in “Other long-term assets, net”. We have substantially completed the clean-up and remediation efforts, excluding long-term site monitoring activities;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i w:val="1"/>
          <w:iCs w:val="1"/>
          <w:color w:val="auto"/>
        </w:rPr>
        <w:t xml:space="preserve">MP29 Release. </w:t>
      </w:r>
      <w:r>
        <w:rPr>
          <w:rFonts w:ascii="Arial" w:cs="Arial" w:eastAsia="Arial" w:hAnsi="Arial"/>
          <w:sz w:val="17"/>
          <w:szCs w:val="17"/>
          <w:color w:val="auto"/>
        </w:rPr>
        <w:t>On July 10, 2015, we experienced a crude oil release of approximately 100 barrels at our Pocahontas Pump Station near the border</w:t>
      </w:r>
      <w:r>
        <w:rPr>
          <w:rFonts w:ascii="Arial" w:cs="Arial" w:eastAsia="Arial" w:hAnsi="Arial"/>
          <w:sz w:val="17"/>
          <w:szCs w:val="17"/>
          <w:i w:val="1"/>
          <w:iCs w:val="1"/>
          <w:color w:val="auto"/>
        </w:rPr>
        <w:t xml:space="preserve"> </w:t>
      </w:r>
      <w:r>
        <w:rPr>
          <w:rFonts w:ascii="Arial" w:cs="Arial" w:eastAsia="Arial" w:hAnsi="Arial"/>
          <w:sz w:val="17"/>
          <w:szCs w:val="17"/>
          <w:color w:val="auto"/>
        </w:rPr>
        <w:t>of 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As of December 18, 2015, we had submitted all requested information and reports required by the corrective action order and are currently awaiting PHMSA’s comment or approval. On August 10, 2015, we received a Notice of Violation from the Illinois Environmental Protection Agency (the “Agency”) alleging violations relating to the release and outlining the activities recommended by the Agency to resolve the alleged violations, including the completion of an investigation and various remediation activities. The Agency approved a work plan describing remediation activities proposed for remaining hydrocarbons at Pocahontas Station and affected waterways. Remediation activities under this work plan have effectively been completed, and on December 17, 2015, we entered into a Compliance Commitment Agreement with the Agency, which provides the framework for final completion and documentation of the remediation effort. On April 15, 2016, the Agency confirmed that all of the activities required by the Compliance Commitment Agreement had been completed and that the violations associated with the incident had been resolved. To date, no fines or penalties have been assessed in this matter; however, it remains possible that fines and penalties could be assessed in the future. In connection with this incident, we have also had one class action lawsuit filed against us in the United States District Court for the Southern District of Illinois, which was subsequently voluntarily dismissed by the plaintiff. We estimate that the aggregate total costs we have incurred or will incur with respect to this release will be less than $10 million.</w:t>
      </w:r>
    </w:p>
    <w:p>
      <w:pPr>
        <w:spacing w:after="0" w:line="181"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 Violation (“NOV”) to</w:t>
      </w:r>
      <w:r>
        <w:rPr>
          <w:rFonts w:ascii="Arial" w:cs="Arial" w:eastAsia="Arial" w:hAnsi="Arial"/>
          <w:sz w:val="18"/>
          <w:szCs w:val="18"/>
          <w:i w:val="1"/>
          <w:iCs w:val="1"/>
          <w:color w:val="auto"/>
        </w:rPr>
        <w:t xml:space="preserve"> </w:t>
      </w:r>
      <w:r>
        <w:rPr>
          <w:rFonts w:ascii="Arial" w:cs="Arial" w:eastAsia="Arial" w:hAnsi="Arial"/>
          <w:sz w:val="18"/>
          <w:szCs w:val="18"/>
          <w:color w:val="auto"/>
        </w:rPr>
        <w:t>Bakersfield 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193"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i w:val="1"/>
          <w:iCs w:val="1"/>
          <w:color w:val="auto"/>
        </w:rPr>
        <w:t>Mesa to Basin Pipeline</w:t>
      </w:r>
      <w:r>
        <w:rPr>
          <w:rFonts w:ascii="Arial" w:cs="Arial" w:eastAsia="Arial" w:hAnsi="Arial"/>
          <w:sz w:val="16"/>
          <w:szCs w:val="16"/>
          <w:color w:val="auto"/>
        </w:rPr>
        <w:t>. On January 6, 2016, PHMSA issued a Notice of Probable Violation and Proposed Civil Penalty relating to an approximate</w:t>
      </w:r>
      <w:r>
        <w:rPr>
          <w:rFonts w:ascii="Arial" w:cs="Arial" w:eastAsia="Arial" w:hAnsi="Arial"/>
          <w:sz w:val="16"/>
          <w:szCs w:val="16"/>
          <w:i w:val="1"/>
          <w:iCs w:val="1"/>
          <w:color w:val="auto"/>
        </w:rPr>
        <w:t xml:space="preserve"> </w:t>
      </w:r>
      <w:r>
        <w:rPr>
          <w:rFonts w:ascii="Arial" w:cs="Arial" w:eastAsia="Arial" w:hAnsi="Arial"/>
          <w:sz w:val="16"/>
          <w:szCs w:val="16"/>
          <w:color w:val="auto"/>
        </w:rPr>
        <w:t>500 barrel release of crude oil that took place on January 1, 2015 on our Mesa to Basin 12” pipeline in Midland, Texas. PHMSA conducted an accident investigation and reviewed documentation related to the incident, and concluded that we had committed probable violations of certain pipeline safety regulations. In the Notice, PHMSA maintains that we failed to carry out our written damage prevention program and to follow our pipeline excavation/ditching and backfill procedures on four separate occasions, and that such failures resulted in outside force damage that led to the January 1, 2015 release. PHMSA’s compliance officer has recommended that we be assessed a civil penalty of $190,000. We have formally responded to PHMSA regarding this matter, but at this point we can provide no assurance regarding the final disposition of this matter or the final amount of any civil penalties.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(in millions):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2016</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ind w:left="22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51"/>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 xml:space="preserve">Segment profit/(loss) </w:t>
            </w:r>
            <w:r>
              <w:rPr>
                <w:rFonts w:ascii="Arial" w:cs="Arial" w:eastAsia="Arial" w:hAnsi="Arial"/>
                <w:sz w:val="25"/>
                <w:szCs w:val="25"/>
                <w:color w:val="auto"/>
                <w:vertAlign w:val="superscript"/>
              </w:rPr>
              <w:t>(2)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2015</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ind w:left="22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5,254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51"/>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5"/>
                <w:szCs w:val="25"/>
                <w:color w:val="auto"/>
                <w:vertAlign w:val="superscript"/>
              </w:rPr>
              <w:t>(2)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13,344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ind w:left="22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13,353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51"/>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5"/>
                <w:szCs w:val="25"/>
                <w:color w:val="auto"/>
                <w:vertAlign w:val="superscript"/>
              </w:rPr>
              <w:t>(2)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2015</w:t>
            </w:r>
          </w:p>
        </w:tc>
        <w:tc>
          <w:tcPr>
            <w:tcW w:w="1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Transportation</w:t>
            </w:r>
          </w:p>
        </w:tc>
        <w:tc>
          <w:tcPr>
            <w:tcW w:w="1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Supply and</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External customers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17,225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18,156</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gridSpan w:val="2"/>
            <w:shd w:val="clear" w:color="auto" w:fill="CCEEFF"/>
          </w:tcPr>
          <w:p>
            <w:pPr>
              <w:ind w:left="22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17,238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51"/>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16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5"/>
                <w:szCs w:val="25"/>
                <w:color w:val="auto"/>
                <w:vertAlign w:val="superscript"/>
              </w:rPr>
              <w:t>(2) (3)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20" w:hanging="652"/>
        <w:spacing w:after="0" w:line="232"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 For further discussion, see “Analysis of Operating Segments” under Item 7 of our 2015 Annual Report on Form 10-K.</w:t>
      </w:r>
    </w:p>
    <w:p>
      <w:pPr>
        <w:spacing w:after="0" w:line="202" w:lineRule="exact"/>
        <w:rPr>
          <w:rFonts w:ascii="Arial" w:cs="Arial" w:eastAsia="Arial" w:hAnsi="Arial"/>
          <w:sz w:val="25"/>
          <w:szCs w:val="25"/>
          <w:color w:val="auto"/>
          <w:vertAlign w:val="superscript"/>
        </w:rPr>
      </w:pPr>
    </w:p>
    <w:p>
      <w:pPr>
        <w:ind w:left="660" w:right="120" w:hanging="652"/>
        <w:spacing w:after="0" w:line="22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Supply and Logistics segment profit includes interest expense (related to hedged inventory purchases) of $5 million and $1 million for the three months ended September 30, 2016 and 2015, respectively, and $10 million and $4 million for the nine months ended September 30, 2016 and 2015, respectively.</w:t>
      </w:r>
    </w:p>
    <w:p>
      <w:pPr>
        <w:spacing w:after="0" w:line="146"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following table reconciles segment profit to net income attributable to PAA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4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44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
        </w:trPr>
        <w:tc>
          <w:tcPr>
            <w:tcW w:w="4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840" w:type="dxa"/>
            <w:vAlign w:val="bottom"/>
          </w:tcPr>
          <w:p>
            <w:pPr>
              <w:spacing w:after="0"/>
              <w:rPr>
                <w:sz w:val="21"/>
                <w:szCs w:val="21"/>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PAA</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657</w:t>
            </w:r>
          </w:p>
        </w:tc>
      </w:tr>
      <w:tr>
        <w:trPr>
          <w:trHeight w:val="20"/>
        </w:trPr>
        <w:tc>
          <w:tcPr>
            <w:tcW w:w="4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14—Acquisitions, Investments in Unconsolidated Entities, Dispositions and Impairments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During the first nine months of 2016, we completed two acquisitions for cash consideration of $289 million. We did not recognize any</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related to these acquisitions. Included in these acquisitions was an integrated system of NGL assets in Western Canada from Westcoast Energy Inc., a unit of Spectra Energy, for cash consideration of approximately $204 million.</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Investments in Unconsolidated Entities. </w:t>
      </w:r>
      <w:r>
        <w:rPr>
          <w:rFonts w:ascii="Arial" w:cs="Arial" w:eastAsia="Arial" w:hAnsi="Arial"/>
          <w:sz w:val="18"/>
          <w:szCs w:val="18"/>
          <w:color w:val="auto"/>
        </w:rPr>
        <w:t>In June 2016, we sold 50% of our investment in Cheyenne Pipeline LLC (“Cheyenne”), and in August 2016</w:t>
      </w:r>
      <w:r>
        <w:rPr>
          <w:rFonts w:ascii="Arial" w:cs="Arial" w:eastAsia="Arial" w:hAnsi="Arial"/>
          <w:sz w:val="18"/>
          <w:szCs w:val="18"/>
          <w:i w:val="1"/>
          <w:iCs w:val="1"/>
          <w:color w:val="auto"/>
        </w:rPr>
        <w:t xml:space="preserve"> </w:t>
      </w:r>
      <w:r>
        <w:rPr>
          <w:rFonts w:ascii="Arial" w:cs="Arial" w:eastAsia="Arial" w:hAnsi="Arial"/>
          <w:sz w:val="18"/>
          <w:szCs w:val="18"/>
          <w:color w:val="auto"/>
        </w:rPr>
        <w:t>we sold 50% of our investment in STACK Pipeline LLC (“STACK Pipeline”). As a result of these transactions, we now account for our remaining 50% equity interest in such entities under the equity method of accounting.</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Dispositions and Divestitures</w:t>
      </w:r>
      <w:r>
        <w:rPr>
          <w:rFonts w:ascii="Arial" w:cs="Arial" w:eastAsia="Arial" w:hAnsi="Arial"/>
          <w:sz w:val="17"/>
          <w:szCs w:val="17"/>
          <w:color w:val="auto"/>
        </w:rPr>
        <w:t>. During the nine months ended September 30, 2016, we sold several non-core assets, including certain of our Gulf</w:t>
      </w:r>
      <w:r>
        <w:rPr>
          <w:rFonts w:ascii="Arial" w:cs="Arial" w:eastAsia="Arial" w:hAnsi="Arial"/>
          <w:sz w:val="17"/>
          <w:szCs w:val="17"/>
          <w:i w:val="1"/>
          <w:iCs w:val="1"/>
          <w:color w:val="auto"/>
        </w:rPr>
        <w:t xml:space="preserve"> </w:t>
      </w:r>
      <w:r>
        <w:rPr>
          <w:rFonts w:ascii="Arial" w:cs="Arial" w:eastAsia="Arial" w:hAnsi="Arial"/>
          <w:sz w:val="17"/>
          <w:szCs w:val="17"/>
          <w:color w:val="auto"/>
        </w:rPr>
        <w:t>Coast pipelines and East Coast refined products terminals. In addition, we sold interests in Cheyenne and STACK Pipeline, as discussed above. In the aggregate, we recognized a net gain of approximately $99 million related to these transactions, which is included in "Depreciation and amortization" on our Condensed Consolidated Statement of Operations. Such amount is comprised of gains of approximately $155 million and losses of $56 million, including $15 million of impairment of goodwill that was included in a disposal group classified as held for sale prior to the closing of such transaction.</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of September 30, 2016, we classified approximately $275 million of assets as held for sale on our Condensed Consolidated Balance Sheet (in “Other current assets”) primarily related to definitive agreements to sell non-core assets, a majority of which are included in our Facilities segment. We expect the sales to be consummated in the fourth quarter of 2016 or the first half of 2017, subject to customary closing conditions, as applicable.</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Impairments</w:t>
      </w:r>
      <w:r>
        <w:rPr>
          <w:rFonts w:ascii="Arial" w:cs="Arial" w:eastAsia="Arial" w:hAnsi="Arial"/>
          <w:sz w:val="18"/>
          <w:szCs w:val="18"/>
          <w:color w:val="auto"/>
        </w:rPr>
        <w:t>. During the second quarter of 2016, we recognized approximately $80 million of non-cash impairment losses on certain of our long-lived rail and other terminal assets included in our Facilities segment. Such impairment losses are reflected in “Depreciation and amortization” on our Condensed Consolidated Statement of Operations.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 As a result of this impairment review, we wrote off the portion of the carrying amount of these 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addition, during the second quarter of 2016, we recognized a charge of approximately $18 million to “Depreciation and amortization” related to the write-off of the remaining book value of assets taken out of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15—Simplification Transactions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July 11, 2016, PAA, PAGP, AAP, PAA GP, GP LLC and GP Holdings entered into a Simplification Agreement pursuant to which, upon closing, in exchange for the issuance by PAA to AAP of approximately 245.5 million common units representing limited partner interests in PAA (“PAA Common Units”) and the assumption by PAA of AAP’s outstanding debt (as of September 30, 2016, approximately $603 million but expected to be approximately $641 million as of November 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2016), AAP will contribute the IDRs to PAA and PAA GP’s 2% economic general partner interest in PAA will be converted into a non-economic general partner interest in PAA. Following the closing of the transactions contemplated by the Simplification Agreement (the “Simplification Transactions”), which is expected to occur on November 15, 2016, both PAA and PAGP will continue to be publicly traded. PAA will be required to repay AAP's outstanding debt within two business days after the consummation of the Simplification Transactions.</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Among other approvals, the terms of the Simplification Agreement and the Simplification Transactions were unanimously approved by a conflicts committee comprised of independent directors of the Board of Directors of GP LLC on behalf of PAA, and unanimously approved by the Board of Directors of GP Holdings on behalf of PAGP.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the terms described above, the Simplification Agreement also provides for the following:</w:t>
      </w:r>
    </w:p>
    <w:p>
      <w:pPr>
        <w:spacing w:after="0" w:line="225" w:lineRule="exact"/>
        <w:rPr>
          <w:sz w:val="20"/>
          <w:szCs w:val="20"/>
          <w:color w:val="auto"/>
        </w:rPr>
      </w:pPr>
    </w:p>
    <w:p>
      <w:pPr>
        <w:ind w:left="980" w:right="40" w:hanging="324"/>
        <w:spacing w:after="0" w:line="27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Under a unified governance structure, the Board of Directors of GP Holdings will have oversight responsibility over both PAA and PAGP. In addition, starting in 2018, PAGP Class A and Class B shareholders and PAA common and preferred unitholders will have the right to participate in the election of directors of GP Holdings whose terms expire. Under the current structure, PAA common unitholders are not eligible to participate in the election of directors of GP Holdings and PAGP Class A and Class B shareholders only participate in such elections following a reduction in ownership of the private general partner owner group to below 40%.</w:t>
      </w:r>
    </w:p>
    <w:p>
      <w:pPr>
        <w:spacing w:after="0" w:line="172" w:lineRule="exact"/>
        <w:rPr>
          <w:rFonts w:ascii="Arial" w:cs="Arial" w:eastAsia="Arial" w:hAnsi="Arial"/>
          <w:sz w:val="17"/>
          <w:szCs w:val="17"/>
          <w:color w:val="auto"/>
        </w:rPr>
      </w:pPr>
    </w:p>
    <w:p>
      <w:pPr>
        <w:ind w:left="980" w:right="60" w:hanging="324"/>
        <w:spacing w:after="0" w:line="272"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addition, similar to the current structure, for so long as each of EMG Investment, LLC (an affiliate of The Energy &amp; Minerals Group), KAFU Holdings, L.P. (an affiliate of Kayne Anderson Investment Management Inc.) and Oxy Holding Company (Pipeline), Inc. (a subsidiary of Occidental Petroleum Corporation), together with their respective affiliates (together, the “Original Designating Parties”), own at least a 10% interest in the initial outstanding AAP units (i.e., as of the closing of the Simplification Transactions), such party will continue to be entitled to designate one director to the Board of Directors of GP Holdings. The calculation of such qualifying interest will include, in addition to any PAGP Class A shares owned by an Original Designating Party or its affiliates, any PAA common units received by such Original Designating Party of its affiliates in connection with their exercise of the Redemption Right (defined below).</w:t>
      </w:r>
    </w:p>
    <w:p>
      <w:pPr>
        <w:spacing w:after="0" w:line="177" w:lineRule="exact"/>
        <w:rPr>
          <w:rFonts w:ascii="Arial" w:cs="Arial" w:eastAsia="Arial" w:hAnsi="Arial"/>
          <w:sz w:val="17"/>
          <w:szCs w:val="17"/>
          <w:color w:val="auto"/>
        </w:rPr>
      </w:pPr>
    </w:p>
    <w:p>
      <w:pPr>
        <w:ind w:left="980" w:right="20" w:hanging="324"/>
        <w:spacing w:after="0" w:line="25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AAP will execute a reverse split to adjust the number of AAP units such that the number of outstanding AAP Class A units (assuming the conversion of AAP Class B units into AAP Class A units) equals the number of PAA Common Units received by AAP at the closing of the Simplification Transactions. Simultaneously, PAGP will execute a reverse split to adjust the number of PAGP Class A and Class B shares outstanding to equal the number of AAP units it owns following AAP’s reverse unit split. As a result of these reverse splits, each PAGP Class A share will correspond, on a one-to-one basis, to an underlying PAA Common Unit held by AAP which is attributable to PAGP’s ownership in AAP.</w:t>
      </w:r>
    </w:p>
    <w:p>
      <w:pPr>
        <w:spacing w:after="0" w:line="193" w:lineRule="exact"/>
        <w:rPr>
          <w:rFonts w:ascii="Arial" w:cs="Arial" w:eastAsia="Arial" w:hAnsi="Arial"/>
          <w:sz w:val="18"/>
          <w:szCs w:val="18"/>
          <w:color w:val="auto"/>
        </w:rPr>
      </w:pPr>
    </w:p>
    <w:p>
      <w:pPr>
        <w:ind w:left="980" w:right="100" w:hanging="324"/>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Holders of AAP Class A units other than PAGP and GP LLC will continue to have the right to exchange their AAP Class A units (together with the corresponding PAGP Class B shares and, if applicable, GP Holdings company units) for PAGP Class A shares on a one-for-one basis or, alternatively, to redeem such ownership and related rights for their proportionate share of PAA Common Units held by AAP, subject to certain limitations (the “Redemption Right”). Upon any such redemption, the holders of AAP Class A units receiving PAA Common Units will have registration rights with respect to such PAA Common Units.</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Pursuant to the terms of the Simplification Agreement, AAP agreed that if (i) the closing of the Simplification Transactions does not occur prior to the record date for PAA’s distribution of available cash in respect of the third quarter of 2016 and (ii) the amount of such distribution is below a quarterly level of $0.70 per common unit, AAP will borrow funds under its existing credit agreement as necessary to make a special “true-up” distribution to AAP’s unitholders that, when added to the distributions to be paid to AAP in respect of its indirect 2% general partner interest and IDRs, equals the total distribution such unitholders would have received had the closing of the Simplification Transactions occurred prior to such third quarter record date. As the Simplification Transactions did not close prior to the PAA third quarter distribution record date of October 31, 2016 and PAA declared a quarterly distribution of $0.55 per common unit for its third quarter distribution, it is currently estimated that the incremental borrowings that will be made by AAP will be approximately $33 million.</w:t>
      </w:r>
    </w:p>
    <w:p>
      <w:pPr>
        <w:spacing w:after="0" w:line="19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consummation of the matters contemplated by the Simplification Agreement is subject to customary closing conditions and may be terminated under certain conditions. On September 26, 2016, PAGP announced November 15, 2016 as the date for the special meeting of its shareholders to consider and vote upon a proposal to approve the Simplification Transactions. We currently expect that the closing of the Simplification Transactions will take place on November 15,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These transactions are between and among consolidated subsidiaries of PAGP that are considered entities under common control. These equity transactions will not result in a change in the carrying value of the underlying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Selected PAA historical consolidated financial information has been adjusted below to give effect to pro forma events that are directly attributable to the proposed Simplification Transactions and are based upon currently available information and certain estimates and assumptions made by management. Therefore, the unaudited pro forma amounts presented below are not necessarily reflective of the results of operations or financial position of PAA that would have resulted had the Simplification Transactions been consummated as of the dates indicated, and are not necessarily indicative of the future results of operations or the future financial position of PAA following completion of the proposed Simplification Transactions.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Selected unaudited pro forma results of operations for the three and nine months ended September 30, 2016 are presented below giving effect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Simplification Transactions as if they had occurred on January 1, 2016 (amounts in millions, except per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700" w:type="dxa"/>
            <w:vAlign w:val="bottom"/>
          </w:tcPr>
          <w:p>
            <w:pPr>
              <w:jc w:val="right"/>
              <w:ind w:right="257"/>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 2016</w:t>
            </w:r>
          </w:p>
        </w:tc>
        <w:tc>
          <w:tcPr>
            <w:tcW w:w="240" w:type="dxa"/>
            <w:vAlign w:val="bottom"/>
          </w:tcPr>
          <w:p>
            <w:pPr>
              <w:spacing w:after="0"/>
              <w:rPr>
                <w:sz w:val="16"/>
                <w:szCs w:val="16"/>
                <w:color w:val="auto"/>
              </w:rPr>
            </w:pPr>
          </w:p>
        </w:tc>
        <w:tc>
          <w:tcPr>
            <w:tcW w:w="1700" w:type="dxa"/>
            <w:vAlign w:val="bottom"/>
          </w:tcPr>
          <w:p>
            <w:pPr>
              <w:jc w:val="right"/>
              <w:ind w:right="277"/>
              <w:spacing w:after="0"/>
              <w:rPr>
                <w:sz w:val="20"/>
                <w:szCs w:val="20"/>
                <w:color w:val="auto"/>
              </w:rPr>
            </w:pPr>
            <w:r>
              <w:rPr>
                <w:rFonts w:ascii="Arial" w:cs="Arial" w:eastAsia="Arial" w:hAnsi="Arial"/>
                <w:sz w:val="14"/>
                <w:szCs w:val="14"/>
                <w:b w:val="1"/>
                <w:bCs w:val="1"/>
                <w:color w:val="auto"/>
              </w:rPr>
              <w:t>September 30, 2016</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Basic net income per common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0.77</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income per common unit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0.77</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Selected unaudited pro forma balance sheet amounts as of September 30, 2016 are presented below giving effect to the Simplification Transactions as if they had occurred on September 30, 2016 (amounts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556"/>
              <w:spacing w:after="0"/>
              <w:rPr>
                <w:sz w:val="20"/>
                <w:szCs w:val="20"/>
                <w:color w:val="auto"/>
              </w:rPr>
            </w:pPr>
            <w:r>
              <w:rPr>
                <w:rFonts w:ascii="Arial" w:cs="Arial" w:eastAsia="Arial" w:hAnsi="Arial"/>
                <w:sz w:val="14"/>
                <w:szCs w:val="14"/>
                <w:b w:val="1"/>
                <w:bCs w:val="1"/>
                <w:color w:val="auto"/>
              </w:rPr>
              <w:t>As of</w:t>
            </w:r>
          </w:p>
        </w:tc>
      </w:tr>
      <w:tr>
        <w:trPr>
          <w:trHeight w:val="192"/>
        </w:trPr>
        <w:tc>
          <w:tcPr>
            <w:tcW w:w="5020" w:type="dxa"/>
            <w:vAlign w:val="bottom"/>
            <w:tcBorders>
              <w:bottom w:val="single" w:sz="8" w:color="CCEEFF"/>
            </w:tcBorders>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September 30, 2016</w:t>
            </w:r>
          </w:p>
        </w:tc>
      </w:tr>
      <w:tr>
        <w:trPr>
          <w:trHeight w:val="23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4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long-term debt, net of unamortized debt issuance costs</w:t>
            </w:r>
          </w:p>
        </w:tc>
        <w:tc>
          <w:tcPr>
            <w:tcW w:w="4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1,114</w:t>
            </w:r>
          </w:p>
        </w:tc>
      </w:tr>
      <w:tr>
        <w:trPr>
          <w:trHeight w:val="27"/>
        </w:trPr>
        <w:tc>
          <w:tcPr>
            <w:tcW w:w="50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84"/>
        </w:trPr>
        <w:tc>
          <w:tcPr>
            <w:tcW w:w="5020" w:type="dxa"/>
            <w:vAlign w:val="bottom"/>
            <w:shd w:val="clear" w:color="auto" w:fill="CCEEFF"/>
          </w:tcPr>
          <w:p>
            <w:pPr>
              <w:spacing w:after="0"/>
              <w:rPr>
                <w:sz w:val="24"/>
                <w:szCs w:val="24"/>
                <w:color w:val="auto"/>
              </w:rPr>
            </w:pPr>
          </w:p>
        </w:tc>
        <w:tc>
          <w:tcPr>
            <w:tcW w:w="4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b w:val="1"/>
                <w:bCs w:val="1"/>
                <w:color w:val="auto"/>
              </w:rPr>
              <w:t>PARTNERS’ CAPITAL</w:t>
            </w:r>
          </w:p>
        </w:tc>
        <w:tc>
          <w:tcPr>
            <w:tcW w:w="4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unitholders</w:t>
            </w:r>
          </w:p>
        </w:tc>
        <w:tc>
          <w:tcPr>
            <w:tcW w:w="4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6,898</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General partner</w:t>
            </w:r>
          </w:p>
        </w:tc>
        <w:tc>
          <w:tcPr>
            <w:tcW w:w="4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partners’ capital</w:t>
            </w:r>
          </w:p>
        </w:tc>
        <w:tc>
          <w:tcPr>
            <w:tcW w:w="4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8,464</w:t>
            </w:r>
          </w:p>
        </w:tc>
      </w:tr>
      <w:tr>
        <w:trPr>
          <w:trHeight w:val="675"/>
        </w:trPr>
        <w:tc>
          <w:tcPr>
            <w:tcW w:w="5020" w:type="dxa"/>
            <w:vAlign w:val="bottom"/>
          </w:tcPr>
          <w:p>
            <w:pPr>
              <w:spacing w:after="0"/>
              <w:rPr>
                <w:sz w:val="24"/>
                <w:szCs w:val="24"/>
                <w:color w:val="auto"/>
              </w:rPr>
            </w:pPr>
          </w:p>
        </w:tc>
        <w:tc>
          <w:tcPr>
            <w:tcW w:w="4800" w:type="dxa"/>
            <w:vAlign w:val="bottom"/>
          </w:tcPr>
          <w:p>
            <w:pPr>
              <w:jc w:val="right"/>
              <w:ind w:right="393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2015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Outlook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for crude oil, NGL, natural gas and refined products.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 —Analysis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During the first nine months of 2016, we recognized net income attributable to PAA of $599 million as compared to net income attributable to PAA of $657 million recognized during the first nine months of 2015. Our financial results for the comparative periods were impacted by:</w:t>
      </w:r>
    </w:p>
    <w:p>
      <w:pPr>
        <w:spacing w:after="0" w:line="147"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Lower operating results from our Supply and Logistics segment, primarily due to less favorable crude oil and NGL market conditions;</w:t>
      </w:r>
    </w:p>
    <w:p>
      <w:pPr>
        <w:spacing w:after="0" w:line="236" w:lineRule="exact"/>
        <w:rPr>
          <w:rFonts w:ascii="Arial" w:cs="Arial" w:eastAsia="Arial" w:hAnsi="Arial"/>
          <w:sz w:val="17"/>
          <w:szCs w:val="17"/>
          <w:color w:val="auto"/>
        </w:rPr>
      </w:pPr>
    </w:p>
    <w:p>
      <w:pPr>
        <w:ind w:left="1300" w:right="60" w:hanging="320"/>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results from (i) our Transportation segment, as the comparative 2015 period was negatively impacted by costs associated with the Line 901 incident that occurred in May 2015, and (ii) our Facilities segment due to contributions from recently completed acquisitions and capital expansion projects;</w:t>
      </w:r>
    </w:p>
    <w:p>
      <w:pPr>
        <w:spacing w:after="0" w:line="181" w:lineRule="exact"/>
        <w:rPr>
          <w:rFonts w:ascii="Arial" w:cs="Arial" w:eastAsia="Arial" w:hAnsi="Arial"/>
          <w:sz w:val="18"/>
          <w:szCs w:val="18"/>
          <w:color w:val="auto"/>
        </w:rPr>
      </w:pPr>
    </w:p>
    <w:p>
      <w:pPr>
        <w:ind w:left="1300" w:right="106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depreciation and amortization expense primarily resulting from (i) our recently completed capital expansion projects, (ii) impairment losses related to certain of our rail and other terminal assets and (iii)</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125" w:right="3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1300" w:right="20"/>
        <w:spacing w:after="0" w:line="324" w:lineRule="auto"/>
        <w:rPr>
          <w:sz w:val="20"/>
          <w:szCs w:val="20"/>
          <w:color w:val="auto"/>
        </w:rPr>
      </w:pPr>
      <w:r>
        <w:rPr>
          <w:rFonts w:ascii="Arial" w:cs="Arial" w:eastAsia="Arial" w:hAnsi="Arial"/>
          <w:sz w:val="18"/>
          <w:szCs w:val="18"/>
          <w:color w:val="auto"/>
        </w:rPr>
        <w:t>assets taken out of service, all partially offset by net gains related to non-core assets sales and joint venture formations completed during the 2016 period;</w:t>
      </w:r>
    </w:p>
    <w:p>
      <w:pPr>
        <w:spacing w:after="0" w:line="143"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interest expense primarily related to financing activities associated with our capital investments;</w:t>
      </w:r>
    </w:p>
    <w:p>
      <w:pPr>
        <w:spacing w:after="0" w:line="225" w:lineRule="exact"/>
        <w:rPr>
          <w:rFonts w:ascii="Arial" w:cs="Arial" w:eastAsia="Arial" w:hAnsi="Arial"/>
          <w:sz w:val="18"/>
          <w:szCs w:val="18"/>
          <w:color w:val="auto"/>
        </w:rPr>
      </w:pPr>
    </w:p>
    <w:p>
      <w:pPr>
        <w:ind w:left="1300" w:right="14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Gains of approximately $42 million recognized during the nine months ended September 30, 2016 related to the mark-to-market impact of our Preferred Distribution Rate Reset Option; and</w:t>
      </w:r>
    </w:p>
    <w:p>
      <w:pPr>
        <w:spacing w:after="0" w:line="170" w:lineRule="exact"/>
        <w:rPr>
          <w:rFonts w:ascii="Arial" w:cs="Arial" w:eastAsia="Arial" w:hAnsi="Arial"/>
          <w:sz w:val="18"/>
          <w:szCs w:val="18"/>
          <w:color w:val="auto"/>
        </w:rPr>
      </w:pPr>
    </w:p>
    <w:p>
      <w:pPr>
        <w:ind w:left="1300" w:right="500" w:hanging="320"/>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income tax expense primarily due to lower taxable earnings from our Canadian operations and the impact from the cumulative revaluation of Canadian net deferred tax liabilities resulting from an Alberta, Canada provincial tax rate increase enacted during the comparative 2015 period.</w:t>
      </w:r>
    </w:p>
    <w:p>
      <w:pPr>
        <w:spacing w:after="0" w:line="18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See further discussion of our results in the “—Results of Operations—Analysis of Operating Segments” and “—Other Income and Expenses” sections below.</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invested $1.065 billion in midstream infrastructure projects during the nine months ended September 30, 2016, with a targeted expansion capital plan for the full year of 2016 of approximately $1.425 billion. Additionally, in August 2016, we completed the acquisition of an integrated system of NGL assets in Western Canada from Westcoast Energy Inc., a unit of Spectra Energy, for cash consideration of approximately $204 million. To fund such capital activities, we completed (i) the private placement of approximately 61.0 million Series A preferred units for net proceeds of approximately $1.6 billion, including our general partner’s proportionate capital contribution, (ii) the sale of approximately 9.9 million common units for net proceeds of $289 million and (iii) the sale of various assets for net proceeds of approximately $550 million, primarily related to our planned non-core asset sales initiative, as well as our sale of 50% of our investment in each of Cheyenne Pipeline LLC and STACK Pipeline LLC.</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Additionally, we paid approximately $1.3 billion of cash distributions to our common unitholders and general partner during the nine months ended September 30, 2016, and we declared a quarterly distribution of $0.55 per common unit to be paid on November 14, 2016.</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Furthermore, in July 2016, PAA, PAGP, AAP, PAA GP, GP LLC and GP Holdings entered into a Simplification Agreement pursuant to which, upon closing, in exchange for the issuance by PAA to AAP of approximately 245.5 million common units representing limited partner interests in PAA and the assumption by PAA of AAP’s outstanding debt (as of September 30, 2016, approximately $603 million but expected to be approximately $641 million as of November 15, 2016), AAP will contribute the IDRs to PAA and PAA GP’s 2% economic general partner interest in PAA will be converted into a non-economic general partner interest in PAA. Following the closing of the Simplification Transactions, both PAA and PAGP will continue to be publicly traded. The Simplification Transactions are expected to close on November 15, 2016, subject to customary closing conditions. See Note 15 to our Condensed Consolidated Financial Statements for additional discussion of the Simplification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(1) (2)</w:t>
            </w:r>
          </w:p>
        </w:tc>
        <w:tc>
          <w:tcPr>
            <w:tcW w:w="94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(2)</w:t>
            </w: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1,482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7"/>
        </w:trPr>
        <w:tc>
          <w:tcPr>
            <w:tcW w:w="8340" w:type="dxa"/>
            <w:vAlign w:val="bottom"/>
            <w:vMerge w:val="restart"/>
          </w:tcPr>
          <w:p>
            <w:pPr>
              <w:jc w:val="right"/>
              <w:ind w:right="4370"/>
              <w:spacing w:after="0"/>
              <w:rPr>
                <w:sz w:val="20"/>
                <w:szCs w:val="20"/>
                <w:color w:val="auto"/>
              </w:rPr>
            </w:pPr>
            <w:r>
              <w:rPr>
                <w:rFonts w:ascii="Arial" w:cs="Arial" w:eastAsia="Arial" w:hAnsi="Arial"/>
                <w:sz w:val="18"/>
                <w:szCs w:val="18"/>
                <w:color w:val="auto"/>
                <w:w w:val="89"/>
              </w:rPr>
              <w:t>___________________________________________</w:t>
            </w: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 w:hanging="652"/>
        <w:spacing w:after="0" w:line="22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80" w:hanging="652"/>
        <w:spacing w:after="0" w:line="226"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2016 and the forecasted expenditures for the year ending December 31, 2016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 River Pipeline (Cushing to Longview)</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$310</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Fort Saskatchewan Facility Projects</w:t>
            </w: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205</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Area Pipeline Projects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185</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Saddlehorn Pipeline</w:t>
            </w: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125</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Diamond Pipeline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105</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Cushing Terminal Expansions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70</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 James Terminal Expansions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Caddo Pipeline</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Eagle Ford JV Project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w:t>
            </w: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Cactus Pipeline</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Projects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295</w:t>
            </w:r>
          </w:p>
        </w:tc>
      </w:tr>
      <w:tr>
        <w:trPr>
          <w:trHeight w:val="237"/>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$1,425</w:t>
            </w:r>
          </w:p>
        </w:tc>
      </w:tr>
      <w:tr>
        <w:trPr>
          <w:trHeight w:val="27"/>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4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5"/>
                <w:szCs w:val="25"/>
                <w:color w:val="auto"/>
                <w:vertAlign w:val="superscript"/>
              </w:rPr>
              <w:t>(1)</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 +$50</w:t>
            </w:r>
          </w:p>
        </w:tc>
      </w:tr>
      <w:tr>
        <w:trPr>
          <w:trHeight w:val="297"/>
        </w:trPr>
        <w:tc>
          <w:tcPr>
            <w:tcW w:w="9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Projected Expansion Capital Expenditures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$1,375 - $1,475</w:t>
            </w:r>
          </w:p>
        </w:tc>
      </w:tr>
      <w:tr>
        <w:trPr>
          <w:trHeight w:val="257"/>
        </w:trPr>
        <w:tc>
          <w:tcPr>
            <w:tcW w:w="9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43"/>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Maintenance Capital Expenditures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$175 - $185</w:t>
            </w:r>
          </w:p>
        </w:tc>
      </w:tr>
      <w:tr>
        <w:trPr>
          <w:trHeight w:val="243"/>
        </w:trPr>
        <w:tc>
          <w:tcPr>
            <w:tcW w:w="936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r>
    </w:tbl>
    <w:p>
      <w:pPr>
        <w:spacing w:after="0" w:line="40" w:lineRule="exact"/>
        <w:rPr>
          <w:sz w:val="20"/>
          <w:szCs w:val="20"/>
          <w:color w:val="auto"/>
        </w:rPr>
      </w:pPr>
    </w:p>
    <w:p>
      <w:pPr>
        <w:ind w:left="660" w:hanging="652"/>
        <w:spacing w:after="0" w:line="216"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unit data). See Note 13 to our Condensed Consolidated Financial Statements for additional information regarding our operating segments and segment performance measures.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10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4"/>
              </w:rPr>
              <w:t>Favorable/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4"/>
                <w:szCs w:val="14"/>
                <w:color w:val="auto"/>
              </w:rPr>
            </w:pPr>
          </w:p>
        </w:tc>
        <w:tc>
          <w:tcPr>
            <w:tcW w:w="112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94"/>
              </w:rPr>
              <w:t>Favorable/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2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4"/>
          </w:tcPr>
          <w:p>
            <w:pPr>
              <w:jc w:val="center"/>
              <w:ind w:right="91"/>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100" w:type="dxa"/>
            <w:vAlign w:val="bottom"/>
            <w:gridSpan w:val="3"/>
          </w:tcPr>
          <w:p>
            <w:pPr>
              <w:jc w:val="center"/>
              <w:ind w:left="314"/>
              <w:spacing w:after="0"/>
              <w:rPr>
                <w:sz w:val="20"/>
                <w:szCs w:val="20"/>
                <w:color w:val="auto"/>
              </w:rPr>
            </w:pPr>
            <w:r>
              <w:rPr>
                <w:rFonts w:ascii="Arial" w:cs="Arial" w:eastAsia="Arial" w:hAnsi="Arial"/>
                <w:sz w:val="14"/>
                <w:szCs w:val="14"/>
                <w:b w:val="1"/>
                <w:bCs w:val="1"/>
                <w:color w:val="auto"/>
                <w:w w:val="92"/>
              </w:rPr>
              <w:t>Variance</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12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92"/>
              </w:rPr>
              <w:t>Variance</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profit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Facilities segment profit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Supply and Logistics segment profit/(loss)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color w:val="auto"/>
              </w:rPr>
              <w:t>Total segment profit</w:t>
            </w: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340" w:type="dxa"/>
            <w:vAlign w:val="bottom"/>
          </w:tcPr>
          <w:p>
            <w:pPr>
              <w:ind w:left="200"/>
              <w:spacing w:after="0"/>
              <w:rPr>
                <w:sz w:val="20"/>
                <w:szCs w:val="20"/>
                <w:color w:val="auto"/>
              </w:rPr>
            </w:pPr>
            <w:r>
              <w:rPr>
                <w:rFonts w:ascii="Arial" w:cs="Arial" w:eastAsia="Arial" w:hAnsi="Arial"/>
                <w:sz w:val="18"/>
                <w:szCs w:val="18"/>
                <w:color w:val="auto"/>
                <w:w w:val="96"/>
              </w:rPr>
              <w:t>Net income attributable to noncontrolling</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unit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Diluted net income per common unit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Diluted weighted average common units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ind w:left="260" w:hanging="252"/>
        <w:spacing w:after="0" w:line="233" w:lineRule="auto"/>
        <w:tabs>
          <w:tab w:leader="none" w:pos="2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earnings before interest, taxes, depreciation and amortization (“adjusted EBITDA”) and implied distributable cash flow (“DCF”).</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w:t>
      </w:r>
    </w:p>
    <w:p>
      <w:pPr>
        <w:spacing w:after="0" w:line="18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These additional non-GAAP financial performance measures are reconciled to Net Income,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most directly comparable measure as reported in accordance with GAAP, and should be viewed in addition to, and not in lieu of, our Condensed Consolidated Financial Statements and footnotes.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non-GAAP financial measures that are reconciled to the most directly comparable GAAP measures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4"/>
              </w:rPr>
              <w:t>Favorable/(Unfavorable)</w:t>
            </w:r>
          </w:p>
        </w:tc>
        <w:tc>
          <w:tcPr>
            <w:tcW w:w="220" w:type="dxa"/>
            <w:vAlign w:val="bottom"/>
          </w:tcPr>
          <w:p>
            <w:pPr>
              <w:spacing w:after="0"/>
              <w:rPr>
                <w:sz w:val="14"/>
                <w:szCs w:val="14"/>
                <w:color w:val="auto"/>
              </w:rPr>
            </w:pPr>
          </w:p>
        </w:tc>
        <w:tc>
          <w:tcPr>
            <w:tcW w:w="18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4"/>
                <w:szCs w:val="14"/>
                <w:color w:val="auto"/>
              </w:rPr>
            </w:pPr>
          </w:p>
        </w:tc>
        <w:tc>
          <w:tcPr>
            <w:tcW w:w="1760" w:type="dxa"/>
            <w:vAlign w:val="bottom"/>
            <w:gridSpan w:val="5"/>
          </w:tcPr>
          <w:p>
            <w:pPr>
              <w:jc w:val="center"/>
              <w:ind w:right="72"/>
              <w:spacing w:after="0"/>
              <w:rPr>
                <w:sz w:val="20"/>
                <w:szCs w:val="20"/>
                <w:color w:val="auto"/>
              </w:rPr>
            </w:pPr>
            <w:r>
              <w:rPr>
                <w:rFonts w:ascii="Arial" w:cs="Arial" w:eastAsia="Arial" w:hAnsi="Arial"/>
                <w:sz w:val="14"/>
                <w:szCs w:val="14"/>
                <w:b w:val="1"/>
                <w:bCs w:val="1"/>
                <w:color w:val="auto"/>
                <w:w w:val="94"/>
              </w:rPr>
              <w:t>Favorable/(Unfavorable)</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8"/>
          </w:tcPr>
          <w:p>
            <w:pPr>
              <w:ind w:left="2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jc w:val="center"/>
              <w:ind w:left="334"/>
              <w:spacing w:after="0"/>
              <w:rPr>
                <w:sz w:val="20"/>
                <w:szCs w:val="20"/>
                <w:color w:val="auto"/>
              </w:rPr>
            </w:pPr>
            <w:r>
              <w:rPr>
                <w:rFonts w:ascii="Arial" w:cs="Arial" w:eastAsia="Arial" w:hAnsi="Arial"/>
                <w:sz w:val="14"/>
                <w:szCs w:val="14"/>
                <w:b w:val="1"/>
                <w:bCs w:val="1"/>
                <w:color w:val="auto"/>
                <w:w w:val="92"/>
              </w:rPr>
              <w:t>Variance</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60" w:type="dxa"/>
            <w:vAlign w:val="bottom"/>
            <w:gridSpan w:val="4"/>
          </w:tcPr>
          <w:p>
            <w:pPr>
              <w:jc w:val="center"/>
              <w:ind w:left="354"/>
              <w:spacing w:after="0"/>
              <w:rPr>
                <w:sz w:val="20"/>
                <w:szCs w:val="20"/>
                <w:color w:val="auto"/>
              </w:rPr>
            </w:pPr>
            <w:r>
              <w:rPr>
                <w:rFonts w:ascii="Arial" w:cs="Arial" w:eastAsia="Arial" w:hAnsi="Arial"/>
                <w:sz w:val="14"/>
                <w:szCs w:val="14"/>
                <w:b w:val="1"/>
                <w:bCs w:val="1"/>
                <w:color w:val="auto"/>
                <w:w w:val="95"/>
              </w:rPr>
              <w:t>Variance</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w w:val="96"/>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Add:</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97"/>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1,364</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1"/>
        </w:trPr>
        <w:tc>
          <w:tcPr>
            <w:tcW w:w="3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40"/>
              <w:spacing w:after="0"/>
              <w:rPr>
                <w:sz w:val="20"/>
                <w:szCs w:val="20"/>
                <w:color w:val="auto"/>
              </w:rPr>
            </w:pPr>
            <w:r>
              <w:rPr>
                <w:rFonts w:ascii="Arial" w:cs="Arial" w:eastAsia="Arial" w:hAnsi="Arial"/>
                <w:sz w:val="18"/>
                <w:szCs w:val="18"/>
                <w:color w:val="auto"/>
                <w:w w:val="95"/>
              </w:rPr>
              <w:t>Selected Items Impacting Comparability of</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EBITDA:</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Gains/(losses) from derivative activities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of inventory valuation</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w w:val="95"/>
              </w:rPr>
              <w:t>Long-term inventory costing adjustments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vMerge w:val="restart"/>
          </w:tcPr>
          <w:p>
            <w:pPr>
              <w:jc w:val="right"/>
              <w:ind w:right="14"/>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restart"/>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163"/>
        </w:trPr>
        <w:tc>
          <w:tcPr>
            <w:tcW w:w="3280" w:type="dxa"/>
            <w:vAlign w:val="bottom"/>
          </w:tcPr>
          <w:p>
            <w:pPr>
              <w:ind w:left="340"/>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5"/>
                <w:szCs w:val="25"/>
                <w:color w:val="auto"/>
                <w:vertAlign w:val="superscript"/>
              </w:rPr>
              <w:t>(3)</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2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3280" w:type="dxa"/>
            <w:vAlign w:val="bottom"/>
          </w:tcPr>
          <w:p>
            <w:pPr>
              <w:ind w:left="180"/>
              <w:spacing w:after="0" w:line="270" w:lineRule="exact"/>
              <w:rPr>
                <w:sz w:val="20"/>
                <w:szCs w:val="20"/>
                <w:color w:val="auto"/>
              </w:rPr>
            </w:pPr>
            <w:r>
              <w:rPr>
                <w:rFonts w:ascii="Arial" w:cs="Arial" w:eastAsia="Arial" w:hAnsi="Arial"/>
                <w:sz w:val="18"/>
                <w:szCs w:val="18"/>
                <w:color w:val="auto"/>
                <w:w w:val="92"/>
              </w:rPr>
              <w:t xml:space="preserve">Equity-indexed compensation expense </w:t>
            </w:r>
            <w:r>
              <w:rPr>
                <w:rFonts w:ascii="Arial" w:cs="Arial" w:eastAsia="Arial" w:hAnsi="Arial"/>
                <w:sz w:val="25"/>
                <w:szCs w:val="25"/>
                <w:color w:val="auto"/>
                <w:w w:val="92"/>
                <w:vertAlign w:val="superscript"/>
              </w:rPr>
              <w:t>(4)</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340"/>
              <w:spacing w:after="0" w:line="257"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5"/>
                <w:szCs w:val="25"/>
                <w:color w:val="auto"/>
                <w:vertAlign w:val="superscript"/>
              </w:rPr>
              <w:t>(5)</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w:t>
            </w:r>
          </w:p>
        </w:tc>
        <w:tc>
          <w:tcPr>
            <w:tcW w:w="0" w:type="dxa"/>
            <w:vAlign w:val="bottom"/>
          </w:tcPr>
          <w:p>
            <w:pPr>
              <w:spacing w:after="0"/>
              <w:rPr>
                <w:sz w:val="1"/>
                <w:szCs w:val="1"/>
                <w:color w:val="auto"/>
              </w:rPr>
            </w:pPr>
          </w:p>
        </w:tc>
      </w:tr>
      <w:tr>
        <w:trPr>
          <w:trHeight w:val="270"/>
        </w:trPr>
        <w:tc>
          <w:tcPr>
            <w:tcW w:w="3280" w:type="dxa"/>
            <w:vAlign w:val="bottom"/>
          </w:tcPr>
          <w:p>
            <w:pPr>
              <w:ind w:left="22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(6)</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Selected Items Impacting Comparability of</w:t>
            </w:r>
          </w:p>
        </w:tc>
        <w:tc>
          <w:tcPr>
            <w:tcW w:w="240" w:type="dxa"/>
            <w:vAlign w:val="bottom"/>
            <w:tcBorders>
              <w:top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auto"/>
            </w:tcBorders>
            <w:gridSpan w:val="2"/>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8"/>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94"/>
              </w:rPr>
              <w:t>Favorable/</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7"/>
            <w:vMerge w:val="restart"/>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24"/>
                <w:szCs w:val="24"/>
                <w:color w:val="auto"/>
              </w:rPr>
            </w:pPr>
          </w:p>
        </w:tc>
        <w:tc>
          <w:tcPr>
            <w:tcW w:w="116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94"/>
              </w:rPr>
              <w:t>Favorable/</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220" w:type="dxa"/>
            <w:vAlign w:val="bottom"/>
          </w:tcPr>
          <w:p>
            <w:pPr>
              <w:spacing w:after="0"/>
              <w:rPr>
                <w:sz w:val="12"/>
                <w:szCs w:val="12"/>
                <w:color w:val="auto"/>
              </w:rPr>
            </w:pPr>
          </w:p>
        </w:tc>
        <w:tc>
          <w:tcPr>
            <w:tcW w:w="180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5"/>
          </w:tcPr>
          <w:p>
            <w:pPr>
              <w:jc w:val="center"/>
              <w:ind w:right="52"/>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8"/>
          </w:tcPr>
          <w:p>
            <w:pPr>
              <w:ind w:left="3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92"/>
              </w:rPr>
              <w:t>Variance</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6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92"/>
              </w:rPr>
              <w:t>Variance</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w w:val="91"/>
              </w:rPr>
              <w:t>Selected Items Impacting Comparability of</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EBITDA</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32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(7)</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32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(8)</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Equity earnings in unconsolidated entities,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of distributions</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32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w w:val="92"/>
              </w:rPr>
              <w:t xml:space="preserve">Distributions to noncontrolling interests </w:t>
            </w:r>
            <w:r>
              <w:rPr>
                <w:rFonts w:ascii="Arial" w:cs="Arial" w:eastAsia="Arial" w:hAnsi="Arial"/>
                <w:sz w:val="25"/>
                <w:szCs w:val="25"/>
                <w:color w:val="auto"/>
                <w:w w:val="92"/>
                <w:vertAlign w:val="superscript"/>
              </w:rPr>
              <w:t>(9)</w:t>
            </w: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4"/>
        </w:trPr>
        <w:tc>
          <w:tcPr>
            <w:tcW w:w="32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(10)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280" w:type="dxa"/>
            <w:vAlign w:val="bottom"/>
            <w:tcBorders>
              <w:bottom w:val="single" w:sz="8" w:color="CCEEFF"/>
            </w:tcBorders>
          </w:tcPr>
          <w:p>
            <w:pPr>
              <w:ind w:left="220"/>
              <w:spacing w:after="0" w:line="270" w:lineRule="exact"/>
              <w:rPr>
                <w:sz w:val="20"/>
                <w:szCs w:val="20"/>
                <w:color w:val="auto"/>
              </w:rPr>
            </w:pPr>
            <w:r>
              <w:rPr>
                <w:rFonts w:ascii="Arial" w:cs="Arial" w:eastAsia="Arial" w:hAnsi="Arial"/>
                <w:sz w:val="18"/>
                <w:szCs w:val="18"/>
                <w:color w:val="auto"/>
              </w:rPr>
              <w:t xml:space="preserve">Less: Cash Distributions </w:t>
            </w:r>
            <w:r>
              <w:rPr>
                <w:rFonts w:ascii="Arial" w:cs="Arial" w:eastAsia="Arial" w:hAnsi="Arial"/>
                <w:sz w:val="25"/>
                <w:szCs w:val="25"/>
                <w:color w:val="auto"/>
                <w:vertAlign w:val="superscript"/>
              </w:rPr>
              <w:t>(9)</w:t>
            </w: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6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DCF Excess/(Shortage) </w:t>
            </w:r>
            <w:r>
              <w:rPr>
                <w:rFonts w:ascii="Arial" w:cs="Arial" w:eastAsia="Arial" w:hAnsi="Arial"/>
                <w:sz w:val="25"/>
                <w:szCs w:val="25"/>
                <w:color w:val="auto"/>
                <w:vertAlign w:val="superscript"/>
              </w:rPr>
              <w:t>(11)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76"/>
              </w:rPr>
              <w:t>___________________________________________</w:t>
            </w: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CCEEFF"/>
            </w:tcBorders>
            <w:vMerge w:val="restart"/>
          </w:tcPr>
          <w:p>
            <w:pPr>
              <w:jc w:val="right"/>
              <w:ind w:right="194"/>
              <w:spacing w:after="0"/>
              <w:rPr>
                <w:sz w:val="20"/>
                <w:szCs w:val="20"/>
                <w:color w:val="auto"/>
              </w:rPr>
            </w:pPr>
            <w:r>
              <w:rPr>
                <w:rFonts w:ascii="Arial" w:cs="Arial" w:eastAsia="Arial" w:hAnsi="Arial"/>
                <w:sz w:val="18"/>
                <w:szCs w:val="18"/>
                <w:color w:val="auto"/>
              </w:rPr>
              <w:t>39</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gridSpan w:val="2"/>
            <w:vMerge w:val="continue"/>
          </w:tcPr>
          <w:p>
            <w:pPr>
              <w:spacing w:after="0"/>
              <w:rPr>
                <w:sz w:val="17"/>
                <w:szCs w:val="17"/>
                <w:color w:val="auto"/>
              </w:rPr>
            </w:pPr>
          </w:p>
        </w:tc>
        <w:tc>
          <w:tcPr>
            <w:tcW w:w="8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20" w:hanging="652"/>
        <w:spacing w:after="0" w:line="257" w:lineRule="auto"/>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Note 9 to our Condensed Consolidated Financial Statements for a comprehensive discussion regarding our derivatives and risk management activities and our Preferred Distribution Rate Reset Option.</w:t>
      </w:r>
    </w:p>
    <w:p>
      <w:pPr>
        <w:spacing w:after="0" w:line="190" w:lineRule="exact"/>
        <w:rPr>
          <w:rFonts w:ascii="Arial" w:cs="Arial" w:eastAsia="Arial" w:hAnsi="Arial"/>
          <w:sz w:val="24"/>
          <w:szCs w:val="24"/>
          <w:color w:val="auto"/>
          <w:vertAlign w:val="superscript"/>
        </w:rPr>
      </w:pPr>
    </w:p>
    <w:p>
      <w:pPr>
        <w:ind w:left="660" w:right="140" w:hanging="652"/>
        <w:spacing w:after="0" w:line="254" w:lineRule="auto"/>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We carry approximately 5 million barrels of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2015 Annual Report on Form 10-K for a complete discussion of our long-term inventory.</w:t>
      </w:r>
    </w:p>
    <w:p>
      <w:pPr>
        <w:spacing w:after="0" w:line="195" w:lineRule="exact"/>
        <w:rPr>
          <w:rFonts w:ascii="Arial" w:cs="Arial" w:eastAsia="Arial" w:hAnsi="Arial"/>
          <w:sz w:val="24"/>
          <w:szCs w:val="24"/>
          <w:color w:val="auto"/>
          <w:vertAlign w:val="superscript"/>
        </w:rPr>
      </w:pPr>
    </w:p>
    <w:p>
      <w:pPr>
        <w:ind w:left="660" w:hanging="652"/>
        <w:spacing w:after="0" w:line="258" w:lineRule="auto"/>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27" w:lineRule="exact"/>
        <w:rPr>
          <w:rFonts w:ascii="Arial" w:cs="Arial" w:eastAsia="Arial" w:hAnsi="Arial"/>
          <w:sz w:val="24"/>
          <w:szCs w:val="24"/>
          <w:color w:val="auto"/>
          <w:vertAlign w:val="superscript"/>
        </w:rPr>
      </w:pPr>
    </w:p>
    <w:p>
      <w:pPr>
        <w:ind w:left="660" w:right="20" w:hanging="652"/>
        <w:spacing w:after="0" w:line="274" w:lineRule="auto"/>
        <w:tabs>
          <w:tab w:leader="none" w:pos="6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15 to our Consolidated Financial Statements included in Part IV of our 2015 Annual Report on Form 10-K for a comprehensive discussion regarding our equity-indexed compensation plans.</w:t>
      </w:r>
    </w:p>
    <w:p>
      <w:pPr>
        <w:spacing w:after="0" w:line="179" w:lineRule="exact"/>
        <w:rPr>
          <w:rFonts w:ascii="Arial" w:cs="Arial" w:eastAsia="Arial" w:hAnsi="Arial"/>
          <w:sz w:val="22"/>
          <w:szCs w:val="22"/>
          <w:color w:val="auto"/>
          <w:vertAlign w:val="superscript"/>
        </w:rPr>
      </w:pPr>
    </w:p>
    <w:p>
      <w:pPr>
        <w:ind w:left="660" w:right="380" w:hanging="652"/>
        <w:spacing w:after="0" w:line="216"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During the periods presented, there were fluctuations in the value of CAD to USD, resulting in gains and losses that were not related to our core operating results for the period and were thus classified as a selected item impacting comparability.</w:t>
      </w:r>
    </w:p>
    <w:p>
      <w:pPr>
        <w:spacing w:after="0" w:line="203" w:lineRule="exact"/>
        <w:rPr>
          <w:rFonts w:ascii="Arial" w:cs="Arial" w:eastAsia="Arial" w:hAnsi="Arial"/>
          <w:sz w:val="25"/>
          <w:szCs w:val="25"/>
          <w:color w:val="auto"/>
          <w:vertAlign w:val="superscript"/>
        </w:rPr>
      </w:pPr>
    </w:p>
    <w:p>
      <w:pPr>
        <w:ind w:left="660" w:right="240" w:hanging="652"/>
        <w:spacing w:after="0" w:line="226"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to our Condensed Consolidated Financial Statements for additional information regarding the Line 901 incident.</w:t>
      </w:r>
    </w:p>
    <w:p>
      <w:pPr>
        <w:spacing w:after="0" w:line="15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1" w:lineRule="exact"/>
        <w:rPr>
          <w:rFonts w:ascii="Arial" w:cs="Arial" w:eastAsia="Arial" w:hAnsi="Arial"/>
          <w:sz w:val="24"/>
          <w:szCs w:val="24"/>
          <w:color w:val="auto"/>
          <w:vertAlign w:val="superscript"/>
        </w:rPr>
      </w:pPr>
    </w:p>
    <w:p>
      <w:pPr>
        <w:ind w:left="660" w:right="120" w:hanging="652"/>
        <w:spacing w:after="0" w:line="216"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Maintenance capital expenditures are defined as capital expenditures for the replacement of partially or fully depreciated assets in order to maintain the operating and/or earnings capacity of our existing assets.</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cash distributions that pertain to the current period’s net income and are paid in the subsequent period.</w:t>
      </w:r>
    </w:p>
    <w:p>
      <w:pPr>
        <w:spacing w:after="0" w:line="201"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Including costs of $65 million related to the Line 901 incident that were recognized during the nine months ended September 30, 2015, Implied DCF would have been $1.027 billion for the nine months ended September 30, 2015. See Note 12 to our Condensed Consolidated Financial Statements for additional information regarding the Line 901 incident.</w:t>
      </w:r>
    </w:p>
    <w:p>
      <w:pPr>
        <w:spacing w:after="0" w:line="203" w:lineRule="exact"/>
        <w:rPr>
          <w:rFonts w:ascii="Arial" w:cs="Arial" w:eastAsia="Arial" w:hAnsi="Arial"/>
          <w:sz w:val="25"/>
          <w:szCs w:val="25"/>
          <w:color w:val="auto"/>
          <w:vertAlign w:val="superscript"/>
        </w:rPr>
      </w:pPr>
    </w:p>
    <w:p>
      <w:pPr>
        <w:ind w:left="660" w:right="120" w:hanging="652"/>
        <w:spacing w:after="0" w:line="227" w:lineRule="auto"/>
        <w:tabs>
          <w:tab w:leader="none" w:pos="66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Excess DCF is retained to establish reserves for future distributions, capital expenditures and other partnership purposes. DCF shortages are funded from previously established reserves, cash on hand or from borrowings under our credit facilities or commercial paper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segment performance based on a variety of measures including segment profit, segment volumes, segment profit per barrel and maintenance capital investment. See Note 18 to our Consolidated Financial Statements included in Part IV of our 2015 Annual Report on Form 10-K for further discussion of how we evaluate segment profit. See Note 13 to our Condensed Consolidated Financial Statements for a reconciliation of segment profit to net income attributable to PAA.</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32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4"/>
              </w:rPr>
              <w:t>Favorable/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32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4"/>
              </w:rPr>
              <w:t>Favorable/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22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5"/>
              </w:rPr>
              <w:t>(Unfavorable)Variance</w:t>
            </w:r>
          </w:p>
        </w:tc>
        <w:tc>
          <w:tcPr>
            <w:tcW w:w="200" w:type="dxa"/>
            <w:vAlign w:val="bottom"/>
          </w:tcPr>
          <w:p>
            <w:pPr>
              <w:spacing w:after="0"/>
              <w:rPr>
                <w:sz w:val="16"/>
                <w:szCs w:val="16"/>
                <w:color w:val="auto"/>
              </w:rPr>
            </w:pPr>
          </w:p>
        </w:tc>
        <w:tc>
          <w:tcPr>
            <w:tcW w:w="168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202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5"/>
              </w:rPr>
              <w:t>(Unfavorable)Variance</w:t>
            </w:r>
          </w:p>
        </w:tc>
        <w:tc>
          <w:tcPr>
            <w:tcW w:w="0" w:type="dxa"/>
            <w:vAlign w:val="bottom"/>
          </w:tcPr>
          <w:p>
            <w:pPr>
              <w:spacing w:after="0"/>
              <w:rPr>
                <w:sz w:val="1"/>
                <w:szCs w:val="1"/>
                <w:color w:val="auto"/>
              </w:rPr>
            </w:pPr>
          </w:p>
        </w:tc>
      </w:tr>
      <w:tr>
        <w:trPr>
          <w:trHeight w:val="264"/>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Tariff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4"/>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Total transportation revenues</w:t>
            </w: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 costs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312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(expense)/benefit -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tcPr>
          <w:p>
            <w:pPr>
              <w:ind w:left="3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Equity-indexed compensation</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(expense)/benefit - general and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Equity earnings in unconsolidated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entities</w:t>
            </w:r>
          </w:p>
        </w:tc>
        <w:tc>
          <w:tcPr>
            <w:tcW w:w="160" w:type="dxa"/>
            <w:vAlign w:val="bottom"/>
          </w:tcPr>
          <w:p>
            <w:pPr>
              <w:spacing w:after="0"/>
              <w:rPr>
                <w:sz w:val="20"/>
                <w:szCs w:val="20"/>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 per barrel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160" w:type="dxa"/>
            <w:vAlign w:val="bottom"/>
          </w:tcPr>
          <w:p>
            <w:pPr>
              <w:spacing w:after="0"/>
              <w:rPr>
                <w:sz w:val="24"/>
                <w:szCs w:val="2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gridSpan w:val="7"/>
            <w:vMerge w:val="restart"/>
          </w:tcPr>
          <w:p>
            <w:pPr>
              <w:jc w:val="center"/>
              <w:ind w:right="220"/>
              <w:spacing w:after="0"/>
              <w:rPr>
                <w:sz w:val="20"/>
                <w:szCs w:val="20"/>
                <w:color w:val="auto"/>
              </w:rPr>
            </w:pPr>
            <w:r>
              <w:rPr>
                <w:rFonts w:ascii="Arial" w:cs="Arial" w:eastAsia="Arial" w:hAnsi="Arial"/>
                <w:sz w:val="14"/>
                <w:szCs w:val="14"/>
                <w:b w:val="1"/>
                <w:bCs w:val="1"/>
                <w:color w:val="auto"/>
                <w:w w:val="94"/>
              </w:rPr>
              <w:t>Favorable/(Unfavorable)Variance</w:t>
            </w:r>
          </w:p>
        </w:tc>
        <w:tc>
          <w:tcPr>
            <w:tcW w:w="200" w:type="dxa"/>
            <w:vAlign w:val="bottom"/>
          </w:tcPr>
          <w:p>
            <w:pPr>
              <w:spacing w:after="0"/>
              <w:rPr>
                <w:sz w:val="24"/>
                <w:szCs w:val="2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21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5"/>
              </w:rPr>
              <w:t>Favorable/(Unfavorable)Variance</w:t>
            </w: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00" w:type="dxa"/>
            <w:vAlign w:val="bottom"/>
            <w:gridSpan w:val="7"/>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(4)</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top w:val="single" w:sz="8" w:color="auto"/>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Crude oil pipelines (by region):</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312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16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Western</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312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16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Gulf Coast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0"/>
        </w:trPr>
        <w:tc>
          <w:tcPr>
            <w:tcW w:w="312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160" w:type="dxa"/>
            <w:vAlign w:val="bottom"/>
          </w:tcPr>
          <w:p>
            <w:pPr>
              <w:spacing w:after="0"/>
              <w:rPr>
                <w:sz w:val="23"/>
                <w:szCs w:val="23"/>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Crude oil pipelines</w:t>
            </w: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NGL pipelines</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Trucking</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ind w:left="280" w:hanging="272"/>
        <w:spacing w:after="0" w:line="233" w:lineRule="auto"/>
        <w:tabs>
          <w:tab w:leader="none" w:pos="28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201" w:lineRule="exact"/>
        <w:rPr>
          <w:rFonts w:ascii="Arial" w:cs="Arial" w:eastAsia="Arial" w:hAnsi="Arial"/>
          <w:sz w:val="25"/>
          <w:szCs w:val="25"/>
          <w:color w:val="auto"/>
          <w:vertAlign w:val="superscript"/>
        </w:rPr>
      </w:pPr>
    </w:p>
    <w:p>
      <w:pPr>
        <w:ind w:left="660" w:right="40" w:hanging="652"/>
        <w:spacing w:after="0" w:line="216"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35"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4"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activities revenues. Revenue from our pipeline capacity agreements generally reflects a negotiated amount.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Tariff Activities Revenues, Equity Earnings in Unconsolidated Entities and Volumes. </w:t>
      </w:r>
      <w:r>
        <w:rPr>
          <w:rFonts w:ascii="Arial" w:cs="Arial" w:eastAsia="Arial" w:hAnsi="Arial"/>
          <w:sz w:val="17"/>
          <w:szCs w:val="17"/>
          <w:color w:val="auto"/>
        </w:rPr>
        <w:t>As noted in the table above, revenues from tariff activities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earnings in unconsolidated entities were relatively consistent for the three and nine months ended September 30, 2016 compared to the same 2015 periods, while volumes increased for both comparative periods presented. The revenues, equity earnings and volumes reported for the periods do not include net deferred revenues of $30 million and $54 million for the three and nine months ended September 30, 2016, respectively, related to agreements that require counterparties to deliver or transport a minimum volume during the period. The net amounts deferred are for volume commitments for which the counterparty did not fulfill its volume commitment, but which have been billed and collected from the counterparty.</w:t>
      </w:r>
    </w:p>
    <w:p>
      <w:pPr>
        <w:spacing w:after="0" w:line="17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following table presents significant tariff activities revenues and equity earnings in unconsolidated entities variances by region for the comparative periods presented:</w:t>
      </w:r>
    </w:p>
    <w:p>
      <w:pPr>
        <w:spacing w:after="0" w:line="31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4"/>
              </w:rPr>
              <w:t>Favorable/(Unfavorable) Variance</w:t>
            </w:r>
          </w:p>
        </w:tc>
        <w:tc>
          <w:tcPr>
            <w:tcW w:w="220" w:type="dxa"/>
            <w:vAlign w:val="bottom"/>
          </w:tcPr>
          <w:p>
            <w:pPr>
              <w:spacing w:after="0"/>
              <w:rPr>
                <w:sz w:val="14"/>
                <w:szCs w:val="14"/>
                <w:color w:val="auto"/>
              </w:rPr>
            </w:pPr>
          </w:p>
        </w:tc>
        <w:tc>
          <w:tcPr>
            <w:tcW w:w="252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4"/>
              </w:rPr>
              <w:t>Favorable/(Unfavorable) Variance</w:t>
            </w: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2"/>
                <w:szCs w:val="12"/>
                <w:color w:val="auto"/>
              </w:rPr>
            </w:pPr>
          </w:p>
        </w:tc>
        <w:tc>
          <w:tcPr>
            <w:tcW w:w="2520" w:type="dxa"/>
            <w:vAlign w:val="bottom"/>
            <w:gridSpan w:val="4"/>
          </w:tcPr>
          <w:p>
            <w:pPr>
              <w:jc w:val="center"/>
              <w:ind w:right="93"/>
              <w:spacing w:after="0" w:line="149" w:lineRule="exact"/>
              <w:rPr>
                <w:sz w:val="20"/>
                <w:szCs w:val="20"/>
                <w:color w:val="auto"/>
              </w:rPr>
            </w:pPr>
            <w:r>
              <w:rPr>
                <w:rFonts w:ascii="Arial" w:cs="Arial" w:eastAsia="Arial" w:hAnsi="Arial"/>
                <w:sz w:val="14"/>
                <w:szCs w:val="14"/>
                <w:b w:val="1"/>
                <w:bCs w:val="1"/>
                <w:color w:val="auto"/>
                <w:w w:val="92"/>
              </w:rPr>
              <w:t>Nine Months Ended September 30,</w:t>
            </w:r>
          </w:p>
        </w:tc>
      </w:tr>
      <w:tr>
        <w:trPr>
          <w:trHeight w:val="192"/>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133"/>
              <w:spacing w:after="0"/>
              <w:rPr>
                <w:sz w:val="20"/>
                <w:szCs w:val="20"/>
                <w:color w:val="auto"/>
              </w:rPr>
            </w:pPr>
            <w:r>
              <w:rPr>
                <w:rFonts w:ascii="Arial" w:cs="Arial" w:eastAsia="Arial" w:hAnsi="Arial"/>
                <w:sz w:val="14"/>
                <w:szCs w:val="14"/>
                <w:b w:val="1"/>
                <w:bCs w:val="1"/>
                <w:color w:val="auto"/>
                <w:w w:val="92"/>
              </w:rPr>
              <w:t>2016-2015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2016-2015</w:t>
            </w:r>
          </w:p>
        </w:tc>
      </w:tr>
      <w:tr>
        <w:trPr>
          <w:trHeight w:val="264"/>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Equity Earnings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3"/>
              </w:rPr>
              <w:t>Equity Earnings</w:t>
            </w: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100" w:type="dxa"/>
            <w:vAlign w:val="bottom"/>
            <w:gridSpan w:val="2"/>
          </w:tcPr>
          <w:p>
            <w:pPr>
              <w:ind w:left="160"/>
              <w:spacing w:after="0"/>
              <w:rPr>
                <w:sz w:val="20"/>
                <w:szCs w:val="20"/>
                <w:color w:val="auto"/>
              </w:rPr>
            </w:pPr>
            <w:r>
              <w:rPr>
                <w:rFonts w:ascii="Arial" w:cs="Arial" w:eastAsia="Arial" w:hAnsi="Arial"/>
                <w:sz w:val="18"/>
                <w:szCs w:val="18"/>
                <w:color w:val="auto"/>
              </w:rPr>
              <w:t>Permian Basin region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Rocky Mountain region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43"/>
        </w:trPr>
        <w:tc>
          <w:tcPr>
            <w:tcW w:w="4100" w:type="dxa"/>
            <w:vAlign w:val="bottom"/>
            <w:gridSpan w:val="2"/>
          </w:tcPr>
          <w:p>
            <w:pPr>
              <w:ind w:left="160"/>
              <w:spacing w:after="0"/>
              <w:rPr>
                <w:sz w:val="20"/>
                <w:szCs w:val="20"/>
                <w:color w:val="auto"/>
              </w:rPr>
            </w:pPr>
            <w:r>
              <w:rPr>
                <w:rFonts w:ascii="Arial" w:cs="Arial" w:eastAsia="Arial" w:hAnsi="Arial"/>
                <w:sz w:val="18"/>
                <w:szCs w:val="18"/>
                <w:color w:val="auto"/>
              </w:rPr>
              <w:t>Gulf Coast region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Central region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70"/>
        </w:trPr>
        <w:tc>
          <w:tcPr>
            <w:tcW w:w="4100" w:type="dxa"/>
            <w:vAlign w:val="bottom"/>
            <w:gridSpan w:val="2"/>
          </w:tcPr>
          <w:p>
            <w:pPr>
              <w:ind w:left="160"/>
              <w:spacing w:after="0"/>
              <w:rPr>
                <w:sz w:val="20"/>
                <w:szCs w:val="20"/>
                <w:color w:val="auto"/>
              </w:rPr>
            </w:pPr>
            <w:r>
              <w:rPr>
                <w:rFonts w:ascii="Arial" w:cs="Arial" w:eastAsia="Arial" w:hAnsi="Arial"/>
                <w:sz w:val="18"/>
                <w:szCs w:val="18"/>
                <w:color w:val="auto"/>
                <w:w w:val="99"/>
              </w:rPr>
              <w:t>Other (including pipeline loss allowance revenue)</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410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variance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Permian Basin region — The increase in revenues for the comparative 2016 periods presented was largely driven by higher volumes associated with the expansion of our pipeline systems in the Delaware Basin, as well as higher volumes on our takeaway pipelines. For the nine month comparative period, the increase in revenues was also driven by results from our Cactus pipeline, which was placed in service in April 2015 and was in a ramp-up phase for the following months, and which also favorably impacted volumes on our McCamey pipeline system which connects our Midland terminal to the Cactus pipeline origin station.</w:t>
      </w:r>
    </w:p>
    <w:p>
      <w:pPr>
        <w:spacing w:after="0" w:line="188" w:lineRule="exact"/>
        <w:rPr>
          <w:rFonts w:ascii="Arial" w:cs="Arial" w:eastAsia="Arial" w:hAnsi="Arial"/>
          <w:sz w:val="18"/>
          <w:szCs w:val="18"/>
          <w:color w:val="auto"/>
        </w:rPr>
      </w:pPr>
    </w:p>
    <w:p>
      <w:pPr>
        <w:ind w:left="980" w:right="100" w:hanging="324"/>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Rocky Mountain region — The decrease in revenues for the three and nine months ended September 30, 2016 versus the comparable 2015 periods was largely driven by (i) decreased tariffs on certain of our Bakken area pipelines, (ii) crude oil quality issues that resulted in lower movements on our Robinson Lake pipeline for the 2016 periods, (iii) lower volumes due to production declines and increased competition and (iv) the sale of 50% of our investment in Cheyenne Pipeline in June 2016, subsequent to which it was accounted for under the equity method of accounting.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80"/>
        <w:spacing w:after="0" w:line="259" w:lineRule="auto"/>
        <w:rPr>
          <w:sz w:val="20"/>
          <w:szCs w:val="20"/>
          <w:color w:val="auto"/>
        </w:rPr>
      </w:pPr>
      <w:r>
        <w:rPr>
          <w:rFonts w:ascii="Arial" w:cs="Arial" w:eastAsia="Arial" w:hAnsi="Arial"/>
          <w:sz w:val="18"/>
          <w:szCs w:val="18"/>
          <w:color w:val="auto"/>
        </w:rPr>
        <w:t>Equity earnings increased for the three and nine month comparative periods due to earnings from (i) our 40% investment in the entity that owns the Saddlehorn Pipeline, a segment of which was placed in service in the third quarter of 2016, and (ii) our 50% investment in Cheyenne Pipeline, as discussed above. The nine-month comparative period was further favorably impacted by contributions from our investment in Frontier, in which we purchased an additional interest in August 2015.</w:t>
      </w:r>
    </w:p>
    <w:p>
      <w:pPr>
        <w:spacing w:after="0" w:line="187" w:lineRule="exact"/>
        <w:rPr>
          <w:sz w:val="20"/>
          <w:szCs w:val="20"/>
          <w:color w:val="auto"/>
        </w:rPr>
      </w:pPr>
    </w:p>
    <w:p>
      <w:pPr>
        <w:ind w:left="980" w:right="80" w:hanging="324"/>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Gulf Coast region — Revenues and volumes decreased for the three and nine months ended September 30, 2016 compared to the same 2015 periods primarily due to the sale of certain of our Gulf Coast pipelines in March 2016 and July 2016. These decreases were partially offset by increased volumes on the Capline and Pascagoula pipelines, which were favorably impacted by higher refinery demand, but were at lower tariff rates than the pipelines that were sold.</w:t>
      </w:r>
    </w:p>
    <w:p>
      <w:pPr>
        <w:spacing w:after="0" w:line="186"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Central region — The decrease in revenues for the three and nine months ended September 30, 2016 versus the comparable 2015 periods was largely driven by lower volumes due to production declines in the Mid-Continent area.</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 The decrease in other revenues for the nine months ended September 30, 2016 was primarily related to lower pipeline loss allowance revenue of $36 million driven by a lower average realized price per barrel.</w:t>
      </w:r>
    </w:p>
    <w:p>
      <w:pPr>
        <w:spacing w:after="0" w:line="170"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The decrease in equity earnings for the nine months ended September 30, 2016 was primarily due to less favorable results from our investment in Settoon, which was impacted by lower demand for barge and towing movements.</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i w:val="1"/>
          <w:iCs w:val="1"/>
          <w:color w:val="auto"/>
        </w:rPr>
        <w:t xml:space="preserve">Trucking Revenues. </w:t>
      </w:r>
      <w:r>
        <w:rPr>
          <w:rFonts w:ascii="Arial" w:cs="Arial" w:eastAsia="Arial" w:hAnsi="Arial"/>
          <w:sz w:val="18"/>
          <w:szCs w:val="18"/>
          <w:color w:val="auto"/>
        </w:rPr>
        <w:t>The decrease in trucking revenues for the nine months ended September 30, 2016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was primarily driven by unfavorable foreign exchange impacts of $6 million.</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Trucking Costs. </w:t>
      </w:r>
      <w:r>
        <w:rPr>
          <w:rFonts w:ascii="Arial" w:cs="Arial" w:eastAsia="Arial" w:hAnsi="Arial"/>
          <w:sz w:val="18"/>
          <w:szCs w:val="18"/>
          <w:color w:val="auto"/>
        </w:rPr>
        <w:t>Trucking costs decreased for the nine months ended September 30, 2016 compared to the same 2015 period due to lower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rates, as well as favorable foreign exchange impacts of $4 million.</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 decreased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2016 compared to the nine months ended September 30, 2015 primarily due to net costs of approximately $65 million associated with the Line 901 incident that were recognized in the second quarter of 2015. See Note 12 to our Condensed Consolidated Financial Statements for additional information regarding the Line 901 incident. The decrease in both the three and nine months ended September 30, 2016 as compared to the three and nine months ended September 30, 2015 was further driven by lower utilities and maintenance costs, costs associated with the MP29 release in the third quarter of 2015 and lower operating costs due to the sale of certain of our Gulf Coast pipelines in March 2016 and July 2016. The decrease for the nine-month comparative period was also due to a favorable foreign exchange impact of $5 million, partially offset by an increase in integrity management costs.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equity-indexed compensation expense increased by $22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compared to the same period in 2015, primarily due to the impact of the increase in unit price during the three months ended September 30, 2016 compared to the impact of the decrease in unit price during the same period in 2015, partially offset by the impact of lower average values per LTIP unit during the 2016 period compared to the same period in 2015.</w:t>
      </w:r>
    </w:p>
    <w:p>
      <w:pPr>
        <w:spacing w:after="0" w:line="18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On a consolidated basis across all segments, equity-indexed compensation expense increased by $13 million for the nine months ended September 30, 2016 compared to the same period in 2015, primarily due to the impact of the increase in unit price during the nine months ended September 30, 2016 compared to the impact of the decrease in unit price during the same period in 2015, partially offset by the impact of fewer probable LTIP units outstanding and lower average values per LTIP unit during the 2016 period compared to the same period in 2015.</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Allocations of equity-indexed compensation expense vary over time between field operating costs and general and administrative expenses, as well as between segments, and could result in variances in those expense categories or segments that differ from the consolidated variance explanations above. See Note 15 to our Consolidated Financial Statements included in Part IV of our 2015 Annual Report on Form 10-K for additional information regarding our equity-indexed compensation plans.</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 depreciated assets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operating and/or earnings capacity of our existing assets. The decrease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maintenance capital for the three and nine months ended September 30, 2016 compared to the three and nine months ended September 30, 2015 was primarily driven by lower third party service costs and timing of projects.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Favorable/(Unfavorable)Variance</w:t>
            </w:r>
          </w:p>
        </w:tc>
        <w:tc>
          <w:tcPr>
            <w:tcW w:w="20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2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Favorable/(Unfavorable)Variance</w:t>
            </w:r>
          </w:p>
        </w:tc>
        <w:tc>
          <w:tcPr>
            <w:tcW w:w="0" w:type="dxa"/>
            <w:vAlign w:val="bottom"/>
          </w:tcPr>
          <w:p>
            <w:pPr>
              <w:spacing w:after="0"/>
              <w:rPr>
                <w:sz w:val="1"/>
                <w:szCs w:val="1"/>
                <w:color w:val="auto"/>
              </w:rPr>
            </w:pPr>
          </w:p>
        </w:tc>
      </w:tr>
      <w:tr>
        <w:trPr>
          <w:trHeight w:val="192"/>
        </w:trPr>
        <w:tc>
          <w:tcPr>
            <w:tcW w:w="3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0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Natural gas related storage costs</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(expense)/benefit - operations</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2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(2) (3)</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(expense)/benefit - general and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51"/>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 per barrel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Favorable/(Unfavorable)Variance</w:t>
            </w:r>
          </w:p>
        </w:tc>
        <w:tc>
          <w:tcPr>
            <w:tcW w:w="200" w:type="dxa"/>
            <w:vAlign w:val="bottom"/>
          </w:tcPr>
          <w:p>
            <w:pPr>
              <w:spacing w:after="0"/>
              <w:rPr>
                <w:sz w:val="24"/>
                <w:szCs w:val="24"/>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c>
          <w:tcPr>
            <w:tcW w:w="21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Favorable/(Unfavorable)Variance</w:t>
            </w: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0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2"/>
              </w:rPr>
              <w:t>Volumes</w:t>
            </w:r>
          </w:p>
        </w:tc>
        <w:tc>
          <w:tcPr>
            <w:tcW w:w="140" w:type="dxa"/>
            <w:vAlign w:val="bottom"/>
            <w:tcBorders>
              <w:top w:val="single" w:sz="8" w:color="auto"/>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2"/>
              </w:rPr>
              <w:t>Volumes</w:t>
            </w:r>
          </w:p>
        </w:tc>
        <w:tc>
          <w:tcPr>
            <w:tcW w:w="120" w:type="dxa"/>
            <w:vAlign w:val="bottom"/>
            <w:tcBorders>
              <w:top w:val="single" w:sz="8" w:color="auto"/>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8"/>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Crude oil, refined products and NGL</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terminalling and storage (average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monthly capacity in millions of</w:t>
            </w: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barrels)</w:t>
            </w: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40"/>
              <w:spacing w:after="0"/>
              <w:rPr>
                <w:sz w:val="20"/>
                <w:szCs w:val="20"/>
                <w:color w:val="auto"/>
              </w:rPr>
            </w:pPr>
            <w:r>
              <w:rPr>
                <w:rFonts w:ascii="Arial" w:cs="Arial" w:eastAsia="Arial" w:hAnsi="Arial"/>
                <w:sz w:val="18"/>
                <w:szCs w:val="18"/>
                <w:color w:val="auto"/>
              </w:rPr>
              <w:t>Rail load / unload volumes (average</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200"/>
              <w:spacing w:after="0"/>
              <w:rPr>
                <w:sz w:val="20"/>
                <w:szCs w:val="20"/>
                <w:color w:val="auto"/>
              </w:rPr>
            </w:pPr>
            <w:r>
              <w:rPr>
                <w:rFonts w:ascii="Arial" w:cs="Arial" w:eastAsia="Arial" w:hAnsi="Arial"/>
                <w:sz w:val="18"/>
                <w:szCs w:val="18"/>
                <w:color w:val="auto"/>
              </w:rPr>
              <w:t>volumes in thousands of barrels per</w:t>
            </w:r>
          </w:p>
        </w:tc>
        <w:tc>
          <w:tcPr>
            <w:tcW w:w="180" w:type="dxa"/>
            <w:vAlign w:val="bottom"/>
          </w:tcPr>
          <w:p>
            <w:pPr>
              <w:spacing w:after="0"/>
              <w:rPr>
                <w:sz w:val="18"/>
                <w:szCs w:val="18"/>
                <w:color w:val="auto"/>
              </w:rPr>
            </w:pPr>
          </w:p>
        </w:tc>
        <w:tc>
          <w:tcPr>
            <w:tcW w:w="640" w:type="dxa"/>
            <w:vAlign w:val="bottom"/>
            <w:vMerge w:val="restart"/>
          </w:tcPr>
          <w:p>
            <w:pPr>
              <w:jc w:val="right"/>
              <w:ind w:right="15"/>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vMerge w:val="restart"/>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7"/>
        </w:trPr>
        <w:tc>
          <w:tcPr>
            <w:tcW w:w="31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day)</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Natural gas storage (average monthly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working capacity in billions of cubic</w:t>
            </w: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vMerge w:val="restart"/>
            <w:shd w:val="clear" w:color="auto" w:fill="CCEEFF"/>
          </w:tcPr>
          <w:p>
            <w:pPr>
              <w:ind w:left="72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feet)</w:t>
            </w:r>
          </w:p>
        </w:tc>
        <w:tc>
          <w:tcPr>
            <w:tcW w:w="18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280" w:type="dxa"/>
            <w:vAlign w:val="bottom"/>
            <w:tcBorders>
              <w:right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w w:val="99"/>
              </w:rPr>
              <w:t>NGL fractionation (average volumes 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15"/>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restart"/>
          </w:tcPr>
          <w:p>
            <w:pPr>
              <w:jc w:val="right"/>
              <w:ind w:right="15"/>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7"/>
        </w:trPr>
        <w:tc>
          <w:tcPr>
            <w:tcW w:w="31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thousands of barrels per day)</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Facilities segment total (average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monthly volumes in millions of</w:t>
            </w: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gridSpan w:val="2"/>
            <w:shd w:val="clear" w:color="auto" w:fill="CCEEFF"/>
          </w:tcPr>
          <w:p>
            <w:pPr>
              <w:ind w:left="200"/>
              <w:spacing w:after="0" w:line="244"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5"/>
                <w:szCs w:val="25"/>
                <w:color w:val="auto"/>
                <w:vertAlign w:val="superscript"/>
              </w:rPr>
              <w:t>(5)</w:t>
            </w: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spacing w:after="0" w:line="15"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23"/>
          <w:szCs w:val="23"/>
          <w:color w:val="auto"/>
          <w:vertAlign w:val="superscript"/>
        </w:rPr>
      </w:pPr>
      <w:r>
        <w:rPr>
          <w:rFonts w:ascii="Arial" w:cs="Arial" w:eastAsia="Arial" w:hAnsi="Arial"/>
          <w:sz w:val="17"/>
          <w:szCs w:val="17"/>
          <w:color w:val="auto"/>
        </w:rPr>
        <w:t>Revenues and costs and expenses include intersegment amounts.</w:t>
      </w:r>
    </w:p>
    <w:p>
      <w:pPr>
        <w:spacing w:after="0" w:line="201" w:lineRule="exact"/>
        <w:rPr>
          <w:rFonts w:ascii="Arial" w:cs="Arial" w:eastAsia="Arial" w:hAnsi="Arial"/>
          <w:sz w:val="23"/>
          <w:szCs w:val="23"/>
          <w:color w:val="auto"/>
          <w:vertAlign w:val="superscript"/>
        </w:rPr>
      </w:pPr>
    </w:p>
    <w:p>
      <w:pPr>
        <w:ind w:left="660" w:right="40" w:hanging="652"/>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60" w:hanging="652"/>
        <w:spacing w:after="0" w:line="252"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32"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201" w:lineRule="exact"/>
        <w:rPr>
          <w:rFonts w:ascii="Arial" w:cs="Arial" w:eastAsia="Arial" w:hAnsi="Arial"/>
          <w:sz w:val="25"/>
          <w:szCs w:val="25"/>
          <w:color w:val="auto"/>
          <w:vertAlign w:val="superscript"/>
        </w:rPr>
      </w:pPr>
    </w:p>
    <w:p>
      <w:pPr>
        <w:ind w:left="660" w:right="60" w:hanging="652"/>
        <w:spacing w:after="0" w:line="235" w:lineRule="auto"/>
        <w:tabs>
          <w:tab w:leader="none" w:pos="66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04"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Revenues and Volumes. </w:t>
      </w:r>
      <w:r>
        <w:rPr>
          <w:rFonts w:ascii="Arial" w:cs="Arial" w:eastAsia="Arial" w:hAnsi="Arial"/>
          <w:sz w:val="18"/>
          <w:szCs w:val="18"/>
          <w:color w:val="auto"/>
        </w:rPr>
        <w:t>As noted in the table above, our Facilities segment revenues increased by $19 million and $28 million for the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compared to the three and nine months ended September 30, 2015, respectively. Total volumes increased for both comparative periods presented. Our Facilities segment results for the comparative periods were impacted by:</w:t>
      </w:r>
    </w:p>
    <w:p>
      <w:pPr>
        <w:spacing w:after="0" w:line="181" w:lineRule="exact"/>
        <w:rPr>
          <w:sz w:val="20"/>
          <w:szCs w:val="20"/>
          <w:color w:val="auto"/>
        </w:rPr>
      </w:pPr>
    </w:p>
    <w:p>
      <w:pPr>
        <w:ind w:left="660" w:right="240" w:hanging="328"/>
        <w:spacing w:after="0" w:line="27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Crude Oil Storage — Revenues increased by $5 million and $23 million for the three and nine months ended September 30, 2016, respectively, as compared to the three and nine months ended September 30, 2015 primarily due to (i) increased utilization at certain of our West Coast terminals and (ii) aggregate capacity expansions of approximately 5 million barrels at our St. James and Cushing terminals. Such increases were partially offset by lower results due to the sale of certain of our East Coast terminals in April 2016.</w:t>
      </w:r>
    </w:p>
    <w:p>
      <w:pPr>
        <w:spacing w:after="0" w:line="171" w:lineRule="exact"/>
        <w:rPr>
          <w:rFonts w:ascii="Arial" w:cs="Arial" w:eastAsia="Arial" w:hAnsi="Arial"/>
          <w:sz w:val="17"/>
          <w:szCs w:val="17"/>
          <w:color w:val="auto"/>
        </w:rPr>
      </w:pPr>
    </w:p>
    <w:p>
      <w:pPr>
        <w:ind w:left="660" w:right="100" w:hanging="328"/>
        <w:spacing w:after="0" w:line="27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Rail Terminals — Revenues decreased by $1 million and $16 million for the three and nine month comparative periods, respectively, primarily due to lower volumes at our U.S. terminals as a result of production declines in the Bakken and less favorable market conditions, partially offset by revenue associated with minimum volume commitments entered into during 2016 at certain of our terminals, and revenues and volumes from our Canadian NGL rail terminal that came online in April 2016. The three-month comparative period was further favorably impacted by the recognition of revenue associated with minimum volume commitments that had been deferred in prior quarters of 2016.</w:t>
      </w:r>
    </w:p>
    <w:p>
      <w:pPr>
        <w:spacing w:after="0" w:line="172" w:lineRule="exact"/>
        <w:rPr>
          <w:rFonts w:ascii="Arial" w:cs="Arial" w:eastAsia="Arial" w:hAnsi="Arial"/>
          <w:sz w:val="17"/>
          <w:szCs w:val="17"/>
          <w:color w:val="auto"/>
        </w:rPr>
      </w:pPr>
    </w:p>
    <w:p>
      <w:pPr>
        <w:ind w:left="660" w:hanging="328"/>
        <w:spacing w:after="0" w:line="27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NGL Storage, NGL Fractionation and Canadian Natural Gas Processing — Revenues increased by $18 million and $25 million for the three and nine months ended September 30, 2016, respectively, compared to the same periods in 2015 primarily due to (i) contributions from the Western Canada NGL assets we acquired in August 2016 and (ii) higher fees at certain of our NGL storage and fractionation facilities. For the nine-month comparative period, such increases were partially offset by unfavorable foreign exchange impacts of approximately $10 million.</w:t>
      </w:r>
    </w:p>
    <w:p>
      <w:pPr>
        <w:spacing w:after="0" w:line="17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Field operating costs (excluding equity-indexed compensation expense) decreased for the three and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2016 compared to the three and nine months ended September 30, 2015 primarily due to lower costs related to contract services, primarily at our rail terminals and, to a lesser extent, at our processing facilities, as well as the impact of the sale of certain of our East Coast terminals in April 2016. The nine-month comparative period was also impacted by lower utilities costs and a favorable foreign exchange impact of $5 million. These decreases were partially offset by an increase in operating costs due to the Western Canada NGL assets acquired in August 2016.</w:t>
      </w:r>
    </w:p>
    <w:p>
      <w:pPr>
        <w:spacing w:after="0" w:line="17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(excluding equity-indexed compensation expense) decreased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nine months ended September 30, 2016 compared to the three and nine months ended September 30, 2015 primarily due to cost reduction efforts and lower costs incurred for legal fees.</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for the nine months ended September 30, 2016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was primarily due to lower spending on various tank and other maintenance capital projects, partially due to the timing of certain 2015 projects at our NGL storage and fractionation facilities.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our segment profit is impacted by (i) increases or decreases in our Supply and Logistics segment volumes (which consist of lease gathering crude oil purchases volumes, NGL sales volumes and waterborne cargos), (ii) the effects of competition on our lease gathering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segment profit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11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7"/>
              </w:rPr>
              <w:t>Favorable/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Favorable/(Unfavorable)Variance</w:t>
            </w:r>
          </w:p>
        </w:tc>
        <w:tc>
          <w:tcPr>
            <w:tcW w:w="18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2"/>
        </w:trPr>
        <w:tc>
          <w:tcPr>
            <w:tcW w:w="3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240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6"/>
                <w:szCs w:val="16"/>
                <w:color w:val="auto"/>
              </w:rPr>
            </w:pPr>
          </w:p>
        </w:tc>
        <w:tc>
          <w:tcPr>
            <w:tcW w:w="11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5"/>
              </w:rPr>
              <w:t>Variance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32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(13,031)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(16,553)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0"/>
        </w:trPr>
        <w:tc>
          <w:tcPr>
            <w:tcW w:w="32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w w:val="99"/>
              </w:rPr>
              <w:t>Equity-indexed compensation expense -</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auto"/>
            </w:tcBorders>
            <w:gridSpan w:val="2"/>
          </w:tcPr>
          <w:p>
            <w:pPr>
              <w:ind w:left="6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40" w:type="dxa"/>
            <w:vAlign w:val="bottom"/>
            <w:gridSpan w:val="2"/>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Equity-indexed compensation</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(expense)/benefit - general and</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2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w:t>
            </w:r>
          </w:p>
        </w:tc>
        <w:tc>
          <w:tcPr>
            <w:tcW w:w="0" w:type="dxa"/>
            <w:vAlign w:val="bottom"/>
          </w:tcPr>
          <w:p>
            <w:pPr>
              <w:spacing w:after="0"/>
              <w:rPr>
                <w:sz w:val="1"/>
                <w:szCs w:val="1"/>
                <w:color w:val="auto"/>
              </w:rPr>
            </w:pPr>
          </w:p>
        </w:tc>
      </w:tr>
      <w:tr>
        <w:trPr>
          <w:trHeight w:val="251"/>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profit/(loss) per barrel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24"/>
                <w:szCs w:val="24"/>
                <w:color w:val="auto"/>
              </w:rPr>
            </w:pPr>
          </w:p>
        </w:tc>
        <w:tc>
          <w:tcPr>
            <w:tcW w:w="11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7"/>
              </w:rPr>
              <w:t>Favorable/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0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Favorable/(Unfavorable)Variance</w:t>
            </w:r>
          </w:p>
        </w:tc>
        <w:tc>
          <w:tcPr>
            <w:tcW w:w="180" w:type="dxa"/>
            <w:vAlign w:val="bottom"/>
          </w:tcPr>
          <w:p>
            <w:pPr>
              <w:spacing w:after="0"/>
              <w:rPr>
                <w:sz w:val="12"/>
                <w:szCs w:val="12"/>
                <w:color w:val="auto"/>
              </w:rPr>
            </w:pPr>
          </w:p>
        </w:tc>
        <w:tc>
          <w:tcPr>
            <w:tcW w:w="18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192"/>
        </w:trPr>
        <w:tc>
          <w:tcPr>
            <w:tcW w:w="3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240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6"/>
                <w:szCs w:val="16"/>
                <w:color w:val="auto"/>
              </w:rPr>
            </w:pPr>
          </w:p>
        </w:tc>
        <w:tc>
          <w:tcPr>
            <w:tcW w:w="116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5"/>
              </w:rPr>
              <w:t>Variance</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89"/>
              </w:rPr>
              <w:t>Volumes</w:t>
            </w:r>
          </w:p>
        </w:tc>
        <w:tc>
          <w:tcPr>
            <w:tcW w:w="120" w:type="dxa"/>
            <w:vAlign w:val="bottom"/>
            <w:tcBorders>
              <w:top w:val="single" w:sz="8" w:color="auto"/>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5"/>
              </w:rPr>
              <w:t>Volumes</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24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0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Waterborne cargos</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57"/>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Supply and Logistics segment total</w:t>
            </w: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w:t>
      </w:r>
    </w:p>
    <w:p>
      <w:pPr>
        <w:spacing w:after="0" w:line="15"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23"/>
          <w:szCs w:val="23"/>
          <w:color w:val="auto"/>
          <w:vertAlign w:val="superscript"/>
        </w:rPr>
      </w:pPr>
      <w:r>
        <w:rPr>
          <w:rFonts w:ascii="Arial" w:cs="Arial" w:eastAsia="Arial" w:hAnsi="Arial"/>
          <w:sz w:val="17"/>
          <w:szCs w:val="17"/>
          <w:color w:val="auto"/>
        </w:rPr>
        <w:t>Revenues and costs include intersegment amounts.</w:t>
      </w:r>
    </w:p>
    <w:p>
      <w:pPr>
        <w:spacing w:after="0" w:line="201" w:lineRule="exact"/>
        <w:rPr>
          <w:rFonts w:ascii="Arial" w:cs="Arial" w:eastAsia="Arial" w:hAnsi="Arial"/>
          <w:sz w:val="23"/>
          <w:szCs w:val="23"/>
          <w:color w:val="auto"/>
          <w:vertAlign w:val="superscript"/>
        </w:rPr>
      </w:pPr>
    </w:p>
    <w:p>
      <w:pPr>
        <w:ind w:left="660" w:right="80" w:hanging="652"/>
        <w:spacing w:after="0" w:line="252"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Purchases and related costs include interest expense (related to hedged inventory purchases) of $5 million and $1 million for the three months ended September 30, 2016 and 2015, respectively, and $10 million and $4 million for the nine months ended September 30, 2016 and 2015, respectively.</w:t>
      </w:r>
    </w:p>
    <w:p>
      <w:pPr>
        <w:spacing w:after="0" w:line="189" w:lineRule="exact"/>
        <w:rPr>
          <w:rFonts w:ascii="Arial" w:cs="Arial" w:eastAsia="Arial" w:hAnsi="Arial"/>
          <w:sz w:val="22"/>
          <w:szCs w:val="22"/>
          <w:color w:val="auto"/>
          <w:vertAlign w:val="superscript"/>
        </w:rPr>
      </w:pPr>
    </w:p>
    <w:p>
      <w:pPr>
        <w:ind w:left="660" w:right="40" w:hanging="652"/>
        <w:spacing w:after="0" w:line="216"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203" w:lineRule="exact"/>
        <w:rPr>
          <w:rFonts w:ascii="Arial" w:cs="Arial" w:eastAsia="Arial" w:hAnsi="Arial"/>
          <w:sz w:val="25"/>
          <w:szCs w:val="25"/>
          <w:color w:val="auto"/>
          <w:vertAlign w:val="superscript"/>
        </w:rPr>
      </w:pPr>
    </w:p>
    <w:p>
      <w:pPr>
        <w:ind w:left="660" w:right="260" w:hanging="652"/>
        <w:spacing w:after="0" w:line="252"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89" w:lineRule="exact"/>
        <w:rPr>
          <w:rFonts w:ascii="Arial" w:cs="Arial" w:eastAsia="Arial" w:hAnsi="Arial"/>
          <w:sz w:val="22"/>
          <w:szCs w:val="22"/>
          <w:color w:val="auto"/>
          <w:vertAlign w:val="superscript"/>
        </w:rPr>
      </w:pPr>
    </w:p>
    <w:p>
      <w:pPr>
        <w:ind w:left="660"/>
        <w:spacing w:after="0"/>
        <w:rPr>
          <w:rFonts w:ascii="Arial" w:cs="Arial" w:eastAsia="Arial" w:hAnsi="Arial"/>
          <w:sz w:val="22"/>
          <w:szCs w:val="22"/>
          <w:color w:val="auto"/>
          <w:vertAlign w:val="superscript"/>
        </w:rPr>
      </w:pPr>
      <w:r>
        <w:rPr>
          <w:rFonts w:ascii="Arial" w:cs="Arial" w:eastAsia="Arial" w:hAnsi="Arial"/>
          <w:sz w:val="18"/>
          <w:szCs w:val="18"/>
          <w:color w:val="auto"/>
        </w:rPr>
        <w:t>The following table presents the range of the NYMEX WTI benchmark price of crude oil (in dollars per barrel):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2016</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September 30, 2015</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Nine months ended September 30, 2016</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2015</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r>
      <w:tr>
        <w:trPr>
          <w:trHeight w:val="27"/>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three and nine months ended September 30, 2016 compared to the same periods in 2015 due to lower crude oil and NGL prices.</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During certain transitional periods, such as this extended period of lower crude oil prices, the ability to generate above base level earnings is challenging, and taking into account the over-capacity of midstream assets and increased competition that currently exists in most crude oil producing regions, generating even baseline level performance is challenging. Our NGL operations are also impacted by similar competitive pressures. In addition, 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discussion of items impacting Supply and Logistics segment profit and segment profit per barrel for the periods indicated.</w:t>
      </w:r>
    </w:p>
    <w:p>
      <w:pPr>
        <w:spacing w:after="0" w:line="23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 xml:space="preserve">Net Revenues and Volumes. </w:t>
      </w:r>
      <w:r>
        <w:rPr>
          <w:rFonts w:ascii="Arial" w:cs="Arial" w:eastAsia="Arial" w:hAnsi="Arial"/>
          <w:sz w:val="18"/>
          <w:szCs w:val="18"/>
          <w:color w:val="auto"/>
        </w:rPr>
        <w:t>Our Supply and Logistics segment revenues, net of purchases and related costs, decreased by $131 million and $363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and nine months ended September 30, 2016 compared to the three and nine months ended September 30, 2015, respectively. The following summarizes the significant items impacting the comparative periods:</w:t>
      </w:r>
    </w:p>
    <w:p>
      <w:pPr>
        <w:spacing w:after="0" w:line="181" w:lineRule="exact"/>
        <w:rPr>
          <w:sz w:val="20"/>
          <w:szCs w:val="20"/>
          <w:color w:val="auto"/>
        </w:rPr>
      </w:pPr>
    </w:p>
    <w:p>
      <w:pPr>
        <w:ind w:left="980" w:right="140" w:hanging="324"/>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and nine months ended September 30, 2016 as compared to the same 2015 periods, primarily due to increased competition, largely due to overbuilt infrastructure underwritten with volume commitments and the effect of such on differentials, as well as volume declines in certain areas, that have negatively impacted our unit margins.</w:t>
      </w:r>
    </w:p>
    <w:p>
      <w:pPr>
        <w:spacing w:after="0" w:line="186" w:lineRule="exact"/>
        <w:rPr>
          <w:rFonts w:ascii="Arial" w:cs="Arial" w:eastAsia="Arial" w:hAnsi="Arial"/>
          <w:sz w:val="18"/>
          <w:szCs w:val="18"/>
          <w:color w:val="auto"/>
        </w:rPr>
      </w:pPr>
    </w:p>
    <w:p>
      <w:pPr>
        <w:ind w:left="980" w:right="120" w:hanging="324"/>
        <w:spacing w:after="0" w:line="279"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NGL Operations — Net revenues from our NGL operations decreased for the three and nine months ended September 30, 2016 as compared to the three and nine months ended September 30, 2015, largely due to (i) higher storage and processing fees for the 2016 periods and (ii) higher supply costs driven by competition. The nine-month comparative period was further unfavorably impacted by softer propane sales margins in the first quarter of 2016 versus the first quarter of 2015 resulting from a shorter and milder winter.</w:t>
      </w:r>
    </w:p>
    <w:p>
      <w:pPr>
        <w:spacing w:after="0" w:line="171" w:lineRule="exact"/>
        <w:rPr>
          <w:rFonts w:ascii="Arial" w:cs="Arial" w:eastAsia="Arial" w:hAnsi="Arial"/>
          <w:sz w:val="17"/>
          <w:szCs w:val="17"/>
          <w:color w:val="auto"/>
        </w:rPr>
      </w:pPr>
    </w:p>
    <w:p>
      <w:pPr>
        <w:ind w:left="980" w:right="80" w:hanging="324"/>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Exchange Impacts — Our results are impacted by fluctuations in the value of CAD to USD, resulting in foreign exchange gains and losses on U.S. denominated net assets within our Canadian operations. The changes in exchange rates during each period resulted in a unfavorable variances of $1 million and $32 million for the three and nine months ended September 30, 2016 compared to the three and months ended September 30, 2015, respectively.</w:t>
      </w:r>
    </w:p>
    <w:p>
      <w:pPr>
        <w:spacing w:after="0" w:line="186" w:lineRule="exact"/>
        <w:rPr>
          <w:rFonts w:ascii="Arial" w:cs="Arial" w:eastAsia="Arial" w:hAnsi="Arial"/>
          <w:sz w:val="18"/>
          <w:szCs w:val="18"/>
          <w:color w:val="auto"/>
        </w:rPr>
      </w:pPr>
    </w:p>
    <w:p>
      <w:pPr>
        <w:ind w:left="980" w:right="40"/>
        <w:spacing w:after="0" w:line="264" w:lineRule="auto"/>
        <w:rPr>
          <w:rFonts w:ascii="Arial" w:cs="Arial" w:eastAsia="Arial" w:hAnsi="Arial"/>
          <w:sz w:val="18"/>
          <w:szCs w:val="18"/>
          <w:color w:val="auto"/>
        </w:rPr>
      </w:pPr>
      <w:r>
        <w:rPr>
          <w:rFonts w:ascii="Arial" w:cs="Arial" w:eastAsia="Arial" w:hAnsi="Arial"/>
          <w:sz w:val="18"/>
          <w:szCs w:val="18"/>
          <w:color w:val="auto"/>
        </w:rPr>
        <w:t>Furthermore, for the nine months ended September 30, 2016 compared to the nine months ended September 30, 2015, the depreciation of CAD relative to USD resulted in lower USD costs of approximately $15 million. Such costs were primarily associated with intercompany facility fees and were largely offset in our Facilities segment results.</w:t>
      </w:r>
    </w:p>
    <w:p>
      <w:pPr>
        <w:spacing w:after="0" w:line="181"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Impact from Certain Derivative Activities, Net of Inventory Valuation Adjustments — The mark-to-market of certain of our derivative activities impacted our net revenues as shown in the table below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64"/>
        </w:trPr>
        <w:tc>
          <w:tcPr>
            <w:tcW w:w="29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99"/>
              <w:spacing w:after="0"/>
              <w:rPr>
                <w:sz w:val="20"/>
                <w:szCs w:val="20"/>
                <w:color w:val="auto"/>
              </w:rPr>
            </w:pPr>
            <w:r>
              <w:rPr>
                <w:rFonts w:ascii="Arial" w:cs="Arial" w:eastAsia="Arial" w:hAnsi="Arial"/>
                <w:sz w:val="14"/>
                <w:szCs w:val="14"/>
                <w:b w:val="1"/>
                <w:bCs w:val="1"/>
                <w:color w:val="auto"/>
                <w:w w:val="95"/>
              </w:rPr>
              <w:t>Variance</w:t>
            </w:r>
          </w:p>
        </w:tc>
      </w:tr>
      <w:tr>
        <w:trPr>
          <w:trHeight w:val="215"/>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Gains/(losses) from certain derivative</w:t>
            </w: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activities net of inventory valuation</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57"/>
        </w:trPr>
        <w:tc>
          <w:tcPr>
            <w:tcW w:w="294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shd w:val="clear" w:color="auto" w:fill="CCEEFF"/>
          </w:tcPr>
          <w:p>
            <w:pPr>
              <w:spacing w:after="0"/>
              <w:rPr>
                <w:sz w:val="22"/>
                <w:szCs w:val="2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bl>
    <w:p>
      <w:pPr>
        <w:ind w:left="980"/>
        <w:spacing w:after="0"/>
        <w:rPr>
          <w:sz w:val="20"/>
          <w:szCs w:val="20"/>
          <w:color w:val="auto"/>
        </w:rPr>
      </w:pPr>
      <w:r>
        <w:rPr>
          <w:rFonts w:ascii="Arial" w:cs="Arial" w:eastAsia="Arial" w:hAnsi="Arial"/>
          <w:sz w:val="18"/>
          <w:szCs w:val="18"/>
          <w:color w:val="auto"/>
        </w:rPr>
        <w:t>___________________________________________</w:t>
      </w:r>
    </w:p>
    <w:p>
      <w:pPr>
        <w:spacing w:after="0" w:line="49" w:lineRule="exact"/>
        <w:rPr>
          <w:sz w:val="20"/>
          <w:szCs w:val="20"/>
          <w:color w:val="auto"/>
        </w:rPr>
      </w:pPr>
    </w:p>
    <w:p>
      <w:pPr>
        <w:ind w:left="1620" w:hanging="640"/>
        <w:spacing w:after="0" w:line="235" w:lineRule="auto"/>
        <w:tabs>
          <w:tab w:leader="none" w:pos="1620" w:val="left"/>
        </w:tabs>
        <w:numPr>
          <w:ilvl w:val="1"/>
          <w:numId w:val="30"/>
        </w:numPr>
        <w:rPr>
          <w:rFonts w:ascii="Arial" w:cs="Arial" w:eastAsia="Arial" w:hAnsi="Arial"/>
          <w:sz w:val="25"/>
          <w:szCs w:val="25"/>
          <w:color w:val="auto"/>
          <w:vertAlign w:val="superscript"/>
        </w:rPr>
      </w:pPr>
      <w:r>
        <w:rPr>
          <w:rFonts w:ascii="Arial" w:cs="Arial" w:eastAsia="Arial" w:hAnsi="Arial"/>
          <w:sz w:val="18"/>
          <w:szCs w:val="18"/>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9 to our Condensed Consolidated Financial Statements for a comprehensive discussion regarding our derivatives and risk management activities.</w:t>
      </w:r>
    </w:p>
    <w:p>
      <w:pPr>
        <w:spacing w:after="0" w:line="204" w:lineRule="exact"/>
        <w:rPr>
          <w:rFonts w:ascii="Arial" w:cs="Arial" w:eastAsia="Arial" w:hAnsi="Arial"/>
          <w:sz w:val="25"/>
          <w:szCs w:val="25"/>
          <w:color w:val="auto"/>
          <w:vertAlign w:val="superscript"/>
        </w:rPr>
      </w:pPr>
    </w:p>
    <w:p>
      <w:pPr>
        <w:ind w:left="980" w:right="20" w:hanging="324"/>
        <w:spacing w:after="0" w:line="272"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Long-Term Inventory Costing Adjustment — Our operating results are impacted by changes in the weighted average cost of our crude oil and NGL inventory pools that result from price movements during the periods. Such costing adjustments resulted in unfavorable impacts of $38 million and $47 million for the three months ended September 30, 2016 and 2015, respectively, and favorable impacts of $6 million and unfavorable impacts of $62 million for the nine months ended September 30, 2016 and 2015, respectively, due to price changes during each period.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(excluding equity-indexed compensation expense)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compared to the three and nine months ended September 30, 2015 was primarily due to a combination of (i) lower lease gathering volumes, (ii) shorter truck hauls and reduced use of third party trucking services as pipeline expansion projects were placed into service and (iii) a decrease in fuel prices.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decrease in general and administrative expenses (excluding equity-indexed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nine months ended September 30, 2016 compared to the three and nine months ended September 30, 2015 was primarily due to lower salary and other personnel costs and reduced spending on legal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Depreciation and amortization expense for the three and nine months ended September 30, 2016 includes net gains of approximately $84 million and $99 million, respectively, which were primarily associated with non-core asset sales and joint venture formations during the periods. Excluding such gains, depreciation and amortization expense increased for the three and nine months ended September 30, 2016 compared to the three and nine months ended September 30, 2015 primarily due to additional depreciation expense associated with various capital expansion projects completed since the 2015 periods and the write off of costs associated with the discontinuation of certain projects during 2016. Additionally, the nine-month comparative period was impacted in the second quarter of 2016 by impairment losses of approximately $80 million associated with certain of our rail and other terminal assets and an $18 million charge related to assets taken out of service.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increase in interest expense for the three and nine months ended September 30, 2016 over the three and nine months ended September 30, 2015 was primarily due to a higher weighted average debt balance largely driven by our August 2015 $1.0 billion senior note issuance, partially offset by the maturity of $150 million and $400 million of our senior notes in June 2015 and September 2015, respectively, and our $175 million senior notes in August 2016.</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Other income/(expense), net for the three and nine months ended September 30, 2016 was impacted by gains of $17 million and $42 million, respectively, related to the mark-to-market adjustment of our Preferred Distribution Rate Reset Option. See Note 9 to our Condensed Consolidated Financial Statements for additional information. Excluding such gains, Other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income/(expense), net in each of the periods presented was primarily comprised of foreign currency gains or losses related to revaluations of CAD-denominated interest receivables associated with intercompany 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Income tax expense decreased for the three and nine months ended September 30, 2016 compared to the three and nine months ended September 30, 2015 primarily due to lower year over year income as impacted by fluctuations in derivative mark-to-market valuations in our Canadian operations, partially offset by Canadian audit adjustments. The decrease in income tax expense for the nine month comparative period was also due to the cumulative revaluation of Canadian net deferred tax liabilities resulting from a 2% Alberta, Canada provincial tax rate increase in the second quarter of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which occurred contemporaneously with attractive crude oil and liquids prices, during the approximately three year period through the end of 2014, U.S. crude oil and liquids production in the lower 48 states increased rapidly. This was particularly true for light crudes and condensates. Similar resource development activities in Canada and ongoing oil sands development activities also led to increased Canadian crude oil production during this period. Additionally, during this period, the crude oil market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However, the combination during such period of surging North American liquids production, relatively flat liquids production for the rest of the world and relatively modest growth in global liquids demand led to a supply imbalance, which in turn led to a significant and rapid reduction in petroleum prices.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 levels during the second half of 2014 and throughout 2015 relative to the levels experienced during 2013 and the first half of 2014 have led many producers, including North American producers, to significantly scale back capital programs. As a result, during 2015 and through the third quarter of 2016, the rate of growth of North American crude oil production slowed significantly and production levels began to decrease in many areas as producers have taken rigs out of service and deferred completions at an increased rate. While the recent increase in crude oil prices has led to increased rig activity in a few areas where we now anticipate production levels to increase, most notably the Permian Basin in West Texas and the STACK resource play in Oklahoma, the overall pace and depth of the reduction in drilling and completion activities by producers has been greater than anticipated by many market participants and observers; since the beginning of 2015, onshore rig counts for the lower 48 States have decreased approximately 70%. As a result of the combined effect of such overall reduced activity levels and the high decline rates for many of the producing wells that contribute towards current lower 48 onshore production levels, crude oil production declines are expected to continue during 2016 and potentially beyond in a number of onshore plays. While we believe that the larger North American resource base remains intact and will ultimately be developed, such production will likely take place at a slower pace and previously anticipated peak production levels will likely be reduced. This slowdown and reduction in North American production coupled with past increases in infrastructure has led to a compression of basis differentials in a number of locations. Furthermore, many of these new infrastructure projects are supported by long-term minimum volume commitments whereby the shipper, based on an expectation of continued volume growth, has agreed to ship and pay for certain stated volumes. In many cases, the volume owned or controlled by a shipper is meaningfully below such shipper's shipping commitment, resulting in increased competition for the marginal uncommitted barrel, which has led to margin compression. In general, the impact of such developments has been more severe on us than we anticipated, in part due to infrastructure overbuild, but more critically the significant level of contractual overcommitments that has intensified the level of competition for the marginal barrel. This transitioning crude oil market presents challenges to both us and the overall midstream industry, and while we believe our integrated business model gives us competitive advantages, we may see a lower rate of cash flow and distribution growth than we would have otherwise experienced over the next several years. In addition, increased competition and compressed differentials may drive lower volumes and lower unit margins in parts of our business, particularly our Supply and Logistics segment.</w:t>
      </w:r>
    </w:p>
    <w:p>
      <w:pPr>
        <w:spacing w:after="0" w:line="17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While we believe that these recent market developments will continue to impede crude oil supply growth and contribute toward bringing the markets back to equilibrium, there can be no assurance that such equilibrium will be achieved or that we will not be negatively impacted by declining crude oil supply, low levels of volatility or challenging capital markets conditions. Additionally, construction of additional infrastructure by us and our competitors will likely lead to even greater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levels of excess takeaway capacity in certain areas for the near to medium term, which could further reduce unit margins in our various segments, and which could be exacerbated by declining levels of crude oil production. Finally, we cannot be certain that our expansion efforts will generate targeted returns or that any future acquisition activities will be successful. See “Risk Factors—Risks Related to Our Business” discussed in Item 1A of our 2015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primary sources of liquidity are (i) cash flow from operating activities, (ii) borrowings under our credit facilities or commercial paper program and (iii) funds received from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our long-term debt and</w:t>
      </w:r>
    </w:p>
    <w:p>
      <w:pPr>
        <w:spacing w:after="0" w:line="2" w:lineRule="exact"/>
        <w:rPr>
          <w:sz w:val="20"/>
          <w:szCs w:val="20"/>
          <w:color w:val="auto"/>
        </w:rPr>
      </w:pPr>
    </w:p>
    <w:p>
      <w:pPr>
        <w:ind w:right="120" w:firstLine="8"/>
        <w:spacing w:after="0" w:line="288"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distributions to our unitholders and general partner.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From time to time, we may also complete strategic divestitures, including non-core asset sales and/or sales of partial interests in assets to strategic partners. As of September 30, 2016, although we had a working capital deficit of $304 million, we had approximately $2.5 billion of liquidity available to meet our ongoing operating, investing and financing needs, subject to continued covenant compliance, as noted below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September 30, 2016</w:t>
            </w:r>
          </w:p>
        </w:tc>
        <w:tc>
          <w:tcPr>
            <w:tcW w:w="0" w:type="dxa"/>
            <w:vAlign w:val="bottom"/>
          </w:tcPr>
          <w:p>
            <w:pPr>
              <w:spacing w:after="0"/>
              <w:rPr>
                <w:sz w:val="1"/>
                <w:szCs w:val="1"/>
                <w:color w:val="auto"/>
              </w:rPr>
            </w:pP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5"/>
                <w:szCs w:val="25"/>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5"/>
                <w:szCs w:val="25"/>
                <w:color w:val="auto"/>
                <w:vertAlign w:val="superscript"/>
              </w:rPr>
              <w:t>(1) (2)</w:t>
            </w: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senior unsecured 364-day 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commercial paper program</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our commercial paper program, which reduce available capacity under the facilities.</w:t>
      </w:r>
    </w:p>
    <w:p>
      <w:pPr>
        <w:spacing w:after="0" w:line="203" w:lineRule="exact"/>
        <w:rPr>
          <w:rFonts w:ascii="Arial" w:cs="Arial" w:eastAsia="Arial" w:hAnsi="Arial"/>
          <w:sz w:val="25"/>
          <w:szCs w:val="25"/>
          <w:color w:val="auto"/>
          <w:vertAlign w:val="superscript"/>
        </w:rPr>
      </w:pPr>
    </w:p>
    <w:p>
      <w:pPr>
        <w:ind w:left="660" w:right="16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senior unsecured revolving credit facility and the senior secured hedged inventory facility was reduced by outstanding letters of credit of $17 million and $30 million, respectively.</w:t>
      </w:r>
    </w:p>
    <w:p>
      <w:pPr>
        <w:spacing w:after="0" w:line="20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commercial paper program and credit facilities, which we use to meet our short-term cash needs. We believe that our financial position remains solid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2015 Annual Report on Form 10-K for further discussion regarding such risks that may impact our liquidity and capital resources. Usage of the credit facilities, which provide the backstop for the commercial paper program, is subject to ongoing compliance with covenants. As of September 30, 2016, we were in compliance with all such covenants.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2015 Annual Report on Form 10-K.</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Net cash provided by operating activities for the first nine months of 2016 and 2015 was $642 million and $1.2 billion, respectively, and primarily resulted from earnings from our operations. Additionally, during the nine months ended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September 30, 2016, we increased our inventory levels and margin balances required as part of our hedging activities that were funded by short-term debt, resulting in an unfavorable impact on our cash provided by operating activities.</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 xml:space="preserve">Minimum Volume Commitments. </w:t>
      </w:r>
      <w:r>
        <w:rPr>
          <w:rFonts w:ascii="Arial" w:cs="Arial" w:eastAsia="Arial" w:hAnsi="Arial"/>
          <w:sz w:val="16"/>
          <w:szCs w:val="16"/>
          <w:color w:val="auto"/>
        </w:rPr>
        <w:t>We have certain agreements that require counterparties to deliver, transport or throughput a minimum volume over</w:t>
      </w:r>
      <w:r>
        <w:rPr>
          <w:rFonts w:ascii="Arial" w:cs="Arial" w:eastAsia="Arial" w:hAnsi="Arial"/>
          <w:sz w:val="16"/>
          <w:szCs w:val="16"/>
          <w:i w:val="1"/>
          <w:iCs w:val="1"/>
          <w:color w:val="auto"/>
        </w:rPr>
        <w:t xml:space="preserve"> </w:t>
      </w:r>
      <w:r>
        <w:rPr>
          <w:rFonts w:ascii="Arial" w:cs="Arial" w:eastAsia="Arial" w:hAnsi="Arial"/>
          <w:sz w:val="16"/>
          <w:szCs w:val="16"/>
          <w:color w:val="auto"/>
        </w:rPr>
        <w:t>an agreed upon period. Some of these agreements include make-up rights if the minimum volume is not met. At September 30, 2016, counterparty deficiencies associated with agreements that include minimum volume commitments totaled $83 million.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 make-up right and subsequently recognize the revenue at the earlier of when the deficiency volume is delivered or shipped, when the make-up right expires or when it is determined that the counterparty’s ability to utilize the make-up right is remote. Deferred revenue associated with non-performance under minimum volume contracts could be significant and could adversely affect our profitability and earnings, but generally does not impact our liquidity.</w:t>
      </w:r>
    </w:p>
    <w:p>
      <w:pPr>
        <w:spacing w:after="0" w:line="166"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As of September 30, 2016, we had deferred revenue associated with minimum volume commitments of $72 million. In addition to the amounts recorded as deferred revenue, as of September 30, 2016, there was $11 million of accrued deficiencies for which the counterparties had not met their contractual minimum commitments, but we had not yet billed or collected such amounts.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Capital Expenditures and Divestitures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addition to our operating needs discussed above, we also use cash for our acquisition activities and capital projects. We have made and will continue to make capital expenditures for acquisitions, expansion capital and maintenance capital.</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During the nine months ended September 30, 2016 and 2015, we paid cash of $282 million (net of cash acquired of $7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$104 million, respectively, for acquisitions. The acquisitions for the nine months ended September 30, 2016 included an integrated system of NGL assets in Western Canada for a cash purchase price of approximately $204 million. In addition, during the first nine months of 2016, we completed the sale of various non-core assets, as well as the sale of 50% of our investment in each of Cheyenne Pipeline LLC and STACK Pipeline LLC, for cash proceeds of $638 million. We have signed definitive agreements to sell additional non-core assets, which we expect to be consummated in the fourth quarter of 2016 or the first half of 2017, subject to customary closing conditions, as applicable.</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2016 Capital Projects. </w:t>
      </w:r>
      <w:r>
        <w:rPr>
          <w:rFonts w:ascii="Arial" w:cs="Arial" w:eastAsia="Arial" w:hAnsi="Arial"/>
          <w:sz w:val="16"/>
          <w:szCs w:val="16"/>
          <w:color w:val="auto"/>
        </w:rPr>
        <w:t>We invested approximately $1.065 billion in midstream infrastructure during the nine months ended September 30, 2016. See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and Capital Projects” for detail of our projected capital expenditures for the year ending December 31, 2016. We expect the majority of funding for our 2016 capital program will be provided by the proceeds from our January 2016 Series A preferred unit offering, the sale of various non-core assets throughout the year, the issuance of common units under our continuous offering program and through the potential issuance of long-term debt.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financing activities primarily relate to funding expansion capital projects, acquisitions and refinancing of our debt maturities, as well as short-term working capital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 and general partner.</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that, subject to effectiveness at the time of use, allows us to issue up to an aggregate of $2.0 billion of debt or equity securities (“Traditional Shelf”). At September 30, 2016, we had approximately $1.7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WKSI Shelf during the nine months ended September 30, 2016.</w:t>
      </w:r>
    </w:p>
    <w:p>
      <w:pPr>
        <w:spacing w:after="0" w:line="193" w:lineRule="exact"/>
        <w:rPr>
          <w:sz w:val="20"/>
          <w:szCs w:val="20"/>
          <w:color w:val="auto"/>
        </w:rPr>
      </w:pPr>
    </w:p>
    <w:p>
      <w:pPr>
        <w:jc w:val="both"/>
        <w:ind w:right="240" w:firstLine="675"/>
        <w:spacing w:after="0" w:line="302" w:lineRule="auto"/>
        <w:rPr>
          <w:sz w:val="20"/>
          <w:szCs w:val="20"/>
          <w:color w:val="auto"/>
        </w:rPr>
      </w:pPr>
      <w:r>
        <w:rPr>
          <w:rFonts w:ascii="Arial" w:cs="Arial" w:eastAsia="Arial" w:hAnsi="Arial"/>
          <w:sz w:val="16"/>
          <w:szCs w:val="16"/>
          <w:i w:val="1"/>
          <w:iCs w:val="1"/>
          <w:color w:val="auto"/>
        </w:rPr>
        <w:t xml:space="preserve">Continuous Offering Program. </w:t>
      </w:r>
      <w:r>
        <w:rPr>
          <w:rFonts w:ascii="Arial" w:cs="Arial" w:eastAsia="Arial" w:hAnsi="Arial"/>
          <w:sz w:val="16"/>
          <w:szCs w:val="16"/>
          <w:color w:val="auto"/>
        </w:rPr>
        <w:t>During the nine months ended September 30, 2016, we issued an aggregate of approximately 9.9 million common</w:t>
      </w:r>
      <w:r>
        <w:rPr>
          <w:rFonts w:ascii="Arial" w:cs="Arial" w:eastAsia="Arial" w:hAnsi="Arial"/>
          <w:sz w:val="16"/>
          <w:szCs w:val="16"/>
          <w:i w:val="1"/>
          <w:iCs w:val="1"/>
          <w:color w:val="auto"/>
        </w:rPr>
        <w:t xml:space="preserve"> </w:t>
      </w:r>
      <w:r>
        <w:rPr>
          <w:rFonts w:ascii="Arial" w:cs="Arial" w:eastAsia="Arial" w:hAnsi="Arial"/>
          <w:sz w:val="16"/>
          <w:szCs w:val="16"/>
          <w:color w:val="auto"/>
        </w:rPr>
        <w:t>units under our continuous offering program, generating proceeds of $289 million, including our general partner's proportionate capital contribution of $6 million, net of $2 million of commissions paid to our sales agents. The net proceeds from sales were used for general partnership purposes. Subsequent to September 30, 2016, we sold an additional 4.9 million common units under our continuous offering program, generating proceeds of $154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including our general partners' proportionate capital contribution of $3 million, net of $2 million of commissions to our sales agents.</w:t>
      </w:r>
    </w:p>
    <w:p>
      <w:pPr>
        <w:spacing w:after="0" w:line="225" w:lineRule="exact"/>
        <w:rPr>
          <w:sz w:val="20"/>
          <w:szCs w:val="20"/>
          <w:color w:val="auto"/>
        </w:rPr>
      </w:pPr>
    </w:p>
    <w:p>
      <w:pPr>
        <w:ind w:right="60" w:firstLine="675"/>
        <w:spacing w:after="0" w:line="259" w:lineRule="auto"/>
        <w:rPr>
          <w:sz w:val="20"/>
          <w:szCs w:val="20"/>
          <w:color w:val="auto"/>
        </w:rPr>
      </w:pPr>
      <w:r>
        <w:rPr>
          <w:rFonts w:ascii="Arial" w:cs="Arial" w:eastAsia="Arial" w:hAnsi="Arial"/>
          <w:sz w:val="18"/>
          <w:szCs w:val="18"/>
          <w:i w:val="1"/>
          <w:iCs w:val="1"/>
          <w:color w:val="auto"/>
        </w:rPr>
        <w:t xml:space="preserve">Series A Preferred Unit Issuance. </w:t>
      </w:r>
      <w:r>
        <w:rPr>
          <w:rFonts w:ascii="Arial" w:cs="Arial" w:eastAsia="Arial" w:hAnsi="Arial"/>
          <w:sz w:val="18"/>
          <w:szCs w:val="18"/>
          <w:color w:val="auto"/>
        </w:rPr>
        <w:t>On January 28, 2016, we completed the private placement of approximately 61.0 million Series A preferred units</w:t>
      </w:r>
      <w:r>
        <w:rPr>
          <w:rFonts w:ascii="Arial" w:cs="Arial" w:eastAsia="Arial" w:hAnsi="Arial"/>
          <w:sz w:val="18"/>
          <w:szCs w:val="18"/>
          <w:i w:val="1"/>
          <w:iCs w:val="1"/>
          <w:color w:val="auto"/>
        </w:rPr>
        <w:t xml:space="preserve"> </w:t>
      </w:r>
      <w:r>
        <w:rPr>
          <w:rFonts w:ascii="Arial" w:cs="Arial" w:eastAsia="Arial" w:hAnsi="Arial"/>
          <w:sz w:val="18"/>
          <w:szCs w:val="18"/>
          <w:color w:val="auto"/>
        </w:rPr>
        <w:t>at a price of $26.25 per unit resulting in total net proceeds to us, after deducting offering expenses and the 2% transaction fee due to the purchasers and including our 2% general partner’s proportionate contribution, of approximately $1.6 billion. We used the net proceeds for capital expenditures, repayment of debt and general partnership purposes.</w:t>
      </w:r>
    </w:p>
    <w:p>
      <w:pPr>
        <w:spacing w:after="0" w:line="187" w:lineRule="exact"/>
        <w:rPr>
          <w:sz w:val="20"/>
          <w:szCs w:val="20"/>
          <w:color w:val="auto"/>
        </w:rPr>
      </w:pPr>
    </w:p>
    <w:p>
      <w:pPr>
        <w:ind w:right="140" w:firstLine="675"/>
        <w:spacing w:after="0" w:line="279" w:lineRule="auto"/>
        <w:rPr>
          <w:sz w:val="20"/>
          <w:szCs w:val="20"/>
          <w:color w:val="auto"/>
        </w:rPr>
      </w:pPr>
      <w:r>
        <w:rPr>
          <w:rFonts w:ascii="Arial" w:cs="Arial" w:eastAsia="Arial" w:hAnsi="Arial"/>
          <w:sz w:val="17"/>
          <w:szCs w:val="17"/>
          <w:color w:val="auto"/>
        </w:rPr>
        <w:t>Our Series A preferred units rank senior to all classes or series of equity securities in us with respect to distribution rights. The holders of the Series A preferred units are entitled to receive quarterly distributions, subject to customary antidilution adjustments, of $0.525 per unit ($2.10 per unit annualized), commencing with the quarter ended March 31, 2016. With respect to any quarter ending on or prior to December 31, 2017, we may elect to pay distributions on the Series A preferred units in additional preferred units, in cash or a combination of both.</w:t>
      </w:r>
    </w:p>
    <w:p>
      <w:pPr>
        <w:spacing w:after="0" w:line="171" w:lineRule="exact"/>
        <w:rPr>
          <w:sz w:val="20"/>
          <w:szCs w:val="20"/>
          <w:color w:val="auto"/>
        </w:rPr>
      </w:pPr>
    </w:p>
    <w:p>
      <w:pPr>
        <w:jc w:val="both"/>
        <w:ind w:right="240" w:firstLine="675"/>
        <w:spacing w:after="0" w:line="264" w:lineRule="auto"/>
        <w:rPr>
          <w:sz w:val="20"/>
          <w:szCs w:val="20"/>
          <w:color w:val="auto"/>
        </w:rPr>
      </w:pPr>
      <w:r>
        <w:rPr>
          <w:rFonts w:ascii="Arial" w:cs="Arial" w:eastAsia="Arial" w:hAnsi="Arial"/>
          <w:sz w:val="18"/>
          <w:szCs w:val="18"/>
          <w:color w:val="auto"/>
        </w:rPr>
        <w:t>After two years, the Series A preferred units are convertible at the purchasers’ option into common units on a one-for-one basis, subject to certain conditions, and are convertible at our option in certain circumstances after three years. See Note 8 to our Condensed Consolidated Financial Statements for additional information regarding our Series A preferred units.</w:t>
      </w:r>
    </w:p>
    <w:p>
      <w:pPr>
        <w:spacing w:after="0" w:line="181" w:lineRule="exact"/>
        <w:rPr>
          <w:sz w:val="20"/>
          <w:szCs w:val="20"/>
          <w:color w:val="auto"/>
        </w:rPr>
      </w:pPr>
    </w:p>
    <w:p>
      <w:pPr>
        <w:ind w:firstLine="675"/>
        <w:spacing w:after="0" w:line="257"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Our credit agreements (which impact our ability to access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because they provide the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As of September 30, 2016, we were in compliance with the covenants contained in our credit agreements and indentures.</w:t>
      </w:r>
    </w:p>
    <w:p>
      <w:pPr>
        <w:spacing w:after="0" w:line="188"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During the nine months ended September 30, 2016, we had net repayments on our credit facilities and commercial paper program of $193 million. The net repayments resulted primarily from cash flow from operating activities and cash received from our equity activities, which offset borrowings during the period related to funding needs for (i) inventory purchases and related margin balances required as part of our hedging activities, (ii) capital investments, (iii) repayment of our $175 million senior notes in August 2016 and (iv) other general partnership purposes.</w:t>
      </w:r>
    </w:p>
    <w:p>
      <w:pPr>
        <w:spacing w:after="0" w:line="17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During the nine months ended September 30, 2015, we had net borrowings under our credit facilities and commercial paper program of $151 million. These net borrowings resulted primarily from funding needs for (i) internal capital projects, (ii) repayment of senior notes that matured during 2015 and (iii) other general partnership purposes, and were partially offset by repayments from cash received from our debt and equity activities.</w:t>
      </w:r>
    </w:p>
    <w:p>
      <w:pPr>
        <w:spacing w:after="0" w:line="1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August 2016, we extended the maturity dates of our senior unsecured revolving credit facility, senior secured hedged inventory facility and 364-day credit facility to August 2021, August 2019 and August 2017, respectively.</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 August 2016, our $175 million, 5.88% senior notes matured and were repaid with cash on hand and proceeds from borrowings under our commercial paper program.</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$400 million, 6.13% senior notes will mature in January 2017. We intend to use borrowings under our commercial paper program or our credit facilities to repay these senior notes when they mature.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Unitholders and General Partner</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i w:val="1"/>
          <w:iCs w:val="1"/>
          <w:color w:val="auto"/>
        </w:rPr>
        <w:t xml:space="preserve">Distributions to our Series A preferred unitholders. </w:t>
      </w:r>
      <w:r>
        <w:rPr>
          <w:rFonts w:ascii="Arial" w:cs="Arial" w:eastAsia="Arial" w:hAnsi="Arial"/>
          <w:sz w:val="18"/>
          <w:szCs w:val="18"/>
          <w:color w:val="auto"/>
        </w:rPr>
        <w:t>On November 14, 2016, we will issue 1,262,522 additional Series A preferred units in lieu of</w:t>
      </w:r>
      <w:r>
        <w:rPr>
          <w:rFonts w:ascii="Arial" w:cs="Arial" w:eastAsia="Arial" w:hAnsi="Arial"/>
          <w:sz w:val="18"/>
          <w:szCs w:val="18"/>
          <w:i w:val="1"/>
          <w:iCs w:val="1"/>
          <w:color w:val="auto"/>
        </w:rPr>
        <w:t xml:space="preserve"> </w:t>
      </w:r>
      <w:r>
        <w:rPr>
          <w:rFonts w:ascii="Arial" w:cs="Arial" w:eastAsia="Arial" w:hAnsi="Arial"/>
          <w:sz w:val="18"/>
          <w:szCs w:val="18"/>
          <w:color w:val="auto"/>
        </w:rPr>
        <w:t>paying a cash distribution of $33 million. See Note 8 to our Condensed Consolidated Financial Statements for details of distributions pertaining to the first nine months of 2016.</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Distributions to our common unitholders. </w:t>
      </w:r>
      <w:r>
        <w:rPr>
          <w:rFonts w:ascii="Arial" w:cs="Arial" w:eastAsia="Arial" w:hAnsi="Arial"/>
          <w:sz w:val="17"/>
          <w:szCs w:val="17"/>
          <w:color w:val="auto"/>
        </w:rPr>
        <w:t>We distribute 100% of our available cash within 45 days following the end of each quarter to common</w:t>
      </w:r>
      <w:r>
        <w:rPr>
          <w:rFonts w:ascii="Arial" w:cs="Arial" w:eastAsia="Arial" w:hAnsi="Arial"/>
          <w:sz w:val="17"/>
          <w:szCs w:val="17"/>
          <w:i w:val="1"/>
          <w:iCs w:val="1"/>
          <w:color w:val="auto"/>
        </w:rPr>
        <w:t xml:space="preserve"> </w:t>
      </w:r>
      <w:r>
        <w:rPr>
          <w:rFonts w:ascii="Arial" w:cs="Arial" w:eastAsia="Arial" w:hAnsi="Arial"/>
          <w:sz w:val="17"/>
          <w:szCs w:val="17"/>
          <w:color w:val="auto"/>
        </w:rPr>
        <w:t>unitholders of record and to our general partner.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On November 14, 2016, we will pay a quarterly distribution of $0.55 per common unit, which equates to a 21% reduction to the quarterly distribution paid in August 2016. We believe that this revised distribution level will significantly enhance our distribution coverage and credit profile. See Note 8 to our Condensed Consolidated Financial Statements for details of distributions paid during or pertaining to the first nine months of 2016. Also, see Item 5. “Market for Registrant’s Common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Units, Related Unitholder Matters and Issuer Purchases of Equity Securities—Cash Distribution Policy” included in our 2015 Annual Report on Form 10-K for additional discussion regarding distributions.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Simplification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11, 2016, PAA, PAGP, AAP, PAA GP, GP LLC and GP Holdings entered into a Simplification Agreement pursuant to which, upon closing,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exchange for the issuance by PAA to AAP of approximately 245.5 million common units representing limited partner interests in PAA (“PAA Common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Units”) and the assumption by PAA of AAP’s outstanding debt (as of September 30, 2016, approximately $603 million but expected to be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$641 million as of November 15, 2016), AAP will contribute the IDRs to PAA and PAA GP’s 2% economic general partner interest in PAA will be converted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into a non-economic general partner interest in PAA.</w:t>
      </w:r>
    </w:p>
    <w:p>
      <w:pPr>
        <w:spacing w:after="0" w:line="21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Following the closing of the transactions contemplated by the Simplification Agreement (the “Simplification Transactions”), which is expected to occur on November 15, 2016, both PAA and PAGP will continue to be publicly traded. We will be required to repay AAP's outstanding debt within two business days after the consummation of the Simplification Transactions. We intend to use borrowings under our credit facilities to repay such amounts. Also, pursuant to the Simplification Agreement, we agreed, from the time of the signing of the Simplification Agreement until the close of the Simplification Transactions, to not issue additional equity in excess of $600 million without the prior written consent of PAGP, subject to certain exceptions.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consummation of the matters contemplated by the Simplification Agreement is subject to customary closing conditions and may be terminated under certain conditions. On September 26, 2016, PAGP announced November 15, 2016 as the date for the special meeting of its shareholders to consider and vote upon a proposal to approve the Simplification Transactions. See Note 15 to our Condensed Consolidated Financial Statements for additional discussion of the Simplification Transactions.</w:t>
      </w:r>
    </w:p>
    <w:p>
      <w:pPr>
        <w:spacing w:after="0" w:line="18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These transactions are among consolidated subsidiaries of PAGP that are considered entities under common control. As such, in accordance with FASB guidance, these transactions will be recognized at carrying value. Additionally, the transactions will be accounted for as equity transactions in accordance with FASB guidance.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 under contracts, the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range in term from thirty-day evergreen to five years, with a limited number of contracts with remaining terms extending up to approximately nine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September 30, 2016 (in millions):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Remainder of 2016</w:t>
            </w: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2021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 and</w:t>
            </w: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related interest payments </w:t>
            </w:r>
            <w:r>
              <w:rPr>
                <w:rFonts w:ascii="Arial" w:cs="Arial" w:eastAsia="Arial" w:hAnsi="Arial"/>
                <w:sz w:val="25"/>
                <w:szCs w:val="25"/>
                <w:color w:val="auto"/>
                <w:vertAlign w:val="superscript"/>
              </w:rPr>
              <w:t>(1)</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11,041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15,598</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5"/>
                <w:szCs w:val="25"/>
                <w:color w:val="auto"/>
                <w:vertAlign w:val="superscript"/>
              </w:rPr>
              <w:t>(2)</w:t>
            </w:r>
          </w:p>
        </w:tc>
        <w:tc>
          <w:tcPr>
            <w:tcW w:w="44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37"/>
        </w:trPr>
        <w:tc>
          <w:tcPr>
            <w:tcW w:w="39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4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12,153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18,724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3"/>
              </w:rPr>
              <w:t xml:space="preserve">Crude oil, natural gas, NGL and other purchases </w:t>
            </w:r>
            <w:r>
              <w:rPr>
                <w:rFonts w:ascii="Arial" w:cs="Arial" w:eastAsia="Arial" w:hAnsi="Arial"/>
                <w:sz w:val="25"/>
                <w:szCs w:val="25"/>
                <w:color w:val="auto"/>
                <w:w w:val="93"/>
                <w:vertAlign w:val="superscript"/>
              </w:rPr>
              <w:t>(4)</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4,430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57"/>
        </w:trPr>
        <w:tc>
          <w:tcPr>
            <w:tcW w:w="3900" w:type="dxa"/>
            <w:vAlign w:val="bottom"/>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16,583</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32,457</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w w:val="90"/>
              </w:rPr>
              <w:t>___________________________________________</w:t>
            </w: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 w:hanging="652"/>
        <w:spacing w:after="0" w:line="245" w:lineRule="auto"/>
        <w:tabs>
          <w:tab w:leader="none" w:pos="66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Includes debt service payments, interest payments due on senior notes, the commitment fee on assumed available capacity under our credit facilities, and long-term borrowings under our commercial paper program. Although there may be short-term borrowings under our credit facilities and commercial paper program, we historically repay and borrow at varying amounts. As such, we have included only the maximum commitment fee (as if no short-term borrowings were outstanding on the facilities or commercial paper program) in the amounts above.</w:t>
      </w:r>
    </w:p>
    <w:p>
      <w:pPr>
        <w:spacing w:after="0" w:line="200" w:lineRule="exact"/>
        <w:rPr>
          <w:rFonts w:ascii="Arial" w:cs="Arial" w:eastAsia="Arial" w:hAnsi="Arial"/>
          <w:sz w:val="24"/>
          <w:szCs w:val="24"/>
          <w:color w:val="auto"/>
          <w:vertAlign w:val="superscript"/>
        </w:rPr>
      </w:pPr>
    </w:p>
    <w:p>
      <w:pPr>
        <w:ind w:left="660" w:hanging="652"/>
        <w:spacing w:after="0" w:line="216"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203" w:lineRule="exact"/>
        <w:rPr>
          <w:rFonts w:ascii="Arial" w:cs="Arial" w:eastAsia="Arial" w:hAnsi="Arial"/>
          <w:sz w:val="25"/>
          <w:szCs w:val="25"/>
          <w:color w:val="auto"/>
          <w:vertAlign w:val="superscript"/>
        </w:rPr>
      </w:pPr>
    </w:p>
    <w:p>
      <w:pPr>
        <w:ind w:left="660" w:right="140" w:hanging="652"/>
        <w:spacing w:after="0" w:line="235" w:lineRule="auto"/>
        <w:tabs>
          <w:tab w:leader="none" w:pos="6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$875 million associated with an agreement to transport crude oil on a pipeline that is owned by an equity method investee, in which we own a 50% interest. Our commitment to transport is supported by crude oil buy/sell agreements with third parties (including Oxy) with commensurate quantities.</w:t>
      </w:r>
    </w:p>
    <w:p>
      <w:pPr>
        <w:spacing w:after="0" w:line="204" w:lineRule="exact"/>
        <w:rPr>
          <w:rFonts w:ascii="Arial" w:cs="Arial" w:eastAsia="Arial" w:hAnsi="Arial"/>
          <w:sz w:val="25"/>
          <w:szCs w:val="25"/>
          <w:color w:val="auto"/>
          <w:vertAlign w:val="superscript"/>
        </w:rPr>
      </w:pPr>
    </w:p>
    <w:p>
      <w:pPr>
        <w:ind w:left="660" w:right="60" w:hanging="652"/>
        <w:spacing w:after="0" w:line="238" w:lineRule="auto"/>
        <w:tabs>
          <w:tab w:leader="none" w:pos="66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September 2016.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of crude oil, NGL and natural gas. Additionally, we issue letters of credit to support insurance programs, derivative transactions and construction activities. At September 30, 2016 and December 31, 2015, we had outstanding letters of credit of approximately $47 million and $46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2015 Annual Report on Form 10-K.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0" w:lineRule="exact"/>
        <w:rPr>
          <w:sz w:val="20"/>
          <w:szCs w:val="20"/>
          <w:color w:val="auto"/>
        </w:rPr>
      </w:pPr>
    </w:p>
    <w:p>
      <w:pPr>
        <w:ind w:left="980" w:right="160" w:hanging="324"/>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2015 Annual Report on Form 10-K. Except as required by applicable securities laws, we do not intend to update these forward-looking statements and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52" w:lineRule="exact"/>
        <w:rPr>
          <w:sz w:val="20"/>
          <w:szCs w:val="20"/>
          <w:color w:val="auto"/>
        </w:rPr>
      </w:pPr>
    </w:p>
    <w:p>
      <w:pPr>
        <w:ind w:left="1360" w:hanging="704"/>
        <w:spacing w:after="0"/>
        <w:tabs>
          <w:tab w:leader="none" w:pos="13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39" w:lineRule="exact"/>
        <w:rPr>
          <w:sz w:val="20"/>
          <w:szCs w:val="20"/>
          <w:color w:val="auto"/>
        </w:rPr>
      </w:pPr>
    </w:p>
    <w:p>
      <w:pPr>
        <w:ind w:left="1300" w:right="300"/>
        <w:spacing w:after="0" w:line="312" w:lineRule="auto"/>
        <w:rPr>
          <w:sz w:val="20"/>
          <w:szCs w:val="20"/>
          <w:color w:val="auto"/>
        </w:rPr>
      </w:pPr>
      <w:r>
        <w:rPr>
          <w:rFonts w:ascii="Arial" w:cs="Arial" w:eastAsia="Arial" w:hAnsi="Arial"/>
          <w:sz w:val="16"/>
          <w:szCs w:val="16"/>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74" w:lineRule="exact"/>
        <w:rPr>
          <w:sz w:val="20"/>
          <w:szCs w:val="20"/>
          <w:color w:val="auto"/>
        </w:rPr>
      </w:pPr>
    </w:p>
    <w:p>
      <w:pPr>
        <w:ind w:left="1360" w:hanging="704"/>
        <w:spacing w:after="0"/>
        <w:tabs>
          <w:tab w:leader="none" w:pos="13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39" w:lineRule="exact"/>
        <w:rPr>
          <w:sz w:val="20"/>
          <w:szCs w:val="20"/>
          <w:color w:val="auto"/>
        </w:rPr>
      </w:pPr>
    </w:p>
    <w:p>
      <w:pPr>
        <w:ind w:left="1300" w:right="240"/>
        <w:spacing w:after="0" w:line="286" w:lineRule="auto"/>
        <w:rPr>
          <w:sz w:val="20"/>
          <w:szCs w:val="20"/>
          <w:color w:val="auto"/>
        </w:rPr>
      </w:pPr>
      <w:r>
        <w:rPr>
          <w:rFonts w:ascii="Arial" w:cs="Arial" w:eastAsia="Arial" w:hAnsi="Arial"/>
          <w:sz w:val="17"/>
          <w:szCs w:val="17"/>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193" w:lineRule="exact"/>
        <w:rPr>
          <w:sz w:val="20"/>
          <w:szCs w:val="20"/>
          <w:color w:val="auto"/>
        </w:rPr>
      </w:pPr>
    </w:p>
    <w:p>
      <w:pPr>
        <w:ind w:left="1360" w:hanging="704"/>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39" w:lineRule="exact"/>
        <w:rPr>
          <w:sz w:val="20"/>
          <w:szCs w:val="20"/>
          <w:color w:val="auto"/>
        </w:rPr>
      </w:pPr>
    </w:p>
    <w:p>
      <w:pPr>
        <w:ind w:left="1300" w:right="100"/>
        <w:spacing w:after="0" w:line="312" w:lineRule="auto"/>
        <w:rPr>
          <w:sz w:val="20"/>
          <w:szCs w:val="20"/>
          <w:color w:val="auto"/>
        </w:rPr>
      </w:pPr>
      <w:r>
        <w:rPr>
          <w:rFonts w:ascii="Arial" w:cs="Arial" w:eastAsia="Arial" w:hAnsi="Arial"/>
          <w:sz w:val="16"/>
          <w:szCs w:val="16"/>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9 to our Condensed Consolidated Financial Statements for further discussion regarding our hedging strategies and objectives.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2016 that would be expected from a 10% price increase or decrease is shown in the table below (in millions):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1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September 30, 2016, approximately $1.5 billion, was subject to interest rate re-sets of one month or less. The average interest rate on variable rate debt that was outstanding during the nine months ended September 30, 2016 was 1.3%, based upon rates in effect during such period. The fair value of our interest rate derivatives was a liability of $175 million as of September 30, 2016. A 10% increase in the forward LIBOR curve as of September 30, 2016 would have resulted in an increase of $33 million to the fair value of our interest rate derivatives. A 10% decrease in the forward LIBOR curve as of September 30, 2016 would have resulted in a decrease of $33 million to the fair value of our interest rate derivatives. See Note 9 to our Condensed Consolidated Financial Statements for a discussion of our interest rate risk hedging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was a liability of $3 million as of September 30, 2016. A 10% increase in the exchange rate (USD-to-CAD) would have resulted in a decrease of $13 million to the fair value of our foreign currency derivatives. A 10% decrease in the exchange rate (USD-to-CAD) would have resulted in an increase of $13 million to the fair value of our foreign currency derivatives. See Note 9 to our Condensed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and default probabilities to ultimately calculate the fair value of our Series A preferred units with and without the Preferred Distribution Rate Reset Option. The fair value of this embedded derivative was a liability of $18 million as of September 30, 2016. A 10% increase in the fair value would have an impact of $2 million. A 10% decrease in the fair value would also have an impact of $2 million. See Note 9 to our Condensed Consolidated Financial Statements for a discussion of embedded derivatives.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forms, and (ii) accumulated and communicated to management, including our Chief Executive Officer and Chief Financial Officer, to allow for timely decisions regarding required disclosure.</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2016,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2016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“Legal Proceedings — General”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2015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During the three months ended September 30, 2016, we issued 1,237,765 additional Series A preferred units in lieu of a cash distribution of $33 million. Such distribution was issued to Series A preferred unitholders of record as of July 29, 2016 for the period from April 1, 2016 through June 30, 2016. The issuance of the Series A preferred units, in connection with the quarterly distribution for the Series A preferred units, was exempt from the registration requirements of the Securities Act of 1933, as amended, pursuant to Section 4(a)(2) thereof. The Series A preferred units are convertible into common units, generally on a one-for-one basis and subject to customary antidiultion adjustments and certain minimum conversion amounts, at any time after January 28, 2018. See Note 8 to our Condensed Consolidated Financial Statements for additional information regarding the Series A preferred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125"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AAP, L.P.,</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sole member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Greg L. Armstrong,</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Chairman of the Board, Chief Executive Officer and Director of</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2016</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7"/>
          <w:szCs w:val="17"/>
          <w:i w:val="1"/>
          <w:iCs w:val="1"/>
          <w:color w:val="auto"/>
        </w:rPr>
        <w:t>Executive Vice President and Chief Financial Officer of Plains All</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2016</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Chris Herbold,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7"/>
          <w:szCs w:val="17"/>
          <w:i w:val="1"/>
          <w:iCs w:val="1"/>
          <w:color w:val="auto"/>
        </w:rPr>
        <w:t>Vice President —Accounting and Chief Accounting Officer of Plains</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All 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Accounting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720" w:type="dxa"/>
            <w:vAlign w:val="bottom"/>
          </w:tcPr>
          <w:p>
            <w:pPr>
              <w:spacing w:after="0"/>
              <w:rPr>
                <w:sz w:val="17"/>
                <w:szCs w:val="17"/>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972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80"/>
        </w:trPr>
        <w:tc>
          <w:tcPr>
            <w:tcW w:w="760" w:type="dxa"/>
            <w:vAlign w:val="bottom"/>
          </w:tcPr>
          <w:p>
            <w:pPr>
              <w:ind w:left="40"/>
              <w:spacing w:after="0"/>
              <w:rPr>
                <w:sz w:val="20"/>
                <w:szCs w:val="20"/>
                <w:color w:val="auto"/>
              </w:rPr>
            </w:pPr>
            <w:r>
              <w:rPr>
                <w:rFonts w:ascii="Arial" w:cs="Arial" w:eastAsia="Arial" w:hAnsi="Arial"/>
                <w:sz w:val="18"/>
                <w:szCs w:val="18"/>
                <w:color w:val="auto"/>
              </w:rPr>
              <w:t>2.1*</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Simplification Agreement, dated as of July 11, 2016, by and among PAA GP Holdings LLC, Plains GP Holdings, L.P.,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9"/>
              </w:rPr>
              <w:t>American GP LLC, Plains AAP, L.P., PAA GP LLC and Plains All American Pipeline, L.P. (incorporated by reference to</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Exhibit 2.1 to our Current Report on Form 8-K filed July 14, 2016).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3.1</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Fifth Amended and Restated Agreement of Limited Partnership of Plains All American Pipeline, L.P. dated as of January 28, 2016</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3.2 to our Current Report on Form 8-K filed February 2, 2016).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3.2</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5"/>
              </w:rPr>
              <w:t>Amendment No. 1 to the Fifth Amended and Restated Agreement of Limited Partnership of Plains All American Pipeline, L.P.</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dated as of July 10, 2016 (incorporated by reference to Exhibit 3.1 to our Current Report on Form 8-K filed July 14, 2016).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3.3</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Third Amended and Restated Agreement of Limited Partnership of Plains Marketing, L.P. dated as of April 1, 2004 (incorporated</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by reference to Exhibit 3.2 to our Quarterly Report on Form 10-Q for the quarter ended March 31, 2004).</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3.4</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Amendment No. 1 dated December 31, 2010 to the Third Amended and Restated Agreement of Limited Partnership of Plains</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Marketing, L.P. (incorporated by reference to Exhibit 3.9 to our Annual Report on Form 10-K for the year ended December 31,</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3.5</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Amendment No. 2 dated January 1, 2011 to the Third Amended and Restated Agreement of Limited Partnership of Plains</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Marketing, L.P. (incorporated by reference to Exhibit 3.10 to our Annual Report on Form 10-K for the year ended December 31,</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2010).</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3.6</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9"/>
              </w:rPr>
              <w:t>Amendment No. 3 dated June 30, 2011 to the Third Amended and Restated Agreement of Limited Partnership of Plains</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Marketing, L.P. (incorporated by reference to Exhibit 3.7 to our Annual Report on Form 10-K for the year ended December 31,</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2013).</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3.7</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Amendment No. 4 dated January 1, 2013 to the Third Amended and Restated Agreement of Limited Partnership of Plains</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Marketing, L.P (incorporated by reference to Exhibit 3.8 to our Annual Report on Form 10-K for the year ended December 31,</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2013).</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3.8</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Third Amended and Restated Agreement of Limited Partnership of Plains Pipeline, L.P. dated as of April 1, 2004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3.3 to our Quarterly Report on Form 10-Q for the quarter ended March 31, 2004).</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3.9</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Amendment No. 1 dated January 1, 2013 to the Third Amended and Restated Agreement of Limited Partnership of Plains Pipeline,</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L.P. (incorporated by reference to Exhibit 3.10 to our Annual Report on Form 10-K for the year ended December 31, 2013).</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3.10</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Sixth Amended and Restated Limited Liability Company Agreement of Plains All American GP LLC dated October 21, 2013</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3.2 to our Current Report on Form 8-K filed October 25, 2013).</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3.11</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Amendment No. 1 dated January 28, 2016 to the Sixth Amended and Restated Limited Liability Company Agreement of Plains All</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American GP LLC (incorporated by reference to Exhibit 3.1 to our Current Report on Form 8-K filed February 2, 2016).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3.12</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Seventh Amended and Restated Limited Partnership Agreement of Plains AAP, L.P. dated October 21, 2013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3.1 to our Current Report on Form 8-K filed October 25, 2013).</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3.13</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Amendment No. 1 dated December 31, 2013 to the Seventh Amended and Restated Limited Partnership Agreement of Plains AAP,</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L.P. (incorporated by reference to Exhibit 3.2 to our Current Report on Form 8-K filed December 31, 2013).</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3.14</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Certificate of Incorporation of PAA Finance Corp. (f/k/a Pacific Energy Finance Corporation, successor-by-merger to PAA Finance</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Corp.) (incorporated by reference to Exhibit 3.10 to our Annual Report on Form 10-K for the year ended December 31, 2006).</w:t>
            </w: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40"/>
          </w:cols>
          <w:pgMar w:left="240" w:top="108" w:right="31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72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r>
      <w:tr>
        <w:trPr>
          <w:trHeight w:val="627"/>
        </w:trPr>
        <w:tc>
          <w:tcPr>
            <w:tcW w:w="760" w:type="dxa"/>
            <w:vAlign w:val="bottom"/>
          </w:tcPr>
          <w:p>
            <w:pPr>
              <w:ind w:left="40"/>
              <w:spacing w:after="0"/>
              <w:rPr>
                <w:sz w:val="20"/>
                <w:szCs w:val="20"/>
                <w:color w:val="auto"/>
              </w:rPr>
            </w:pPr>
            <w:r>
              <w:rPr>
                <w:rFonts w:ascii="Arial" w:cs="Arial" w:eastAsia="Arial" w:hAnsi="Arial"/>
                <w:sz w:val="18"/>
                <w:szCs w:val="18"/>
                <w:color w:val="auto"/>
              </w:rPr>
              <w:t>3.15</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rPr>
              <w:t>Bylaws of PAA Finance Corp. (f/k/a Pacific Energy Finance Corporation, successor-by-merger to PAA Finance Corp.)</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3.11 to our Annual Report on Form 10-K for the year ended December 31, 2006).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3.16</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Limited Liability Company Agreement of PAA GP LLC dated December 28, 2007 (incorporated by reference to Exhibit 3.3 to our</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Current Report on Form 8-K filed January 4, 2008).</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4.1</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Indenture dated September 25, 2002 among Plains All American Pipeline, L.P., PAA Finance Corp. and Wachovia Bank, National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5"/>
              </w:rPr>
              <w:t>Association, as trustee (incorporated by reference to Exhibit 4.1 to our Quarterly Report on Form 10-Q for the quarter ended</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September 30, 2002).</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4.2</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Sixth Supplemental Indenture (Series A and Series B 6.70% Senior Notes due 2036) dated May 12, 2006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American Pipeline, L.P., PAA Finance Corp., the Subsidiary Guarantors named therein and Wachovia Bank, National Association,</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as trustee (incorporated by reference to Exhibit 4.1 to our Current Report on Form 8-K filed May 12, 2006).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4.3</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Ninth Supplemental Indenture (Series A and Series B 6.125% Senior Notes due 2017) dated October 30, 2006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trustee (incorporated by reference to Exhibit 4.1 to our Current Report on Form 8-K filed October 30, 2006).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4.4</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Tenth Supplemental Indenture (Series A and Series B 6.650% Senior Notes due 2037) dated October 30, 2006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trustee (incorporated by reference to Exhibit 4.2 to our Current Report on Form 8-K filed October 30, 2006).</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4.5</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Thirteenth Supplemental Indenture (Series A and Series B 6.50% Senior Notes due 2018) dated April 23, 2008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American Pipeline, L.P., PAA Finance Corp., the Subsidiary Guarantors named therein and U.S. Bank National Association, as</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trustee (incorporated by reference to Exhibit 4.1 to our Current Report on Form 8-K filed April 23, 2008).</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4.6</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Fifteenth Supplemental Indenture (8.75% Senior Notes due 2019) dated April 20, 2009 among Plains All American Pipeline, L.P.,</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PAA Finance Corp., the Subsidiary Guarantors named therein and U.S. Bank National Association, as trustee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4.1 to our Current Report on Form 8-K filed April 20, 2009).</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4.7</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Seventeenth Supplemental Indenture (5.75% Senior Notes due 2020) dated September 4, 2009 among Plains All American</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5"/>
              </w:rPr>
              <w:t>Pipeline, L.P., PAA Finance Corp., the Subsidiary Guarantors named therein and U.S. Bank National Association, as trustee</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(incorporated by reference to Exhibit 4.1 to our Current Report on Form 8-K filed September 4, 2009).</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4.8</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Nineteenth Supplemental Indenture (5.00% Senior Notes due 2021) dated January 14, 2011 among Plains All American Pipeline,</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L.P., PAA Finance Corp., the Subsidiary Guarantors named therein and U.S. Bank National Association, as trustee (incorporated by</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reference to Exhibit 4.1 to our Current Report on Form 8-K filed January 11, 2011).</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4.9</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3"/>
              </w:rPr>
              <w:t>Twentieth Supplemental Indenture (3.65% Senior Notes due 2022) dated March 22, 2012 among Plains All American Pipeline,</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L.P., PAA Finance Corp. and U.S. Bank National Association, as trustee (incorporated by reference to Exhibit 4.1 to our Current</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Report on Form 8-K filed March 26, 2012).</w:t>
            </w:r>
          </w:p>
        </w:tc>
      </w:tr>
      <w:tr>
        <w:trPr>
          <w:trHeight w:val="526"/>
        </w:trPr>
        <w:tc>
          <w:tcPr>
            <w:tcW w:w="760" w:type="dxa"/>
            <w:vAlign w:val="bottom"/>
          </w:tcPr>
          <w:p>
            <w:pPr>
              <w:ind w:left="40"/>
              <w:spacing w:after="0"/>
              <w:rPr>
                <w:sz w:val="20"/>
                <w:szCs w:val="20"/>
                <w:color w:val="auto"/>
              </w:rPr>
            </w:pPr>
            <w:r>
              <w:rPr>
                <w:rFonts w:ascii="Arial" w:cs="Arial" w:eastAsia="Arial" w:hAnsi="Arial"/>
                <w:sz w:val="18"/>
                <w:szCs w:val="18"/>
                <w:color w:val="auto"/>
              </w:rPr>
              <w:t>4.10</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1"/>
              </w:rPr>
              <w:t>Twenty-First Supplemental Indenture (5.15% Senior Notes due 2042) dated March 22, 2012 among Plains All American Pipeline,</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L.P., PAA Finance Corp. and U.S. Bank National Association, as trustee (incorporated by reference to Exhibit 4.3 to our Current</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Report on Form 8-K filed March 26, 2012).</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4.11</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4"/>
              </w:rPr>
              <w:t>Twenty-Second Supplemental Indenture (2.85% Senior Notes due 2023) dated December 10, 2012, by and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Exhibit 4.1 to our Current Report on Form 8-K filed December 12, 2012).</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4.12</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6"/>
              </w:rPr>
              <w:t>Twenty-Third Supplemental Indenture (4.30% Senior Notes due 2043) dated December 10, 2012, by and among Plains All</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7"/>
              </w:rPr>
              <w:t>American Pipeline, L.P., PAA Finance Corp. and U.S. Bank National Association, as trustee (incorporated by reference to</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Exhibit 4.3 to our Current Report on Form 8-K filed December 12, 2012).</w:t>
            </w:r>
          </w:p>
        </w:tc>
      </w:tr>
      <w:tr>
        <w:trPr>
          <w:trHeight w:val="377"/>
        </w:trPr>
        <w:tc>
          <w:tcPr>
            <w:tcW w:w="760" w:type="dxa"/>
            <w:vAlign w:val="bottom"/>
          </w:tcPr>
          <w:p>
            <w:pPr>
              <w:ind w:left="40"/>
              <w:spacing w:after="0"/>
              <w:rPr>
                <w:sz w:val="20"/>
                <w:szCs w:val="20"/>
                <w:color w:val="auto"/>
              </w:rPr>
            </w:pPr>
            <w:r>
              <w:rPr>
                <w:rFonts w:ascii="Arial" w:cs="Arial" w:eastAsia="Arial" w:hAnsi="Arial"/>
                <w:sz w:val="18"/>
                <w:szCs w:val="18"/>
                <w:color w:val="auto"/>
              </w:rPr>
              <w:t>4.13</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720" w:type="dxa"/>
            <w:vAlign w:val="bottom"/>
          </w:tcPr>
          <w:p>
            <w:pPr>
              <w:ind w:left="260"/>
              <w:spacing w:after="0"/>
              <w:rPr>
                <w:sz w:val="20"/>
                <w:szCs w:val="20"/>
                <w:color w:val="auto"/>
              </w:rPr>
            </w:pPr>
            <w:r>
              <w:rPr>
                <w:rFonts w:ascii="Arial" w:cs="Arial" w:eastAsia="Arial" w:hAnsi="Arial"/>
                <w:sz w:val="18"/>
                <w:szCs w:val="18"/>
                <w:color w:val="auto"/>
                <w:w w:val="90"/>
              </w:rPr>
              <w:t>Twenty-Fourth Supplemental Indenture (3.85% Senior Notes due 2023) dated August 15, 2013, by and among Plains All American</w:t>
            </w: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20" w:type="dxa"/>
            <w:vAlign w:val="bottom"/>
          </w:tcPr>
          <w:p>
            <w:pPr>
              <w:ind w:left="260"/>
              <w:spacing w:after="0"/>
              <w:rPr>
                <w:sz w:val="20"/>
                <w:szCs w:val="20"/>
                <w:color w:val="auto"/>
              </w:rPr>
            </w:pPr>
            <w:r>
              <w:rPr>
                <w:rFonts w:ascii="Arial" w:cs="Arial" w:eastAsia="Arial" w:hAnsi="Arial"/>
                <w:sz w:val="18"/>
                <w:szCs w:val="18"/>
                <w:color w:val="auto"/>
              </w:rPr>
              <w:t>Current Report on Form 8-K filed August 15, 2013).</w:t>
            </w:r>
          </w:p>
        </w:tc>
      </w:tr>
    </w:tbl>
    <w:p>
      <w:pPr>
        <w:spacing w:after="0" w:line="200" w:lineRule="exact"/>
        <w:rPr>
          <w:sz w:val="20"/>
          <w:szCs w:val="20"/>
          <w:color w:val="auto"/>
        </w:rPr>
      </w:pPr>
    </w:p>
    <w:p>
      <w:pPr>
        <w:sectPr>
          <w:pgSz w:w="11900" w:h="16838" w:orient="portrait"/>
          <w:cols w:equalWidth="0" w:num="1">
            <w:col w:w="11340"/>
          </w:cols>
          <w:pgMar w:left="240" w:top="108" w:right="319" w:bottom="1440" w:gutter="0" w:footer="0" w:header="0"/>
        </w:sectPr>
      </w:pP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340"/>
          </w:cols>
          <w:pgMar w:left="240" w:top="108" w:right="31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780" w:type="dxa"/>
            <w:vAlign w:val="bottom"/>
          </w:tcPr>
          <w:p>
            <w:pPr>
              <w:spacing w:after="0"/>
              <w:rPr>
                <w:sz w:val="17"/>
                <w:szCs w:val="17"/>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r>
      <w:tr>
        <w:trPr>
          <w:trHeight w:val="627"/>
        </w:trPr>
        <w:tc>
          <w:tcPr>
            <w:tcW w:w="380" w:type="dxa"/>
            <w:vAlign w:val="bottom"/>
          </w:tcPr>
          <w:p>
            <w:pPr>
              <w:jc w:val="right"/>
              <w:spacing w:after="0"/>
              <w:rPr>
                <w:sz w:val="20"/>
                <w:szCs w:val="20"/>
                <w:color w:val="auto"/>
              </w:rPr>
            </w:pPr>
            <w:r>
              <w:rPr>
                <w:rFonts w:ascii="Arial" w:cs="Arial" w:eastAsia="Arial" w:hAnsi="Arial"/>
                <w:sz w:val="18"/>
                <w:szCs w:val="18"/>
                <w:color w:val="auto"/>
                <w:w w:val="96"/>
              </w:rPr>
              <w:t>4.14</w:t>
            </w:r>
          </w:p>
        </w:tc>
        <w:tc>
          <w:tcPr>
            <w:tcW w:w="5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w w:val="94"/>
              </w:rPr>
              <w:t>Twenty-Fifth Supplemental Indenture (4.70% Senior Notes due 2044) dated April 23, 2014, by and among Plains All American</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rPr>
              <w:t>Current Report on Form 8-K filed April 29, 2014).</w:t>
            </w:r>
          </w:p>
        </w:tc>
      </w:tr>
      <w:tr>
        <w:trPr>
          <w:trHeight w:val="526"/>
        </w:trPr>
        <w:tc>
          <w:tcPr>
            <w:tcW w:w="380" w:type="dxa"/>
            <w:vAlign w:val="bottom"/>
          </w:tcPr>
          <w:p>
            <w:pPr>
              <w:jc w:val="right"/>
              <w:spacing w:after="0"/>
              <w:rPr>
                <w:sz w:val="20"/>
                <w:szCs w:val="20"/>
                <w:color w:val="auto"/>
              </w:rPr>
            </w:pPr>
            <w:r>
              <w:rPr>
                <w:rFonts w:ascii="Arial" w:cs="Arial" w:eastAsia="Arial" w:hAnsi="Arial"/>
                <w:sz w:val="18"/>
                <w:szCs w:val="18"/>
                <w:color w:val="auto"/>
                <w:w w:val="96"/>
              </w:rPr>
              <w:t>4.15</w:t>
            </w:r>
          </w:p>
        </w:tc>
        <w:tc>
          <w:tcPr>
            <w:tcW w:w="5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w w:val="98"/>
              </w:rPr>
              <w:t>Twenty-Sixth Supplemental Indenture (3.60% Senior Notes due 2024) dated September 9, 2014, by and among Plains All</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rPr>
              <w:t>Exhibit 4.1 to our Current Report on Form 8-K filed September 11, 2014).</w:t>
            </w:r>
          </w:p>
        </w:tc>
      </w:tr>
      <w:tr>
        <w:trPr>
          <w:trHeight w:val="526"/>
        </w:trPr>
        <w:tc>
          <w:tcPr>
            <w:tcW w:w="380" w:type="dxa"/>
            <w:vAlign w:val="bottom"/>
          </w:tcPr>
          <w:p>
            <w:pPr>
              <w:jc w:val="right"/>
              <w:spacing w:after="0"/>
              <w:rPr>
                <w:sz w:val="20"/>
                <w:szCs w:val="20"/>
                <w:color w:val="auto"/>
              </w:rPr>
            </w:pPr>
            <w:r>
              <w:rPr>
                <w:rFonts w:ascii="Arial" w:cs="Arial" w:eastAsia="Arial" w:hAnsi="Arial"/>
                <w:sz w:val="18"/>
                <w:szCs w:val="18"/>
                <w:color w:val="auto"/>
                <w:w w:val="96"/>
              </w:rPr>
              <w:t>4.16</w:t>
            </w:r>
          </w:p>
        </w:tc>
        <w:tc>
          <w:tcPr>
            <w:tcW w:w="5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w w:val="96"/>
              </w:rPr>
              <w:t>Twenty-Seventh Supplemental Indenture (2.60% Senior Notes due 2019) dated December 9, 2014, by and among Plains All</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rPr>
              <w:t>Exhibit 4.1 to our Current Report on Form 8-K filed December 11, 2014).</w:t>
            </w:r>
          </w:p>
        </w:tc>
      </w:tr>
      <w:tr>
        <w:trPr>
          <w:trHeight w:val="526"/>
        </w:trPr>
        <w:tc>
          <w:tcPr>
            <w:tcW w:w="380" w:type="dxa"/>
            <w:vAlign w:val="bottom"/>
          </w:tcPr>
          <w:p>
            <w:pPr>
              <w:jc w:val="right"/>
              <w:spacing w:after="0"/>
              <w:rPr>
                <w:sz w:val="20"/>
                <w:szCs w:val="20"/>
                <w:color w:val="auto"/>
              </w:rPr>
            </w:pPr>
            <w:r>
              <w:rPr>
                <w:rFonts w:ascii="Arial" w:cs="Arial" w:eastAsia="Arial" w:hAnsi="Arial"/>
                <w:sz w:val="18"/>
                <w:szCs w:val="18"/>
                <w:color w:val="auto"/>
                <w:w w:val="96"/>
              </w:rPr>
              <w:t>4.17</w:t>
            </w:r>
          </w:p>
        </w:tc>
        <w:tc>
          <w:tcPr>
            <w:tcW w:w="5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w w:val="97"/>
              </w:rPr>
              <w:t>Twenty-Eighth Supplemental Indenture (4.90% Senior Notes due 2045) dated December 9, 2014, by and among Plains All</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8"/>
              </w:rPr>
              <w:t>American Pipeline, L.P., PAA Finance Corp. and U.S. Bank National Association, as trustee (incorporated by reference to</w:t>
            </w: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rPr>
              <w:t>Exhibit 4.3 to our Current Report on Form 8-K filed December 11, 2014).</w:t>
            </w:r>
          </w:p>
        </w:tc>
      </w:tr>
      <w:tr>
        <w:trPr>
          <w:trHeight w:val="526"/>
        </w:trPr>
        <w:tc>
          <w:tcPr>
            <w:tcW w:w="380" w:type="dxa"/>
            <w:vAlign w:val="bottom"/>
          </w:tcPr>
          <w:p>
            <w:pPr>
              <w:jc w:val="right"/>
              <w:spacing w:after="0"/>
              <w:rPr>
                <w:sz w:val="20"/>
                <w:szCs w:val="20"/>
                <w:color w:val="auto"/>
              </w:rPr>
            </w:pPr>
            <w:r>
              <w:rPr>
                <w:rFonts w:ascii="Arial" w:cs="Arial" w:eastAsia="Arial" w:hAnsi="Arial"/>
                <w:sz w:val="18"/>
                <w:szCs w:val="18"/>
                <w:color w:val="auto"/>
                <w:w w:val="96"/>
              </w:rPr>
              <w:t>4.18</w:t>
            </w:r>
          </w:p>
        </w:tc>
        <w:tc>
          <w:tcPr>
            <w:tcW w:w="5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w w:val="92"/>
              </w:rPr>
              <w:t>Twenty-Ninth Supplemental Indenture (4.65% Senior Notes due 2025) dated August 24, 2015, by and among Plains All American</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2"/>
              </w:rPr>
              <w:t>Pipeline, L.P., PAA Finance Corp. and U.S. Bank National Association, as trustee (incorporated by reference to Exhibit 4.1 to our</w:t>
            </w: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rPr>
              <w:t>Current Report on Form 8-K filed August 26, 2015).</w:t>
            </w:r>
          </w:p>
        </w:tc>
      </w:tr>
      <w:tr>
        <w:trPr>
          <w:trHeight w:val="526"/>
        </w:trPr>
        <w:tc>
          <w:tcPr>
            <w:tcW w:w="380" w:type="dxa"/>
            <w:vAlign w:val="bottom"/>
          </w:tcPr>
          <w:p>
            <w:pPr>
              <w:jc w:val="right"/>
              <w:spacing w:after="0"/>
              <w:rPr>
                <w:sz w:val="20"/>
                <w:szCs w:val="20"/>
                <w:color w:val="auto"/>
              </w:rPr>
            </w:pPr>
            <w:r>
              <w:rPr>
                <w:rFonts w:ascii="Arial" w:cs="Arial" w:eastAsia="Arial" w:hAnsi="Arial"/>
                <w:sz w:val="18"/>
                <w:szCs w:val="18"/>
                <w:color w:val="auto"/>
                <w:w w:val="96"/>
              </w:rPr>
              <w:t>4.19</w:t>
            </w:r>
          </w:p>
        </w:tc>
        <w:tc>
          <w:tcPr>
            <w:tcW w:w="5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w w:val="96"/>
              </w:rPr>
              <w:t>Registration Rights Agreement dated September 3, 2009 by and between Plains All American Pipeline, L.P. and Vulcan Gas</w:t>
            </w: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9"/>
              </w:rPr>
              <w:t>Storage LLC (incorporated by reference to Exhibit 4.1 to our Registration Statement on Form S-3, File No. 333-162477).</w:t>
            </w:r>
          </w:p>
        </w:tc>
      </w:tr>
      <w:tr>
        <w:trPr>
          <w:trHeight w:val="526"/>
        </w:trPr>
        <w:tc>
          <w:tcPr>
            <w:tcW w:w="380" w:type="dxa"/>
            <w:vAlign w:val="bottom"/>
          </w:tcPr>
          <w:p>
            <w:pPr>
              <w:jc w:val="right"/>
              <w:spacing w:after="0"/>
              <w:rPr>
                <w:sz w:val="20"/>
                <w:szCs w:val="20"/>
                <w:color w:val="auto"/>
              </w:rPr>
            </w:pPr>
            <w:r>
              <w:rPr>
                <w:rFonts w:ascii="Arial" w:cs="Arial" w:eastAsia="Arial" w:hAnsi="Arial"/>
                <w:sz w:val="18"/>
                <w:szCs w:val="18"/>
                <w:color w:val="auto"/>
                <w:w w:val="96"/>
              </w:rPr>
              <w:t>4.20</w:t>
            </w:r>
          </w:p>
        </w:tc>
        <w:tc>
          <w:tcPr>
            <w:tcW w:w="5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w w:val="91"/>
              </w:rPr>
              <w:t>Registration Rights Agreement dated as of January 28, 2016 among Plains All American Pipeline, L.P. and the Purchasers named</w:t>
            </w: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rPr>
              <w:t>therein (incorporated by reference to Exhibit 4.1 to our Current Report on Form 8-K filed February 2, 2016).</w:t>
            </w:r>
          </w:p>
        </w:tc>
      </w:tr>
      <w:tr>
        <w:trPr>
          <w:trHeight w:val="526"/>
        </w:trPr>
        <w:tc>
          <w:tcPr>
            <w:tcW w:w="380" w:type="dxa"/>
            <w:vAlign w:val="bottom"/>
          </w:tcPr>
          <w:p>
            <w:pPr>
              <w:jc w:val="right"/>
              <w:spacing w:after="0"/>
              <w:rPr>
                <w:sz w:val="20"/>
                <w:szCs w:val="20"/>
                <w:color w:val="auto"/>
              </w:rPr>
            </w:pPr>
            <w:r>
              <w:rPr>
                <w:rFonts w:ascii="Arial" w:cs="Arial" w:eastAsia="Arial" w:hAnsi="Arial"/>
                <w:sz w:val="18"/>
                <w:szCs w:val="18"/>
                <w:color w:val="auto"/>
                <w:w w:val="96"/>
              </w:rPr>
              <w:t>10.1</w:t>
            </w:r>
          </w:p>
        </w:tc>
        <w:tc>
          <w:tcPr>
            <w:tcW w:w="5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w w:val="92"/>
              </w:rPr>
              <w:t>Voting Agreement, dated as of July 11, 2016, by and among Plains All American Pipeline, L.P., Plains GP Holdings, L.P. and the</w:t>
            </w: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4"/>
              </w:rPr>
              <w:t>shareholders named therein (incorporated by reference to Exhibit 10.1 to our Current Report on Form 8-K filed July 14, 2016).</w:t>
            </w:r>
          </w:p>
        </w:tc>
      </w:tr>
      <w:tr>
        <w:trPr>
          <w:trHeight w:val="377"/>
        </w:trPr>
        <w:tc>
          <w:tcPr>
            <w:tcW w:w="380" w:type="dxa"/>
            <w:vAlign w:val="bottom"/>
          </w:tcPr>
          <w:p>
            <w:pPr>
              <w:jc w:val="right"/>
              <w:spacing w:after="0"/>
              <w:rPr>
                <w:sz w:val="20"/>
                <w:szCs w:val="20"/>
                <w:color w:val="auto"/>
              </w:rPr>
            </w:pPr>
            <w:r>
              <w:rPr>
                <w:rFonts w:ascii="Arial" w:cs="Arial" w:eastAsia="Arial" w:hAnsi="Arial"/>
                <w:sz w:val="18"/>
                <w:szCs w:val="18"/>
                <w:color w:val="auto"/>
                <w:w w:val="96"/>
              </w:rPr>
              <w:t>10.2</w:t>
            </w:r>
          </w:p>
        </w:tc>
        <w:tc>
          <w:tcPr>
            <w:tcW w:w="5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w w:val="99"/>
              </w:rPr>
              <w:t>Third Amendment to Credit Agreement dated as of August 11, 2016 among Plains All American Pipeline, L.P. and Plains</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6"/>
              </w:rPr>
              <w:t>Midstream Canada ULC, as Borrowers; Bank of America, N.A., as Administrative Agent, Swing Line Lender and L/C Issuer;</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1"/>
              </w:rPr>
              <w:t>Wells Fargo Bank, National Association, as an L/C Issuer; and the other Lenders party thereto (incorporated by reference to Exhibit</w:t>
            </w: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rPr>
              <w:t>10.1 to our Current Report on Form 8-K filed August 17, 2016).</w:t>
            </w:r>
          </w:p>
        </w:tc>
      </w:tr>
      <w:tr>
        <w:trPr>
          <w:trHeight w:val="377"/>
        </w:trPr>
        <w:tc>
          <w:tcPr>
            <w:tcW w:w="380" w:type="dxa"/>
            <w:vAlign w:val="bottom"/>
          </w:tcPr>
          <w:p>
            <w:pPr>
              <w:jc w:val="right"/>
              <w:spacing w:after="0"/>
              <w:rPr>
                <w:sz w:val="20"/>
                <w:szCs w:val="20"/>
                <w:color w:val="auto"/>
              </w:rPr>
            </w:pPr>
            <w:r>
              <w:rPr>
                <w:rFonts w:ascii="Arial" w:cs="Arial" w:eastAsia="Arial" w:hAnsi="Arial"/>
                <w:sz w:val="18"/>
                <w:szCs w:val="18"/>
                <w:color w:val="auto"/>
                <w:w w:val="96"/>
              </w:rPr>
              <w:t>10.3</w:t>
            </w:r>
          </w:p>
        </w:tc>
        <w:tc>
          <w:tcPr>
            <w:tcW w:w="5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w w:val="95"/>
              </w:rPr>
              <w:t>Second Amendment to 364-Day Credit Agreement dated as of August 11, 2016 among Plains All American Pipeline, L.P., as</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4"/>
              </w:rPr>
              <w:t>Borrower; Bank of America, N.A., as Administrative Agent; Citibank, N.A., JPMorgan Chase Bank N.A. and Wells Fargo Bank,</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2"/>
              </w:rPr>
              <w:t>National Association, as Co-Syndication Agents; DNB Bank ASA, New York Branch and Mizuho Bank Ltd., as Co-Documentation</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4"/>
              </w:rPr>
              <w:t>Agents; the other Lenders party thereto; and Merrill Lynch, Pierce, Fenner &amp; Smith Incorporated, Citigroup Global Markets Inc.,</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2"/>
              </w:rPr>
              <w:t>DNB Markets, Inc., J.P. Morgan Securities LLC, Mizuho Bank, Ltd. and Wells Fargo Securities, LLC, as Joint Lead Arrangers and</w:t>
            </w: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rPr>
              <w:t>Join Bookrunners (incorporated by reference to Exhibit 10.2 to our Current Report on Form 8-K filed August 17, 2016).</w:t>
            </w:r>
          </w:p>
        </w:tc>
      </w:tr>
      <w:tr>
        <w:trPr>
          <w:trHeight w:val="377"/>
        </w:trPr>
        <w:tc>
          <w:tcPr>
            <w:tcW w:w="380" w:type="dxa"/>
            <w:vAlign w:val="bottom"/>
          </w:tcPr>
          <w:p>
            <w:pPr>
              <w:jc w:val="right"/>
              <w:spacing w:after="0"/>
              <w:rPr>
                <w:sz w:val="20"/>
                <w:szCs w:val="20"/>
                <w:color w:val="auto"/>
              </w:rPr>
            </w:pPr>
            <w:r>
              <w:rPr>
                <w:rFonts w:ascii="Arial" w:cs="Arial" w:eastAsia="Arial" w:hAnsi="Arial"/>
                <w:sz w:val="18"/>
                <w:szCs w:val="18"/>
                <w:color w:val="auto"/>
                <w:w w:val="96"/>
              </w:rPr>
              <w:t>10.4</w:t>
            </w:r>
          </w:p>
        </w:tc>
        <w:tc>
          <w:tcPr>
            <w:tcW w:w="540" w:type="dxa"/>
            <w:vAlign w:val="bottom"/>
          </w:tcPr>
          <w:p>
            <w:pPr>
              <w:spacing w:after="0"/>
              <w:rPr>
                <w:sz w:val="24"/>
                <w:szCs w:val="24"/>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w w:val="93"/>
              </w:rPr>
              <w:t>Third Amendment to Third Amended and Restated Credit Agreement dated as of August 11, 2016 among Plains Marketing, L.P.</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4"/>
              </w:rPr>
              <w:t>and Plains Midstream Canada ULC, as Borrowers; Plains All American Pipeline, L.P., as Guarantor; Bank of America, N.A., as</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1"/>
              </w:rPr>
              <w:t>Administrative Agent, Swing Line Lender and L/C Issuer; Wells Fargo Bank, National Association, as an L/C Lender; and the other</w:t>
            </w:r>
          </w:p>
        </w:tc>
      </w:tr>
      <w:tr>
        <w:trPr>
          <w:trHeight w:val="230"/>
        </w:trPr>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80" w:type="dxa"/>
            <w:vAlign w:val="bottom"/>
          </w:tcPr>
          <w:p>
            <w:pPr>
              <w:ind w:left="260"/>
              <w:spacing w:after="0"/>
              <w:rPr>
                <w:sz w:val="20"/>
                <w:szCs w:val="20"/>
                <w:color w:val="auto"/>
              </w:rPr>
            </w:pPr>
            <w:r>
              <w:rPr>
                <w:rFonts w:ascii="Arial" w:cs="Arial" w:eastAsia="Arial" w:hAnsi="Arial"/>
                <w:sz w:val="18"/>
                <w:szCs w:val="18"/>
                <w:color w:val="auto"/>
                <w:w w:val="97"/>
              </w:rPr>
              <w:t>Lenders party thereto (incorporated by reference to Exhibit 10.3 to our Current Report on Form 8-K filed August 17, 2016).</w:t>
            </w:r>
          </w:p>
        </w:tc>
      </w:tr>
      <w:tr>
        <w:trPr>
          <w:trHeight w:val="392"/>
        </w:trPr>
        <w:tc>
          <w:tcPr>
            <w:tcW w:w="380" w:type="dxa"/>
            <w:vAlign w:val="bottom"/>
          </w:tcPr>
          <w:p>
            <w:pPr>
              <w:jc w:val="right"/>
              <w:spacing w:after="0"/>
              <w:rPr>
                <w:sz w:val="20"/>
                <w:szCs w:val="20"/>
                <w:color w:val="auto"/>
              </w:rPr>
            </w:pPr>
            <w:r>
              <w:rPr>
                <w:rFonts w:ascii="Arial" w:cs="Arial" w:eastAsia="Arial" w:hAnsi="Arial"/>
                <w:sz w:val="18"/>
                <w:szCs w:val="18"/>
                <w:color w:val="auto"/>
                <w:w w:val="96"/>
              </w:rPr>
              <w:t>10.5</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rPr>
              <w:t>Form of PAA LTIP Grant Letter for Officers (August 2016).</w:t>
            </w:r>
          </w:p>
        </w:tc>
      </w:tr>
      <w:tr>
        <w:trPr>
          <w:trHeight w:val="392"/>
        </w:trPr>
        <w:tc>
          <w:tcPr>
            <w:tcW w:w="380" w:type="dxa"/>
            <w:vAlign w:val="bottom"/>
          </w:tcPr>
          <w:p>
            <w:pPr>
              <w:jc w:val="right"/>
              <w:spacing w:after="0"/>
              <w:rPr>
                <w:sz w:val="20"/>
                <w:szCs w:val="20"/>
                <w:color w:val="auto"/>
              </w:rPr>
            </w:pPr>
            <w:r>
              <w:rPr>
                <w:rFonts w:ascii="Arial" w:cs="Arial" w:eastAsia="Arial" w:hAnsi="Arial"/>
                <w:sz w:val="18"/>
                <w:szCs w:val="18"/>
                <w:color w:val="auto"/>
                <w:w w:val="96"/>
              </w:rPr>
              <w:t>10.6</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rPr>
              <w:t>Form of Amendment to Plains AAP, L.P. Class B Restricted Units Agreement dated August 25, 2016.</w:t>
            </w:r>
          </w:p>
        </w:tc>
      </w:tr>
      <w:tr>
        <w:trPr>
          <w:trHeight w:val="392"/>
        </w:trPr>
        <w:tc>
          <w:tcPr>
            <w:tcW w:w="380" w:type="dxa"/>
            <w:vAlign w:val="bottom"/>
          </w:tcPr>
          <w:p>
            <w:pPr>
              <w:jc w:val="right"/>
              <w:spacing w:after="0"/>
              <w:rPr>
                <w:sz w:val="20"/>
                <w:szCs w:val="20"/>
                <w:color w:val="auto"/>
              </w:rPr>
            </w:pPr>
            <w:r>
              <w:rPr>
                <w:rFonts w:ascii="Arial" w:cs="Arial" w:eastAsia="Arial" w:hAnsi="Arial"/>
                <w:sz w:val="18"/>
                <w:szCs w:val="18"/>
                <w:color w:val="auto"/>
                <w:w w:val="96"/>
              </w:rPr>
              <w:t>10.7</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rPr>
              <w:t>Amendment dated August 25, 2016 to LTIP Grant Letter dated August 24, 2015 (Willie Chiang).</w:t>
            </w:r>
          </w:p>
        </w:tc>
      </w:tr>
      <w:tr>
        <w:trPr>
          <w:trHeight w:val="392"/>
        </w:trPr>
        <w:tc>
          <w:tcPr>
            <w:tcW w:w="380" w:type="dxa"/>
            <w:vAlign w:val="bottom"/>
          </w:tcPr>
          <w:p>
            <w:pPr>
              <w:jc w:val="right"/>
              <w:spacing w:after="0"/>
              <w:rPr>
                <w:sz w:val="20"/>
                <w:szCs w:val="20"/>
                <w:color w:val="auto"/>
              </w:rPr>
            </w:pPr>
            <w:r>
              <w:rPr>
                <w:rFonts w:ascii="Arial" w:cs="Arial" w:eastAsia="Arial" w:hAnsi="Arial"/>
                <w:sz w:val="18"/>
                <w:szCs w:val="18"/>
                <w:color w:val="auto"/>
                <w:w w:val="96"/>
              </w:rPr>
              <w:t>10.8</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rPr>
              <w:t>First Amendment to Plains AAP, L.P. Class B Restricted Units Agreement dated August 25, 2016 (Willie Chiang).</w:t>
            </w:r>
          </w:p>
        </w:tc>
      </w:tr>
      <w:tr>
        <w:trPr>
          <w:trHeight w:val="392"/>
        </w:trPr>
        <w:tc>
          <w:tcPr>
            <w:tcW w:w="380" w:type="dxa"/>
            <w:vAlign w:val="bottom"/>
          </w:tcPr>
          <w:p>
            <w:pPr>
              <w:jc w:val="right"/>
              <w:spacing w:after="0"/>
              <w:rPr>
                <w:sz w:val="20"/>
                <w:szCs w:val="20"/>
                <w:color w:val="auto"/>
              </w:rPr>
            </w:pPr>
            <w:r>
              <w:rPr>
                <w:rFonts w:ascii="Arial" w:cs="Arial" w:eastAsia="Arial" w:hAnsi="Arial"/>
                <w:sz w:val="18"/>
                <w:szCs w:val="18"/>
                <w:color w:val="auto"/>
                <w:w w:val="96"/>
              </w:rPr>
              <w:t>12.1</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rPr>
              <w:t>Computation of Ratio of Earnings to Fixed Charges.</w:t>
            </w:r>
          </w:p>
        </w:tc>
      </w:tr>
      <w:tr>
        <w:trPr>
          <w:trHeight w:val="392"/>
        </w:trPr>
        <w:tc>
          <w:tcPr>
            <w:tcW w:w="380" w:type="dxa"/>
            <w:vAlign w:val="bottom"/>
          </w:tcPr>
          <w:p>
            <w:pPr>
              <w:jc w:val="right"/>
              <w:spacing w:after="0"/>
              <w:rPr>
                <w:sz w:val="20"/>
                <w:szCs w:val="20"/>
                <w:color w:val="auto"/>
              </w:rPr>
            </w:pPr>
            <w:r>
              <w:rPr>
                <w:rFonts w:ascii="Arial" w:cs="Arial" w:eastAsia="Arial" w:hAnsi="Arial"/>
                <w:sz w:val="18"/>
                <w:szCs w:val="18"/>
                <w:color w:val="auto"/>
                <w:w w:val="96"/>
              </w:rPr>
              <w:t>31.1</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392"/>
        </w:trPr>
        <w:tc>
          <w:tcPr>
            <w:tcW w:w="380" w:type="dxa"/>
            <w:vAlign w:val="bottom"/>
          </w:tcPr>
          <w:p>
            <w:pPr>
              <w:jc w:val="right"/>
              <w:spacing w:after="0"/>
              <w:rPr>
                <w:sz w:val="20"/>
                <w:szCs w:val="20"/>
                <w:color w:val="auto"/>
              </w:rPr>
            </w:pPr>
            <w:r>
              <w:rPr>
                <w:rFonts w:ascii="Arial" w:cs="Arial" w:eastAsia="Arial" w:hAnsi="Arial"/>
                <w:sz w:val="18"/>
                <w:szCs w:val="18"/>
                <w:color w:val="auto"/>
                <w:w w:val="96"/>
              </w:rPr>
              <w:t>31.2</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780" w:type="dxa"/>
            <w:vAlign w:val="bottom"/>
          </w:tcPr>
          <w:p>
            <w:pPr>
              <w:ind w:left="26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108" w:right="25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40" w:type="dxa"/>
            <w:vAlign w:val="bottom"/>
          </w:tcPr>
          <w:p>
            <w:pPr>
              <w:spacing w:after="0"/>
              <w:rPr>
                <w:sz w:val="17"/>
                <w:szCs w:val="17"/>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642"/>
        </w:trPr>
        <w:tc>
          <w:tcPr>
            <w:tcW w:w="1000" w:type="dxa"/>
            <w:vAlign w:val="bottom"/>
          </w:tcPr>
          <w:p>
            <w:pPr>
              <w:ind w:left="40"/>
              <w:spacing w:after="0"/>
              <w:rPr>
                <w:sz w:val="20"/>
                <w:szCs w:val="20"/>
                <w:color w:val="auto"/>
              </w:rPr>
            </w:pPr>
            <w:r>
              <w:rPr>
                <w:rFonts w:ascii="Arial" w:cs="Arial" w:eastAsia="Arial" w:hAnsi="Arial"/>
                <w:sz w:val="18"/>
                <w:szCs w:val="18"/>
                <w:color w:val="auto"/>
              </w:rPr>
              <w:t>32.1 ††</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40" w:type="dxa"/>
            <w:vAlign w:val="bottom"/>
          </w:tcPr>
          <w:p>
            <w:pPr>
              <w:ind w:left="260"/>
              <w:spacing w:after="0"/>
              <w:rPr>
                <w:sz w:val="20"/>
                <w:szCs w:val="20"/>
                <w:color w:val="auto"/>
              </w:rPr>
            </w:pPr>
            <w:r>
              <w:rPr>
                <w:rFonts w:ascii="Arial" w:cs="Arial" w:eastAsia="Arial" w:hAnsi="Arial"/>
                <w:sz w:val="18"/>
                <w:szCs w:val="18"/>
                <w:color w:val="auto"/>
                <w:w w:val="92"/>
              </w:rPr>
              <w:t>Certification of Principal Executive Officer pursuant to 18 U.S.C. 1350.</w:t>
            </w: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32.2 ††</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40" w:type="dxa"/>
            <w:vAlign w:val="bottom"/>
          </w:tcPr>
          <w:p>
            <w:pPr>
              <w:ind w:left="260"/>
              <w:spacing w:after="0"/>
              <w:rPr>
                <w:sz w:val="20"/>
                <w:szCs w:val="20"/>
                <w:color w:val="auto"/>
              </w:rPr>
            </w:pPr>
            <w:r>
              <w:rPr>
                <w:rFonts w:ascii="Arial" w:cs="Arial" w:eastAsia="Arial" w:hAnsi="Arial"/>
                <w:sz w:val="18"/>
                <w:szCs w:val="18"/>
                <w:color w:val="auto"/>
                <w:w w:val="93"/>
              </w:rPr>
              <w:t>Certification of Principal Financial Officer pursuant to 18 U.S.C. 1350.</w:t>
            </w: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101.INS†</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4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101.SCH†</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4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101.CAL†</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4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101.DEF†</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4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101.LAB†</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4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00" w:type="dxa"/>
            <w:vAlign w:val="bottom"/>
          </w:tcPr>
          <w:p>
            <w:pPr>
              <w:ind w:left="40"/>
              <w:spacing w:after="0"/>
              <w:rPr>
                <w:sz w:val="20"/>
                <w:szCs w:val="20"/>
                <w:color w:val="auto"/>
              </w:rPr>
            </w:pPr>
            <w:r>
              <w:rPr>
                <w:rFonts w:ascii="Arial" w:cs="Arial" w:eastAsia="Arial" w:hAnsi="Arial"/>
                <w:sz w:val="18"/>
                <w:szCs w:val="18"/>
                <w:color w:val="auto"/>
              </w:rPr>
              <w:t>101.PRE†</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4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5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Certain schedules have been omitted pursuant to Item 601(b)(2) of Regulation S-K. A copy of any omitted schedule will be furnished supplementally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SEC upon request.</w:t>
      </w:r>
    </w:p>
    <w:p>
      <w:pPr>
        <w:spacing w:after="0" w:line="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08"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17145</wp:posOffset>
            </wp:positionV>
            <wp:extent cx="162941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94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25, 2016</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color w:val="auto"/>
        </w:rPr>
        <w:t>I am pleased to inform you that you have been granted [number] Phantom Units as of the above date pursuant to the Company’s 2013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393" w:lineRule="exact"/>
        <w:rPr>
          <w:sz w:val="20"/>
          <w:szCs w:val="20"/>
          <w:color w:val="auto"/>
        </w:rPr>
      </w:pPr>
    </w:p>
    <w:p>
      <w:pPr>
        <w:ind w:left="1960" w:hanging="1304"/>
        <w:spacing w:after="0" w:line="281" w:lineRule="auto"/>
        <w:tabs>
          <w:tab w:leader="none" w:pos="988" w:val="left"/>
        </w:tabs>
        <w:numPr>
          <w:ilvl w:val="0"/>
          <w:numId w:val="41"/>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shall vest (become payable in the form of one Common Unit of PAA for each Phantom Unit) as follows:</w:t>
      </w:r>
    </w:p>
    <w:p>
      <w:pPr>
        <w:spacing w:after="0" w:line="2" w:lineRule="exact"/>
        <w:rPr>
          <w:sz w:val="20"/>
          <w:szCs w:val="20"/>
          <w:color w:val="auto"/>
        </w:rPr>
      </w:pPr>
    </w:p>
    <w:p>
      <w:pPr>
        <w:jc w:val="both"/>
        <w:ind w:left="3080" w:hanging="1782"/>
        <w:spacing w:after="0" w:line="281" w:lineRule="auto"/>
        <w:rPr>
          <w:sz w:val="20"/>
          <w:szCs w:val="20"/>
          <w:color w:val="auto"/>
        </w:rPr>
      </w:pPr>
      <w:r>
        <w:rPr>
          <w:rFonts w:ascii="Arial" w:cs="Arial" w:eastAsia="Arial" w:hAnsi="Arial"/>
          <w:sz w:val="22"/>
          <w:szCs w:val="22"/>
          <w:color w:val="auto"/>
        </w:rPr>
        <w:t>a.Tranche A, which shall consist of one-third of the total number of Phantom Units covered by this grant letter, shall vest on the August 2019 Distribution Date;</w:t>
      </w:r>
    </w:p>
    <w:p>
      <w:pPr>
        <w:spacing w:after="0" w:line="2" w:lineRule="exact"/>
        <w:rPr>
          <w:sz w:val="20"/>
          <w:szCs w:val="20"/>
          <w:color w:val="auto"/>
        </w:rPr>
      </w:pPr>
    </w:p>
    <w:p>
      <w:pPr>
        <w:jc w:val="both"/>
        <w:ind w:left="3080" w:hanging="1782"/>
        <w:spacing w:after="0" w:line="326" w:lineRule="auto"/>
        <w:rPr>
          <w:sz w:val="20"/>
          <w:szCs w:val="20"/>
          <w:color w:val="auto"/>
        </w:rPr>
      </w:pPr>
      <w:r>
        <w:rPr>
          <w:rFonts w:ascii="Arial" w:cs="Arial" w:eastAsia="Arial" w:hAnsi="Arial"/>
          <w:sz w:val="19"/>
          <w:szCs w:val="19"/>
          <w:color w:val="auto"/>
        </w:rPr>
        <w:t>b.Tranche B, which shall consist of one-third of the total number of Phantom Units covered by this grant letter, shall vest as follows: (i) one-sixth (half of Tranche B) shall vest on the August 2020 Distribution Date; and (ii) one-sixth (the remaining half of Tranche B) shall vest upon the first date following the date hereof on which the Partnership pays an annualized quarterly distribution of at least $2.50 per unit ($0.625 per quarter); however, in the event such annualized $2.50 distribution threshold is not met prior to the August 2022 distribution date (the “Outside Vesting Date”), the applicable Phantom Units will vest on such Outside Vesting Date, provided that following the date hereof but on or prior to such Outside Vesting Date PAA shall have achieved a minimum annualized distribution rate of $2.30 per unit ($0.575 per quarter); and</w:t>
      </w:r>
    </w:p>
    <w:p>
      <w:pPr>
        <w:spacing w:after="0" w:line="3" w:lineRule="exact"/>
        <w:rPr>
          <w:sz w:val="20"/>
          <w:szCs w:val="20"/>
          <w:color w:val="auto"/>
        </w:rPr>
      </w:pPr>
    </w:p>
    <w:p>
      <w:pPr>
        <w:jc w:val="both"/>
        <w:ind w:left="3080" w:hanging="1782"/>
        <w:spacing w:after="0" w:line="287" w:lineRule="auto"/>
        <w:rPr>
          <w:sz w:val="20"/>
          <w:szCs w:val="20"/>
          <w:color w:val="auto"/>
        </w:rPr>
      </w:pPr>
      <w:r>
        <w:rPr>
          <w:rFonts w:ascii="Arial" w:cs="Arial" w:eastAsia="Arial" w:hAnsi="Arial"/>
          <w:sz w:val="22"/>
          <w:szCs w:val="22"/>
          <w:color w:val="auto"/>
        </w:rPr>
        <w:t>c.Tranche C, which shall consist of one-third of the total number of Phantom Units covered by this grant letter, shall vest as follows: (i) one-sixth (half of Tranche C) shall vest on the August 2021 Distribution Date; and (ii) one-sixth (the remaining half of Tranche C) shall vest upon the first date following the date hereof on which the Partnership pays an annualized quarterly distribution of at</w:t>
      </w:r>
    </w:p>
    <w:p>
      <w:pPr>
        <w:spacing w:after="0" w:line="206"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420"/>
          </w:cols>
          <w:pgMar w:left="240" w:top="121" w:right="2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620"/>
        <w:spacing w:after="0" w:line="346" w:lineRule="auto"/>
        <w:rPr>
          <w:sz w:val="20"/>
          <w:szCs w:val="20"/>
          <w:color w:val="auto"/>
        </w:rPr>
      </w:pPr>
      <w:r>
        <w:rPr>
          <w:rFonts w:ascii="Arial" w:cs="Arial" w:eastAsia="Arial" w:hAnsi="Arial"/>
          <w:sz w:val="19"/>
          <w:szCs w:val="19"/>
          <w:color w:val="auto"/>
        </w:rPr>
        <w:t>least $2.65 per unit ($0.6625 per quarter); however, in the event such annualized $2.65 distribution threshold is not met prior to the Outside Vesting Date, the applicable Phantom Units will vest on such Outside Vesting Date, provided that following the date hereof but on or prior to such Outside Vesting Date PAA shall have achieved a minimum annualized distribution rate of $2.30 per unit ($0.575 per quarter).</w:t>
      </w:r>
    </w:p>
    <w:p>
      <w:pPr>
        <w:spacing w:after="0" w:line="185" w:lineRule="exact"/>
        <w:rPr>
          <w:sz w:val="20"/>
          <w:szCs w:val="20"/>
          <w:color w:val="auto"/>
        </w:rPr>
      </w:pPr>
    </w:p>
    <w:p>
      <w:pPr>
        <w:ind w:left="1040"/>
        <w:spacing w:after="0" w:line="302" w:lineRule="auto"/>
        <w:rPr>
          <w:sz w:val="20"/>
          <w:szCs w:val="20"/>
          <w:color w:val="auto"/>
        </w:rPr>
      </w:pPr>
      <w:r>
        <w:rPr>
          <w:rFonts w:ascii="Arial" w:cs="Arial" w:eastAsia="Arial" w:hAnsi="Arial"/>
          <w:sz w:val="22"/>
          <w:szCs w:val="22"/>
          <w:color w:val="auto"/>
        </w:rPr>
        <w:t>Any remaining Phantom Units that have not vested on or before the Outside Vesting Date, and any associated DERs (regardless of vesting), shall expire on such date.</w:t>
      </w:r>
    </w:p>
    <w:p>
      <w:pPr>
        <w:spacing w:after="0" w:line="174" w:lineRule="exact"/>
        <w:rPr>
          <w:sz w:val="20"/>
          <w:szCs w:val="20"/>
          <w:color w:val="auto"/>
        </w:rPr>
      </w:pPr>
    </w:p>
    <w:p>
      <w:pPr>
        <w:ind w:left="2100" w:hanging="1444"/>
        <w:spacing w:after="0" w:line="333" w:lineRule="auto"/>
        <w:tabs>
          <w:tab w:leader="none" w:pos="1056" w:val="left"/>
        </w:tabs>
        <w:numPr>
          <w:ilvl w:val="0"/>
          <w:numId w:val="42"/>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DERs shall vest (become payable in cash) as follows: (i) one-third of your DERs (the DERs associated with Tranche (A)) shall vest upon and effective with the earlier to occur of the August 2018 Distribution Date and the first date following the date hereof on which the Partnership pays an annualized quarterly distribution of at least $2.30 per unit ($0.575 per quarter), (ii) one-third of your DERs (the DERs associated with Tranche (B)) shall vest upon and effective with the earlier to occur of the August 2019 Distribution Date and the first date following the date hereof on which the Partnership pays an annualized quarterly distribution of at least $2.40 per unit ($0.60 per quarter), and (iii) one-third of your DERs (the DERs associated with Tranche (C)) shall vest upon and effective with the earlier to occur of the August 2020 Distribution Date and the first date following the date hereof on which the Partnership pays an annualized quarterly distribution of at least $2.50 per unit ($0.625 per quarter).</w:t>
      </w:r>
    </w:p>
    <w:p>
      <w:pPr>
        <w:spacing w:after="0" w:line="196" w:lineRule="exact"/>
        <w:rPr>
          <w:rFonts w:ascii="Arial" w:cs="Arial" w:eastAsia="Arial" w:hAnsi="Arial"/>
          <w:sz w:val="19"/>
          <w:szCs w:val="19"/>
          <w:color w:val="auto"/>
        </w:rPr>
      </w:pPr>
    </w:p>
    <w:p>
      <w:pPr>
        <w:ind w:left="1040" w:hanging="384"/>
        <w:spacing w:after="0"/>
        <w:tabs>
          <w:tab w:leader="none" w:pos="10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300" w:lineRule="exact"/>
        <w:rPr>
          <w:rFonts w:ascii="Arial" w:cs="Arial" w:eastAsia="Arial" w:hAnsi="Arial"/>
          <w:sz w:val="22"/>
          <w:szCs w:val="22"/>
          <w:color w:val="auto"/>
        </w:rPr>
      </w:pPr>
    </w:p>
    <w:p>
      <w:pPr>
        <w:ind w:left="2120" w:hanging="1464"/>
        <w:spacing w:after="0" w:line="292" w:lineRule="auto"/>
        <w:tabs>
          <w:tab w:leader="none" w:pos="10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number of Phantom Units subject to this award and any distribution level required for vesting under paragraphs 1 or 2 above shall be proportionately reduced or increased for any split or reverse split, respectively, of the Units, or any event or transaction having a similar effect.</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2120" w:hanging="1464"/>
        <w:spacing w:after="0" w:line="311" w:lineRule="auto"/>
        <w:tabs>
          <w:tab w:leader="none" w:pos="1040" w:val="left"/>
        </w:tabs>
        <w:numPr>
          <w:ilvl w:val="0"/>
          <w:numId w:val="42"/>
        </w:numPr>
        <w:rPr>
          <w:rFonts w:ascii="Arial" w:cs="Arial" w:eastAsia="Arial" w:hAnsi="Arial"/>
          <w:sz w:val="21"/>
          <w:szCs w:val="21"/>
          <w:color w:val="auto"/>
        </w:rPr>
      </w:pPr>
      <w:r>
        <w:rPr>
          <w:rFonts w:ascii="Arial" w:cs="Arial" w:eastAsia="Arial" w:hAnsi="Arial"/>
          <w:sz w:val="21"/>
          <w:szCs w:val="21"/>
          <w:color w:val="auto"/>
        </w:rPr>
        <w:t>Upon vesting of any Phantom Units, an equivalent number of DERs (from the associated Tranche) will expire. Any such DERs that are vested prior to, or that would vest as of, the Distribution Date on which the Phantom Units vest, shall be payable on such Distribution Date prior to their expiration.</w:t>
      </w:r>
    </w:p>
    <w:p>
      <w:pPr>
        <w:spacing w:after="0" w:line="200" w:lineRule="exact"/>
        <w:rPr>
          <w:rFonts w:ascii="Arial" w:cs="Arial" w:eastAsia="Arial" w:hAnsi="Arial"/>
          <w:sz w:val="21"/>
          <w:szCs w:val="21"/>
          <w:color w:val="auto"/>
        </w:rPr>
      </w:pPr>
    </w:p>
    <w:p>
      <w:pPr>
        <w:spacing w:after="0" w:line="225" w:lineRule="exact"/>
        <w:rPr>
          <w:rFonts w:ascii="Arial" w:cs="Arial" w:eastAsia="Arial" w:hAnsi="Arial"/>
          <w:sz w:val="21"/>
          <w:szCs w:val="21"/>
          <w:color w:val="auto"/>
        </w:rPr>
      </w:pPr>
    </w:p>
    <w:p>
      <w:pPr>
        <w:ind w:left="2120" w:right="20" w:hanging="1464"/>
        <w:spacing w:after="0" w:line="302" w:lineRule="auto"/>
        <w:tabs>
          <w:tab w:leader="none" w:pos="10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 the event of the termination of your employment with the Company and its Affiliates for any reason (other than in connection with a Change in Status or by reason of your</w:t>
      </w:r>
    </w:p>
    <w:p>
      <w:pPr>
        <w:sectPr>
          <w:pgSz w:w="11900" w:h="16838" w:orient="portrait"/>
          <w:cols w:equalWidth="0" w:num="1">
            <w:col w:w="11420"/>
          </w:cols>
          <w:pgMar w:left="240" w:top="145"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080"/>
        <w:spacing w:after="0" w:line="332" w:lineRule="auto"/>
        <w:rPr>
          <w:sz w:val="20"/>
          <w:szCs w:val="20"/>
          <w:color w:val="auto"/>
        </w:rPr>
      </w:pPr>
      <w:r>
        <w:rPr>
          <w:rFonts w:ascii="Arial" w:cs="Arial" w:eastAsia="Arial" w:hAnsi="Arial"/>
          <w:sz w:val="19"/>
          <w:szCs w:val="19"/>
          <w:color w:val="auto"/>
        </w:rPr>
        <w:t>death or “disability,” as defined in paragraph 7 below), all of your then outstanding DERs (regardless of vesting) and Phantom Units shall automatically be forfeited as of the date of termination; provided, however, that if the Company or its Affiliates terminate your employment other than as a result of a Termination for Cause: (i) any unvested Phantom Units that would, but for such termination and forfeiture, vest on a specified Distribution Date (August 2019, August 2020, August 2021 or August 2022) during the twelve month period immediately following such termination, shall be deemed nonforfeitable on the date of termination, and shall vest on the next following Distribution Date; (ii) any unvested Phantom Units covered by paragraphs 1(b)(ii) and 1(c)(ii) above with respect to which the Company has, as of the date of termination, declared but not yet paid a quarterly distribution that would upon payment thereof satisfy the applicable distribution criteria for such Phantom Units, shall be deemed nonforfeitable on the date of termination, and shall vest on the next following Distribution Date; and (iii) any DERs associated with such unvested, nonforfeitable Phantom Units described in clause (i) or (ii) immediately preceding shall not be forfeited on the date of termination, but shall vest in accordance with paragraph 2 above and if vested shall be payable and shall expire in accordance with paragraph 1 or paragraph 5 above.</w:t>
      </w:r>
    </w:p>
    <w:p>
      <w:pPr>
        <w:spacing w:after="0" w:line="200" w:lineRule="exact"/>
        <w:rPr>
          <w:sz w:val="20"/>
          <w:szCs w:val="20"/>
          <w:color w:val="auto"/>
        </w:rPr>
      </w:pPr>
    </w:p>
    <w:p>
      <w:pPr>
        <w:spacing w:after="0" w:line="292" w:lineRule="exact"/>
        <w:rPr>
          <w:sz w:val="20"/>
          <w:szCs w:val="20"/>
          <w:color w:val="auto"/>
        </w:rPr>
      </w:pPr>
    </w:p>
    <w:p>
      <w:pPr>
        <w:ind w:left="2120" w:hanging="1464"/>
        <w:spacing w:after="0" w:line="332" w:lineRule="auto"/>
        <w:tabs>
          <w:tab w:leader="none" w:pos="10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second anniversary of the date of this grant, all of your then outstanding Phantom Units and DERs shall automatically be forfeited as of the date of termination; and (ii) if such termination takes place on or after the second anniversary of the date of this grant, your then outstanding Phantom Units shall be deemed nonforfeitable on the date of termination and shall vest on the next following Distribution Date (and any DERs associated with such unvested, nonforfeitable Phantom Units shall not be forfeited on the date of termination, but shall vest in accordance with paragraph 2 above and if vested shall be payable and shall expire in accordance with paragraph 1 or paragraph 5 above). As soon as administratively practicable after the vesting of any Phantom Units pursuant to this paragraph 7, payment will be made in cash in an amount equal to the Market Value of the number of Phantom Units vesting.</w:t>
      </w:r>
    </w:p>
    <w:p>
      <w:pPr>
        <w:sectPr>
          <w:pgSz w:w="11900" w:h="16838" w:orient="portrait"/>
          <w:cols w:equalWidth="0" w:num="1">
            <w:col w:w="11420"/>
          </w:cols>
          <w:pgMar w:left="240" w:top="145" w:right="2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120" w:hanging="1464"/>
        <w:spacing w:after="0" w:line="292" w:lineRule="auto"/>
        <w:tabs>
          <w:tab w:leader="none" w:pos="10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In the event of a Change in Status, all of your then outstanding Phantom Units and tandem DERs shall be deemed 100% nonforfeitable on such date, and such Phantom Units shall vest in full upon the next Distribution Date.</w:t>
      </w:r>
    </w:p>
    <w:p>
      <w:pPr>
        <w:spacing w:after="0" w:line="200" w:lineRule="exact"/>
        <w:rPr>
          <w:rFonts w:ascii="Arial" w:cs="Arial" w:eastAsia="Arial" w:hAnsi="Arial"/>
          <w:sz w:val="22"/>
          <w:szCs w:val="22"/>
          <w:color w:val="auto"/>
        </w:rPr>
      </w:pPr>
    </w:p>
    <w:p>
      <w:pPr>
        <w:spacing w:after="0" w:line="240" w:lineRule="exact"/>
        <w:rPr>
          <w:rFonts w:ascii="Arial" w:cs="Arial" w:eastAsia="Arial" w:hAnsi="Arial"/>
          <w:sz w:val="22"/>
          <w:szCs w:val="22"/>
          <w:color w:val="auto"/>
        </w:rPr>
      </w:pPr>
    </w:p>
    <w:p>
      <w:pPr>
        <w:ind w:left="2120" w:hanging="1464"/>
        <w:spacing w:after="0" w:line="288" w:lineRule="auto"/>
        <w:tabs>
          <w:tab w:leader="none" w:pos="10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A termination by you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w:t>
      </w:r>
    </w:p>
    <w:p>
      <w:pPr>
        <w:sectPr>
          <w:pgSz w:w="11900" w:h="16838" w:orient="portrait"/>
          <w:cols w:equalWidth="0" w:num="1">
            <w:col w:w="11420"/>
          </w:cols>
          <w:pgMar w:left="240" w:top="145" w:right="23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2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used herein, the term “Owner Affiliates” shall mean KAFU Holdings, L.P. and its affiliates, EMG Investment, LLC and its affiliates, Oxy Holding Company (Pipeline), Inc. and its affiliates, Mark Strome and his affiliates, Windy, LLC and its affiliates, PAA Management, L.P. and its affiliates, PAGP and its affiliates, Jay Chernosky, Kipp PAA Trust, Paul Riddle, Russell Clingman, David Humphreys and Philip Trinder.</w:t>
      </w:r>
    </w:p>
    <w:p>
      <w:pPr>
        <w:spacing w:after="0" w:line="22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Fifth Amended and Restated Agreement of Limited Partnership of Plains All American Pipeline, L.P., as amended (the “Partnership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420"/>
          </w:cols>
          <w:pgMar w:left="240" w:top="145" w:right="2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By:PLAINS ALL AMERICAN GP LLC,</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 &amp; General Counsel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Units: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922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20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440"/>
          </w:cols>
          <w:pgMar w:left="240" w:top="145"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10.6</w:t>
      </w:r>
    </w:p>
    <w:p>
      <w:pPr>
        <w:spacing w:after="0" w:line="270"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AMENDED AND RESTATED</w:t>
      </w:r>
    </w:p>
    <w:p>
      <w:pPr>
        <w:spacing w:after="0" w:line="44"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PLAINS AAP, L.P. CLASS B</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RESTRICTED UNITS AGREEMENT</w:t>
      </w:r>
    </w:p>
    <w:p>
      <w:pPr>
        <w:spacing w:after="0" w:line="44"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(Tranches G and I)</w:t>
      </w:r>
    </w:p>
    <w:p>
      <w:pPr>
        <w:spacing w:after="0" w:line="5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This AMENDED AND RESTATED PLAINS AAP, L.P. CLASS B RESTRICTED UNITS AGREEMENT </w:t>
      </w:r>
      <w:r>
        <w:rPr>
          <w:rFonts w:ascii="Arial" w:cs="Arial" w:eastAsia="Arial" w:hAnsi="Arial"/>
          <w:sz w:val="21"/>
          <w:szCs w:val="21"/>
          <w:color w:val="auto"/>
        </w:rPr>
        <w:t>(this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entered into effective as of August 25, 2016 in order to amend and restate that certain Plains AAP, L.P. Class B Restricted Units Agreement (the “</w:t>
      </w:r>
      <w:r>
        <w:rPr>
          <w:rFonts w:ascii="Arial" w:cs="Arial" w:eastAsia="Arial" w:hAnsi="Arial"/>
          <w:sz w:val="21"/>
          <w:szCs w:val="21"/>
          <w:b w:val="1"/>
          <w:bCs w:val="1"/>
          <w:i w:val="1"/>
          <w:iCs w:val="1"/>
          <w:color w:val="auto"/>
        </w:rPr>
        <w:t>Original Agremeent</w:t>
      </w:r>
      <w:r>
        <w:rPr>
          <w:rFonts w:ascii="Arial" w:cs="Arial" w:eastAsia="Arial" w:hAnsi="Arial"/>
          <w:sz w:val="21"/>
          <w:szCs w:val="21"/>
          <w:color w:val="auto"/>
        </w:rPr>
        <w:t>”) entered into as of July 28, 2015 (the “</w:t>
      </w:r>
      <w:r>
        <w:rPr>
          <w:rFonts w:ascii="Arial" w:cs="Arial" w:eastAsia="Arial" w:hAnsi="Arial"/>
          <w:sz w:val="21"/>
          <w:szCs w:val="21"/>
          <w:b w:val="1"/>
          <w:bCs w:val="1"/>
          <w:i w:val="1"/>
          <w:iCs w:val="1"/>
          <w:color w:val="auto"/>
        </w:rPr>
        <w:t>Grant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PLAINS AAP, L.P.</w:t>
      </w:r>
      <w:r>
        <w:rPr>
          <w:rFonts w:ascii="Arial" w:cs="Arial" w:eastAsia="Arial" w:hAnsi="Arial"/>
          <w:sz w:val="21"/>
          <w:szCs w:val="21"/>
          <w:color w:val="auto"/>
        </w:rPr>
        <w:t>, a Delaware limited partnership (the “</w:t>
      </w:r>
      <w:r>
        <w:rPr>
          <w:rFonts w:ascii="Arial" w:cs="Arial" w:eastAsia="Arial" w:hAnsi="Arial"/>
          <w:sz w:val="21"/>
          <w:szCs w:val="21"/>
          <w:b w:val="1"/>
          <w:bCs w:val="1"/>
          <w:i w:val="1"/>
          <w:iCs w:val="1"/>
          <w:color w:val="auto"/>
        </w:rPr>
        <w:t>Partnership</w:t>
      </w:r>
      <w:r>
        <w:rPr>
          <w:rFonts w:ascii="Arial" w:cs="Arial" w:eastAsia="Arial" w:hAnsi="Arial"/>
          <w:sz w:val="21"/>
          <w:szCs w:val="21"/>
          <w:color w:val="auto"/>
        </w:rPr>
        <w:t>”), and __________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w:t>
      </w:r>
    </w:p>
    <w:p>
      <w:pPr>
        <w:spacing w:after="0" w:line="165"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to provide an incentive to Executive to enhance the profitability and growth of the Partnership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and to encourage Executive to remain employed by the Partnership or its Affiliates, the Partnership and Executive previously entered into the Original Agreement; and</w:t>
      </w:r>
    </w:p>
    <w:p>
      <w:pPr>
        <w:spacing w:after="0" w:line="17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Partnership and Executive desire to enter into this Agreement to amend and restate the terms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Agreement such that the Granted Units shall have such rights, designations and preferences as are set forth in this Agreement and the Partnership Agreement;</w:t>
      </w:r>
    </w:p>
    <w:p>
      <w:pPr>
        <w:spacing w:after="0" w:line="178"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agreements set forth herein and other good and valuable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the receipt and sufficiency of which are hereby acknowledged, the Partnership and Executive agree as follows:</w:t>
      </w:r>
    </w:p>
    <w:p>
      <w:pPr>
        <w:spacing w:after="0" w:line="9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1</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CONSTRUCTION</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i w:val="1"/>
          <w:iCs w:val="1"/>
          <w:color w:val="auto"/>
        </w:rPr>
        <w:t>Construction</w:t>
      </w:r>
      <w:r>
        <w:rPr>
          <w:rFonts w:ascii="Arial" w:cs="Arial" w:eastAsia="Arial" w:hAnsi="Arial"/>
          <w:sz w:val="22"/>
          <w:szCs w:val="22"/>
          <w:color w:val="auto"/>
        </w:rPr>
        <w:t>. Unless the context requires otherwise: (a) the gender (or lack of gender) of all words used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includes the masculine, feminine, and neuter; (b) references to Sections refer to sections of this Agreement; (c) references to Exhibits refer to the Exhibits attached to this Agreement, each of which is made a part hereof for all purposes; (d) references to money refer to legal currency of the United States of America; and (e) the word “including” means “including without limitation.”</w:t>
      </w:r>
    </w:p>
    <w:p>
      <w:pPr>
        <w:spacing w:after="0" w:line="184"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b w:val="1"/>
          <w:bCs w:val="1"/>
          <w:i w:val="1"/>
          <w:iCs w:val="1"/>
          <w:color w:val="auto"/>
        </w:rPr>
        <w:t>Definitions</w:t>
      </w:r>
      <w:r>
        <w:rPr>
          <w:rFonts w:ascii="Arial" w:cs="Arial" w:eastAsia="Arial" w:hAnsi="Arial"/>
          <w:sz w:val="21"/>
          <w:szCs w:val="21"/>
          <w:color w:val="auto"/>
        </w:rPr>
        <w:t>. Capitalized terms used in this Agreement (including Exhibit A attached hereto) that are not defined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1.2 or in the body of this Agreement shall have the meanings given to them in the Partnership Agreement.</w:t>
      </w:r>
    </w:p>
    <w:p>
      <w:pPr>
        <w:spacing w:after="0" w:line="14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of a person means any person controlling, controlled by, or under common control with such person. As used herein, the terms “controlling”, “controlled by” and “under common control with” mean the possession, directly or indirectly, of the power to direct or cause the direction</w:t>
      </w:r>
    </w:p>
    <w:p>
      <w:pPr>
        <w:sectPr>
          <w:pgSz w:w="11900" w:h="16838" w:orient="portrait"/>
          <w:cols w:equalWidth="0" w:num="1">
            <w:col w:w="11420"/>
          </w:cols>
          <w:pgMar w:left="240" w:top="121" w:right="239" w:bottom="1440" w:gutter="0" w:footer="0" w:header="0"/>
        </w:sectPr>
      </w:pPr>
    </w:p>
    <w:bookmarkStart w:id="72" w:name="page73"/>
    <w:bookmarkEnd w:id="72"/>
    <w:p>
      <w:pPr>
        <w:jc w:val="both"/>
        <w:spacing w:after="0" w:line="285" w:lineRule="auto"/>
        <w:rPr>
          <w:sz w:val="20"/>
          <w:szCs w:val="20"/>
          <w:color w:val="auto"/>
        </w:rPr>
      </w:pPr>
      <w:r>
        <w:rPr>
          <w:rFonts w:ascii="Arial" w:cs="Arial" w:eastAsia="Arial" w:hAnsi="Arial"/>
          <w:sz w:val="22"/>
          <w:szCs w:val="22"/>
          <w:color w:val="auto"/>
        </w:rPr>
        <w:t>of management or policies (whether through ownership of securities or any partnership or other ownership interest, by contract or otherwise) of a person. For the purposes of the preceding sentence, control shall be deemed to exist when a person possesses, directly or indirectly, through one or more intermediaries (a) in the case of a corporation, more than 50% of the outstanding voting securities thereof; (b) in the case of a limited liability company, partnership, limited partnership or venture, the right to more than 50% of the voting membership, general partner or equivalent interest therein; or (c) in the case of any other person, more than 50% of the economic or beneficial interest therein.</w:t>
      </w:r>
    </w:p>
    <w:p>
      <w:pPr>
        <w:spacing w:after="0" w:line="196"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Class B Units</w:t>
      </w:r>
      <w:r>
        <w:rPr>
          <w:rFonts w:ascii="Arial" w:cs="Arial" w:eastAsia="Arial" w:hAnsi="Arial"/>
          <w:sz w:val="19"/>
          <w:szCs w:val="19"/>
          <w:color w:val="auto"/>
        </w:rPr>
        <w:t>” means at a particular time, collectively, the Vested Units and the Earned Units then outstanding, and the "Earned Units" and "Vested Units" then outstanding under all Other Class B Restricted Unit Agreements.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or governing board or committee of the Company.</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Call Event</w:t>
      </w:r>
      <w:r>
        <w:rPr>
          <w:rFonts w:ascii="Arial" w:cs="Arial" w:eastAsia="Arial" w:hAnsi="Arial"/>
          <w:sz w:val="22"/>
          <w:szCs w:val="22"/>
          <w:color w:val="auto"/>
        </w:rPr>
        <w:t>” means, with respect to an Earned Unit, the termination of Executive’s employment with the Company and its Affiliates for any reason (including death or disability) prior to December 31, 2022 [January 1, 2021 for Tranche G], other than (i) a termination of employment by Executive for a Good Reason or (ii) a termination of Executive’s employment by the Company and its Affiliates other than for Cause.</w:t>
      </w:r>
    </w:p>
    <w:p>
      <w:pPr>
        <w:spacing w:after="0" w:line="19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Call Option</w:t>
      </w:r>
      <w:r>
        <w:rPr>
          <w:rFonts w:ascii="Arial" w:cs="Arial" w:eastAsia="Arial" w:hAnsi="Arial"/>
          <w:sz w:val="22"/>
          <w:szCs w:val="22"/>
          <w:color w:val="auto"/>
        </w:rPr>
        <w:t>” means the Partnership’s option to repurchase Earned Units upon or following a Call Event, as provided in Exhibit A.</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Call Value</w:t>
      </w:r>
      <w:r>
        <w:rPr>
          <w:rFonts w:ascii="Arial" w:cs="Arial" w:eastAsia="Arial" w:hAnsi="Arial"/>
          <w:sz w:val="22"/>
          <w:szCs w:val="22"/>
          <w:color w:val="auto"/>
        </w:rPr>
        <w:t>” of an Earned Unit means:</w:t>
      </w:r>
    </w:p>
    <w:p>
      <w:pPr>
        <w:spacing w:after="0" w:line="260" w:lineRule="exact"/>
        <w:rPr>
          <w:sz w:val="20"/>
          <w:szCs w:val="20"/>
          <w:color w:val="auto"/>
        </w:rPr>
      </w:pPr>
    </w:p>
    <w:p>
      <w:pPr>
        <w:ind w:left="1740" w:hanging="435"/>
        <w:spacing w:after="0"/>
        <w:tabs>
          <w:tab w:leader="none" w:pos="1740" w:val="left"/>
        </w:tabs>
        <w:numPr>
          <w:ilvl w:val="1"/>
          <w:numId w:val="45"/>
        </w:numPr>
        <w:rPr>
          <w:rFonts w:ascii="Arial" w:cs="Arial" w:eastAsia="Arial" w:hAnsi="Arial"/>
          <w:sz w:val="19"/>
          <w:szCs w:val="19"/>
          <w:color w:val="auto"/>
        </w:rPr>
      </w:pPr>
      <w:r>
        <w:rPr>
          <w:rFonts w:ascii="Arial" w:cs="Arial" w:eastAsia="Arial" w:hAnsi="Arial"/>
          <w:sz w:val="19"/>
          <w:szCs w:val="19"/>
          <w:color w:val="auto"/>
        </w:rPr>
        <w:t>if the Call Event occurs on or before December 31, 2018 [December 31, 2014 for Tranche G], an amount equal</w:t>
      </w:r>
    </w:p>
    <w:p>
      <w:pPr>
        <w:spacing w:after="0" w:line="92" w:lineRule="exact"/>
        <w:rPr>
          <w:rFonts w:ascii="Arial" w:cs="Arial" w:eastAsia="Arial" w:hAnsi="Arial"/>
          <w:sz w:val="19"/>
          <w:szCs w:val="19"/>
          <w:color w:val="auto"/>
        </w:rPr>
      </w:pPr>
    </w:p>
    <w:p>
      <w:pPr>
        <w:jc w:val="both"/>
        <w:ind w:left="660"/>
        <w:spacing w:after="0" w:line="288" w:lineRule="auto"/>
        <w:rPr>
          <w:rFonts w:ascii="Arial" w:cs="Arial" w:eastAsia="Arial" w:hAnsi="Arial"/>
          <w:sz w:val="19"/>
          <w:szCs w:val="19"/>
          <w:color w:val="auto"/>
        </w:rPr>
      </w:pPr>
      <w:r>
        <w:rPr>
          <w:rFonts w:ascii="Arial" w:cs="Arial" w:eastAsia="Arial" w:hAnsi="Arial"/>
          <w:sz w:val="22"/>
          <w:szCs w:val="22"/>
          <w:color w:val="auto"/>
        </w:rPr>
        <w:t>to 25% of the product of (i) the closing sales price of PAGP’s Class A shares on the date of the applicable Call Event, or if the Call Event occurs on a date that is not a trading day for PAGP’s Class A shares, the closing sales price on the first preceding day that is a trading day for PAGP’s Class A shares (for purposes of this definition, the “Closing Price”) and (ii) the Conversion Factor;</w:t>
      </w:r>
    </w:p>
    <w:p>
      <w:pPr>
        <w:spacing w:after="0" w:line="190" w:lineRule="exact"/>
        <w:rPr>
          <w:rFonts w:ascii="Arial" w:cs="Arial" w:eastAsia="Arial" w:hAnsi="Arial"/>
          <w:sz w:val="19"/>
          <w:szCs w:val="19"/>
          <w:color w:val="auto"/>
        </w:rPr>
      </w:pPr>
    </w:p>
    <w:p>
      <w:pPr>
        <w:jc w:val="both"/>
        <w:ind w:left="660" w:right="20" w:firstLine="645"/>
        <w:spacing w:after="0" w:line="333" w:lineRule="auto"/>
        <w:tabs>
          <w:tab w:leader="none" w:pos="1889" w:val="left"/>
        </w:tabs>
        <w:numPr>
          <w:ilvl w:val="1"/>
          <w:numId w:val="45"/>
        </w:numPr>
        <w:rPr>
          <w:rFonts w:ascii="Arial" w:cs="Arial" w:eastAsia="Arial" w:hAnsi="Arial"/>
          <w:sz w:val="19"/>
          <w:szCs w:val="19"/>
          <w:color w:val="auto"/>
        </w:rPr>
      </w:pPr>
      <w:r>
        <w:rPr>
          <w:rFonts w:ascii="Arial" w:cs="Arial" w:eastAsia="Arial" w:hAnsi="Arial"/>
          <w:sz w:val="19"/>
          <w:szCs w:val="19"/>
          <w:color w:val="auto"/>
        </w:rPr>
        <w:t>if the Call Event occurs after December 31, 2018 [December 31, 2014 for Tranche G] but on or before December 31, 2020 [December 31, 2017 for Tranche G], an amount equal to 50% of the product of (i) the Closing Price and</w:t>
      </w:r>
    </w:p>
    <w:p>
      <w:pPr>
        <w:spacing w:after="0" w:line="1" w:lineRule="exact"/>
        <w:rPr>
          <w:rFonts w:ascii="Arial" w:cs="Arial" w:eastAsia="Arial" w:hAnsi="Arial"/>
          <w:sz w:val="19"/>
          <w:szCs w:val="19"/>
          <w:color w:val="auto"/>
        </w:rPr>
      </w:pPr>
    </w:p>
    <w:p>
      <w:pPr>
        <w:ind w:left="980" w:hanging="324"/>
        <w:spacing w:after="0"/>
        <w:tabs>
          <w:tab w:leader="none" w:pos="9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Conversion Factor; or</w:t>
      </w:r>
    </w:p>
    <w:p>
      <w:pPr>
        <w:spacing w:after="0" w:line="260" w:lineRule="exact"/>
        <w:rPr>
          <w:rFonts w:ascii="Arial" w:cs="Arial" w:eastAsia="Arial" w:hAnsi="Arial"/>
          <w:sz w:val="22"/>
          <w:szCs w:val="22"/>
          <w:color w:val="auto"/>
        </w:rPr>
      </w:pPr>
    </w:p>
    <w:p>
      <w:pPr>
        <w:jc w:val="both"/>
        <w:ind w:left="660" w:firstLine="645"/>
        <w:spacing w:after="0" w:line="333" w:lineRule="auto"/>
        <w:tabs>
          <w:tab w:leader="none" w:pos="1877" w:val="left"/>
        </w:tabs>
        <w:numPr>
          <w:ilvl w:val="1"/>
          <w:numId w:val="46"/>
        </w:numPr>
        <w:rPr>
          <w:rFonts w:ascii="Arial" w:cs="Arial" w:eastAsia="Arial" w:hAnsi="Arial"/>
          <w:sz w:val="19"/>
          <w:szCs w:val="19"/>
          <w:color w:val="auto"/>
        </w:rPr>
      </w:pPr>
      <w:r>
        <w:rPr>
          <w:rFonts w:ascii="Arial" w:cs="Arial" w:eastAsia="Arial" w:hAnsi="Arial"/>
          <w:sz w:val="19"/>
          <w:szCs w:val="19"/>
          <w:color w:val="auto"/>
        </w:rPr>
        <w:t>if the Call Event occurs after December 31, 2020 [December 31, 2017 for Tranche G] but on or before December 31, 2022 [December 31, 2020 for Tranche G], an amount equal to 75% of the product of (i) the Closing Price and</w:t>
      </w:r>
    </w:p>
    <w:p>
      <w:pPr>
        <w:spacing w:after="0" w:line="1" w:lineRule="exact"/>
        <w:rPr>
          <w:rFonts w:ascii="Arial" w:cs="Arial" w:eastAsia="Arial" w:hAnsi="Arial"/>
          <w:sz w:val="19"/>
          <w:szCs w:val="19"/>
          <w:color w:val="auto"/>
        </w:rPr>
      </w:pPr>
    </w:p>
    <w:p>
      <w:pPr>
        <w:ind w:left="980" w:hanging="324"/>
        <w:spacing w:after="0"/>
        <w:tabs>
          <w:tab w:leader="none" w:pos="9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Conversion Factor.</w:t>
      </w:r>
    </w:p>
    <w:p>
      <w:pPr>
        <w:spacing w:after="0" w:line="26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 the termination of Executive’s employment with the Partnership and its Affiliates upon (i) a reasonable determination made in good faith by the CEO of the Company that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88" w:right="239" w:bottom="1440" w:gutter="0" w:footer="0" w:header="0"/>
        </w:sectPr>
      </w:pPr>
    </w:p>
    <w:bookmarkStart w:id="73" w:name="page74"/>
    <w:bookmarkEnd w:id="73"/>
    <w:p>
      <w:pPr>
        <w:jc w:val="both"/>
        <w:spacing w:after="0" w:line="303" w:lineRule="auto"/>
        <w:rPr>
          <w:sz w:val="20"/>
          <w:szCs w:val="20"/>
          <w:color w:val="auto"/>
        </w:rPr>
      </w:pPr>
      <w:r>
        <w:rPr>
          <w:rFonts w:ascii="Arial" w:cs="Arial" w:eastAsia="Arial" w:hAnsi="Arial"/>
          <w:sz w:val="21"/>
          <w:szCs w:val="21"/>
          <w:color w:val="auto"/>
        </w:rPr>
        <w:t>Executive has substantially failed to perform the duties and responsibilities of his position at an acceptable level and after written notice specifying such failure in reasonable detail, (ii) Executive’s conviction of or guilty plea to the committing of an act or acts constituting a felony under the laws of the United States or any state thereof or any misdemeanor involving moral turpitude or (iii) Executive’s violation of the Company’s Code of Business Conduct (unless waived in accordance with the terms thereof), provided that Executive is provided written notice of the specific violation thereof.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determination by the Board that one of the following events has occurred:</w:t>
      </w:r>
    </w:p>
    <w:p>
      <w:pPr>
        <w:spacing w:after="0" w:line="247" w:lineRule="exact"/>
        <w:rPr>
          <w:sz w:val="20"/>
          <w:szCs w:val="20"/>
          <w:color w:val="auto"/>
        </w:rPr>
      </w:pPr>
    </w:p>
    <w:p>
      <w:pPr>
        <w:jc w:val="both"/>
        <w:ind w:left="660" w:firstLine="645"/>
        <w:spacing w:after="0" w:line="250" w:lineRule="auto"/>
        <w:tabs>
          <w:tab w:leader="none" w:pos="2196"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Persons who own member interests in PAA GP Holdings LLC immediately following the closing of the GP IPO, including the IPO Entity, and the respective Affiliates of such Persons (such owners and Affiliates being referred to as the “Owner Affiliates”), cease to own directly or indirectly at least 50% of the membership interests of such entity;</w:t>
      </w:r>
    </w:p>
    <w:p>
      <w:pPr>
        <w:spacing w:after="0" w:line="188" w:lineRule="exact"/>
        <w:rPr>
          <w:rFonts w:ascii="Arial" w:cs="Arial" w:eastAsia="Arial" w:hAnsi="Arial"/>
          <w:sz w:val="22"/>
          <w:szCs w:val="22"/>
          <w:color w:val="auto"/>
        </w:rPr>
      </w:pPr>
    </w:p>
    <w:p>
      <w:pPr>
        <w:jc w:val="both"/>
        <w:ind w:left="660" w:firstLine="645"/>
        <w:spacing w:after="0" w:line="250" w:lineRule="auto"/>
        <w:tabs>
          <w:tab w:leader="none" w:pos="2209"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(x) a “person” or “group” other than the Owner Affiliates becomes the “beneficial owner” directly or indirectly of 25% or more of the member interest in the general partner of the IPO Entity,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(y) the member interest beneficially owned by such "person" or "group" exceeds the aggregate member interest in the general partner of the IPO Entity beneficially owned, directly or indirectly, by the Owner Affiliates; or</w:t>
      </w:r>
    </w:p>
    <w:p>
      <w:pPr>
        <w:spacing w:after="0" w:line="188" w:lineRule="exact"/>
        <w:rPr>
          <w:rFonts w:ascii="Arial" w:cs="Arial" w:eastAsia="Arial" w:hAnsi="Arial"/>
          <w:sz w:val="22"/>
          <w:szCs w:val="22"/>
          <w:color w:val="auto"/>
        </w:rPr>
      </w:pPr>
    </w:p>
    <w:p>
      <w:pPr>
        <w:jc w:val="both"/>
        <w:ind w:left="660" w:firstLine="645"/>
        <w:spacing w:after="0" w:line="263" w:lineRule="auto"/>
        <w:tabs>
          <w:tab w:leader="none" w:pos="2196" w:val="left"/>
        </w:tabs>
        <w:numPr>
          <w:ilvl w:val="0"/>
          <w:numId w:val="48"/>
        </w:numPr>
        <w:rPr>
          <w:rFonts w:ascii="Arial" w:cs="Arial" w:eastAsia="Arial" w:hAnsi="Arial"/>
          <w:sz w:val="21"/>
          <w:szCs w:val="21"/>
          <w:color w:val="auto"/>
        </w:rPr>
      </w:pPr>
      <w:r>
        <w:rPr>
          <w:rFonts w:ascii="Arial" w:cs="Arial" w:eastAsia="Arial" w:hAnsi="Arial"/>
          <w:sz w:val="21"/>
          <w:szCs w:val="21"/>
          <w:color w:val="auto"/>
        </w:rPr>
        <w:t>A direct or indirect transfer, sale, exchange or other disposition in a single transaction or series of transactions (whether by merger or otherwise) of all or substantially all of the assets of the IPO Entity or the MLP to one or more Persons who are not Affiliates of the IPO Entity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A Unit</w:t>
      </w:r>
      <w:r>
        <w:rPr>
          <w:rFonts w:ascii="Arial" w:cs="Arial" w:eastAsia="Arial" w:hAnsi="Arial"/>
          <w:sz w:val="22"/>
          <w:szCs w:val="22"/>
          <w:color w:val="auto"/>
        </w:rPr>
        <w:t>” means a Class A common unit of the Partnership.</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 Unit</w:t>
      </w:r>
      <w:r>
        <w:rPr>
          <w:rFonts w:ascii="Arial" w:cs="Arial" w:eastAsia="Arial" w:hAnsi="Arial"/>
          <w:sz w:val="22"/>
          <w:szCs w:val="22"/>
          <w:color w:val="auto"/>
        </w:rPr>
        <w:t>” means a Class B common unit of the Partnership.</w:t>
      </w:r>
    </w:p>
    <w:p>
      <w:pPr>
        <w:spacing w:after="0" w:line="260"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 Unit Majority</w:t>
      </w:r>
      <w:r>
        <w:rPr>
          <w:rFonts w:ascii="Arial" w:cs="Arial" w:eastAsia="Arial" w:hAnsi="Arial"/>
          <w:sz w:val="22"/>
          <w:szCs w:val="22"/>
          <w:color w:val="auto"/>
        </w:rPr>
        <w:t>” means the holders of the Applicable Class B Units (as a group), acting at the direction of the holders of at least a majority of the Applicable Class B Units outstanding at such time.</w:t>
      </w:r>
    </w:p>
    <w:p>
      <w:pPr>
        <w:spacing w:after="0" w:line="17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Plains All American GP LLC, a Delaware limited liability company and the general partner of the Partnership.</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Conversion Factor</w:t>
      </w:r>
      <w:r>
        <w:rPr>
          <w:rFonts w:ascii="Arial" w:cs="Arial" w:eastAsia="Arial" w:hAnsi="Arial"/>
          <w:sz w:val="22"/>
          <w:szCs w:val="22"/>
          <w:color w:val="auto"/>
        </w:rPr>
        <w:t>” means 0.9413316.</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88" w:right="239" w:bottom="1440" w:gutter="0" w:footer="0" w:header="0"/>
        </w:sectPr>
      </w:pPr>
    </w:p>
    <w:bookmarkStart w:id="74" w:name="page75"/>
    <w:bookmarkEnd w:id="74"/>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Earned Unit</w:t>
      </w:r>
      <w:r>
        <w:rPr>
          <w:rFonts w:ascii="Arial" w:cs="Arial" w:eastAsia="Arial" w:hAnsi="Arial"/>
          <w:sz w:val="22"/>
          <w:szCs w:val="22"/>
          <w:color w:val="auto"/>
        </w:rPr>
        <w:t>” means, as of any date, a Granted Unit that has become “earned,” as provided in Section 2.2(b), subject to the proviso to Section 2.2(a).</w:t>
      </w:r>
    </w:p>
    <w:p>
      <w:pPr>
        <w:spacing w:after="0" w:line="17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Forfeiture Event</w:t>
      </w:r>
      <w:r>
        <w:rPr>
          <w:rFonts w:ascii="Arial" w:cs="Arial" w:eastAsia="Arial" w:hAnsi="Arial"/>
          <w:sz w:val="22"/>
          <w:szCs w:val="22"/>
          <w:color w:val="auto"/>
        </w:rPr>
        <w:t>” means, with respect to a Restricted Unit, the termination of Executive’s employment with the Company and its Affiliates for any reason (including death or disability).</w:t>
      </w:r>
    </w:p>
    <w:p>
      <w:pPr>
        <w:spacing w:after="0" w:line="174"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means any one of the following acts or omissions by the Partnership or the Company (or any successor thereto):</w:t>
      </w:r>
    </w:p>
    <w:p>
      <w:pPr>
        <w:spacing w:after="0" w:line="174" w:lineRule="exact"/>
        <w:rPr>
          <w:sz w:val="20"/>
          <w:szCs w:val="20"/>
          <w:color w:val="auto"/>
        </w:rPr>
      </w:pPr>
    </w:p>
    <w:p>
      <w:pPr>
        <w:ind w:left="1760" w:hanging="455"/>
        <w:spacing w:after="0"/>
        <w:tabs>
          <w:tab w:leader="none" w:pos="17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material breach by the Partnership of this Agreement;</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failure of any successor to the Partnership to assume this Agreement; or</w:t>
      </w:r>
    </w:p>
    <w:p>
      <w:pPr>
        <w:spacing w:after="0" w:line="260" w:lineRule="exact"/>
        <w:rPr>
          <w:rFonts w:ascii="Arial" w:cs="Arial" w:eastAsia="Arial" w:hAnsi="Arial"/>
          <w:sz w:val="22"/>
          <w:szCs w:val="22"/>
          <w:color w:val="auto"/>
        </w:rPr>
      </w:pPr>
    </w:p>
    <w:p>
      <w:pPr>
        <w:jc w:val="both"/>
        <w:ind w:left="660" w:firstLine="645"/>
        <w:spacing w:after="0" w:line="292" w:lineRule="auto"/>
        <w:tabs>
          <w:tab w:leader="none" w:pos="1987"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material overall reduction in Executive’s authority, responsibilities, or duties (taking into account additional authority, responsibilities or duties associated with the overall growth of the Partnership or MLP or associated with a promotion or lateral transfer accepted by Executive).</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22"/>
          <w:szCs w:val="22"/>
          <w:color w:val="auto"/>
        </w:rPr>
        <w:t>Any such act or omission shall not constitute Good Reason unless (i) Executive gives written notice to the Board that an act or omission constitutes Good Reason within 30 days of the date Executive becomes aware of such act or omission, or reasonably should have become aware of such act or omission, and (ii) the Partnership or the Company fails to remedy the condition within the 30-day period following such notice.</w:t>
      </w:r>
    </w:p>
    <w:p>
      <w:pPr>
        <w:spacing w:after="0" w:line="190"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GP IPO</w:t>
      </w:r>
      <w:r>
        <w:rPr>
          <w:rFonts w:ascii="Arial" w:cs="Arial" w:eastAsia="Arial" w:hAnsi="Arial"/>
          <w:sz w:val="19"/>
          <w:szCs w:val="19"/>
          <w:color w:val="auto"/>
        </w:rPr>
        <w:t>” means the initial public offering of Class A shares by the IPO Entity as contemplated by that certain Registration Statement on Form S-1 filed with the Securities and Exchange Commission (Registration No. 333-190227), as amended.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Grant Date</w:t>
      </w:r>
      <w:r>
        <w:rPr>
          <w:rFonts w:ascii="Arial" w:cs="Arial" w:eastAsia="Arial" w:hAnsi="Arial"/>
          <w:sz w:val="22"/>
          <w:szCs w:val="22"/>
          <w:color w:val="auto"/>
        </w:rPr>
        <w:t>” has the meaning given such term in the first paragraph of this Agreement.</w:t>
      </w:r>
    </w:p>
    <w:p>
      <w:pPr>
        <w:spacing w:after="0" w:line="260" w:lineRule="exact"/>
        <w:rPr>
          <w:sz w:val="20"/>
          <w:szCs w:val="20"/>
          <w:color w:val="auto"/>
        </w:rPr>
      </w:pPr>
    </w:p>
    <w:p>
      <w:pPr>
        <w:jc w:val="both"/>
        <w:ind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Granted Units</w:t>
      </w:r>
      <w:r>
        <w:rPr>
          <w:rFonts w:ascii="Arial" w:cs="Arial" w:eastAsia="Arial" w:hAnsi="Arial"/>
          <w:sz w:val="19"/>
          <w:szCs w:val="19"/>
          <w:color w:val="auto"/>
        </w:rPr>
        <w:t>” means the number of Class B Units associated with the Grant Date and identified as “Post IPO Class B Units” on the signature page of the First Amendment, which number is repeated on the signature page hereto for convenience.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IPO Entity</w:t>
      </w:r>
      <w:r>
        <w:rPr>
          <w:rFonts w:ascii="Arial" w:cs="Arial" w:eastAsia="Arial" w:hAnsi="Arial"/>
          <w:sz w:val="22"/>
          <w:szCs w:val="22"/>
          <w:color w:val="auto"/>
        </w:rPr>
        <w:t>” means Plains GP Holdings, L.P., a Delaware limited partnership.</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MLP</w:t>
      </w:r>
      <w:r>
        <w:rPr>
          <w:rFonts w:ascii="Arial" w:cs="Arial" w:eastAsia="Arial" w:hAnsi="Arial"/>
          <w:sz w:val="22"/>
          <w:szCs w:val="22"/>
          <w:color w:val="auto"/>
        </w:rPr>
        <w:t>” means Plains All American Pipeline, L.P., a Delaware limited partnership.</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MLP Quarterly Distribution</w:t>
      </w:r>
      <w:r>
        <w:rPr>
          <w:rFonts w:ascii="Arial" w:cs="Arial" w:eastAsia="Arial" w:hAnsi="Arial"/>
          <w:sz w:val="22"/>
          <w:szCs w:val="22"/>
          <w:color w:val="auto"/>
        </w:rPr>
        <w:t>” means the amount of the quarterly cash distribution made with respect to a common unit of the MLP on the relevant quarterly distribution date for the MLP.</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Class B Restricted Unit Agreement</w:t>
      </w:r>
      <w:r>
        <w:rPr>
          <w:rFonts w:ascii="Arial" w:cs="Arial" w:eastAsia="Arial" w:hAnsi="Arial"/>
          <w:sz w:val="22"/>
          <w:szCs w:val="22"/>
          <w:color w:val="auto"/>
        </w:rPr>
        <w:t>” means any Class B Restricted Unit Agreement (other than this Agreement) entered into between the Partnership and any person on terms that are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88" w:right="239" w:bottom="1440" w:gutter="0" w:footer="0" w:header="0"/>
        </w:sectPr>
      </w:pPr>
    </w:p>
    <w:bookmarkStart w:id="75" w:name="page76"/>
    <w:bookmarkEnd w:id="75"/>
    <w:p>
      <w:pPr>
        <w:spacing w:after="0"/>
        <w:rPr>
          <w:sz w:val="20"/>
          <w:szCs w:val="20"/>
          <w:color w:val="auto"/>
        </w:rPr>
      </w:pPr>
      <w:r>
        <w:rPr>
          <w:rFonts w:ascii="Arial" w:cs="Arial" w:eastAsia="Arial" w:hAnsi="Arial"/>
          <w:sz w:val="19"/>
          <w:szCs w:val="19"/>
          <w:color w:val="auto"/>
        </w:rPr>
        <w:t>substantially similar to those set forth in this Agreement, as such agreement may be amended or restated from time to time.</w:t>
      </w:r>
    </w:p>
    <w:p>
      <w:pPr>
        <w:spacing w:after="0" w:line="29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PAGP Class A Share</w:t>
      </w:r>
      <w:r>
        <w:rPr>
          <w:rFonts w:ascii="Arial" w:cs="Arial" w:eastAsia="Arial" w:hAnsi="Arial"/>
          <w:sz w:val="22"/>
          <w:szCs w:val="22"/>
          <w:color w:val="auto"/>
        </w:rPr>
        <w:t>” means Class A Shares representing limited partner interests in the IPO Entity and having the rights and obligations specified in the limited partnership agreement for the IPO Entity.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w:t>
      </w:r>
      <w:r>
        <w:rPr>
          <w:rFonts w:ascii="Arial" w:cs="Arial" w:eastAsia="Arial" w:hAnsi="Arial"/>
          <w:sz w:val="22"/>
          <w:szCs w:val="22"/>
          <w:color w:val="auto"/>
        </w:rPr>
        <w:t>” has the meaning given such term in the first paragraph of this Agreement.</w:t>
      </w:r>
    </w:p>
    <w:p>
      <w:pPr>
        <w:spacing w:after="0" w:line="260"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Partnership Agreement</w:t>
      </w:r>
      <w:r>
        <w:rPr>
          <w:rFonts w:ascii="Arial" w:cs="Arial" w:eastAsia="Arial" w:hAnsi="Arial"/>
          <w:sz w:val="21"/>
          <w:szCs w:val="21"/>
          <w:color w:val="auto"/>
        </w:rPr>
        <w:t>” means that certain Seventh Amended and Restated Agreement of Limited Partnership of Plains AAP, L.P. dated as of October 21, 2013, as such agreement may be amended or restated from time to time.</w:t>
      </w:r>
    </w:p>
    <w:p>
      <w:pPr>
        <w:spacing w:after="0" w:line="15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Distribution</w:t>
      </w:r>
      <w:r>
        <w:rPr>
          <w:rFonts w:ascii="Arial" w:cs="Arial" w:eastAsia="Arial" w:hAnsi="Arial"/>
          <w:sz w:val="22"/>
          <w:szCs w:val="22"/>
          <w:color w:val="auto"/>
        </w:rPr>
        <w:t>” means, with respect to a particular fiscal quarter, the total amount of distributions to be made by the Partnership pursuant to Section 4.1 of the Partnership Agreement.</w:t>
      </w:r>
    </w:p>
    <w:p>
      <w:pPr>
        <w:spacing w:after="0" w:line="17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Profits Percentage</w:t>
      </w:r>
      <w:r>
        <w:rPr>
          <w:rFonts w:ascii="Arial" w:cs="Arial" w:eastAsia="Arial" w:hAnsi="Arial"/>
          <w:sz w:val="22"/>
          <w:szCs w:val="22"/>
          <w:color w:val="auto"/>
        </w:rPr>
        <w:t>” means Executive’s share of Partnership Distributions calculated, at the time of the Partnership Distribution, as the percentage obtained by dividing (i) the total number of Executive’s Earned Units and Vested Units at such time by (ii) the sum of (A) the number of Class A Units outstanding at such time and (B) the total number of Applicable Class B Units at such time.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Unit</w:t>
      </w:r>
      <w:r>
        <w:rPr>
          <w:rFonts w:ascii="Arial" w:cs="Arial" w:eastAsia="Arial" w:hAnsi="Arial"/>
          <w:sz w:val="22"/>
          <w:szCs w:val="22"/>
          <w:color w:val="auto"/>
        </w:rPr>
        <w:t>” means, as of any date, a Granted Unit that is not an Earned Unit or a Vested Unit.</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Surrender Obligation</w:t>
      </w:r>
      <w:r>
        <w:rPr>
          <w:rFonts w:ascii="Arial" w:cs="Arial" w:eastAsia="Arial" w:hAnsi="Arial"/>
          <w:sz w:val="22"/>
          <w:szCs w:val="22"/>
          <w:color w:val="auto"/>
        </w:rPr>
        <w:t>” means the obligation to surrender and transfer to the Partnership (i) Restricted Units upon a Forfeiture Event and (ii) Earned Units upon the exercise of a Call Option by the Partnership.</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means any direct or indirect transfer, assignment, sale, gift, pledge, hypothecation or other encumbrance, or any other disposition (whether voluntary, involuntary or by operation of law other than to the estate of Executive in the event of death), of Restricted Units, Earned Units or Vested Units, including derivative or similar transactions or arrangements whereby a portion or all of the economic interest in, risk of loss or opportunity for gain with respect to, or voting or other rights, of such units are transferred or shifted to another person.</w:t>
      </w:r>
    </w:p>
    <w:p>
      <w:pPr>
        <w:spacing w:after="0" w:line="189"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Vested Unit</w:t>
      </w:r>
      <w:r>
        <w:rPr>
          <w:rFonts w:ascii="Arial" w:cs="Arial" w:eastAsia="Arial" w:hAnsi="Arial"/>
          <w:sz w:val="21"/>
          <w:szCs w:val="21"/>
          <w:color w:val="auto"/>
        </w:rPr>
        <w:t>” means (i) an Earned Unit that is no longer subject to the Partnership's Call Option or (ii) an Earned Unit or a Restricted Unit that becomes a "Vested Unit" pursuant to Section 2.2(c), subject to the proviso to Section 2.2(a).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88" w:right="239" w:bottom="1440" w:gutter="0" w:footer="0" w:header="0"/>
        </w:sectPr>
      </w:pPr>
    </w:p>
    <w:bookmarkStart w:id="76" w:name="page77"/>
    <w:bookmarkEnd w:id="76"/>
    <w:p>
      <w:pPr>
        <w:ind w:left="5140"/>
        <w:spacing w:after="0"/>
        <w:rPr>
          <w:sz w:val="20"/>
          <w:szCs w:val="20"/>
          <w:color w:val="auto"/>
        </w:rPr>
      </w:pPr>
      <w:r>
        <w:rPr>
          <w:rFonts w:ascii="Arial" w:cs="Arial" w:eastAsia="Arial" w:hAnsi="Arial"/>
          <w:sz w:val="22"/>
          <w:szCs w:val="22"/>
          <w:b w:val="1"/>
          <w:bCs w:val="1"/>
          <w:color w:val="auto"/>
        </w:rPr>
        <w:t>ARTICLE 2</w:t>
      </w:r>
    </w:p>
    <w:p>
      <w:pPr>
        <w:spacing w:after="0" w:line="44"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GRANT; FORFEITURE OF RESTRICTED UNITS AND EARNED UNITS; DISTRIBUTIONS</w:t>
      </w:r>
    </w:p>
    <w:p>
      <w:pPr>
        <w:spacing w:after="0" w:line="260"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b w:val="1"/>
          <w:bCs w:val="1"/>
          <w:i w:val="1"/>
          <w:iCs w:val="1"/>
          <w:color w:val="auto"/>
        </w:rPr>
        <w:t>Grant</w:t>
      </w:r>
      <w:r>
        <w:rPr>
          <w:rFonts w:ascii="Arial" w:cs="Arial" w:eastAsia="Arial" w:hAnsi="Arial"/>
          <w:sz w:val="19"/>
          <w:szCs w:val="19"/>
          <w:color w:val="auto"/>
        </w:rPr>
        <w:t>. Pursuant to the Original Agreement, the Partnership granted to Executive the Granted Units effective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Date. The Class B Units are uncertificated; however, if the Partnership’s Class A Units ever become certificated, the Partnership shall issue Executive a certificate representing the Granted Units, and such certificate shall bear such legends as provided for in the Partnership Agreement and such additional legends as may be determined by the Board to reflect the Surrender Obligation, the Call Option, and the other terms and conditions of this Agreement and to comply with applicable securities laws. To insure the availability for delivery of Executive's Restricted Units upon a Forfeiture Event, in connection with the execution of the Original Agreement, Executive has previously (a) appointed the Secretary of the Company, or any other person designated by the Partnership as escrow agent, as Executive's attorney-in-fact to sell, assign and transfer unto the Partnership such Restricted Units or Earned Units, if any, and (b) delivered and deposited with the Secretary of the Company a unit assignment duly endorsed in blank, a copy of which is attached hereto as Exhibit B. Executive acknowledges and agrees that such attorney-in-fact appointment and related assignment remain in full force and effect in accordance with their respective terms, and agrees that such unit assignment shall continue to be held by the Secretary (or any other person designated by the Partnership as escrow agent) in escrow, pursuant to the previously executed Joint Escrow Instructions of the Partnership and Executive attached as Exhibit C hereto (which instructions Executive acknowledges remain in full force and effect in accordance with their terms), until such time as the Surrender Obligation has lapsed with respect to the Granted Units. Upon the lapse of the Surrender Obligation, Earned Units shall become Vested Units. Once the Surrender Obligation has lapsed with respect to any Granted Unit, if the Class A Units are certificated, the Partnership shall issue and deliver to Executive a new certificate or certificates evidencing the ownership of the Vested Units. Upon issuance of any such new certificate evidencing the ownership of the Vested Units, the certificate deposited with the escrow agent, if any, shall be marked “Exchanged and Cancelled” and returned to the partnership unit transfer book of the Partnership and the Partnership shall deliver a replacement certificate to the escrow agent to reflect any remaining Restricted Units and Earned Units. Any new certificate issued to evidence the ownership of Vested Units shall bear such legends as may be determined by the Board to reflect the terms and conditions of this Agreement (other than the Surrender Obligation) and the Partnership Agreement and to comply with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82" w:right="239" w:bottom="1440" w:gutter="0" w:footer="0" w:header="0"/>
        </w:sectPr>
      </w:pPr>
    </w:p>
    <w:bookmarkStart w:id="77" w:name="page78"/>
    <w:bookmarkEnd w:id="77"/>
    <w:p>
      <w:pPr>
        <w:ind w:left="660"/>
        <w:spacing w:after="0"/>
        <w:tabs>
          <w:tab w:leader="none" w:pos="112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i w:val="1"/>
          <w:iCs w:val="1"/>
          <w:color w:val="auto"/>
        </w:rPr>
        <w:t>Forfeitures and Calls of Restricted Units and Earned Units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331" w:lineRule="auto"/>
        <w:tabs>
          <w:tab w:leader="none" w:pos="1158" w:val="left"/>
        </w:tabs>
        <w:numPr>
          <w:ilvl w:val="0"/>
          <w:numId w:val="50"/>
        </w:numPr>
        <w:rPr>
          <w:rFonts w:ascii="Arial" w:cs="Arial" w:eastAsia="Arial" w:hAnsi="Arial"/>
          <w:sz w:val="19"/>
          <w:szCs w:val="19"/>
          <w:color w:val="auto"/>
        </w:rPr>
      </w:pPr>
      <w:r>
        <w:rPr>
          <w:rFonts w:ascii="Arial" w:cs="Arial" w:eastAsia="Arial" w:hAnsi="Arial"/>
          <w:sz w:val="19"/>
          <w:szCs w:val="19"/>
          <w:i w:val="1"/>
          <w:iCs w:val="1"/>
          <w:color w:val="auto"/>
        </w:rPr>
        <w:t>Forfeiture of Restricted Units</w:t>
      </w:r>
      <w:r>
        <w:rPr>
          <w:rFonts w:ascii="Arial" w:cs="Arial" w:eastAsia="Arial" w:hAnsi="Arial"/>
          <w:sz w:val="19"/>
          <w:szCs w:val="19"/>
          <w:color w:val="auto"/>
        </w:rPr>
        <w:t>. If a Forfeiture Event occurs, then Executive shall, for no consideration, automatically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forfeit to the Partnership as of the date such event occurs all then Restricted Units of Executive on such date, and neither the Executive nor any of his successors, heirs, assigns, or personal representatives shall thereafter have any further rights or interests in such Restricted Units or the certificates representing such Restricted Units;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such Forfeiture Event is termination of Executive’s employment by the Company or any of its Affiliates without Cause, then for all purposes of this Agreement, such Forfeiture Event shall be suspended and shall not be deemed to occur until the 180th day after the date of such termination unless, during such 180-day period, (x) Executive shall breach in any material respect any confidentiality obligation to the Company or any of its Affiliates or (y) any of the events described in clause (ii) or (iii) of the definition of “Cause” shall occur, in which case (1) for all purposes of this Agreement, such Forfeiture Event shall be deemed to have occurred on the date of such termination (but after giving effect to any Earned Units becoming Vested Units as a result of such termination) and (2) any Granted Unit which otherwise would have become an Earned Unit or a Vested Unit during such suspension period shall be deemed to be a Restricted Unit for all purposes under this Agreement and, for the avoidance of doubt, shall (together with all other Restricted Units) be forfeited to the Partnership, for no consideration, effective as of such date of termination.</w:t>
      </w:r>
    </w:p>
    <w:p>
      <w:pPr>
        <w:spacing w:after="0" w:line="161" w:lineRule="exact"/>
        <w:rPr>
          <w:rFonts w:ascii="Arial" w:cs="Arial" w:eastAsia="Arial" w:hAnsi="Arial"/>
          <w:sz w:val="19"/>
          <w:szCs w:val="19"/>
          <w:color w:val="auto"/>
        </w:rPr>
      </w:pPr>
    </w:p>
    <w:p>
      <w:pPr>
        <w:jc w:val="both"/>
        <w:ind w:firstLine="656"/>
        <w:spacing w:after="0" w:line="326" w:lineRule="auto"/>
        <w:tabs>
          <w:tab w:leader="none" w:pos="1211" w:val="left"/>
        </w:tabs>
        <w:numPr>
          <w:ilvl w:val="0"/>
          <w:numId w:val="50"/>
        </w:numPr>
        <w:rPr>
          <w:rFonts w:ascii="Arial" w:cs="Arial" w:eastAsia="Arial" w:hAnsi="Arial"/>
          <w:sz w:val="19"/>
          <w:szCs w:val="19"/>
          <w:color w:val="auto"/>
        </w:rPr>
      </w:pPr>
      <w:r>
        <w:rPr>
          <w:rFonts w:ascii="Arial" w:cs="Arial" w:eastAsia="Arial" w:hAnsi="Arial"/>
          <w:sz w:val="19"/>
          <w:szCs w:val="19"/>
          <w:i w:val="1"/>
          <w:iCs w:val="1"/>
          <w:color w:val="auto"/>
        </w:rPr>
        <w:t>Earned Units</w:t>
      </w:r>
      <w:r>
        <w:rPr>
          <w:rFonts w:ascii="Arial" w:cs="Arial" w:eastAsia="Arial" w:hAnsi="Arial"/>
          <w:sz w:val="19"/>
          <w:szCs w:val="19"/>
          <w:color w:val="auto"/>
        </w:rPr>
        <w:t>. The Partnership and Executive acknowledge and agree that the Granted Units shall become Earned</w:t>
      </w:r>
      <w:r>
        <w:rPr>
          <w:rFonts w:ascii="Arial" w:cs="Arial" w:eastAsia="Arial" w:hAnsi="Arial"/>
          <w:sz w:val="19"/>
          <w:szCs w:val="19"/>
          <w:i w:val="1"/>
          <w:iCs w:val="1"/>
          <w:color w:val="auto"/>
        </w:rPr>
        <w:t xml:space="preserve"> </w:t>
      </w:r>
      <w:r>
        <w:rPr>
          <w:rFonts w:ascii="Arial" w:cs="Arial" w:eastAsia="Arial" w:hAnsi="Arial"/>
          <w:sz w:val="19"/>
          <w:szCs w:val="19"/>
          <w:color w:val="auto"/>
        </w:rPr>
        <w:t>Units as follows [Tranche G acknowledges that 75% of Granted Units have previously become Earned Units and the remaining</w:t>
      </w:r>
    </w:p>
    <w:p>
      <w:pPr>
        <w:spacing w:after="0"/>
        <w:rPr>
          <w:rFonts w:ascii="Arial" w:cs="Arial" w:eastAsia="Arial" w:hAnsi="Arial"/>
          <w:sz w:val="19"/>
          <w:szCs w:val="19"/>
          <w:color w:val="auto"/>
        </w:rPr>
      </w:pPr>
      <w:r>
        <w:rPr>
          <w:rFonts w:ascii="Arial" w:cs="Arial" w:eastAsia="Arial" w:hAnsi="Arial"/>
          <w:sz w:val="22"/>
          <w:szCs w:val="22"/>
          <w:color w:val="auto"/>
        </w:rPr>
        <w:t>25% become Earned Units pursuant to Clause (1) below]:</w:t>
      </w:r>
    </w:p>
    <w:p>
      <w:pPr>
        <w:spacing w:after="0" w:line="260" w:lineRule="exact"/>
        <w:rPr>
          <w:rFonts w:ascii="Arial" w:cs="Arial" w:eastAsia="Arial" w:hAnsi="Arial"/>
          <w:sz w:val="19"/>
          <w:szCs w:val="19"/>
          <w:color w:val="auto"/>
        </w:rPr>
      </w:pPr>
    </w:p>
    <w:p>
      <w:pPr>
        <w:jc w:val="both"/>
        <w:ind w:left="1620" w:hanging="315"/>
        <w:spacing w:after="0" w:line="292" w:lineRule="auto"/>
        <w:tabs>
          <w:tab w:leader="none" w:pos="16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25% will become Earned Units on the first date subsequent to March 31, 2017 upon which the MLP pays a quarterly distribution of at least $0.55 per MLP Common Unit ($2.20 annualized) and the MLP generates distributable cash flow (“DCF”) of $1.5 billion or more on a trailing four quarter basis;</w:t>
      </w:r>
    </w:p>
    <w:p>
      <w:pPr>
        <w:spacing w:after="0" w:line="184" w:lineRule="exact"/>
        <w:rPr>
          <w:rFonts w:ascii="Arial" w:cs="Arial" w:eastAsia="Arial" w:hAnsi="Arial"/>
          <w:sz w:val="22"/>
          <w:szCs w:val="22"/>
          <w:color w:val="auto"/>
        </w:rPr>
      </w:pPr>
    </w:p>
    <w:p>
      <w:pPr>
        <w:jc w:val="both"/>
        <w:ind w:left="1620" w:hanging="315"/>
        <w:spacing w:after="0" w:line="311" w:lineRule="auto"/>
        <w:tabs>
          <w:tab w:leader="none" w:pos="16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25% will become Earned Units on the earlier to occur of (A) the date on which the MLP hereafter pays a quarterly distribution of at least $0.575 per MLP Common Unit ($2.30 annualized) and (B) the date on which the MLP hereafter generates DCF of $1.75 billion or more on a trailing four quarter basis;</w:t>
      </w:r>
    </w:p>
    <w:p>
      <w:pPr>
        <w:spacing w:after="0" w:line="168" w:lineRule="exact"/>
        <w:rPr>
          <w:rFonts w:ascii="Arial" w:cs="Arial" w:eastAsia="Arial" w:hAnsi="Arial"/>
          <w:sz w:val="21"/>
          <w:szCs w:val="21"/>
          <w:color w:val="auto"/>
        </w:rPr>
      </w:pPr>
    </w:p>
    <w:p>
      <w:pPr>
        <w:jc w:val="both"/>
        <w:ind w:left="1620" w:hanging="315"/>
        <w:spacing w:after="0" w:line="311" w:lineRule="auto"/>
        <w:tabs>
          <w:tab w:leader="none" w:pos="16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25% will become Earned Units on the earlier to occur of (A) the date on which the MLP hereafter pays a quarterly distribution of at least $0.60 per MLP Common Unit ($2.40 annualized) and (B) the date on which the MLP hereafter generates DCF of $1.9 billion or more on a trailing four quarter basis; and</w:t>
      </w:r>
    </w:p>
    <w:p>
      <w:pPr>
        <w:spacing w:after="0" w:line="168" w:lineRule="exact"/>
        <w:rPr>
          <w:rFonts w:ascii="Arial" w:cs="Arial" w:eastAsia="Arial" w:hAnsi="Arial"/>
          <w:sz w:val="21"/>
          <w:szCs w:val="21"/>
          <w:color w:val="auto"/>
        </w:rPr>
      </w:pPr>
    </w:p>
    <w:p>
      <w:pPr>
        <w:ind w:left="1620" w:hanging="315"/>
        <w:spacing w:after="0" w:line="302" w:lineRule="auto"/>
        <w:tabs>
          <w:tab w:leader="none" w:pos="16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25% will become Earned Units on the earlier to occur of (A) the date on which the MLP hereafter pays a quarterly distribution of at least $0.60 per MLP</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82" w:right="239" w:bottom="1440" w:gutter="0" w:footer="0" w:header="0"/>
        </w:sectPr>
      </w:pPr>
    </w:p>
    <w:bookmarkStart w:id="78" w:name="page79"/>
    <w:bookmarkEnd w:id="78"/>
    <w:p>
      <w:pPr>
        <w:ind w:left="1620"/>
        <w:spacing w:after="0" w:line="302" w:lineRule="auto"/>
        <w:rPr>
          <w:sz w:val="20"/>
          <w:szCs w:val="20"/>
          <w:color w:val="auto"/>
        </w:rPr>
      </w:pPr>
      <w:r>
        <w:rPr>
          <w:rFonts w:ascii="Arial" w:cs="Arial" w:eastAsia="Arial" w:hAnsi="Arial"/>
          <w:sz w:val="22"/>
          <w:szCs w:val="22"/>
          <w:color w:val="auto"/>
        </w:rPr>
        <w:t>Common Unit ($2.40 annualized) and (B) the date on which the MLP hereafter generates DCF of $2.05 billion or more on a trailing four quarter basis.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21"/>
          <w:szCs w:val="21"/>
          <w:color w:val="auto"/>
        </w:rPr>
        <w:t>For each of the above performance thresholds, the referenced DCF level will be subject to adjustment as determined by the Chief Executive Officer of the Company in his sole discretion to account for significant asset sales. Once a Granted Unit has become an Earned Unit pursuant to this Agreement, the Earned Unit shall remain an Earned Unit thereafter until it either becomes a Vested Unit or is purchased by the Partnership pursuant to the exercise of its Call Option.</w:t>
      </w:r>
    </w:p>
    <w:p>
      <w:pPr>
        <w:spacing w:after="0" w:line="173" w:lineRule="exact"/>
        <w:rPr>
          <w:sz w:val="20"/>
          <w:szCs w:val="20"/>
          <w:color w:val="auto"/>
        </w:rPr>
      </w:pPr>
    </w:p>
    <w:p>
      <w:pPr>
        <w:jc w:val="both"/>
        <w:ind w:firstLine="656"/>
        <w:spacing w:after="0" w:line="298" w:lineRule="auto"/>
        <w:tabs>
          <w:tab w:leader="none" w:pos="1158" w:val="left"/>
        </w:tabs>
        <w:numPr>
          <w:ilvl w:val="0"/>
          <w:numId w:val="51"/>
        </w:numPr>
        <w:rPr>
          <w:rFonts w:ascii="Arial" w:cs="Arial" w:eastAsia="Arial" w:hAnsi="Arial"/>
          <w:sz w:val="21"/>
          <w:szCs w:val="21"/>
          <w:color w:val="auto"/>
        </w:rPr>
      </w:pPr>
      <w:r>
        <w:rPr>
          <w:rFonts w:ascii="Arial" w:cs="Arial" w:eastAsia="Arial" w:hAnsi="Arial"/>
          <w:sz w:val="21"/>
          <w:szCs w:val="21"/>
          <w:i w:val="1"/>
          <w:iCs w:val="1"/>
          <w:color w:val="auto"/>
        </w:rPr>
        <w:t>Change in Control</w:t>
      </w:r>
      <w:r>
        <w:rPr>
          <w:rFonts w:ascii="Arial" w:cs="Arial" w:eastAsia="Arial" w:hAnsi="Arial"/>
          <w:sz w:val="21"/>
          <w:szCs w:val="21"/>
          <w:color w:val="auto"/>
        </w:rPr>
        <w:t>. All Earned Units automatically shall become Vested Units upon a Change in Control. If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the Change in Control 0% of the Granted Units have become Earned Units, then 25% of the Granted Units automatically shall become Vested Units upon the Change in Control. If prior to the Change in Control only 25% or 50% of the Granted Units have become Earned Units, then an additional 25% of the Granted Units automatically shall become Vested Units upon the Change in Control. If prior to the Change in Control only 75% of the Granted Units have become Earned Units, then all remaining Granted Units automatically shall become Vested Units upon the Change in Control. Unless and except to the extent specifically provided otherwise by the Partnership upon or in connection with such Change in Control, Executive shall, for no consideration, automatically forfeit to the Partnership as of the date such Change in Control occurs all Restricted Units of Executive that do not vest upon such Change in Control as provided herein, and neither Executive nor any of his successors, heirs, assigns, or personal representatives shall thereafter have any further rights or interests in such Restricted Units or the certificates representing such Restricted Units.</w:t>
      </w:r>
    </w:p>
    <w:p>
      <w:pPr>
        <w:spacing w:after="0" w:line="186" w:lineRule="exact"/>
        <w:rPr>
          <w:rFonts w:ascii="Arial" w:cs="Arial" w:eastAsia="Arial" w:hAnsi="Arial"/>
          <w:sz w:val="21"/>
          <w:szCs w:val="21"/>
          <w:color w:val="auto"/>
        </w:rPr>
      </w:pPr>
    </w:p>
    <w:p>
      <w:pPr>
        <w:ind w:firstLine="656"/>
        <w:spacing w:after="0" w:line="302" w:lineRule="auto"/>
        <w:tabs>
          <w:tab w:leader="none" w:pos="1224"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Purchase of Earned Units</w:t>
      </w:r>
      <w:r>
        <w:rPr>
          <w:rFonts w:ascii="Arial" w:cs="Arial" w:eastAsia="Arial" w:hAnsi="Arial"/>
          <w:sz w:val="22"/>
          <w:szCs w:val="22"/>
          <w:color w:val="auto"/>
        </w:rPr>
        <w:t>. The Partnership shall have a Call Option with respect to Earned Units as provided in</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2 of Exhibit A.</w:t>
      </w:r>
    </w:p>
    <w:p>
      <w:pPr>
        <w:spacing w:after="0" w:line="168"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2.3 </w:t>
      </w:r>
      <w:r>
        <w:rPr>
          <w:rFonts w:ascii="Arial" w:cs="Arial" w:eastAsia="Arial" w:hAnsi="Arial"/>
          <w:sz w:val="19"/>
          <w:szCs w:val="19"/>
          <w:b w:val="1"/>
          <w:bCs w:val="1"/>
          <w:i w:val="1"/>
          <w:iCs w:val="1"/>
          <w:color w:val="auto"/>
        </w:rPr>
        <w:t>Partnership Distributions</w:t>
      </w:r>
      <w:r>
        <w:rPr>
          <w:rFonts w:ascii="Arial" w:cs="Arial" w:eastAsia="Arial" w:hAnsi="Arial"/>
          <w:sz w:val="19"/>
          <w:szCs w:val="19"/>
          <w:color w:val="auto"/>
        </w:rPr>
        <w:t>. Executive shall not be entitled to, and shall not receive, any Partnership Distributions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Restricted Units. Executive shall be entitled to receive his Profits Percentage of any Partnership Distributions made as of the relevant distribution date. Partnership Distributions, to the extent payable to Executive with respect to an Earned Unit or Vested Unit, shall be paid to Executive at the same time that such Partnership Distributions are paid to holders of Class A Units.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ACKNOWLEDGEMENT; RESTRICTIONS; ELECTIONS;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ANTI-DILUTION PROVISIONS</w:t>
      </w:r>
    </w:p>
    <w:p>
      <w:pPr>
        <w:spacing w:after="0" w:line="26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b w:val="1"/>
          <w:bCs w:val="1"/>
          <w:i w:val="1"/>
          <w:iCs w:val="1"/>
          <w:color w:val="auto"/>
        </w:rPr>
        <w:t>Acknowledgment; Conflicts</w:t>
      </w:r>
      <w:r>
        <w:rPr>
          <w:rFonts w:ascii="Arial" w:cs="Arial" w:eastAsia="Arial" w:hAnsi="Arial"/>
          <w:sz w:val="22"/>
          <w:szCs w:val="22"/>
          <w:color w:val="auto"/>
        </w:rPr>
        <w:t>. Executive agrees that the Granted Units shall be subject to the Partnership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 hereby accepts and adopts, and agrees to be bound by, the terms and provisions of the Certificate of Limited Partnership of the Partnership filed with the Secretary of State of Delaware, as amended or restated, and the Partnership Agreement to</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88" w:right="239" w:bottom="1440" w:gutter="0" w:footer="0" w:header="0"/>
        </w:sectPr>
      </w:pPr>
    </w:p>
    <w:bookmarkStart w:id="79" w:name="page80"/>
    <w:bookmarkEnd w:id="79"/>
    <w:p>
      <w:pPr>
        <w:jc w:val="both"/>
        <w:spacing w:after="0" w:line="288" w:lineRule="auto"/>
        <w:rPr>
          <w:sz w:val="20"/>
          <w:szCs w:val="20"/>
          <w:color w:val="auto"/>
        </w:rPr>
      </w:pPr>
      <w:r>
        <w:rPr>
          <w:rFonts w:ascii="Arial" w:cs="Arial" w:eastAsia="Arial" w:hAnsi="Arial"/>
          <w:sz w:val="22"/>
          <w:szCs w:val="22"/>
          <w:color w:val="auto"/>
        </w:rPr>
        <w:t xml:space="preserve">the same extent as if Executive had executed the Partnership Agreement and (b) agrees that the Granted Units shall be bound by the terms and conditions of such agreement, including, but not limited to, the transfer restrictions, if any, set forth therein,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the event of any conflict between the provisions of such agreement and the provisions of this Agreement, the</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provisions of this Agreement shall govern.</w:t>
      </w:r>
    </w:p>
    <w:p>
      <w:pPr>
        <w:spacing w:after="0" w:line="184"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b w:val="1"/>
          <w:bCs w:val="1"/>
          <w:i w:val="1"/>
          <w:iCs w:val="1"/>
          <w:color w:val="auto"/>
        </w:rPr>
        <w:t>Company Acts</w:t>
      </w:r>
      <w:r>
        <w:rPr>
          <w:rFonts w:ascii="Arial" w:cs="Arial" w:eastAsia="Arial" w:hAnsi="Arial"/>
          <w:sz w:val="19"/>
          <w:szCs w:val="19"/>
          <w:color w:val="auto"/>
        </w:rPr>
        <w:t>. Subject to the anti-dilution provisions set forth in Section 3.5, the existence of the Restricted Units,</w:t>
      </w:r>
      <w:r>
        <w:rPr>
          <w:rFonts w:ascii="Arial" w:cs="Arial" w:eastAsia="Arial" w:hAnsi="Arial"/>
          <w:sz w:val="19"/>
          <w:szCs w:val="19"/>
          <w:b w:val="1"/>
          <w:bCs w:val="1"/>
          <w:color w:val="auto"/>
        </w:rPr>
        <w:t xml:space="preserve"> </w:t>
      </w:r>
      <w:r>
        <w:rPr>
          <w:rFonts w:ascii="Arial" w:cs="Arial" w:eastAsia="Arial" w:hAnsi="Arial"/>
          <w:sz w:val="19"/>
          <w:szCs w:val="19"/>
          <w:color w:val="auto"/>
        </w:rPr>
        <w:t>Earned Units or Vested Units shall not affect in any way the right or power of the Board or the holders of Class A Units to make or authorize any adjustment, recapitalization, reorganization or other change in the Partnership’s capital structure or its business, any merger, consolidation, equity exchange or other business combination of the Partnership with or into any other entity (and, where necessary or appropriate (as determined by the Board in good faith), the conversion or exchange of Class A Units and Class B Units into other securities or interests in the Partnership or any other entity in connection therewith, provided that the relative economic rights and preferences of the Class A Units and the Class B Units are affected proportionately, taking into account their current terms), any issue of debt or equity securities, the dissolution or liquidation of the Partnership or any sale, lease, exchange or other disposition of all or any part of its assets or business or any other act or proceeding.</w:t>
      </w:r>
    </w:p>
    <w:p>
      <w:pPr>
        <w:spacing w:after="0" w:line="15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b w:val="1"/>
          <w:bCs w:val="1"/>
          <w:color w:val="auto"/>
        </w:rPr>
        <w:t xml:space="preserve">3.3 </w:t>
      </w:r>
      <w:r>
        <w:rPr>
          <w:rFonts w:ascii="Arial" w:cs="Arial" w:eastAsia="Arial" w:hAnsi="Arial"/>
          <w:sz w:val="21"/>
          <w:szCs w:val="21"/>
          <w:b w:val="1"/>
          <w:bCs w:val="1"/>
          <w:i w:val="1"/>
          <w:iCs w:val="1"/>
          <w:color w:val="auto"/>
        </w:rPr>
        <w:t>Transfer Restrictions; Call Options</w:t>
      </w:r>
      <w:r>
        <w:rPr>
          <w:rFonts w:ascii="Arial" w:cs="Arial" w:eastAsia="Arial" w:hAnsi="Arial"/>
          <w:sz w:val="21"/>
          <w:szCs w:val="21"/>
          <w:color w:val="auto"/>
        </w:rPr>
        <w:t>. The Restricted Units and Earned Units shall be subject to the Transfer</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restrictions, Call Options and other terms and conditions set forth or described in Exhibit A attached hereto, as applicable. Vested Units shall be subject only to the provisions of Sections 1, 3 and 4(b) of Exhibit A. Executive agrees that Executive will, at any time and from time to time as requested by the Partnership, execute and deliver to the Partnership such other documents and instruments, if any, as the Board, in its discretion, may require to evidence Executive’s agreement to be bound by the terms of Exhibit A. The terms and conditions of Exhibit A shall survive the termination of this Agreement. The restrictions set forth in Exhibit A shall not apply to the transfer of Restricted Units or Earned Units pursuant to a plan of reorganization of the Partnership, but the Class A Units, securities or other property received in exchange therefor shall also become subject to the Transfer restrictions, Call Options and Surrender Obligation to the same extent as the Restricted Units, Earned Units and Vested Units exchanged therefor and the certificates, if any, representing such Class A Units, securities or other property shall be legended to show such restrictions.</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i w:val="1"/>
          <w:iCs w:val="1"/>
          <w:color w:val="auto"/>
        </w:rPr>
        <w:t>Tax Withholding; §83(b) Election</w:t>
      </w:r>
      <w:r>
        <w:rPr>
          <w:rFonts w:ascii="Arial" w:cs="Arial" w:eastAsia="Arial" w:hAnsi="Arial"/>
          <w:sz w:val="19"/>
          <w:szCs w:val="19"/>
          <w:color w:val="auto"/>
        </w:rPr>
        <w:t>.</w:t>
      </w:r>
    </w:p>
    <w:p>
      <w:pPr>
        <w:spacing w:after="0" w:line="280" w:lineRule="exact"/>
        <w:rPr>
          <w:sz w:val="20"/>
          <w:szCs w:val="20"/>
          <w:color w:val="auto"/>
        </w:rPr>
      </w:pPr>
    </w:p>
    <w:p>
      <w:pPr>
        <w:jc w:val="both"/>
        <w:ind w:firstLine="656"/>
        <w:spacing w:after="0" w:line="346" w:lineRule="auto"/>
        <w:tabs>
          <w:tab w:leader="none" w:pos="1105" w:val="left"/>
        </w:tabs>
        <w:numPr>
          <w:ilvl w:val="0"/>
          <w:numId w:val="52"/>
        </w:numPr>
        <w:rPr>
          <w:rFonts w:ascii="Arial" w:cs="Arial" w:eastAsia="Arial" w:hAnsi="Arial"/>
          <w:sz w:val="19"/>
          <w:szCs w:val="19"/>
          <w:color w:val="auto"/>
        </w:rPr>
      </w:pPr>
      <w:r>
        <w:rPr>
          <w:rFonts w:ascii="Arial" w:cs="Arial" w:eastAsia="Arial" w:hAnsi="Arial"/>
          <w:sz w:val="19"/>
          <w:szCs w:val="19"/>
          <w:color w:val="auto"/>
        </w:rPr>
        <w:t>To the extent that the receipt of the Restricted Units, Earned Units, Vested Units, the lapse of the Surrender Obligation, or any other event pursuant to this Agreement results in compensation income or wages to Executive for federal, state or local tax purposes, Executive shall deliver to the Partnership at the time of such receipt, lapse or event, as the case may be, such amount of money as the Partnership or any of its Affiliates may require to meet their minimum withholding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88" w:right="239" w:bottom="1440" w:gutter="0" w:footer="0" w:header="0"/>
        </w:sectPr>
      </w:pPr>
    </w:p>
    <w:bookmarkStart w:id="80" w:name="page81"/>
    <w:bookmarkEnd w:id="80"/>
    <w:p>
      <w:pPr>
        <w:jc w:val="both"/>
        <w:spacing w:after="0" w:line="288" w:lineRule="auto"/>
        <w:rPr>
          <w:sz w:val="20"/>
          <w:szCs w:val="20"/>
          <w:color w:val="auto"/>
        </w:rPr>
      </w:pPr>
      <w:r>
        <w:rPr>
          <w:rFonts w:ascii="Arial" w:cs="Arial" w:eastAsia="Arial" w:hAnsi="Arial"/>
          <w:sz w:val="22"/>
          <w:szCs w:val="22"/>
          <w:color w:val="auto"/>
        </w:rPr>
        <w:t>obligation under applicable tax laws, and if Executive fails to do so, the Partnership or any of its Affiliates authorized to withhold from any cash or other remuneration (including withholding and cancelling any Restricted Units, Earned Units or Vested Units distributable to Executive under this Agreement) then or thereafter payable to Executive any tax required to be withheld by reason of such resulting compensation income or wages.</w:t>
      </w:r>
    </w:p>
    <w:p>
      <w:pPr>
        <w:spacing w:after="0" w:line="190" w:lineRule="exact"/>
        <w:rPr>
          <w:sz w:val="20"/>
          <w:szCs w:val="20"/>
          <w:color w:val="auto"/>
        </w:rPr>
      </w:pPr>
    </w:p>
    <w:p>
      <w:pPr>
        <w:ind w:firstLine="656"/>
        <w:spacing w:after="0" w:line="302" w:lineRule="auto"/>
        <w:tabs>
          <w:tab w:leader="none" w:pos="1138"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Executive has previously made, and submitted to the Partnership a copy of, an election authorized by section 83(b) of the Code with respect to the issuance of the Restricted Units.</w:t>
      </w:r>
    </w:p>
    <w:p>
      <w:pPr>
        <w:spacing w:after="0" w:line="173" w:lineRule="exact"/>
        <w:rPr>
          <w:rFonts w:ascii="Arial" w:cs="Arial" w:eastAsia="Arial" w:hAnsi="Arial"/>
          <w:sz w:val="22"/>
          <w:szCs w:val="22"/>
          <w:color w:val="auto"/>
        </w:rPr>
      </w:pPr>
    </w:p>
    <w:p>
      <w:pPr>
        <w:jc w:val="both"/>
        <w:ind w:firstLine="656"/>
        <w:spacing w:after="0" w:line="287" w:lineRule="auto"/>
        <w:tabs>
          <w:tab w:leader="none" w:pos="1153"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Executive acknowledges and agrees that he is not relying upon any written or oral statement or representation of the Partnership, its Affiliates, or any of their respective Executives, directors, officers, attorneys or agents regarding the tax effects associated with the Restricted Units, Earned Units, Vested Units or the execution of this Agreement. Executive acknowledges and agrees that in deciding to enter into this Agreement, Executive is relying on his own judgment and the judgment of the professionals of his choice with whom he has consulted.</w:t>
      </w:r>
    </w:p>
    <w:p>
      <w:pPr>
        <w:spacing w:after="0" w:line="18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i w:val="1"/>
          <w:iCs w:val="1"/>
          <w:color w:val="auto"/>
        </w:rPr>
        <w:t>Anti-Dilution Provisions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341" w:lineRule="auto"/>
        <w:tabs>
          <w:tab w:leader="none" w:pos="1195" w:val="left"/>
        </w:tabs>
        <w:numPr>
          <w:ilvl w:val="0"/>
          <w:numId w:val="54"/>
        </w:numPr>
        <w:rPr>
          <w:rFonts w:ascii="Arial" w:cs="Arial" w:eastAsia="Arial" w:hAnsi="Arial"/>
          <w:sz w:val="19"/>
          <w:szCs w:val="19"/>
          <w:color w:val="auto"/>
        </w:rPr>
      </w:pPr>
      <w:r>
        <w:rPr>
          <w:rFonts w:ascii="Arial" w:cs="Arial" w:eastAsia="Arial" w:hAnsi="Arial"/>
          <w:sz w:val="19"/>
          <w:szCs w:val="19"/>
          <w:color w:val="auto"/>
        </w:rPr>
        <w:t>If after the date of this Agreement, the Class A Units shall be changed or proposed to be changed into a different number or class of units by reason of the occurrence of any reclassification, recapitalization, split-up, combination, exchange of shares or similar readjustment, or a unit dividend thereon shall be paid, appropriate proportional adjustments shall be made to the Class B Units, as determined by the Board in good faith. Notwithstanding the foregoing, no repurchase of Class A Units for fair value (as determined by the Board in good faith) shall require any adjustment under this Section 3.5(a).</w:t>
      </w:r>
    </w:p>
    <w:p>
      <w:pPr>
        <w:spacing w:after="0" w:line="149" w:lineRule="exact"/>
        <w:rPr>
          <w:rFonts w:ascii="Arial" w:cs="Arial" w:eastAsia="Arial" w:hAnsi="Arial"/>
          <w:sz w:val="19"/>
          <w:szCs w:val="19"/>
          <w:color w:val="auto"/>
        </w:rPr>
      </w:pPr>
    </w:p>
    <w:p>
      <w:pPr>
        <w:jc w:val="both"/>
        <w:ind w:firstLine="656"/>
        <w:spacing w:after="0" w:line="298" w:lineRule="auto"/>
        <w:tabs>
          <w:tab w:leader="none" w:pos="1307" w:val="left"/>
        </w:tabs>
        <w:numPr>
          <w:ilvl w:val="0"/>
          <w:numId w:val="54"/>
        </w:numPr>
        <w:rPr>
          <w:rFonts w:ascii="Arial" w:cs="Arial" w:eastAsia="Arial" w:hAnsi="Arial"/>
          <w:sz w:val="21"/>
          <w:szCs w:val="21"/>
          <w:color w:val="auto"/>
        </w:rPr>
      </w:pPr>
      <w:r>
        <w:rPr>
          <w:rFonts w:ascii="Arial" w:cs="Arial" w:eastAsia="Arial" w:hAnsi="Arial"/>
          <w:sz w:val="21"/>
          <w:szCs w:val="21"/>
          <w:color w:val="auto"/>
        </w:rPr>
        <w:t>If the Partnership issues any additional Class A Units for less than fair value (other than in a transaction or arrangement described in Section 3.5(a), as to which this Section 3.5(b) shall not apply), then if the holders of at least 75% of the Applicable Class B Units outstanding at the time of such issuance object in writing to such issuance within five business days after written notice of such issuance is given to the holders of the Applicable Class B Units, appropriate proportional adjustments shall made to the Class B Units, as determined by the Board in good faith. For purposes of the preceding sentence, the fair value of any Class A Units being issued shall be determined by the Board in good faith; provided, however, that in connection with any transaction in which all of the Class A Units are being issued to members of the Company (or Affiliates thereof), if the holders of at least 75% of the Applicable Class B Units outstanding at the time of such issuance object in writing to the Board's determination of fair value within five business days after written notice of such issuance is given to the holders of the Applicable Class B Units, the fair value of such Class A Units shall be the amount determined therefor under the relevant provisions of the Other Class B Restricted Unit Agreements governing the Applicable Class B Units with respect to which objection is raised. The fair value of any property contributed to the Partnership in respect of the issuance of any Class A Units shall be as determined by the Board in good faith; provided,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88" w:right="239" w:bottom="1440" w:gutter="0" w:footer="0" w:header="0"/>
        </w:sectPr>
      </w:pPr>
    </w:p>
    <w:bookmarkStart w:id="81" w:name="page82"/>
    <w:bookmarkEnd w:id="81"/>
    <w:p>
      <w:pPr>
        <w:jc w:val="both"/>
        <w:spacing w:after="0" w:line="285" w:lineRule="auto"/>
        <w:rPr>
          <w:sz w:val="20"/>
          <w:szCs w:val="20"/>
          <w:color w:val="auto"/>
        </w:rPr>
      </w:pPr>
      <w:r>
        <w:rPr>
          <w:rFonts w:ascii="Arial" w:cs="Arial" w:eastAsia="Arial" w:hAnsi="Arial"/>
          <w:sz w:val="22"/>
          <w:szCs w:val="22"/>
          <w:color w:val="auto"/>
        </w:rPr>
        <w:t>however, that in the event that the Partnership shall issue any additional Class A Units in respect of the contribution to the Partnership of any MLP Common Units, the value of such MLP Common Units shall be deemed to equal the closing price of such MLP Common Units on the date of such contribution. No dispute or determination of fair value under this Section 3.5(b) shall delay the issuance of any additional Class A Units, it being agreed that the adjustment, if any, necessitated by the resolution of such dispute or determination of fair value shall be made retroactive to the date of issuance of such additional Class A Units. Notwithstanding anything in this Agreement to the contrary, this Section 3.5(b) shall not apply from and after consummation of a GP IPO.</w:t>
      </w:r>
    </w:p>
    <w:p>
      <w:pPr>
        <w:spacing w:after="0" w:line="193" w:lineRule="exact"/>
        <w:rPr>
          <w:sz w:val="20"/>
          <w:szCs w:val="20"/>
          <w:color w:val="auto"/>
        </w:rPr>
      </w:pPr>
    </w:p>
    <w:p>
      <w:pPr>
        <w:jc w:val="both"/>
        <w:ind w:firstLine="656"/>
        <w:spacing w:after="0" w:line="331" w:lineRule="auto"/>
        <w:tabs>
          <w:tab w:leader="none" w:pos="1210" w:val="left"/>
        </w:tabs>
        <w:numPr>
          <w:ilvl w:val="0"/>
          <w:numId w:val="55"/>
        </w:numPr>
        <w:rPr>
          <w:rFonts w:ascii="Arial" w:cs="Arial" w:eastAsia="Arial" w:hAnsi="Arial"/>
          <w:sz w:val="19"/>
          <w:szCs w:val="19"/>
          <w:color w:val="auto"/>
        </w:rPr>
      </w:pPr>
      <w:r>
        <w:rPr>
          <w:rFonts w:ascii="Arial" w:cs="Arial" w:eastAsia="Arial" w:hAnsi="Arial"/>
          <w:sz w:val="19"/>
          <w:szCs w:val="19"/>
          <w:color w:val="auto"/>
        </w:rPr>
        <w:t>Prior to consummation of a GP IPO, if the Partnership proposes to issue any partnership interests or other equity securities other than (i) additional Class B Units (up to an aggregate number of outstanding Class B Units (including the Class B Units issued pursuant to this Agreement) that does not exceed the number of Class B Units authorized in the Partnership Agreement as in effect on the date hereof; provided that the foregoing limitation shall not apply to additional Class B Units issued pursuant to Section 3.5(a)), (ii) additional Class A Units issued in accordance with Section 3.5(b) or (iii) partnership interests or other equity securities with such rights, powers and preferences as shall be determined by the Board to be issued in connection with a GP IPO; provided that in the case of this clause (iii) the Class A Units and Class B Units are diluted proportionately (based on relative distributions) by such additional partnership interests or other equity securities, it shall first give written notice of such proposed issuance to the holders of the Applicable Class B Units then outstanding. If the holders of at least 75% of such Applicable Class B Units object in writing to such issuance within five business days after such notice is given, then the Partnership shall not issue such partnership interests or equity securities unless a substantially contemporaneous pro-rata increase in the Restricted Units, Earned Units and Vested Units, if any, is made (as determined in good faith by the Board). In the absence of such objection, no such increase shall be required. Notwithstanding anything in this Agreement to the contrary, this Section 3.5(c) shall not apply from and after consummation of a GP IPO.</w:t>
      </w: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i w:val="1"/>
          <w:iCs w:val="1"/>
          <w:color w:val="auto"/>
        </w:rPr>
        <w:t>Drag-Along Provisions</w:t>
      </w:r>
      <w:r>
        <w:rPr>
          <w:rFonts w:ascii="Arial" w:cs="Arial" w:eastAsia="Arial" w:hAnsi="Arial"/>
          <w:sz w:val="19"/>
          <w:szCs w:val="19"/>
          <w:color w:val="auto"/>
        </w:rPr>
        <w:t>.</w:t>
      </w:r>
    </w:p>
    <w:p>
      <w:pPr>
        <w:spacing w:after="0" w:line="266" w:lineRule="exact"/>
        <w:rPr>
          <w:sz w:val="20"/>
          <w:szCs w:val="20"/>
          <w:color w:val="auto"/>
        </w:rPr>
      </w:pPr>
    </w:p>
    <w:p>
      <w:pPr>
        <w:jc w:val="both"/>
        <w:ind w:firstLine="656"/>
        <w:spacing w:after="0" w:line="287" w:lineRule="auto"/>
        <w:tabs>
          <w:tab w:leader="none" w:pos="1151" w:val="left"/>
        </w:tabs>
        <w:numPr>
          <w:ilvl w:val="0"/>
          <w:numId w:val="56"/>
        </w:numPr>
        <w:rPr>
          <w:rFonts w:ascii="Arial" w:cs="Arial" w:eastAsia="Arial" w:hAnsi="Arial"/>
          <w:sz w:val="22"/>
          <w:szCs w:val="22"/>
          <w:color w:val="auto"/>
        </w:rPr>
      </w:pPr>
      <w:r>
        <w:rPr>
          <w:rFonts w:ascii="Arial" w:cs="Arial" w:eastAsia="Arial" w:hAnsi="Arial"/>
          <w:sz w:val="22"/>
          <w:szCs w:val="22"/>
          <w:color w:val="auto"/>
        </w:rPr>
        <w:t>Prior to a GP IPO, in the event of a sale of all or substantially all of the assets or equity of the Partnership in a bona fide arms' length transaction, then the Board shall have the right to require Executive to transfer all of his Earned Units and Vested Units (including any Granted Units that vest pursuant to Section 2.2(c) hereof) in such transaction in exchange for consideration per transferred Class B Unit that is equal to the Conversion Factor times the consideration to be received per Class A Unit in such transaction.</w:t>
      </w:r>
    </w:p>
    <w:p>
      <w:pPr>
        <w:spacing w:after="0" w:line="189" w:lineRule="exact"/>
        <w:rPr>
          <w:rFonts w:ascii="Arial" w:cs="Arial" w:eastAsia="Arial" w:hAnsi="Arial"/>
          <w:sz w:val="22"/>
          <w:szCs w:val="22"/>
          <w:color w:val="auto"/>
        </w:rPr>
      </w:pPr>
    </w:p>
    <w:p>
      <w:pPr>
        <w:jc w:val="both"/>
        <w:ind w:firstLine="656"/>
        <w:spacing w:after="0" w:line="292" w:lineRule="auto"/>
        <w:tabs>
          <w:tab w:leader="none" w:pos="1146" w:val="left"/>
        </w:tabs>
        <w:numPr>
          <w:ilvl w:val="0"/>
          <w:numId w:val="56"/>
        </w:numPr>
        <w:rPr>
          <w:rFonts w:ascii="Arial" w:cs="Arial" w:eastAsia="Arial" w:hAnsi="Arial"/>
          <w:sz w:val="22"/>
          <w:szCs w:val="22"/>
          <w:color w:val="auto"/>
        </w:rPr>
      </w:pPr>
      <w:r>
        <w:rPr>
          <w:rFonts w:ascii="Arial" w:cs="Arial" w:eastAsia="Arial" w:hAnsi="Arial"/>
          <w:sz w:val="22"/>
          <w:szCs w:val="22"/>
          <w:color w:val="auto"/>
        </w:rPr>
        <w:t>Following a GP IPO, in the event of a sale of all or substantially all of the assets or equity of the IPO Entity, then the Board shall have the right to require Executive to transfer all of his Vested Units (including any Granted Units that vest pursuant to Section 2.2(c) hereof) in such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88" w:right="239" w:bottom="1440" w:gutter="0" w:footer="0" w:header="0"/>
        </w:sectPr>
      </w:pPr>
    </w:p>
    <w:bookmarkStart w:id="82" w:name="page83"/>
    <w:bookmarkEnd w:id="82"/>
    <w:p>
      <w:pPr>
        <w:spacing w:after="0" w:line="302" w:lineRule="auto"/>
        <w:rPr>
          <w:sz w:val="20"/>
          <w:szCs w:val="20"/>
          <w:color w:val="auto"/>
        </w:rPr>
      </w:pPr>
      <w:r>
        <w:rPr>
          <w:rFonts w:ascii="Arial" w:cs="Arial" w:eastAsia="Arial" w:hAnsi="Arial"/>
          <w:sz w:val="22"/>
          <w:szCs w:val="22"/>
          <w:color w:val="auto"/>
        </w:rPr>
        <w:t>transaction in exchange for consideration per transferred Class B Unit that is equal to the Conversion Factor times the consideration to be received per PAGP Class A Share in such transaction.</w:t>
      </w:r>
    </w:p>
    <w:p>
      <w:pPr>
        <w:spacing w:after="0" w:line="174" w:lineRule="exact"/>
        <w:rPr>
          <w:sz w:val="20"/>
          <w:szCs w:val="20"/>
          <w:color w:val="auto"/>
        </w:rPr>
      </w:pPr>
    </w:p>
    <w:p>
      <w:pPr>
        <w:jc w:val="both"/>
        <w:ind w:firstLine="656"/>
        <w:spacing w:after="0" w:line="288" w:lineRule="auto"/>
        <w:tabs>
          <w:tab w:leader="none" w:pos="1317"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connection with any transfer required pursuant to this Section 3.6, Executive shall deliver the certificates representing his Class B Units duly endorsed or accompanied by written instruments of transfer, in form and substance reasonably satisfactory to the Board, free and clear of any liens, together with any other documents reasonably required to be executed in connection with such transaction, as directed by the Board.</w:t>
      </w:r>
    </w:p>
    <w:p>
      <w:pPr>
        <w:spacing w:after="0" w:line="190" w:lineRule="exact"/>
        <w:rPr>
          <w:rFonts w:ascii="Arial" w:cs="Arial" w:eastAsia="Arial" w:hAnsi="Arial"/>
          <w:sz w:val="22"/>
          <w:szCs w:val="22"/>
          <w:color w:val="auto"/>
        </w:rPr>
      </w:pPr>
    </w:p>
    <w:p>
      <w:pPr>
        <w:jc w:val="both"/>
        <w:ind w:firstLine="656"/>
        <w:spacing w:after="0" w:line="333" w:lineRule="auto"/>
        <w:tabs>
          <w:tab w:leader="none" w:pos="1196"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Class B Units subject to this Section 3.6 will be included in a proposed sale pursuant hereto and be subject to any agreement with the purchaser in such transaction relating thereto, on the same terms and subject to the same conditions applicable to the Class A Units or PAGP Class A Shares, as the case may be. Such terms and conditions shall be determined in the sole discretion of the Board, and shall include (i) the consideration to be paid (including without limitation the form and the aggregate amount thereof) and (ii) the provision of information, representations, warranties, covenants and requisite indemnifications;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Executive shall not be required to make any representations and warranties, other than those relating</w:t>
      </w:r>
      <w:r>
        <w:rPr>
          <w:rFonts w:ascii="Arial" w:cs="Arial" w:eastAsia="Arial" w:hAnsi="Arial"/>
          <w:sz w:val="19"/>
          <w:szCs w:val="19"/>
          <w:i w:val="1"/>
          <w:iCs w:val="1"/>
          <w:color w:val="auto"/>
        </w:rPr>
        <w:t xml:space="preserve"> </w:t>
      </w:r>
      <w:r>
        <w:rPr>
          <w:rFonts w:ascii="Arial" w:cs="Arial" w:eastAsia="Arial" w:hAnsi="Arial"/>
          <w:sz w:val="19"/>
          <w:szCs w:val="19"/>
          <w:color w:val="auto"/>
        </w:rPr>
        <w:t>specifically to Executive's execution and delivery of any transaction agreement (including absence of conflicts), and title to the Class B Units, and any indemnification provided by Executive shall be on a several, not joint, basis and shall be based on (and shall not exceed) Executive's pro rata share of the aggregate consideration paid in such transaction. For purposes of this Section 3.6 “Executive” includes any Permitted Transferee (as defined in the Partnership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341"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b w:val="1"/>
          <w:bCs w:val="1"/>
          <w:i w:val="1"/>
          <w:iCs w:val="1"/>
          <w:color w:val="auto"/>
        </w:rPr>
        <w:t>Notices</w:t>
      </w:r>
      <w:r>
        <w:rPr>
          <w:rFonts w:ascii="Arial" w:cs="Arial" w:eastAsia="Arial" w:hAnsi="Arial"/>
          <w:sz w:val="22"/>
          <w:szCs w:val="22"/>
          <w:color w:val="auto"/>
        </w:rPr>
        <w:t>. For purposes of this Agreement, notices and all other communications provided for herein shall be given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same manner as indicated in the Partnership Agreement.</w:t>
      </w:r>
    </w:p>
    <w:p>
      <w:pPr>
        <w:spacing w:after="0" w:line="14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i w:val="1"/>
          <w:iCs w:val="1"/>
          <w:color w:val="auto"/>
        </w:rPr>
        <w:t>Employment Relationship</w:t>
      </w:r>
      <w:r>
        <w:rPr>
          <w:rFonts w:ascii="Arial" w:cs="Arial" w:eastAsia="Arial" w:hAnsi="Arial"/>
          <w:sz w:val="19"/>
          <w:szCs w:val="19"/>
          <w:color w:val="auto"/>
        </w:rPr>
        <w:t>. For purposes of this Agreement (including Exhibit A attached hereto), Executive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considered to be in the employment of the Partnership as long as Executive remains an employee of an Affiliate of the Partnership. Without limiting the scope of the preceding sentence, it is expressly provided that Executive shall be considered to have terminated employment with the Partnership at the time the entity or other organization that employs Executive is no longer an Affiliate of the Partnership. Any question as to whether and when there has been a termination of such employment or association, and the cause of such termination, shall be determined by the Board and its determination shall be final.</w:t>
      </w:r>
    </w:p>
    <w:p>
      <w:pPr>
        <w:spacing w:after="0" w:line="14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22"/>
          <w:szCs w:val="22"/>
          <w:b w:val="1"/>
          <w:bCs w:val="1"/>
          <w:i w:val="1"/>
          <w:iCs w:val="1"/>
          <w:color w:val="auto"/>
        </w:rPr>
        <w:t>Entire Agreement;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and the Partnership Agreement constitute the entire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supersede all previous agreements and discussions relating to the same or similar subject matters between Executive and the Partnership or any Affiliate and constitute the entire agreement between Executive and the Partnership and any Affiliate with respect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88" w:right="239" w:bottom="1440" w:gutter="0" w:footer="0" w:header="0"/>
        </w:sectPr>
      </w:pPr>
    </w:p>
    <w:bookmarkStart w:id="83" w:name="page84"/>
    <w:bookmarkEnd w:id="83"/>
    <w:p>
      <w:pPr>
        <w:jc w:val="both"/>
        <w:spacing w:after="0" w:line="328" w:lineRule="auto"/>
        <w:rPr>
          <w:sz w:val="20"/>
          <w:szCs w:val="20"/>
          <w:color w:val="auto"/>
        </w:rPr>
      </w:pPr>
      <w:r>
        <w:rPr>
          <w:rFonts w:ascii="Arial" w:cs="Arial" w:eastAsia="Arial" w:hAnsi="Arial"/>
          <w:sz w:val="19"/>
          <w:szCs w:val="19"/>
          <w:color w:val="auto"/>
        </w:rPr>
        <w:t>to the subject matter of this Agreement. Without limiting the scope of the preceding sentence, except for this Agreement and the Partnership Agreement, all prior and contemporaneous understandings and agreements, if any, among the parties hereto relating to the subject matter hereof are hereby null and void and of no further force and effect. Except as provided below, any modification of this Agreement shall be effective only if it is in writing and signed by both Executive and the Partnership as authorized by the Board. Notwithstanding the foregoing, the Partnership may unilaterally amend this Agreement in any manner that the Board determines in good faith is necessary or advisable to facilitate the consummation of a GP IPO, such amendment to become effective on the fifth business day after the day on which notice thereof is given to the holders of the Applicable Class B Units then outstanding, unless prior to such fifth business day, the holders of at least 75% of such Applicable Class B Units object in writing to such amendment, in which case such proposed amendment shall not become effective; provided, however, that the holders of the Applicable Class B Units shall not be entitled to object to any such amendment (and such amendment shall automatically become effective regardless of any purported objection by the holders of the Applicable Class B Units) if (i) all Other Class B Restricted Unit Agreements are amended in substantially the same way, (ii) the Class A Units and Class B Units are diluted proportionately (based on relative distributions) by any partnership interests or other equity securities issued to Persons (other than members of the Company (or Affiliates thereof)) in connection therewith and (iii) immediately after giving effect to the GP IPO, the economic interest in the Partnership or its successor or assign or (or the entity the securities or equity interests of which the Class B Units are converted into or exchanged for) represented by the Class B Units (and/or any securities or equity interests into which such Class B Units are converted or exchanged) is not diluted by any partnership interests or other equity securities issued to members of the Company (or any Affiliate thereof) in connection therewith. For the avoidance of doubt, notwithstanding anything in this Agreement to the contrary, in the event of a GP IPO, the Board shall be entitled (but not required) to make such adjustments as the Board shall determine in good faith to be equitable, including without limitation causing all or a portion of the Class B Units not to be converted into or exchanged for similar equity interests in the IPO Entity, and to remain outstanding as Class B Units of the Partnership. Notwithstanding anything in this Agreement to the contrary, if the Board determines that (i) the provisions of section 409A of the Code apply to this Agreement or the Class B Units and that the terms of this Agreement or such units do not, in whole or in part, satisfy the requirements of such section, or (ii) any provision of this Agreement or the effect or operation thereof would produce material adverse tax consequences to Executive, then the Partnership, in the sole discretion of the Board, may unilaterally modify this Agreement in such manner as the Board deems appropriate to comply with such section 409A and any regulations or guidance issued thereunder or to mitigate or avoid such adverse tax consequences.</w:t>
      </w:r>
    </w:p>
    <w:p>
      <w:pPr>
        <w:spacing w:after="0" w:line="200" w:lineRule="exact"/>
        <w:rPr>
          <w:sz w:val="20"/>
          <w:szCs w:val="20"/>
          <w:color w:val="auto"/>
        </w:rPr>
      </w:pPr>
    </w:p>
    <w:p>
      <w:pPr>
        <w:spacing w:after="0" w:line="269" w:lineRule="exact"/>
        <w:rPr>
          <w:sz w:val="20"/>
          <w:szCs w:val="20"/>
          <w:color w:val="auto"/>
        </w:rPr>
      </w:pPr>
    </w:p>
    <w:p>
      <w:pPr>
        <w:jc w:val="both"/>
        <w:ind w:firstLine="648"/>
        <w:spacing w:after="0" w:line="409" w:lineRule="auto"/>
        <w:rPr>
          <w:sz w:val="20"/>
          <w:szCs w:val="20"/>
          <w:color w:val="auto"/>
        </w:rPr>
      </w:pPr>
      <w:r>
        <w:rPr>
          <w:rFonts w:ascii="Arial" w:cs="Arial" w:eastAsia="Arial" w:hAnsi="Arial"/>
          <w:sz w:val="19"/>
          <w:szCs w:val="19"/>
          <w:b w:val="1"/>
          <w:bCs w:val="1"/>
          <w:color w:val="auto"/>
        </w:rPr>
        <w:t xml:space="preserve">4.4 </w:t>
      </w:r>
      <w:r>
        <w:rPr>
          <w:rFonts w:ascii="Arial" w:cs="Arial" w:eastAsia="Arial" w:hAnsi="Arial"/>
          <w:sz w:val="19"/>
          <w:szCs w:val="19"/>
          <w:b w:val="1"/>
          <w:bCs w:val="1"/>
          <w:i w:val="1"/>
          <w:iCs w:val="1"/>
          <w:color w:val="auto"/>
        </w:rPr>
        <w:t>Binding Effect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inure to the benefit of any successors to the Partnership and</w:t>
      </w:r>
      <w:r>
        <w:rPr>
          <w:rFonts w:ascii="Arial" w:cs="Arial" w:eastAsia="Arial" w:hAnsi="Arial"/>
          <w:sz w:val="19"/>
          <w:szCs w:val="19"/>
          <w:b w:val="1"/>
          <w:bCs w:val="1"/>
          <w:color w:val="auto"/>
        </w:rPr>
        <w:t xml:space="preserve"> </w:t>
      </w:r>
      <w:r>
        <w:rPr>
          <w:rFonts w:ascii="Arial" w:cs="Arial" w:eastAsia="Arial" w:hAnsi="Arial"/>
          <w:sz w:val="19"/>
          <w:szCs w:val="19"/>
          <w:color w:val="auto"/>
        </w:rPr>
        <w:t>all permitted transferees of any Transfer made in compliance with Exhibit A and other persons lawfully claiming under Executive.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88" w:right="239" w:bottom="1440" w:gutter="0" w:footer="0" w:header="0"/>
        </w:sectPr>
      </w:pPr>
    </w:p>
    <w:bookmarkStart w:id="84" w:name="page85"/>
    <w:bookmarkEnd w:id="84"/>
    <w:p>
      <w:pPr>
        <w:jc w:val="both"/>
        <w:ind w:firstLine="648"/>
        <w:spacing w:after="0" w:line="347" w:lineRule="auto"/>
        <w:rPr>
          <w:sz w:val="20"/>
          <w:szCs w:val="20"/>
          <w:color w:val="auto"/>
        </w:rPr>
      </w:pPr>
      <w:r>
        <w:rPr>
          <w:rFonts w:ascii="Arial" w:cs="Arial" w:eastAsia="Arial" w:hAnsi="Arial"/>
          <w:sz w:val="19"/>
          <w:szCs w:val="19"/>
          <w:b w:val="1"/>
          <w:bCs w:val="1"/>
          <w:color w:val="auto"/>
        </w:rPr>
        <w:t xml:space="preserve">4.5 </w:t>
      </w:r>
      <w:r>
        <w:rPr>
          <w:rFonts w:ascii="Arial" w:cs="Arial" w:eastAsia="Arial" w:hAnsi="Arial"/>
          <w:sz w:val="19"/>
          <w:szCs w:val="19"/>
          <w:b w:val="1"/>
          <w:bCs w:val="1"/>
          <w:i w:val="1"/>
          <w:iCs w:val="1"/>
          <w:color w:val="auto"/>
        </w:rPr>
        <w:t>Governing Law</w:t>
      </w:r>
      <w:r>
        <w:rPr>
          <w:rFonts w:ascii="Arial" w:cs="Arial" w:eastAsia="Arial" w:hAnsi="Arial"/>
          <w:sz w:val="19"/>
          <w:szCs w:val="19"/>
          <w:color w:val="auto"/>
        </w:rPr>
        <w:t>. This Agreement is governed by and shall be construed in accordance with the laws of the State of</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excluding any conflict-of-laws rule or principle that might refer the governance or the construction of this Agreement to the laws of another jurisdiction. If any provision of this Agreement or the application thereof to any person or circumstance is held invalid or unenforceable to any extent, the remainder of this Agreement and the application of that provision to other persons or circumstances is not affected thereby and that provision shall be enforced to the greatest extent permitted by law.</w:t>
      </w:r>
    </w:p>
    <w:p>
      <w:pPr>
        <w:spacing w:after="0" w:line="13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4.6 </w:t>
      </w:r>
      <w:r>
        <w:rPr>
          <w:rFonts w:ascii="Arial" w:cs="Arial" w:eastAsia="Arial" w:hAnsi="Arial"/>
          <w:sz w:val="22"/>
          <w:szCs w:val="22"/>
          <w:b w:val="1"/>
          <w:bCs w:val="1"/>
          <w:i w:val="1"/>
          <w:iCs w:val="1"/>
          <w:color w:val="auto"/>
        </w:rPr>
        <w:t>Injunctive Relief</w:t>
      </w:r>
      <w:r>
        <w:rPr>
          <w:rFonts w:ascii="Arial" w:cs="Arial" w:eastAsia="Arial" w:hAnsi="Arial"/>
          <w:sz w:val="22"/>
          <w:szCs w:val="22"/>
          <w:color w:val="auto"/>
        </w:rPr>
        <w:t>. Executive acknowledges that a remedy at law for any breach or attempted breach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inadequate, agrees that the Partnership may be entitled to specific performance and injunctive and other equitable relief to be implemented by a court of competent jurisdiction in case of any such breach or attempted breach, and further agrees to waive any requirement for the securing or purchasing of any bond in connection with the obtaining of any such injunctive or any other equitable relief. Executive agrees that the Partnership’s right to injunctive relief will be in addition to any other rights the Partnership may have.</w:t>
      </w:r>
    </w:p>
    <w:p>
      <w:pPr>
        <w:spacing w:after="0" w:line="18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have executed this Agreement effective for all purposes as of the date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above.</w:t>
      </w:r>
    </w:p>
    <w:p>
      <w:pPr>
        <w:spacing w:after="0" w:line="148" w:lineRule="exact"/>
        <w:rPr>
          <w:sz w:val="20"/>
          <w:szCs w:val="20"/>
          <w:color w:val="auto"/>
        </w:rPr>
      </w:pPr>
    </w:p>
    <w:p>
      <w:pPr>
        <w:ind w:left="7780"/>
        <w:spacing w:after="0"/>
        <w:rPr>
          <w:sz w:val="20"/>
          <w:szCs w:val="20"/>
          <w:color w:val="auto"/>
        </w:rPr>
      </w:pPr>
      <w:r>
        <w:rPr>
          <w:rFonts w:ascii="Arial" w:cs="Arial" w:eastAsia="Arial" w:hAnsi="Arial"/>
          <w:sz w:val="21"/>
          <w:szCs w:val="21"/>
          <w:b w:val="1"/>
          <w:bCs w:val="1"/>
          <w:color w:val="auto"/>
        </w:rPr>
        <w:t>PLAINS  AAP,  L.P.,  by  its  general</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partner,</w:t>
      </w:r>
    </w:p>
    <w:p>
      <w:pPr>
        <w:spacing w:after="0" w:line="4" w:lineRule="exact"/>
        <w:rPr>
          <w:sz w:val="20"/>
          <w:szCs w:val="20"/>
          <w:color w:val="auto"/>
        </w:rPr>
      </w:pPr>
    </w:p>
    <w:p>
      <w:pPr>
        <w:ind w:left="7780"/>
        <w:spacing w:after="0"/>
        <w:rPr>
          <w:sz w:val="20"/>
          <w:szCs w:val="20"/>
          <w:color w:val="auto"/>
        </w:rPr>
      </w:pPr>
      <w:r>
        <w:rPr>
          <w:rFonts w:ascii="Arial" w:cs="Arial" w:eastAsia="Arial" w:hAnsi="Arial"/>
          <w:sz w:val="22"/>
          <w:szCs w:val="22"/>
          <w:b w:val="1"/>
          <w:bCs w:val="1"/>
          <w:color w:val="auto"/>
        </w:rPr>
        <w:t>PLAINS ALL AMERICAN GP LLC</w:t>
      </w:r>
    </w:p>
    <w:p>
      <w:pPr>
        <w:spacing w:after="0" w:line="236" w:lineRule="exact"/>
        <w:rPr>
          <w:sz w:val="20"/>
          <w:szCs w:val="20"/>
          <w:color w:val="auto"/>
        </w:rPr>
      </w:pPr>
    </w:p>
    <w:p>
      <w:pPr>
        <w:ind w:left="7780"/>
        <w:spacing w:after="0"/>
        <w:rPr>
          <w:sz w:val="20"/>
          <w:szCs w:val="20"/>
          <w:color w:val="auto"/>
        </w:rPr>
      </w:pPr>
      <w:r>
        <w:rPr>
          <w:rFonts w:ascii="Arial" w:cs="Arial" w:eastAsia="Arial" w:hAnsi="Arial"/>
          <w:sz w:val="22"/>
          <w:szCs w:val="22"/>
          <w:b w:val="1"/>
          <w:bCs w:val="1"/>
          <w:color w:val="auto"/>
        </w:rPr>
        <w:t>By:</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Name: Richard McGee</w:t>
      </w:r>
    </w:p>
    <w:p>
      <w:pPr>
        <w:spacing w:after="0" w:line="3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Title: Executive Vice President</w:t>
      </w:r>
    </w:p>
    <w:p>
      <w:pPr>
        <w:spacing w:after="0" w:line="3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EXECUTIVE</w:t>
      </w:r>
    </w:p>
    <w:p>
      <w:pPr>
        <w:spacing w:after="0" w:line="26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Granted Units: 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82"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t>EXHIBIT A 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UNITS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PROVISIONS RELATING TO TRANSFERS;</w:t>
      </w:r>
    </w:p>
    <w:p>
      <w:pPr>
        <w:spacing w:after="0" w:line="44"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CALL OPTIONS; AND CONVERSIONS</w:t>
      </w:r>
    </w:p>
    <w:p>
      <w:pPr>
        <w:spacing w:after="0" w:line="2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Capitalized terms used in this Exhibit that are not defined in this Exhibit shall have the meaning assigned to such terms in the Restricted Units Agreement to which this Exhibit is attached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Unless the context requires otherwise, all references in this Exhibit to Sections refer to the Sections of this Exhibit.</w:t>
      </w:r>
    </w:p>
    <w:p>
      <w:pPr>
        <w:spacing w:after="0" w:line="184" w:lineRule="exact"/>
        <w:rPr>
          <w:sz w:val="20"/>
          <w:szCs w:val="20"/>
          <w:color w:val="auto"/>
        </w:rPr>
      </w:pPr>
    </w:p>
    <w:p>
      <w:pPr>
        <w:jc w:val="both"/>
        <w:ind w:firstLine="8"/>
        <w:spacing w:after="0" w:line="338" w:lineRule="auto"/>
        <w:tabs>
          <w:tab w:leader="none" w:pos="48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No Transfers</w:t>
      </w:r>
      <w:r>
        <w:rPr>
          <w:rFonts w:ascii="Arial" w:cs="Arial" w:eastAsia="Arial" w:hAnsi="Arial"/>
          <w:sz w:val="19"/>
          <w:szCs w:val="19"/>
          <w:color w:val="auto"/>
        </w:rPr>
        <w:t>. Executive may not Transfer all or any portion of the Restricted Units or any Earned Units, and any attempted Transfer shall be, and is hereby declared, null and void for all purposes; provided, however that Executive shall be entitled to Transfer any Earned Units to a Permitted Transferee (as defined in the Partnership Agreement), by will or the laws of descent and distribution, provided that any such permitted Transfer shall be made in accordance with, and subject to, Section 7.3 of the Partnership Agreement. In addition to the other restrictions set forth herein, each Restricted Unit, Earned Unit and Vested Unit shall be subject to the restrictions on Transfer (as defined in the Partnership Agreement) set forth in the Partnership Agreement.</w:t>
      </w:r>
    </w:p>
    <w:p>
      <w:pPr>
        <w:spacing w:after="0" w:line="152" w:lineRule="exact"/>
        <w:rPr>
          <w:rFonts w:ascii="Arial" w:cs="Arial" w:eastAsia="Arial" w:hAnsi="Arial"/>
          <w:sz w:val="19"/>
          <w:szCs w:val="19"/>
          <w:color w:val="auto"/>
        </w:rPr>
      </w:pPr>
    </w:p>
    <w:p>
      <w:pPr>
        <w:jc w:val="both"/>
        <w:ind w:firstLine="8"/>
        <w:spacing w:after="0" w:line="331" w:lineRule="auto"/>
        <w:tabs>
          <w:tab w:leader="none" w:pos="48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Partnership Call Option</w:t>
      </w:r>
      <w:r>
        <w:rPr>
          <w:rFonts w:ascii="Arial" w:cs="Arial" w:eastAsia="Arial" w:hAnsi="Arial"/>
          <w:sz w:val="19"/>
          <w:szCs w:val="19"/>
          <w:color w:val="auto"/>
        </w:rPr>
        <w:t>. Upon the occurrence of a Call Event, the Partnership, at its option (exercisable at any time during the 60-day period following the date of such Call Event), may (but the Partnership shall have no obligation to) purchase all (or any portion elected by the Partnership in its sole discretion) of the Earned Units held by Executive (or by Executive’s estate), for a purchase price per Earned Unit equal to the Call Value at the time of the Call Event. If the Partnership wishes to exercise the Call Option granted herein, it must provide written notice within such 60-day period to Executive (or his estate) specifying the number of such Earned Units it elects to purchase. Within 10 days after the exercise of the Call Option by the Partnership, the Executive (or estate) shall deliver the certificates, if any, representing the applicable Earned Units to the Partnership, duly endorsed and together with appropriate assignment and transfer instruments, free and clear of all adverse charges, liens, claims and encumbrances, in consideration for the purchase price specified above to be paid by the Partnership in the form of a single, lump sum cash payment from the Partnership; provided, however, that the Partnership may, in its sole discretion, elect to pay all or any portion of such consideration by exchanging a designated number of such Earned Units for a number of Common Units of the MLP that is equal to the product of (a) the applicable number of Earned Units and (b) the Conversion Factor. Delivery of the Earned Units and related transfer and assignment instruments by the holder shall constitute a representation to the Partnership that such Earned Units are free and clear of all adverse charges, liens, claims and encumbrances. If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382" w:right="239" w:bottom="1440" w:gutter="0" w:footer="0" w:header="0"/>
        </w:sectPr>
      </w:pPr>
    </w:p>
    <w:bookmarkStart w:id="86" w:name="page87"/>
    <w:bookmarkEnd w:id="86"/>
    <w:p>
      <w:pPr>
        <w:jc w:val="both"/>
        <w:spacing w:after="0" w:line="346" w:lineRule="auto"/>
        <w:rPr>
          <w:sz w:val="20"/>
          <w:szCs w:val="20"/>
          <w:color w:val="auto"/>
        </w:rPr>
      </w:pPr>
      <w:r>
        <w:rPr>
          <w:rFonts w:ascii="Arial" w:cs="Arial" w:eastAsia="Arial" w:hAnsi="Arial"/>
          <w:sz w:val="19"/>
          <w:szCs w:val="19"/>
          <w:color w:val="auto"/>
        </w:rPr>
        <w:t>Partnership does not timely exercise its Call Option, the Earned Units shall become Vested Units at the end of the period for exercising the Call Option. If the Partnership exercises its Call Option and pays all or any portion of the consideration payable in connection therewith in the form of Common Units of the MLP, the Partnership agrees to use commercially reasonable efforts to cause the resale by Executive of such Common Units to be covered by a shelf registration statement of the MLP.</w:t>
      </w:r>
    </w:p>
    <w:p>
      <w:pPr>
        <w:spacing w:after="0" w:line="145" w:lineRule="exact"/>
        <w:rPr>
          <w:sz w:val="20"/>
          <w:szCs w:val="20"/>
          <w:color w:val="auto"/>
        </w:rPr>
      </w:pPr>
    </w:p>
    <w:p>
      <w:pPr>
        <w:ind w:left="660" w:hanging="328"/>
        <w:spacing w:after="0" w:line="302" w:lineRule="auto"/>
        <w:tabs>
          <w:tab w:leader="none" w:pos="660"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Executive Elective Exchange of Vested Units for PAGP Class A Shares</w:t>
      </w:r>
      <w:r>
        <w:rPr>
          <w:rFonts w:ascii="Arial" w:cs="Arial" w:eastAsia="Arial" w:hAnsi="Arial"/>
          <w:sz w:val="22"/>
          <w:szCs w:val="22"/>
          <w:color w:val="auto"/>
        </w:rPr>
        <w:t>. Conversion rights attributable to the Granted Units shall be governed by Section 7.10 of the Partnership Agreement.</w:t>
      </w:r>
    </w:p>
    <w:p>
      <w:pPr>
        <w:spacing w:after="0" w:line="173" w:lineRule="exact"/>
        <w:rPr>
          <w:rFonts w:ascii="Arial" w:cs="Arial" w:eastAsia="Arial" w:hAnsi="Arial"/>
          <w:sz w:val="22"/>
          <w:szCs w:val="22"/>
          <w:color w:val="auto"/>
        </w:rPr>
      </w:pPr>
    </w:p>
    <w:p>
      <w:pPr>
        <w:ind w:left="500" w:hanging="492"/>
        <w:spacing w:after="0"/>
        <w:tabs>
          <w:tab w:leader="none" w:pos="50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Unit Legend</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firstLine="1305"/>
        <w:spacing w:after="0" w:line="302" w:lineRule="auto"/>
        <w:tabs>
          <w:tab w:leader="none" w:pos="1814" w:val="left"/>
        </w:tabs>
        <w:numPr>
          <w:ilvl w:val="2"/>
          <w:numId w:val="60"/>
        </w:numPr>
        <w:rPr>
          <w:rFonts w:ascii="Arial" w:cs="Arial" w:eastAsia="Arial" w:hAnsi="Arial"/>
          <w:sz w:val="22"/>
          <w:szCs w:val="22"/>
          <w:color w:val="auto"/>
        </w:rPr>
      </w:pPr>
      <w:r>
        <w:rPr>
          <w:rFonts w:ascii="Arial" w:cs="Arial" w:eastAsia="Arial" w:hAnsi="Arial"/>
          <w:sz w:val="22"/>
          <w:szCs w:val="22"/>
          <w:color w:val="auto"/>
        </w:rPr>
        <w:t>In addition to any other legend that may be required by law, each certificate, if any, for Restricted Units and Earned Units shall bear a legend in substantially the following form:</w:t>
      </w:r>
    </w:p>
    <w:p>
      <w:pPr>
        <w:spacing w:after="0" w:line="160"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THE UNITS REPRESENTED BY THIS CERTIFICATE HAVE NOT BEEN REGISTERED UNDER THE SECURITIES ACT OF 1933, AS AMENDED (THE “SECURITIES ACT”), OR ANY STATE SECURITIES LAWS, AND MAY NOT BE OFFERED OR SOLD UNLESS THEY HAVE BEEN REGISTERED UNDER THE SECURITIES ACT AND APPLICABLE STATE SECURITIES LAWS OR UNLESS AN EXEMPTION FROM REGISTRATION IS AVAILABLE (AND IN SUCH CASE, AN OPINION OF COUNSEL REASONABLY SATISFACTORY TO THE PARTNERSHIP SHALL HAVE BEEN DELIVERED TO THE PARTNERSHIP TO THE EFFECT THAT SUCH OFFER OR SALE IS NOT REQUIRED TO BE REGISTERED UNDER THE SECURITIES ACT AND APPLICABLE STATE SECURITIES LAWS). THE UNITS REPRESENTED BY THIS CERTIFICATE ARE ALSO SUBJECT TO ADDITIONAL RESTRICTIONS ON TRANSFER AS SET FORTH IN THE AMENDED AND RESTATED RESTRICTED UNITS AGREEMENT DATED AS OF AUGUST 25, 2016, AS AMENDED OR RESTATED FROM TIME TO TIME, COPIES OF WHICH MAY BE OBTAINED UPON REQUEST FROM THE PARTNERSHIP. THE UNITS REPRESENTED BY THIS CERTIFICATE ARE ALSO SUBJECT UNDER CERTAIN CIRCUMSTANCES TO MANDATORY TRANSFER AS SET FORTH IN THE AMENDED AND RESTATED RESTRICTED UNITS AGREEMENT DATED AS OF AUGUST 25, 2016, AS AMENDED OR RESTATED FROM TIME TO TIME, COPIES OF WHICH MAY BE OBTAINED UPON REQUEST FROM THE PARTNERSHIP.</w:t>
      </w:r>
    </w:p>
    <w:p>
      <w:pPr>
        <w:spacing w:after="0" w:line="200" w:lineRule="exact"/>
        <w:rPr>
          <w:sz w:val="20"/>
          <w:szCs w:val="20"/>
          <w:color w:val="auto"/>
        </w:rPr>
      </w:pPr>
    </w:p>
    <w:p>
      <w:pPr>
        <w:spacing w:after="0" w:line="216" w:lineRule="exact"/>
        <w:rPr>
          <w:sz w:val="20"/>
          <w:szCs w:val="20"/>
          <w:color w:val="auto"/>
        </w:rPr>
      </w:pPr>
    </w:p>
    <w:p>
      <w:pPr>
        <w:ind w:firstLine="1305"/>
        <w:spacing w:after="0" w:line="302" w:lineRule="auto"/>
        <w:tabs>
          <w:tab w:leader="none" w:pos="1783" w:val="left"/>
        </w:tabs>
        <w:numPr>
          <w:ilvl w:val="0"/>
          <w:numId w:val="61"/>
        </w:numPr>
        <w:rPr>
          <w:rFonts w:ascii="Arial" w:cs="Arial" w:eastAsia="Arial" w:hAnsi="Arial"/>
          <w:sz w:val="22"/>
          <w:szCs w:val="22"/>
          <w:color w:val="auto"/>
        </w:rPr>
      </w:pPr>
      <w:r>
        <w:rPr>
          <w:rFonts w:ascii="Arial" w:cs="Arial" w:eastAsia="Arial" w:hAnsi="Arial"/>
          <w:sz w:val="22"/>
          <w:szCs w:val="22"/>
          <w:color w:val="auto"/>
        </w:rPr>
        <w:t>In addition to any other legend that may be required by law, each certificate, if any, for Vested Units shall bear a legend in substantially the following form:</w:t>
      </w:r>
    </w:p>
    <w:p>
      <w:pPr>
        <w:spacing w:after="0" w:line="174" w:lineRule="exact"/>
        <w:rPr>
          <w:sz w:val="20"/>
          <w:szCs w:val="20"/>
          <w:color w:val="auto"/>
        </w:rPr>
      </w:pPr>
    </w:p>
    <w:p>
      <w:pPr>
        <w:ind w:left="660"/>
        <w:spacing w:after="0" w:line="302" w:lineRule="auto"/>
        <w:rPr>
          <w:sz w:val="20"/>
          <w:szCs w:val="20"/>
          <w:color w:val="auto"/>
        </w:rPr>
      </w:pPr>
      <w:r>
        <w:rPr>
          <w:rFonts w:ascii="Arial" w:cs="Arial" w:eastAsia="Arial" w:hAnsi="Arial"/>
          <w:sz w:val="22"/>
          <w:szCs w:val="22"/>
          <w:color w:val="auto"/>
        </w:rPr>
        <w:t>THE UNITS REPRESENTED BY THIS CERTIFICATE HAVE NOT BEEN REGISTERED UNDER THE SECURITIES ACT OF 1933, AS AMENDED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388" w:right="239" w:bottom="1440" w:gutter="0" w:footer="0" w:header="0"/>
        </w:sectPr>
      </w:pPr>
    </w:p>
    <w:bookmarkStart w:id="87" w:name="page88"/>
    <w:bookmarkEnd w:id="87"/>
    <w:p>
      <w:pPr>
        <w:jc w:val="both"/>
        <w:spacing w:after="0" w:line="298" w:lineRule="auto"/>
        <w:rPr>
          <w:sz w:val="20"/>
          <w:szCs w:val="20"/>
          <w:color w:val="auto"/>
        </w:rPr>
      </w:pPr>
      <w:r>
        <w:rPr>
          <w:rFonts w:ascii="Arial" w:cs="Arial" w:eastAsia="Arial" w:hAnsi="Arial"/>
          <w:sz w:val="21"/>
          <w:szCs w:val="21"/>
          <w:color w:val="auto"/>
        </w:rPr>
        <w:t>“SECURITIES ACT”), OR ANY STATE SECURITIES LAWS, AND MAY NOT BE OFFERED OR SOLD UNLESS THEY HAVE BEEN REGISTERED UNDER THE SECURITIES ACT AND APPLICABLE STATE SECURITIES LAWS OR UNLESS AN EXEMPTION FROM REGISTRATION IS AVAILABLE (AND IN SUCH CASE, AN OPINION OF COUNSEL REASONABLY SATISFACTORY TO THE PARTNERSHIP SHALL HAVE BEEN DELIVERED TO THE PARTNERSHIP TO THE EFFECT THAT SUCH OFFER OR SALE IS NOT REQUIRED TO BE REGISTERED UNDER THE SECURITIES ACT AND APPLICABLE STATE SECURITIES LAWS). THE UNITS REPRESENTED BY THIS CERTIFICATE ARE ALSO SUBJECT UNDER CERTAIN CIRCUMSTANCES TO MANDATORY TRANSFER AS SET FORTH IN THE AMENDED AND RESTATED RESTRICTED UNITS AGREEMENT DATED AS OF AUGUST 25, 2016, AS AMENDED OR RESTATED FROM TIME TO TIME, COPIES OF WHICH MAY BE OBTAINED UPON REQUEST FROM THE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0760"/>
          </w:cols>
          <w:pgMar w:left="900" w:top="388" w:right="23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22"/>
          <w:szCs w:val="22"/>
          <w:b w:val="1"/>
          <w:bCs w:val="1"/>
          <w:color w:val="auto"/>
        </w:rPr>
        <w:t>EXHIBIT B TO</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RESTRICTED UNITS AGREEMENT</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[Previously Executed Assignment Attached]</w:t>
      </w:r>
    </w:p>
    <w:p>
      <w:pPr>
        <w:sectPr>
          <w:pgSz w:w="11900" w:h="16838" w:orient="portrait"/>
          <w:cols w:equalWidth="0" w:num="1">
            <w:col w:w="9019"/>
          </w:cols>
          <w:pgMar w:left="1440" w:top="382"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color w:val="auto"/>
        </w:rPr>
        <w:t>EXHIBIT C 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UNITS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[Previously Executed Joint Escrow Instructions Attached]</w:t>
      </w:r>
    </w:p>
    <w:p>
      <w:pPr>
        <w:sectPr>
          <w:pgSz w:w="11900" w:h="16838" w:orient="portrait"/>
          <w:cols w:equalWidth="0" w:num="1">
            <w:col w:w="9019"/>
          </w:cols>
          <w:pgMar w:left="1440" w:top="382"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17145</wp:posOffset>
            </wp:positionV>
            <wp:extent cx="163766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76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25,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WCW (Willie) Chiang</w:t>
      </w:r>
    </w:p>
    <w:p>
      <w:pPr>
        <w:spacing w:after="0" w:line="200" w:lineRule="exact"/>
        <w:rPr>
          <w:sz w:val="20"/>
          <w:szCs w:val="20"/>
          <w:color w:val="auto"/>
        </w:rPr>
      </w:pPr>
    </w:p>
    <w:p>
      <w:pPr>
        <w:spacing w:after="0" w:line="317" w:lineRule="exact"/>
        <w:rPr>
          <w:sz w:val="20"/>
          <w:szCs w:val="20"/>
          <w:color w:val="auto"/>
        </w:rPr>
      </w:pPr>
    </w:p>
    <w:p>
      <w:pPr>
        <w:ind w:left="1420"/>
        <w:spacing w:after="0"/>
        <w:tabs>
          <w:tab w:leader="none" w:pos="1920" w:val="left"/>
        </w:tabs>
        <w:rPr>
          <w:sz w:val="20"/>
          <w:szCs w:val="20"/>
          <w:color w:val="auto"/>
        </w:rPr>
      </w:pPr>
      <w:r>
        <w:rPr>
          <w:rFonts w:ascii="Arial" w:cs="Arial" w:eastAsia="Arial" w:hAnsi="Arial"/>
          <w:sz w:val="22"/>
          <w:szCs w:val="22"/>
          <w:b w:val="1"/>
          <w:bCs w:val="1"/>
          <w:i w:val="1"/>
          <w:iCs w:val="1"/>
          <w:color w:val="auto"/>
        </w:rPr>
        <w:t>Re:</w:t>
      </w:r>
      <w:r>
        <w:rPr>
          <w:sz w:val="20"/>
          <w:szCs w:val="20"/>
          <w:color w:val="auto"/>
        </w:rPr>
        <w:tab/>
      </w:r>
      <w:r>
        <w:rPr>
          <w:rFonts w:ascii="Arial" w:cs="Arial" w:eastAsia="Arial" w:hAnsi="Arial"/>
          <w:sz w:val="19"/>
          <w:szCs w:val="19"/>
          <w:b w:val="1"/>
          <w:bCs w:val="1"/>
          <w:i w:val="1"/>
          <w:iCs w:val="1"/>
          <w:color w:val="auto"/>
        </w:rPr>
        <w:t>Amendment of Phantom Unit Grant Letter dated August 24, 2015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Willie:</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Compensation Committee and Board of Directors of Plains All American GP LLC has approved certain modifications to the vesting terms of your long term incentive plan grant letter dated August 24, 2015 (the “August 2015 Grant Letter”). Accordingly, effective as of the date of this letter, the August 2015 Grant Letter is hereby amended to replace paragraph 1 thereof in its entirety with the following:</w:t>
      </w:r>
    </w:p>
    <w:p>
      <w:pPr>
        <w:spacing w:after="0" w:line="229" w:lineRule="exact"/>
        <w:rPr>
          <w:sz w:val="20"/>
          <w:szCs w:val="20"/>
          <w:color w:val="auto"/>
        </w:rPr>
      </w:pPr>
    </w:p>
    <w:p>
      <w:pPr>
        <w:jc w:val="both"/>
        <w:ind w:left="660" w:hanging="328"/>
        <w:spacing w:after="0" w:line="258" w:lineRule="auto"/>
        <w:tabs>
          <w:tab w:leader="none" w:pos="6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Phantom Units shall vest (become payable in the form of one Common Unit of PAA for each Phantom Unit) as follows: (i) forty percent (40%) shall vest upon the later to occur of the August 2018 Distribution Date and the first date following the date hereof on which the Partnership pays a quarterly distribution of at least $0.575 per unit ($2.30 on an annualized basis); (ii) thirty percent (30%) shall vest upon the later to occur of the August 2019 Distribution Date and the first date following the date hereof on which the Partnership pays a quarterly distribution of at least $0.60 per unit ($2.40 on an annualized basis) and (iii) thirty percent (30%) shall vest upon the later to occur of the August 2020 Distribution Date and the first date following the date hereof on which the Partnership pays a quarterly distribution of at least $0.625 per unit ($2.50 on an annualized basis). Any remaining Phantom Units that are not vested by the August 2021 Distribution Date, and any tandem DERs associated with such Phantom Units, shall expire on such date.</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Except as amended hereunder, the August 2015 Grant Letter shall remain in full force and effect according to its terms.</w:t>
      </w: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AAP, L.P.</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ALL AMERICAN GP LLC</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Richard K. McGee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K.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 &amp; General Counsel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10.8</w:t>
      </w:r>
    </w:p>
    <w:p>
      <w:pPr>
        <w:spacing w:after="0" w:line="270"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FIRST AMENDMENT TO</w:t>
      </w:r>
    </w:p>
    <w:p>
      <w:pPr>
        <w:spacing w:after="0" w:line="44"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PLAINS AAP, L.P. CLASS B</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RESTRICTED UNITS AGREEMENT</w:t>
      </w:r>
    </w:p>
    <w:p>
      <w:pPr>
        <w:spacing w:after="0" w:line="266"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22"/>
          <w:szCs w:val="22"/>
          <w:color w:val="auto"/>
        </w:rPr>
        <w:t>This First Amendment to Plains AAP, L.P. Class B Restricted Units Agreement (this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is entered into effective as of the 25th day of August, 2016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Plains AAP, L.P., a Delaware limited partnership (the “</w:t>
      </w:r>
      <w:r>
        <w:rPr>
          <w:rFonts w:ascii="Arial" w:cs="Arial" w:eastAsia="Arial" w:hAnsi="Arial"/>
          <w:sz w:val="22"/>
          <w:szCs w:val="22"/>
          <w:b w:val="1"/>
          <w:bCs w:val="1"/>
          <w:i w:val="1"/>
          <w:iCs w:val="1"/>
          <w:color w:val="auto"/>
        </w:rPr>
        <w:t>Partnership</w:t>
      </w:r>
      <w:r>
        <w:rPr>
          <w:rFonts w:ascii="Arial" w:cs="Arial" w:eastAsia="Arial" w:hAnsi="Arial"/>
          <w:sz w:val="22"/>
          <w:szCs w:val="22"/>
          <w:color w:val="auto"/>
        </w:rPr>
        <w:t>”) and WCW (Willie) Chiang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60"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Partnership and Executive have previously entered into that certain Plains AAP, L.P. Class B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Units Agreement dated August 24, 2015 (such agreement being herein referred to as the “</w:t>
      </w:r>
      <w:r>
        <w:rPr>
          <w:rFonts w:ascii="Arial" w:cs="Arial" w:eastAsia="Arial" w:hAnsi="Arial"/>
          <w:sz w:val="19"/>
          <w:szCs w:val="19"/>
          <w:b w:val="1"/>
          <w:bCs w:val="1"/>
          <w:i w:val="1"/>
          <w:iCs w:val="1"/>
          <w:color w:val="auto"/>
        </w:rPr>
        <w:t>Class B Agreement</w:t>
      </w:r>
      <w:r>
        <w:rPr>
          <w:rFonts w:ascii="Arial" w:cs="Arial" w:eastAsia="Arial" w:hAnsi="Arial"/>
          <w:sz w:val="19"/>
          <w:szCs w:val="19"/>
          <w:color w:val="auto"/>
        </w:rPr>
        <w:t>”).</w:t>
      </w:r>
    </w:p>
    <w:p>
      <w:pPr>
        <w:spacing w:after="0" w:line="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pending simplification transaction involving certain affiliates of the Partnership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proposed distribution reduction previously announced by Plains All American Pipeline, L.P., on the Effective Date the Board of Directors of Plains All American GP LLC approved certain modifications to the terms of the Class B Agreement, and Executive and the Partnership desire to enter into this Amendment for the purpose of evidencing such mutually beneficial amendments to the Class B Agreement.</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agreements set forth herein and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sufficiency of which are hereby acknowledged, the Partnership and Executive hereby agree as follows, effective as of the Effective Date (it being further agreed that any capitalized term used herein but not defined shall have the meaning given such term in the Class B Agreement):</w:t>
      </w:r>
    </w:p>
    <w:p>
      <w:pPr>
        <w:spacing w:after="0" w:line="188"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i w:val="1"/>
          <w:iCs w:val="1"/>
          <w:color w:val="auto"/>
        </w:rPr>
        <w:t xml:space="preserve">Deletion and Modification of Certain Defined Terms </w:t>
      </w:r>
      <w:r>
        <w:rPr>
          <w:rFonts w:ascii="Arial" w:cs="Arial" w:eastAsia="Arial" w:hAnsi="Arial"/>
          <w:sz w:val="22"/>
          <w:szCs w:val="22"/>
          <w:color w:val="auto"/>
        </w:rPr>
        <w:t>Section 1.2 is hereby modified as follows:</w:t>
      </w:r>
    </w:p>
    <w:p>
      <w:pPr>
        <w:spacing w:after="0" w:line="260" w:lineRule="exact"/>
        <w:rPr>
          <w:rFonts w:ascii="Arial" w:cs="Arial" w:eastAsia="Arial" w:hAnsi="Arial"/>
          <w:sz w:val="22"/>
          <w:szCs w:val="22"/>
          <w:color w:val="auto"/>
        </w:rPr>
      </w:pPr>
    </w:p>
    <w:p>
      <w:pPr>
        <w:ind w:left="1960" w:hanging="655"/>
        <w:spacing w:after="0" w:line="302" w:lineRule="auto"/>
        <w:tabs>
          <w:tab w:leader="none" w:pos="19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defined terms “Capital Call,” “Capital Call Amount,” and “Exchange Act” are hereby deleted in their entirety;</w:t>
      </w:r>
    </w:p>
    <w:p>
      <w:pPr>
        <w:spacing w:after="0" w:line="173" w:lineRule="exact"/>
        <w:rPr>
          <w:rFonts w:ascii="Arial" w:cs="Arial" w:eastAsia="Arial" w:hAnsi="Arial"/>
          <w:sz w:val="22"/>
          <w:szCs w:val="22"/>
          <w:color w:val="auto"/>
        </w:rPr>
      </w:pPr>
    </w:p>
    <w:p>
      <w:pPr>
        <w:ind w:left="1960" w:right="1260" w:hanging="655"/>
        <w:spacing w:after="0" w:line="486" w:lineRule="auto"/>
        <w:tabs>
          <w:tab w:leader="none" w:pos="19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defined term “Conversion Factor” is hereby deleted and replaced in its entirety as follows: “</w:t>
      </w:r>
      <w:r>
        <w:rPr>
          <w:rFonts w:ascii="Arial" w:cs="Arial" w:eastAsia="Arial" w:hAnsi="Arial"/>
          <w:sz w:val="22"/>
          <w:szCs w:val="22"/>
          <w:b w:val="1"/>
          <w:bCs w:val="1"/>
          <w:i w:val="1"/>
          <w:iCs w:val="1"/>
          <w:color w:val="auto"/>
        </w:rPr>
        <w:t>Conversion Factor</w:t>
      </w:r>
      <w:r>
        <w:rPr>
          <w:rFonts w:ascii="Arial" w:cs="Arial" w:eastAsia="Arial" w:hAnsi="Arial"/>
          <w:sz w:val="22"/>
          <w:szCs w:val="22"/>
          <w:color w:val="auto"/>
        </w:rPr>
        <w:t>” means 0.9413316.</w:t>
      </w:r>
    </w:p>
    <w:p>
      <w:pPr>
        <w:spacing w:after="0" w:line="1" w:lineRule="exact"/>
        <w:rPr>
          <w:rFonts w:ascii="Arial" w:cs="Arial" w:eastAsia="Arial" w:hAnsi="Arial"/>
          <w:sz w:val="22"/>
          <w:szCs w:val="22"/>
          <w:color w:val="auto"/>
        </w:rPr>
      </w:pPr>
    </w:p>
    <w:p>
      <w:pPr>
        <w:ind w:left="1960" w:hanging="655"/>
        <w:spacing w:after="0"/>
        <w:tabs>
          <w:tab w:leader="none" w:pos="19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term “Partnership Distribution” is hereby deleted and replaced in its entirety as follows:</w:t>
      </w:r>
    </w:p>
    <w:p>
      <w:pPr>
        <w:sectPr>
          <w:pgSz w:w="11900" w:h="16838" w:orient="portrait"/>
          <w:cols w:equalWidth="0" w:num="1">
            <w:col w:w="11420"/>
          </w:cols>
          <w:pgMar w:left="240" w:top="121" w:right="239" w:bottom="1440" w:gutter="0" w:footer="0" w:header="0"/>
        </w:sectPr>
      </w:pPr>
    </w:p>
    <w:bookmarkStart w:id="92" w:name="page93"/>
    <w:bookmarkEnd w:id="92"/>
    <w:p>
      <w:pPr>
        <w:ind w:left="1304"/>
        <w:spacing w:after="0" w:line="32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Partnership Distribution</w:t>
      </w:r>
      <w:r>
        <w:rPr>
          <w:rFonts w:ascii="Arial" w:cs="Arial" w:eastAsia="Arial" w:hAnsi="Arial"/>
          <w:sz w:val="21"/>
          <w:szCs w:val="21"/>
          <w:color w:val="auto"/>
        </w:rPr>
        <w:t>” means, with respect to a particular fiscal quarter, the total amount of distributions to be made by the Partnership pursuant to Section 4.1 of the Partnership Agreement.</w:t>
      </w:r>
    </w:p>
    <w:p>
      <w:pPr>
        <w:spacing w:after="0" w:line="150" w:lineRule="exact"/>
        <w:rPr>
          <w:sz w:val="20"/>
          <w:szCs w:val="20"/>
          <w:color w:val="auto"/>
        </w:rPr>
      </w:pPr>
    </w:p>
    <w:p>
      <w:pPr>
        <w:ind w:left="644" w:hanging="644"/>
        <w:spacing w:after="0" w:line="302" w:lineRule="auto"/>
        <w:tabs>
          <w:tab w:leader="none" w:pos="644"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Modifications to Section 2.2(b)</w:t>
      </w:r>
      <w:r>
        <w:rPr>
          <w:rFonts w:ascii="Arial" w:cs="Arial" w:eastAsia="Arial" w:hAnsi="Arial"/>
          <w:sz w:val="22"/>
          <w:szCs w:val="22"/>
          <w:color w:val="auto"/>
        </w:rPr>
        <w:t>. Section 2.2(b) of the Class B Agreement is hereby deleted and replaced in its</w:t>
      </w:r>
      <w:r>
        <w:rPr>
          <w:rFonts w:ascii="Arial" w:cs="Arial" w:eastAsia="Arial" w:hAnsi="Arial"/>
          <w:sz w:val="22"/>
          <w:szCs w:val="22"/>
          <w:i w:val="1"/>
          <w:iCs w:val="1"/>
          <w:color w:val="auto"/>
        </w:rPr>
        <w:t xml:space="preserve"> </w:t>
      </w:r>
      <w:r>
        <w:rPr>
          <w:rFonts w:ascii="Arial" w:cs="Arial" w:eastAsia="Arial" w:hAnsi="Arial"/>
          <w:sz w:val="22"/>
          <w:szCs w:val="22"/>
          <w:color w:val="auto"/>
        </w:rPr>
        <w:t>entirety as follows:</w:t>
      </w:r>
    </w:p>
    <w:p>
      <w:pPr>
        <w:spacing w:after="0" w:line="173" w:lineRule="exact"/>
        <w:rPr>
          <w:rFonts w:ascii="Arial" w:cs="Arial" w:eastAsia="Arial" w:hAnsi="Arial"/>
          <w:sz w:val="22"/>
          <w:szCs w:val="22"/>
          <w:color w:val="auto"/>
        </w:rPr>
      </w:pPr>
    </w:p>
    <w:p>
      <w:pPr>
        <w:ind w:left="1304" w:hanging="655"/>
        <w:spacing w:after="0" w:line="302" w:lineRule="auto"/>
        <w:tabs>
          <w:tab w:leader="none" w:pos="1304" w:val="left"/>
        </w:tabs>
        <w:numPr>
          <w:ilvl w:val="1"/>
          <w:numId w:val="64"/>
        </w:numPr>
        <w:rPr>
          <w:rFonts w:ascii="Arial" w:cs="Arial" w:eastAsia="Arial" w:hAnsi="Arial"/>
          <w:sz w:val="22"/>
          <w:szCs w:val="22"/>
          <w:color w:val="auto"/>
        </w:rPr>
      </w:pPr>
      <w:r>
        <w:rPr>
          <w:rFonts w:ascii="Arial" w:cs="Arial" w:eastAsia="Arial" w:hAnsi="Arial"/>
          <w:sz w:val="22"/>
          <w:szCs w:val="22"/>
          <w:i w:val="1"/>
          <w:iCs w:val="1"/>
          <w:color w:val="auto"/>
        </w:rPr>
        <w:t>Earned Units</w:t>
      </w:r>
      <w:r>
        <w:rPr>
          <w:rFonts w:ascii="Arial" w:cs="Arial" w:eastAsia="Arial" w:hAnsi="Arial"/>
          <w:sz w:val="22"/>
          <w:szCs w:val="22"/>
          <w:color w:val="auto"/>
        </w:rPr>
        <w:t>. The Partnership and Executive acknowledge and agree that the Granted Units shall become</w:t>
      </w:r>
      <w:r>
        <w:rPr>
          <w:rFonts w:ascii="Arial" w:cs="Arial" w:eastAsia="Arial" w:hAnsi="Arial"/>
          <w:sz w:val="22"/>
          <w:szCs w:val="22"/>
          <w:i w:val="1"/>
          <w:iCs w:val="1"/>
          <w:color w:val="auto"/>
        </w:rPr>
        <w:t xml:space="preserve"> </w:t>
      </w:r>
      <w:r>
        <w:rPr>
          <w:rFonts w:ascii="Arial" w:cs="Arial" w:eastAsia="Arial" w:hAnsi="Arial"/>
          <w:sz w:val="22"/>
          <w:szCs w:val="22"/>
          <w:color w:val="auto"/>
        </w:rPr>
        <w:t>Earned Units as follows:</w:t>
      </w:r>
    </w:p>
    <w:p>
      <w:pPr>
        <w:spacing w:after="0" w:line="173" w:lineRule="exact"/>
        <w:rPr>
          <w:rFonts w:ascii="Arial" w:cs="Arial" w:eastAsia="Arial" w:hAnsi="Arial"/>
          <w:sz w:val="22"/>
          <w:szCs w:val="22"/>
          <w:color w:val="auto"/>
        </w:rPr>
      </w:pPr>
    </w:p>
    <w:p>
      <w:pPr>
        <w:jc w:val="both"/>
        <w:ind w:left="1944" w:hanging="647"/>
        <w:spacing w:after="0" w:line="288" w:lineRule="auto"/>
        <w:tabs>
          <w:tab w:leader="none" w:pos="1944" w:val="left"/>
        </w:tabs>
        <w:numPr>
          <w:ilvl w:val="2"/>
          <w:numId w:val="64"/>
        </w:numPr>
        <w:rPr>
          <w:rFonts w:ascii="Arial" w:cs="Arial" w:eastAsia="Arial" w:hAnsi="Arial"/>
          <w:sz w:val="22"/>
          <w:szCs w:val="22"/>
          <w:color w:val="auto"/>
        </w:rPr>
      </w:pPr>
      <w:r>
        <w:rPr>
          <w:rFonts w:ascii="Arial" w:cs="Arial" w:eastAsia="Arial" w:hAnsi="Arial"/>
          <w:sz w:val="22"/>
          <w:szCs w:val="22"/>
          <w:color w:val="auto"/>
        </w:rPr>
        <w:t>50% will become Earned Units on the first date subsequent to March 31, 2017 upon which the MLP pays a quarterly distribution of at least $0.55 per MLP Common Unit ($2.20 annualized) and the MLP generates distributable cash flow (“DCF”) of $1.5 billion or more on a trailing four quarter basis;</w:t>
      </w:r>
    </w:p>
    <w:p>
      <w:pPr>
        <w:spacing w:after="0" w:line="190" w:lineRule="exact"/>
        <w:rPr>
          <w:rFonts w:ascii="Arial" w:cs="Arial" w:eastAsia="Arial" w:hAnsi="Arial"/>
          <w:sz w:val="22"/>
          <w:szCs w:val="22"/>
          <w:color w:val="auto"/>
        </w:rPr>
      </w:pPr>
    </w:p>
    <w:p>
      <w:pPr>
        <w:ind w:left="1944" w:hanging="647"/>
        <w:spacing w:after="0" w:line="387" w:lineRule="auto"/>
        <w:tabs>
          <w:tab w:leader="none" w:pos="1944" w:val="left"/>
        </w:tabs>
        <w:numPr>
          <w:ilvl w:val="2"/>
          <w:numId w:val="64"/>
        </w:numPr>
        <w:rPr>
          <w:rFonts w:ascii="Arial" w:cs="Arial" w:eastAsia="Arial" w:hAnsi="Arial"/>
          <w:sz w:val="19"/>
          <w:szCs w:val="19"/>
          <w:color w:val="auto"/>
        </w:rPr>
      </w:pPr>
      <w:r>
        <w:rPr>
          <w:rFonts w:ascii="Arial" w:cs="Arial" w:eastAsia="Arial" w:hAnsi="Arial"/>
          <w:sz w:val="19"/>
          <w:szCs w:val="19"/>
          <w:color w:val="auto"/>
        </w:rPr>
        <w:t>25% will become Earned Units on the first date subsequent to March 31, 2017 on which the MLP pays a quarterly distribution of at least $0.625 per MLP Common Unit ($2.50 annualized); and</w:t>
      </w:r>
    </w:p>
    <w:p>
      <w:pPr>
        <w:spacing w:after="0" w:line="105" w:lineRule="exact"/>
        <w:rPr>
          <w:rFonts w:ascii="Arial" w:cs="Arial" w:eastAsia="Arial" w:hAnsi="Arial"/>
          <w:sz w:val="19"/>
          <w:szCs w:val="19"/>
          <w:color w:val="auto"/>
        </w:rPr>
      </w:pPr>
    </w:p>
    <w:p>
      <w:pPr>
        <w:ind w:left="1944" w:hanging="647"/>
        <w:spacing w:after="0" w:line="328" w:lineRule="auto"/>
        <w:tabs>
          <w:tab w:leader="none" w:pos="1944" w:val="left"/>
        </w:tabs>
        <w:numPr>
          <w:ilvl w:val="2"/>
          <w:numId w:val="64"/>
        </w:numPr>
        <w:rPr>
          <w:rFonts w:ascii="Arial" w:cs="Arial" w:eastAsia="Arial" w:hAnsi="Arial"/>
          <w:sz w:val="21"/>
          <w:szCs w:val="21"/>
          <w:color w:val="auto"/>
        </w:rPr>
      </w:pPr>
      <w:r>
        <w:rPr>
          <w:rFonts w:ascii="Arial" w:cs="Arial" w:eastAsia="Arial" w:hAnsi="Arial"/>
          <w:sz w:val="21"/>
          <w:szCs w:val="21"/>
          <w:color w:val="auto"/>
        </w:rPr>
        <w:t>25% will become Earned Units on the first date subsequent to March 31, 2017 on which the MLP pays a quarterly distribution of at least $0.70 per MLP Common Unit ($2.80 annualized).</w:t>
      </w:r>
    </w:p>
    <w:p>
      <w:pPr>
        <w:spacing w:after="0" w:line="150" w:lineRule="exact"/>
        <w:rPr>
          <w:sz w:val="20"/>
          <w:szCs w:val="20"/>
          <w:color w:val="auto"/>
        </w:rPr>
      </w:pPr>
    </w:p>
    <w:p>
      <w:pPr>
        <w:jc w:val="both"/>
        <w:ind w:left="644"/>
        <w:spacing w:after="0" w:line="285" w:lineRule="auto"/>
        <w:rPr>
          <w:sz w:val="20"/>
          <w:szCs w:val="20"/>
          <w:color w:val="auto"/>
        </w:rPr>
      </w:pPr>
      <w:r>
        <w:rPr>
          <w:rFonts w:ascii="Arial" w:cs="Arial" w:eastAsia="Arial" w:hAnsi="Arial"/>
          <w:sz w:val="22"/>
          <w:szCs w:val="22"/>
          <w:color w:val="auto"/>
        </w:rPr>
        <w:t>For purposes of the performance threshold set forth in Clause (b)(1) above, the referenced DCF level will be subject to adjustment as determined by the Chief Executive Officer of the Company in his sole discretion to account for significant asset sales (and if at such time the Executive is the Chief Executive Officer of the Company, the determination as to whether there shall be any such adjustment shall be made by the Board in its sole discretion). Once a Granted Unit has become an Earned Unit pursuant to this Agreement, the Earned Unit shall remain an Earned Unit thereafter until it either becomes a Vested Unit or is purchased by the Partnership pursuant to the exercise of its Call Option.</w:t>
      </w:r>
    </w:p>
    <w:p>
      <w:pPr>
        <w:spacing w:after="0" w:line="193" w:lineRule="exact"/>
        <w:rPr>
          <w:sz w:val="20"/>
          <w:szCs w:val="20"/>
          <w:color w:val="auto"/>
        </w:rPr>
      </w:pPr>
    </w:p>
    <w:p>
      <w:pPr>
        <w:ind w:left="644" w:hanging="644"/>
        <w:spacing w:after="0"/>
        <w:tabs>
          <w:tab w:leader="none" w:pos="644"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Deletion of Section 2.4</w:t>
      </w:r>
      <w:r>
        <w:rPr>
          <w:rFonts w:ascii="Arial" w:cs="Arial" w:eastAsia="Arial" w:hAnsi="Arial"/>
          <w:sz w:val="22"/>
          <w:szCs w:val="22"/>
          <w:color w:val="auto"/>
        </w:rPr>
        <w:t>. Section 2.4 of the Class B Agreement is hereby deleted in its entirety.</w:t>
      </w:r>
    </w:p>
    <w:p>
      <w:pPr>
        <w:spacing w:after="0" w:line="260" w:lineRule="exact"/>
        <w:rPr>
          <w:rFonts w:ascii="Arial" w:cs="Arial" w:eastAsia="Arial" w:hAnsi="Arial"/>
          <w:sz w:val="22"/>
          <w:szCs w:val="22"/>
          <w:color w:val="auto"/>
        </w:rPr>
      </w:pPr>
    </w:p>
    <w:p>
      <w:pPr>
        <w:ind w:left="644" w:hanging="644"/>
        <w:spacing w:after="0" w:line="302" w:lineRule="auto"/>
        <w:tabs>
          <w:tab w:leader="none" w:pos="644"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Amendment of Section 2 of Exhibit A</w:t>
      </w:r>
      <w:r>
        <w:rPr>
          <w:rFonts w:ascii="Arial" w:cs="Arial" w:eastAsia="Arial" w:hAnsi="Arial"/>
          <w:sz w:val="22"/>
          <w:szCs w:val="22"/>
          <w:color w:val="auto"/>
        </w:rPr>
        <w:t>. Section 2 of Exhibit A to the Class B Agreement is hereby deleted and</w:t>
      </w:r>
      <w:r>
        <w:rPr>
          <w:rFonts w:ascii="Arial" w:cs="Arial" w:eastAsia="Arial" w:hAnsi="Arial"/>
          <w:sz w:val="22"/>
          <w:szCs w:val="22"/>
          <w:i w:val="1"/>
          <w:iCs w:val="1"/>
          <w:color w:val="auto"/>
        </w:rPr>
        <w:t xml:space="preserve"> </w:t>
      </w:r>
      <w:r>
        <w:rPr>
          <w:rFonts w:ascii="Arial" w:cs="Arial" w:eastAsia="Arial" w:hAnsi="Arial"/>
          <w:sz w:val="22"/>
          <w:szCs w:val="22"/>
          <w:color w:val="auto"/>
        </w:rPr>
        <w:t>replaced in its entirety as follows:</w:t>
      </w:r>
    </w:p>
    <w:p>
      <w:pPr>
        <w:spacing w:after="0" w:line="200" w:lineRule="exact"/>
        <w:rPr>
          <w:sz w:val="20"/>
          <w:szCs w:val="20"/>
          <w:color w:val="auto"/>
        </w:rPr>
      </w:pPr>
    </w:p>
    <w:p>
      <w:pPr>
        <w:spacing w:after="0" w:line="217"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388" w:right="239" w:bottom="1440" w:gutter="0" w:footer="0" w:header="0"/>
        </w:sectPr>
      </w:pPr>
    </w:p>
    <w:bookmarkStart w:id="93" w:name="page94"/>
    <w:bookmarkEnd w:id="93"/>
    <w:p>
      <w:pPr>
        <w:jc w:val="both"/>
        <w:ind w:left="1300" w:firstLine="5"/>
        <w:spacing w:after="0" w:line="329" w:lineRule="auto"/>
        <w:tabs>
          <w:tab w:leader="none" w:pos="170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Partnership Call Option</w:t>
      </w:r>
      <w:r>
        <w:rPr>
          <w:rFonts w:ascii="Arial" w:cs="Arial" w:eastAsia="Arial" w:hAnsi="Arial"/>
          <w:sz w:val="19"/>
          <w:szCs w:val="19"/>
          <w:color w:val="auto"/>
        </w:rPr>
        <w:t>. Upon the occurrence of a Call Event, the Partnership, at its option (exercisable at any time during the 60-day period following the date of such Call Event), may (but the Partnership shall have no obligation to) purchase all (or any portion elected by the Partnership in its sole discretion) of the Earned Units held by Executive (or by Executive’s estate), for a purchase price per Earned Unit equal to the Call Value at the time of the Call Event. If the Partnership wishes to exercise the Call Option granted herein, it must provide written notice within such 60-day period to Executive (or his estate) specifying the number of such Earned Units it elects to purchase. Within 10 days after the exercise of the Call Option by the Partnership, the Executive (or estate) shall deliver the certificates, if any, representing the applicable Earned Units to the Partnership, duly endorsed and together with appropriate assignment and transfer instruments, free and clear of all adverse charges, liens, claims and encumbrances, in consideration for the purchase price specified above to be paid by the Partnership in the form of a single, lump sum cash payment from the Partnership; provided, however, that the Partnership may, in its sole discretion, elect to pay all or any portion of such consideration by exchanging a designated number of such Earned Units for a number of Common Units of the MLP that is equal to the product of (a) the applicable number of Earned Units and (b) the Conversion Factor. Delivery of the Earned Units and related transfer and assignment instruments by the holder shall constitute a representation to the Partnership that such Earned Units are free and clear of all adverse charges, liens, claims and encumbrances. If the Partnership does not timely exercise its Call Option, the Earned Units shall become Vested Units at the end of the period for exercising the Call Option. If the Partnership exercises its Call Option and pays all or any portion of the consideration payable in connection therewith in the form of Common Units of the MLP, the Partnership agrees to use commercially reasonable efforts to cause the resale by Executive of such Common Units to be covered by a shelf registration statement of the MLP.</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Except as amended by this Amendment, the Class B Agreement shall remain in full force and effect according to its terms.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hereby execute this Amendment to be effective for all purposes as of the Effective Date.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88" w:right="239" w:bottom="1440" w:gutter="0" w:footer="0" w:header="0"/>
        </w:sectPr>
      </w:pPr>
    </w:p>
    <w:bookmarkStart w:id="94" w:name="page95"/>
    <w:bookmarkEnd w:id="94"/>
    <w:p>
      <w:pPr>
        <w:spacing w:after="0"/>
        <w:rPr>
          <w:sz w:val="20"/>
          <w:szCs w:val="20"/>
          <w:color w:val="auto"/>
        </w:rPr>
      </w:pPr>
      <w:r>
        <w:rPr>
          <w:rFonts w:ascii="Arial" w:cs="Arial" w:eastAsia="Arial" w:hAnsi="Arial"/>
          <w:sz w:val="22"/>
          <w:szCs w:val="22"/>
          <w:b w:val="1"/>
          <w:bCs w:val="1"/>
          <w:color w:val="auto"/>
        </w:rPr>
        <w:t>PARTNERSHIP:</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Plains AAP, L.P.</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Pr>
          <w:p>
            <w:pPr>
              <w:ind w:left="20"/>
              <w:spacing w:after="0"/>
              <w:rPr>
                <w:sz w:val="20"/>
                <w:szCs w:val="20"/>
                <w:color w:val="auto"/>
              </w:rPr>
            </w:pPr>
            <w:r>
              <w:rPr>
                <w:rFonts w:ascii="Arial" w:cs="Arial" w:eastAsia="Arial" w:hAnsi="Arial"/>
                <w:sz w:val="22"/>
                <w:szCs w:val="22"/>
                <w:color w:val="auto"/>
              </w:rPr>
              <w:t>Plains All American GP LLC</w:t>
            </w:r>
          </w:p>
        </w:tc>
      </w:tr>
      <w:tr>
        <w:trPr>
          <w:trHeight w:val="60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Richard McGee</w:t>
            </w: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20"/>
              <w:spacing w:after="0"/>
              <w:rPr>
                <w:sz w:val="20"/>
                <w:szCs w:val="20"/>
                <w:color w:val="auto"/>
              </w:rPr>
            </w:pPr>
            <w:r>
              <w:rPr>
                <w:rFonts w:ascii="Arial" w:cs="Arial" w:eastAsia="Arial" w:hAnsi="Arial"/>
                <w:sz w:val="22"/>
                <w:szCs w:val="22"/>
                <w:color w:val="auto"/>
              </w:rPr>
              <w:t>Richard McGee</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ind w:left="20"/>
              <w:spacing w:after="0"/>
              <w:rPr>
                <w:sz w:val="20"/>
                <w:szCs w:val="20"/>
                <w:color w:val="auto"/>
              </w:rPr>
            </w:pPr>
            <w:r>
              <w:rPr>
                <w:rFonts w:ascii="Arial" w:cs="Arial" w:eastAsia="Arial" w:hAnsi="Arial"/>
                <w:sz w:val="22"/>
                <w:szCs w:val="22"/>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/s/ WCW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3978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WCW (Willie) Chiang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79"/>
          </w:cols>
          <w:pgMar w:left="280" w:top="517"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vMerge w:val="continue"/>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Pre-tax income from continuing operations before</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8"/>
                <w:szCs w:val="18"/>
                <w:color w:val="auto"/>
              </w:rPr>
              <w:t>noncontrolling interests and income from equity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25"/>
                <w:szCs w:val="25"/>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Portion of rent expense related to interest (33.33%)</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1"/>
        </w:trPr>
        <w:tc>
          <w:tcPr>
            <w:tcW w:w="4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360" w:type="dxa"/>
            <w:vAlign w:val="bottom"/>
          </w:tcPr>
          <w:p>
            <w:pPr>
              <w:ind w:left="40"/>
              <w:spacing w:after="0" w:line="256"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(3)</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2.39x</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2.80x</w:t>
            </w: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4.30x</w:t>
            </w:r>
          </w:p>
        </w:tc>
        <w:tc>
          <w:tcPr>
            <w:tcW w:w="2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4.41x</w:t>
            </w:r>
          </w:p>
        </w:tc>
        <w:tc>
          <w:tcPr>
            <w:tcW w:w="2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4.03x</w:t>
            </w:r>
          </w:p>
        </w:tc>
        <w:tc>
          <w:tcPr>
            <w:tcW w:w="2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4.13x</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___________________________________________</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60" w:hanging="652"/>
        <w:spacing w:after="0" w:line="245" w:lineRule="auto"/>
        <w:tabs>
          <w:tab w:leader="none" w:pos="660" w:val="left"/>
        </w:tabs>
        <w:numPr>
          <w:ilvl w:val="0"/>
          <w:numId w:val="67"/>
        </w:numPr>
        <w:rPr>
          <w:rFonts w:ascii="Arial" w:cs="Arial" w:eastAsia="Arial" w:hAnsi="Arial"/>
          <w:sz w:val="24"/>
          <w:szCs w:val="24"/>
          <w:color w:val="auto"/>
          <w:vertAlign w:val="superscript"/>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254" w:lineRule="exact"/>
        <w:rPr>
          <w:rFonts w:ascii="Arial" w:cs="Arial" w:eastAsia="Arial" w:hAnsi="Arial"/>
          <w:sz w:val="24"/>
          <w:szCs w:val="24"/>
          <w:color w:val="auto"/>
          <w:vertAlign w:val="superscript"/>
        </w:rPr>
      </w:pPr>
    </w:p>
    <w:p>
      <w:pPr>
        <w:jc w:val="both"/>
        <w:ind w:left="660" w:right="140" w:hanging="652"/>
        <w:spacing w:after="0" w:line="252" w:lineRule="auto"/>
        <w:tabs>
          <w:tab w:leader="none" w:pos="660"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Includes interest costs attributable to borrowings for hedged inventory purchases of $10 million for the nine months ended September 30, 2016 and $6 million, $12 million, $30 million, $12 million and $20 million for the years ended December 31, 2015, 2014, 2013, 2012 and 2011, respectively.</w:t>
      </w:r>
    </w:p>
    <w:p>
      <w:pPr>
        <w:spacing w:after="0" w:line="186" w:lineRule="exact"/>
        <w:rPr>
          <w:rFonts w:ascii="Arial" w:cs="Arial" w:eastAsia="Arial" w:hAnsi="Arial"/>
          <w:sz w:val="22"/>
          <w:szCs w:val="22"/>
          <w:color w:val="auto"/>
          <w:vertAlign w:val="superscript"/>
        </w:rPr>
      </w:pPr>
    </w:p>
    <w:p>
      <w:pPr>
        <w:ind w:left="660" w:hanging="652"/>
        <w:spacing w:after="0"/>
        <w:tabs>
          <w:tab w:leader="none" w:pos="660" w:val="left"/>
        </w:tabs>
        <w:numPr>
          <w:ilvl w:val="0"/>
          <w:numId w:val="67"/>
        </w:numPr>
        <w:rPr>
          <w:rFonts w:ascii="Arial" w:cs="Arial" w:eastAsia="Arial" w:hAnsi="Arial"/>
          <w:sz w:val="25"/>
          <w:szCs w:val="25"/>
          <w:color w:val="auto"/>
          <w:vertAlign w:val="superscript"/>
        </w:rPr>
      </w:pPr>
      <w:r>
        <w:rPr>
          <w:rFonts w:ascii="Arial" w:cs="Arial" w:eastAsia="Arial" w:hAnsi="Arial"/>
          <w:sz w:val="18"/>
          <w:szCs w:val="18"/>
          <w:color w:val="auto"/>
        </w:rPr>
        <w:t>Ratios may not recalculate due to rounding.</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8, 2016</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jc w:val="both"/>
        <w:ind w:right="120" w:firstLine="656"/>
        <w:spacing w:after="0" w:line="264" w:lineRule="auto"/>
        <w:tabs>
          <w:tab w:leader="none" w:pos="13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2016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November 8,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2"/>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decimal"/>
      <w:start w:val="1"/>
    </w:lvl>
  </w:abstractNum>
  <w:abstractNum w:abstractNumId="19">
    <w:nsid w:val="32FFF902"/>
    <w:multiLevelType w:val="hybridMultilevel"/>
    <w:lvl w:ilvl="0">
      <w:lvlJc w:val="left"/>
      <w:lvlText w:val="(%1)"/>
      <w:numFmt w:val="decimal"/>
      <w:start w:val="9"/>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4"/>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1)"/>
      <w:numFmt w:val="decimal"/>
      <w:start w:val="3"/>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lvl w:ilvl="1">
      <w:lvlJc w:val="left"/>
      <w:lvlText w:val="(%2)"/>
      <w:numFmt w:val="decimal"/>
      <w:start w:val="1"/>
    </w:lvl>
  </w:abstractNum>
  <w:abstractNum w:abstractNumId="30">
    <w:nsid w:val="374A3FE6"/>
    <w:multiLevelType w:val="hybridMultilevel"/>
    <w:lvl w:ilvl="0">
      <w:lvlJc w:val="left"/>
      <w:lvlText w:val="(%1)"/>
      <w:numFmt w:val="lowerRoman"/>
      <w:start w:val="5"/>
    </w:lvl>
  </w:abstractNum>
  <w:abstractNum w:abstractNumId="31">
    <w:nsid w:val="4F4EF005"/>
    <w:multiLevelType w:val="hybridMultilevel"/>
    <w:lvl w:ilvl="0">
      <w:lvlJc w:val="left"/>
      <w:lvlText w:val="(%1)"/>
      <w:numFmt w:val="decimal"/>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2"/>
    </w:lvl>
  </w:abstractNum>
  <w:abstractNum w:abstractNumId="42">
    <w:nsid w:val="741226BB"/>
    <w:multiLevelType w:val="hybridMultilevel"/>
    <w:lvl w:ilvl="0">
      <w:lvlJc w:val="left"/>
      <w:lvlText w:val="%1."/>
      <w:numFmt w:val="decimal"/>
      <w:start w:val="7"/>
    </w:lvl>
  </w:abstractNum>
  <w:abstractNum w:abstractNumId="43">
    <w:nsid w:val="D34B6A8"/>
    <w:multiLevelType w:val="hybridMultilevel"/>
    <w:lvl w:ilvl="0">
      <w:lvlJc w:val="left"/>
      <w:lvlText w:val="%1."/>
      <w:numFmt w:val="decimal"/>
      <w:start w:val="8"/>
    </w:lvl>
  </w:abstractNum>
  <w:abstractNum w:abstractNumId="44">
    <w:nsid w:val="10233C99"/>
    <w:multiLevelType w:val="hybridMultilevel"/>
    <w:lvl w:ilvl="0">
      <w:lvlJc w:val="left"/>
      <w:lvlText w:val="%1"/>
      <w:numFmt w:val="lowerLetter"/>
      <w:start w:val="1"/>
    </w:lvl>
    <w:lvl w:ilvl="1">
      <w:lvlJc w:val="left"/>
      <w:lvlText w:val="(%2)"/>
      <w:numFmt w:val="lowerLetter"/>
      <w:start w:val="1"/>
    </w:lvl>
  </w:abstractNum>
  <w:abstractNum w:abstractNumId="45">
    <w:nsid w:val="3F6AB60F"/>
    <w:multiLevelType w:val="hybridMultilevel"/>
    <w:lvl w:ilvl="0">
      <w:lvlJc w:val="left"/>
      <w:lvlText w:val="(%1)"/>
      <w:numFmt w:val="lowerLetter"/>
      <w:start w:val="35"/>
    </w:lvl>
    <w:lvl w:ilvl="1">
      <w:lvlJc w:val="left"/>
      <w:lvlText w:val="(%2)"/>
      <w:numFmt w:val="lowerLetter"/>
      <w:start w:val="3"/>
    </w:lvl>
  </w:abstractNum>
  <w:abstractNum w:abstractNumId="46">
    <w:nsid w:val="61574095"/>
    <w:multiLevelType w:val="hybridMultilevel"/>
    <w:lvl w:ilvl="0">
      <w:lvlJc w:val="left"/>
      <w:lvlText w:val="(%1)"/>
      <w:numFmt w:val="lowerLetter"/>
      <w:start w:val="35"/>
    </w:lvl>
    <w:lvl w:ilvl="1">
      <w:lvlJc w:val="left"/>
      <w:lvlText w:val="%2"/>
      <w:numFmt w:val="lowerLetter"/>
      <w:start w:val="1"/>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1"/>
    </w:lvl>
    <w:lvl w:ilvl="1">
      <w:lvlJc w:val="left"/>
      <w:lvlText w:val="%2)"/>
      <w:numFmt w:val="decimal"/>
      <w:start w:val="1"/>
    </w:lvl>
  </w:abstractNum>
  <w:abstractNum w:abstractNumId="50">
    <w:nsid w:val="310C50B3"/>
    <w:multiLevelType w:val="hybridMultilevel"/>
    <w:lvl w:ilvl="0">
      <w:lvlJc w:val="left"/>
      <w:lvlText w:val="(%1)"/>
      <w:numFmt w:val="lowerLetter"/>
      <w:start w:val="3"/>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1)"/>
      <w:numFmt w:val="lowerLetter"/>
      <w:start w:val="2"/>
    </w:lvl>
  </w:abstractNum>
  <w:abstractNum w:abstractNumId="53">
    <w:nsid w:val="25A70BF7"/>
    <w:multiLevelType w:val="hybridMultilevel"/>
    <w:lvl w:ilvl="0">
      <w:lvlJc w:val="left"/>
      <w:lvlText w:val="(%1)"/>
      <w:numFmt w:val="lowerLetter"/>
      <w:start w:val="1"/>
    </w:lvl>
  </w:abstractNum>
  <w:abstractNum w:abstractNumId="54">
    <w:nsid w:val="1DBABF00"/>
    <w:multiLevelType w:val="hybridMultilevel"/>
    <w:lvl w:ilvl="0">
      <w:lvlJc w:val="left"/>
      <w:lvlText w:val="(%1)"/>
      <w:numFmt w:val="lowerLetter"/>
      <w:start w:val="3"/>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3"/>
    </w:lvl>
  </w:abstractNum>
  <w:abstractNum w:abstractNumId="57">
    <w:nsid w:val="1381823A"/>
    <w:multiLevelType w:val="hybridMultilevel"/>
    <w:lvl w:ilvl="0">
      <w:lvlJc w:val="left"/>
      <w:lvlText w:val="%1."/>
      <w:numFmt w:val="decimal"/>
      <w:start w:val="1"/>
    </w:lvl>
  </w:abstractNum>
  <w:abstractNum w:abstractNumId="58">
    <w:nsid w:val="5DB70AE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59">
    <w:nsid w:val="100F8FCA"/>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60">
    <w:nsid w:val="6590700B"/>
    <w:multiLevelType w:val="hybridMultilevel"/>
    <w:lvl w:ilvl="0">
      <w:lvlJc w:val="left"/>
      <w:lvlText w:val="(%1)"/>
      <w:numFmt w:val="lowerLetter"/>
      <w:start w:val="2"/>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1"/>
    </w:lvl>
    <w:lvl w:ilvl="1">
      <w:lvlJc w:val="left"/>
      <w:lvlText w:val="%2."/>
      <w:numFmt w:val="lowerLetter"/>
      <w:start w:val="1"/>
    </w:lvl>
  </w:abstractNum>
  <w:abstractNum w:abstractNumId="63">
    <w:nsid w:val="98A314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4">
    <w:nsid w:val="799D0247"/>
    <w:multiLevelType w:val="hybridMultilevel"/>
    <w:lvl w:ilvl="0">
      <w:lvlJc w:val="left"/>
      <w:lvlText w:val="%1."/>
      <w:numFmt w:val="decimal"/>
      <w:start w:val="3"/>
    </w:lvl>
  </w:abstractNum>
  <w:abstractNum w:abstractNumId="65">
    <w:nsid w:val="6B94764"/>
    <w:multiLevelType w:val="hybridMultilevel"/>
    <w:lvl w:ilvl="0">
      <w:lvlJc w:val="left"/>
      <w:lvlText w:val="%1."/>
      <w:numFmt w:val="decimal"/>
      <w:start w:val="2"/>
    </w:lvl>
  </w:abstractNum>
  <w:abstractNum w:abstractNumId="66">
    <w:nsid w:val="42C296BD"/>
    <w:multiLevelType w:val="hybridMultilevel"/>
    <w:lvl w:ilvl="0">
      <w:lvlJc w:val="left"/>
      <w:lvlText w:val="(%1)"/>
      <w:numFmt w:val="decimal"/>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decimal"/>
      <w:start w:val="5"/>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5"/>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lowerRoman"/>
      <w:start w:val="1"/>
    </w:lvl>
  </w:abstractNum>
  <w:abstractNum w:abstractNumId="76">
    <w:nsid w:val="11447B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2020-01-21T15:42:19Z</dcterms:created>
  <dcterms:modified xsi:type="dcterms:W3CDTF">2020-01-21T15:42:19Z</dcterms:modified>
</cp:coreProperties>
</file>