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308566d424b2.htm"/>
        <w:bookmarkStart w:id="1" w:name="ksd308566d424b2"/>
        <w:bookmarkEnd w:id="0"/>
        <w:bookmarkEnd w:id="1"/>
        <w:r>
          <w:rPr>
            <w:rStyle w:val="InternetLink"/>
          </w:rPr>
          <w:t>Table of Contents</w:t>
        </w:r>
      </w:hyperlink>
    </w:p>
    <w:p>
      <w:pPr>
        <w:pStyle w:val="TextBody"/>
        <w:spacing w:before="0" w:after="0"/>
        <w:jc w:val="right"/>
        <w:rPr>
          <w:rFonts w:ascii="Times New Roman" w:hAnsi="Times New Roman"/>
          <w:b/>
          <w:sz w:val="20"/>
        </w:rPr>
      </w:pPr>
      <w:r>
        <w:rPr>
          <w:rFonts w:ascii="Times New Roman" w:hAnsi="Times New Roman"/>
          <w:b/>
          <w:sz w:val="20"/>
        </w:rPr>
        <w:t>Filed pursuant to Rule 424(b)(2)</w:t>
        <w:br/>
        <w:t>Registration No. 333-162475</w:t>
      </w:r>
    </w:p>
    <w:p>
      <w:pPr>
        <w:pStyle w:val="TextBody"/>
        <w:spacing w:before="0" w:after="0"/>
        <w:rPr/>
      </w:pPr>
      <w:r>
        <w:rPr/>
        <w:t> </w:t>
      </w:r>
    </w:p>
    <w:p>
      <w:pPr>
        <w:pStyle w:val="TextBody"/>
        <w:spacing w:before="0" w:after="0"/>
        <w:rPr>
          <w:rFonts w:ascii="ARIAL" w:hAnsi="ARIAL"/>
          <w:b/>
          <w:color w:val="CB2D5E"/>
          <w:sz w:val="20"/>
        </w:rPr>
      </w:pPr>
      <w:r>
        <w:rPr>
          <w:rFonts w:ascii="ARIAL" w:hAnsi="ARIAL"/>
          <w:b/>
          <w:color w:val="CB2D5E"/>
          <w:sz w:val="20"/>
        </w:rPr>
        <w:t xml:space="preserve">The information in this preliminary prospectus supplement is not complete and may be changed. This preliminary prospectus supplement and the accompanying prospectus are not an offer to sell and are not soliciting an offer to buy these securities in any jurisdiction where the offer or sale is not permitted. </w:t>
      </w:r>
    </w:p>
    <w:p>
      <w:pPr>
        <w:pStyle w:val="TextBody"/>
        <w:spacing w:before="0" w:after="0"/>
        <w:rPr/>
      </w:pPr>
      <w:r>
        <w:rPr/>
        <w:t> </w:t>
      </w:r>
    </w:p>
    <w:p>
      <w:pPr>
        <w:pStyle w:val="TextBody"/>
        <w:spacing w:before="0" w:after="0"/>
        <w:rPr/>
      </w:pPr>
      <w:r>
        <w:rPr/>
        <w:t> </w:t>
      </w:r>
    </w:p>
    <w:p>
      <w:pPr>
        <w:pStyle w:val="TextBody"/>
        <w:jc w:val="center"/>
        <w:rPr>
          <w:rFonts w:ascii="arial" w:hAnsi="arial"/>
          <w:color w:val="CB2D5E"/>
          <w:sz w:val="20"/>
        </w:rPr>
      </w:pPr>
      <w:r>
        <w:rPr>
          <w:rFonts w:ascii="arial" w:hAnsi="arial"/>
          <w:color w:val="CB2D5E"/>
          <w:sz w:val="20"/>
        </w:rPr>
        <w:t xml:space="preserve">Subject to Completion, dated March 5, 2012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712"/>
        <w:gridCol w:w="9493"/>
      </w:tblGrid>
      <w:tr>
        <w:trPr/>
        <w:tc>
          <w:tcPr>
            <w:tcW w:w="712" w:type="dxa"/>
            <w:tcBorders/>
            <w:shd w:fill="auto" w:val="clear"/>
          </w:tcPr>
          <w:p>
            <w:pPr>
              <w:pStyle w:val="TableContents"/>
              <w:spacing w:before="0" w:after="283"/>
              <w:jc w:val="right"/>
              <w:rPr>
                <w:rFonts w:ascii="arial" w:hAnsi="arial"/>
                <w:sz w:val="24"/>
              </w:rPr>
            </w:pPr>
            <w:r>
              <w:rPr>
                <w:rFonts w:ascii="arial" w:hAnsi="arial"/>
                <w:sz w:val="24"/>
              </w:rPr>
              <w:t>PR</w:t>
            </w:r>
          </w:p>
        </w:tc>
        <w:tc>
          <w:tcPr>
            <w:tcW w:w="9493" w:type="dxa"/>
            <w:tcBorders/>
            <w:shd w:fill="auto" w:val="clear"/>
          </w:tcPr>
          <w:p>
            <w:pPr>
              <w:pStyle w:val="TableContents"/>
              <w:spacing w:before="0" w:after="283"/>
              <w:jc w:val="left"/>
              <w:rPr>
                <w:rFonts w:ascii="arial" w:hAnsi="arial"/>
                <w:sz w:val="24"/>
              </w:rPr>
            </w:pPr>
            <w:r>
              <w:rPr>
                <w:rFonts w:ascii="arial" w:hAnsi="arial"/>
                <w:sz w:val="24"/>
              </w:rPr>
              <w:t xml:space="preserve">ELIMINARY PROSPECTUS SUPPLEMENT </w:t>
            </w:r>
          </w:p>
        </w:tc>
      </w:tr>
    </w:tbl>
    <w:p>
      <w:pPr>
        <w:pStyle w:val="TextBody"/>
        <w:spacing w:before="0" w:after="0"/>
        <w:rPr>
          <w:rFonts w:ascii="arial" w:hAnsi="arial"/>
          <w:sz w:val="24"/>
        </w:rPr>
      </w:pPr>
      <w:r>
        <w:rPr>
          <w:rFonts w:ascii="arial" w:hAnsi="arial"/>
          <w:sz w:val="24"/>
        </w:rPr>
        <w:t xml:space="preserve">(To Prospectus Dated October 14, 2009) </w:t>
      </w:r>
    </w:p>
    <w:p>
      <w:pPr>
        <w:pStyle w:val="TextBody"/>
        <w:spacing w:before="0" w:after="0"/>
        <w:rPr/>
      </w:pPr>
      <w:r>
        <w:rPr/>
        <w:t> </w:t>
      </w:r>
    </w:p>
    <w:p>
      <w:pPr>
        <w:pStyle w:val="TextBody"/>
        <w:pBdr>
          <w:bottom w:val="single" w:sz="4" w:space="1" w:color="000000"/>
        </w:pBdr>
        <w:spacing w:before="0" w:after="30"/>
        <w:rPr/>
      </w:pPr>
      <w:r>
        <w:rPr/>
        <w:t> </w:t>
      </w:r>
    </w:p>
    <w:p>
      <w:pPr>
        <w:pStyle w:val="TextBody"/>
        <w:spacing w:before="0" w:after="0"/>
        <w:rPr/>
      </w:pPr>
      <w:r>
        <w:rPr/>
        <w:t> </w:t>
      </w:r>
    </w:p>
    <w:p>
      <w:pPr>
        <w:pStyle w:val="TextBody"/>
        <w:spacing w:before="360" w:after="0"/>
        <w:jc w:val="center"/>
        <w:rPr/>
      </w:pPr>
      <w:r>
        <w:rPr/>
        <w:drawing>
          <wp:inline distT="0" distB="0" distL="0" distR="0">
            <wp:extent cx="1924050"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24050" cy="590550"/>
                    </a:xfrm>
                    <a:prstGeom prst="rect">
                      <a:avLst/>
                    </a:prstGeom>
                  </pic:spPr>
                </pic:pic>
              </a:graphicData>
            </a:graphic>
          </wp:inline>
        </w:drawing>
      </w:r>
      <w:r>
        <w:rPr/>
        <w:t xml:space="preserve"> </w:t>
      </w:r>
    </w:p>
    <w:p>
      <w:pPr>
        <w:pStyle w:val="TextBody"/>
        <w:spacing w:before="180" w:after="0"/>
        <w:jc w:val="center"/>
        <w:rPr>
          <w:rFonts w:ascii="arial" w:hAnsi="arial"/>
          <w:b/>
          <w:sz w:val="36"/>
        </w:rPr>
      </w:pPr>
      <w:r>
        <w:rPr>
          <w:rFonts w:ascii="arial" w:hAnsi="arial"/>
          <w:b/>
          <w:sz w:val="36"/>
        </w:rPr>
        <w:t xml:space="preserve">5,000,000 Common Units </w:t>
      </w:r>
    </w:p>
    <w:p>
      <w:pPr>
        <w:pStyle w:val="TextBody"/>
        <w:spacing w:before="180" w:after="0"/>
        <w:jc w:val="center"/>
        <w:rPr>
          <w:rFonts w:ascii="arial" w:hAnsi="arial"/>
          <w:b/>
          <w:sz w:val="36"/>
        </w:rPr>
      </w:pPr>
      <w:r>
        <w:rPr>
          <w:rFonts w:ascii="arial" w:hAnsi="arial"/>
          <w:b/>
          <w:sz w:val="36"/>
        </w:rPr>
        <w:t xml:space="preserve">Representing Limited Partner Interests </w:t>
      </w:r>
    </w:p>
    <w:p>
      <w:pPr>
        <w:pStyle w:val="TextBody"/>
        <w:spacing w:before="180" w:after="0"/>
        <w:jc w:val="center"/>
        <w:rPr>
          <w:rFonts w:ascii="arial" w:hAnsi="arial"/>
          <w:b/>
          <w:sz w:val="36"/>
        </w:rPr>
      </w:pPr>
      <w:r>
        <w:rPr>
          <w:rFonts w:ascii="arial" w:hAnsi="arial"/>
          <w:b/>
          <w:sz w:val="36"/>
        </w:rPr>
        <w:t xml:space="preserve">$         per Common Unit </w:t>
      </w:r>
    </w:p>
    <w:p>
      <w:pPr>
        <w:pStyle w:val="TextBody"/>
        <w:spacing w:before="0" w:after="0"/>
        <w:rPr/>
      </w:pPr>
      <w:r>
        <w:rPr/>
        <w:t> </w:t>
      </w:r>
    </w:p>
    <w:p>
      <w:pPr>
        <w:pStyle w:val="TextBody"/>
        <w:pBdr>
          <w:bottom w:val="single" w:sz="4" w:space="1" w:color="000000"/>
        </w:pBdr>
        <w:spacing w:before="0" w:after="30"/>
        <w:rPr/>
      </w:pPr>
      <w:r>
        <w:rPr/>
        <w:t> </w:t>
      </w:r>
    </w:p>
    <w:p>
      <w:pPr>
        <w:pStyle w:val="TextBody"/>
        <w:spacing w:before="150" w:after="0"/>
        <w:rPr>
          <w:rFonts w:ascii="arial" w:hAnsi="arial"/>
          <w:sz w:val="20"/>
        </w:rPr>
      </w:pPr>
      <w:r>
        <w:rPr>
          <w:rFonts w:ascii="arial" w:hAnsi="arial"/>
          <w:sz w:val="20"/>
        </w:rPr>
        <w:t xml:space="preserve">We are selling 5,000,000 of our common units in this offering. Our common units are listed on the New York Stock Exchange under the symbol PAA. The last reported sale price of our common units on the New York Stock Exchange on March 2, 2012 was $83.08 per common unit. </w:t>
      </w:r>
    </w:p>
    <w:p>
      <w:pPr>
        <w:pStyle w:val="TextBody"/>
        <w:spacing w:before="210" w:after="0"/>
        <w:rPr>
          <w:rFonts w:ascii="arial" w:hAnsi="arial"/>
          <w:i/>
          <w:sz w:val="20"/>
        </w:rPr>
      </w:pPr>
      <w:r>
        <w:rPr>
          <w:rFonts w:ascii="arial" w:hAnsi="arial"/>
          <w:i/>
          <w:sz w:val="20"/>
        </w:rPr>
        <w:t xml:space="preserve">Investing in our common units involves risks. See Risk Factors on page S-5 of this prospectus supplement.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900"/>
        <w:gridCol w:w="744"/>
        <w:gridCol w:w="250"/>
        <w:gridCol w:w="1464"/>
        <w:gridCol w:w="120"/>
        <w:gridCol w:w="744"/>
        <w:gridCol w:w="125"/>
        <w:gridCol w:w="733"/>
        <w:gridCol w:w="125"/>
      </w:tblGrid>
      <w:tr>
        <w:trPr/>
        <w:tc>
          <w:tcPr>
            <w:tcW w:w="5900"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bottom"/>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46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r>
      <w:tr>
        <w:trPr/>
        <w:tc>
          <w:tcPr>
            <w:tcW w:w="5900" w:type="dxa"/>
            <w:tcBorders/>
            <w:shd w:fill="auto" w:val="clear"/>
            <w:vAlign w:val="bottom"/>
          </w:tcPr>
          <w:p>
            <w:pPr>
              <w:pStyle w:val="TableContents"/>
              <w:spacing w:before="0" w:after="283"/>
              <w:rPr/>
            </w:pPr>
            <w:r>
              <w:rPr/>
              <w:t> </w:t>
            </w:r>
          </w:p>
        </w:tc>
        <w:tc>
          <w:tcPr>
            <w:tcW w:w="744" w:type="dxa"/>
            <w:tcBorders/>
            <w:shd w:fill="auto" w:val="clear"/>
            <w:vAlign w:val="bottom"/>
          </w:tcPr>
          <w:p>
            <w:pPr>
              <w:pStyle w:val="TableContents"/>
              <w:spacing w:before="0" w:after="283"/>
              <w:rPr/>
            </w:pPr>
            <w:r>
              <w:rPr/>
              <w:t>  </w:t>
            </w:r>
          </w:p>
        </w:tc>
        <w:tc>
          <w:tcPr>
            <w:tcW w:w="1714" w:type="dxa"/>
            <w:gridSpan w:val="2"/>
            <w:tcBorders>
              <w:bottom w:val="single" w:sz="2" w:space="0" w:color="000000"/>
            </w:tcBorders>
            <w:shd w:fill="auto" w:val="clear"/>
            <w:tcMar>
              <w:bottom w:w="28" w:type="dxa"/>
            </w:tcMar>
            <w:vAlign w:val="bottom"/>
          </w:tcPr>
          <w:p>
            <w:pPr>
              <w:pStyle w:val="TableContents"/>
              <w:spacing w:before="0" w:after="283"/>
              <w:jc w:val="center"/>
              <w:rPr>
                <w:rFonts w:ascii="arial" w:hAnsi="arial"/>
                <w:b/>
                <w:sz w:val="20"/>
              </w:rPr>
            </w:pPr>
            <w:r>
              <w:rPr>
                <w:rFonts w:ascii="arial" w:hAnsi="arial"/>
                <w:b/>
                <w:sz w:val="20"/>
              </w:rPr>
              <w:t>Per Common Unit</w:t>
            </w:r>
          </w:p>
        </w:tc>
        <w:tc>
          <w:tcPr>
            <w:tcW w:w="120" w:type="dxa"/>
            <w:tcBorders/>
            <w:shd w:fill="auto" w:val="clear"/>
            <w:vAlign w:val="bottom"/>
          </w:tcPr>
          <w:p>
            <w:pPr>
              <w:pStyle w:val="TableContents"/>
              <w:spacing w:before="0" w:after="283"/>
              <w:rPr/>
            </w:pPr>
            <w:r>
              <w:rPr/>
              <w:t> </w:t>
            </w:r>
          </w:p>
        </w:tc>
        <w:tc>
          <w:tcPr>
            <w:tcW w:w="744" w:type="dxa"/>
            <w:tcBorders/>
            <w:shd w:fill="auto" w:val="clear"/>
            <w:vAlign w:val="bottom"/>
          </w:tcPr>
          <w:p>
            <w:pPr>
              <w:pStyle w:val="TableContents"/>
              <w:spacing w:before="0" w:after="283"/>
              <w:rPr/>
            </w:pPr>
            <w:r>
              <w:rPr/>
              <w:t>  </w:t>
            </w:r>
          </w:p>
        </w:tc>
        <w:tc>
          <w:tcPr>
            <w:tcW w:w="858" w:type="dxa"/>
            <w:gridSpan w:val="2"/>
            <w:tcBorders>
              <w:bottom w:val="single" w:sz="2" w:space="0" w:color="000000"/>
            </w:tcBorders>
            <w:shd w:fill="auto" w:val="clear"/>
            <w:tcMar>
              <w:bottom w:w="28" w:type="dxa"/>
            </w:tcMar>
            <w:vAlign w:val="bottom"/>
          </w:tcPr>
          <w:p>
            <w:pPr>
              <w:pStyle w:val="TableContents"/>
              <w:spacing w:before="0" w:after="283"/>
              <w:jc w:val="center"/>
              <w:rPr>
                <w:rFonts w:ascii="arial" w:hAnsi="arial"/>
                <w:b/>
                <w:sz w:val="20"/>
              </w:rPr>
            </w:pPr>
            <w:r>
              <w:rPr>
                <w:rFonts w:ascii="arial" w:hAnsi="arial"/>
                <w:b/>
                <w:sz w:val="20"/>
              </w:rPr>
              <w:t>Total</w:t>
            </w:r>
          </w:p>
        </w:tc>
        <w:tc>
          <w:tcPr>
            <w:tcW w:w="125" w:type="dxa"/>
            <w:tcBorders/>
            <w:shd w:fill="auto" w:val="clear"/>
            <w:vAlign w:val="bottom"/>
          </w:tcPr>
          <w:p>
            <w:pPr>
              <w:pStyle w:val="TableContents"/>
              <w:spacing w:before="0" w:after="283"/>
              <w:rPr/>
            </w:pPr>
            <w:r>
              <w:rPr/>
              <w:t> </w:t>
            </w:r>
          </w:p>
        </w:tc>
      </w:tr>
      <w:tr>
        <w:trPr/>
        <w:tc>
          <w:tcPr>
            <w:tcW w:w="5900" w:type="dxa"/>
            <w:tcBorders/>
            <w:shd w:fill="CCEEFF" w:val="clear"/>
          </w:tcPr>
          <w:p>
            <w:pPr>
              <w:pStyle w:val="TableContents"/>
              <w:spacing w:before="0" w:after="283"/>
              <w:rPr>
                <w:rFonts w:ascii="arial" w:hAnsi="arial"/>
                <w:sz w:val="20"/>
              </w:rPr>
            </w:pPr>
            <w:r>
              <w:rPr>
                <w:rFonts w:ascii="arial" w:hAnsi="arial"/>
                <w:sz w:val="20"/>
              </w:rPr>
              <w:t>Public Offering Price</w:t>
            </w:r>
          </w:p>
        </w:tc>
        <w:tc>
          <w:tcPr>
            <w:tcW w:w="744"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1464"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74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73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rPr/>
            </w:pPr>
            <w:r>
              <w:rPr/>
              <w:t>  </w:t>
            </w:r>
          </w:p>
        </w:tc>
      </w:tr>
      <w:tr>
        <w:trPr/>
        <w:tc>
          <w:tcPr>
            <w:tcW w:w="5900" w:type="dxa"/>
            <w:tcBorders/>
            <w:shd w:fill="auto" w:val="clear"/>
          </w:tcPr>
          <w:p>
            <w:pPr>
              <w:pStyle w:val="TableContents"/>
              <w:spacing w:before="0" w:after="283"/>
              <w:rPr>
                <w:rFonts w:ascii="arial" w:hAnsi="arial"/>
                <w:sz w:val="20"/>
              </w:rPr>
            </w:pPr>
            <w:r>
              <w:rPr>
                <w:rFonts w:ascii="arial" w:hAnsi="arial"/>
                <w:sz w:val="20"/>
              </w:rPr>
              <w:t>Underwriting Discount</w:t>
            </w:r>
          </w:p>
        </w:tc>
        <w:tc>
          <w:tcPr>
            <w:tcW w:w="744"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rFonts w:ascii="arial" w:hAnsi="arial"/>
                <w:sz w:val="20"/>
              </w:rPr>
            </w:pPr>
            <w:r>
              <w:rPr>
                <w:rFonts w:ascii="arial" w:hAnsi="arial"/>
                <w:sz w:val="20"/>
              </w:rPr>
              <w:t>$</w:t>
            </w:r>
          </w:p>
        </w:tc>
        <w:tc>
          <w:tcPr>
            <w:tcW w:w="1464" w:type="dxa"/>
            <w:tcBorders/>
            <w:shd w:fill="auto" w:val="clear"/>
            <w:vAlign w:val="bottom"/>
          </w:tcPr>
          <w:p>
            <w:pPr>
              <w:pStyle w:val="TableContents"/>
              <w:spacing w:before="0" w:after="283"/>
              <w:jc w:val="right"/>
              <w:rPr/>
            </w:pPr>
            <w:r>
              <w:rPr/>
              <w:t> </w:t>
            </w:r>
          </w:p>
        </w:tc>
        <w:tc>
          <w:tcPr>
            <w:tcW w:w="120" w:type="dxa"/>
            <w:tcBorders/>
            <w:shd w:fill="auto" w:val="clear"/>
            <w:vAlign w:val="bottom"/>
          </w:tcPr>
          <w:p>
            <w:pPr>
              <w:pStyle w:val="TableContents"/>
              <w:spacing w:before="0" w:after="283"/>
              <w:rPr/>
            </w:pPr>
            <w:r>
              <w:rPr/>
              <w:t>  </w:t>
            </w:r>
          </w:p>
        </w:tc>
        <w:tc>
          <w:tcPr>
            <w:tcW w:w="74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733"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rPr/>
            </w:pPr>
            <w:r>
              <w:rPr/>
              <w:t>  </w:t>
            </w:r>
          </w:p>
        </w:tc>
      </w:tr>
      <w:tr>
        <w:trPr/>
        <w:tc>
          <w:tcPr>
            <w:tcW w:w="5900" w:type="dxa"/>
            <w:tcBorders/>
            <w:shd w:fill="CCEEFF" w:val="clear"/>
          </w:tcPr>
          <w:p>
            <w:pPr>
              <w:pStyle w:val="TableContents"/>
              <w:spacing w:before="0" w:after="283"/>
              <w:rPr>
                <w:rFonts w:ascii="arial" w:hAnsi="arial"/>
                <w:sz w:val="20"/>
              </w:rPr>
            </w:pPr>
            <w:r>
              <w:rPr>
                <w:rFonts w:ascii="arial" w:hAnsi="arial"/>
                <w:sz w:val="20"/>
              </w:rPr>
              <w:t>Proceeds to Plains All American Pipeline, L.P. (before expenses)</w:t>
            </w:r>
          </w:p>
        </w:tc>
        <w:tc>
          <w:tcPr>
            <w:tcW w:w="744"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1464"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74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73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rPr/>
            </w:pPr>
            <w:r>
              <w:rPr/>
              <w:t>  </w:t>
            </w:r>
          </w:p>
        </w:tc>
      </w:tr>
    </w:tbl>
    <w:p>
      <w:pPr>
        <w:pStyle w:val="TextBody"/>
        <w:spacing w:before="150" w:after="0"/>
        <w:rPr>
          <w:rFonts w:ascii="arial" w:hAnsi="arial"/>
          <w:sz w:val="20"/>
        </w:rPr>
      </w:pPr>
      <w:r>
        <w:rPr>
          <w:rFonts w:ascii="arial" w:hAnsi="arial"/>
          <w:sz w:val="20"/>
        </w:rPr>
        <w:t xml:space="preserve">Delivery of the common units is expected to be made on or about March     , 2012. </w:t>
      </w:r>
    </w:p>
    <w:p>
      <w:pPr>
        <w:pStyle w:val="TextBody"/>
        <w:spacing w:before="150" w:after="0"/>
        <w:rPr>
          <w:rFonts w:ascii="arial" w:hAnsi="arial"/>
          <w:sz w:val="20"/>
        </w:rPr>
      </w:pPr>
      <w:r>
        <w:rPr>
          <w:rFonts w:ascii="arial" w:hAnsi="arial"/>
          <w:sz w:val="20"/>
        </w:rPr>
        <w:t xml:space="preserve">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spacing w:before="150" w:after="0"/>
        <w:rPr>
          <w:rFonts w:ascii="arial" w:hAnsi="arial"/>
          <w:sz w:val="20"/>
        </w:rPr>
      </w:pPr>
      <w:r>
        <w:rPr>
          <w:rFonts w:ascii="arial" w:hAnsi="arial"/>
          <w:sz w:val="20"/>
        </w:rPr>
        <w:t xml:space="preserve">We have granted the underwriters a 30-day option to purchase up to 750,000 additional common units to cover over-allotments. </w:t>
      </w:r>
    </w:p>
    <w:p>
      <w:pPr>
        <w:pStyle w:val="TextBody"/>
        <w:spacing w:before="150" w:after="0"/>
        <w:jc w:val="center"/>
        <w:rPr>
          <w:rFonts w:ascii="Times New Roman" w:hAnsi="Times New Roman"/>
          <w:i/>
          <w:sz w:val="24"/>
        </w:rPr>
      </w:pPr>
      <w:r>
        <w:rPr>
          <w:rFonts w:ascii="Times New Roman" w:hAnsi="Times New Roman"/>
          <w:i/>
          <w:sz w:val="24"/>
        </w:rPr>
        <w:t xml:space="preserve">Joint Book-Running Managers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1"/>
        <w:gridCol w:w="3267"/>
        <w:gridCol w:w="101"/>
        <w:gridCol w:w="3267"/>
      </w:tblGrid>
      <w:tr>
        <w:trPr/>
        <w:tc>
          <w:tcPr>
            <w:tcW w:w="3469"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rFonts w:ascii="arial" w:hAnsi="arial"/>
                <w:b/>
                <w:sz w:val="24"/>
              </w:rPr>
            </w:pPr>
            <w:r>
              <w:rPr>
                <w:rFonts w:ascii="arial" w:hAnsi="arial"/>
                <w:b/>
                <w:sz w:val="24"/>
              </w:rPr>
              <w:t>Barclays Capital</w:t>
            </w:r>
          </w:p>
        </w:tc>
        <w:tc>
          <w:tcPr>
            <w:tcW w:w="101" w:type="dxa"/>
            <w:tcBorders/>
            <w:shd w:fill="auto" w:val="clear"/>
            <w:vAlign w:val="bottom"/>
          </w:tcPr>
          <w:p>
            <w:pPr>
              <w:pStyle w:val="TableContents"/>
              <w:spacing w:before="0" w:after="283"/>
              <w:rPr/>
            </w:pPr>
            <w:r>
              <w:rPr/>
              <w:t> </w:t>
            </w:r>
          </w:p>
        </w:tc>
        <w:tc>
          <w:tcPr>
            <w:tcW w:w="3267" w:type="dxa"/>
            <w:tcBorders/>
            <w:shd w:fill="auto" w:val="clear"/>
            <w:vAlign w:val="bottom"/>
          </w:tcPr>
          <w:p>
            <w:pPr>
              <w:pStyle w:val="TableContents"/>
              <w:spacing w:before="0" w:after="283"/>
              <w:jc w:val="center"/>
              <w:rPr>
                <w:rFonts w:ascii="arial" w:hAnsi="arial"/>
                <w:b/>
                <w:sz w:val="24"/>
              </w:rPr>
            </w:pPr>
            <w:r>
              <w:rPr>
                <w:rFonts w:ascii="arial" w:hAnsi="arial"/>
                <w:b/>
                <w:sz w:val="24"/>
              </w:rPr>
              <w:t>BofA Merrill Lynch</w:t>
            </w:r>
          </w:p>
        </w:tc>
        <w:tc>
          <w:tcPr>
            <w:tcW w:w="101" w:type="dxa"/>
            <w:tcBorders/>
            <w:shd w:fill="auto" w:val="clear"/>
            <w:vAlign w:val="bottom"/>
          </w:tcPr>
          <w:p>
            <w:pPr>
              <w:pStyle w:val="TableContents"/>
              <w:spacing w:before="0" w:after="283"/>
              <w:rPr/>
            </w:pPr>
            <w:r>
              <w:rPr/>
              <w:t> </w:t>
            </w:r>
          </w:p>
        </w:tc>
        <w:tc>
          <w:tcPr>
            <w:tcW w:w="3267" w:type="dxa"/>
            <w:tcBorders/>
            <w:shd w:fill="auto" w:val="clear"/>
            <w:vAlign w:val="bottom"/>
          </w:tcPr>
          <w:p>
            <w:pPr>
              <w:pStyle w:val="TableContents"/>
              <w:spacing w:before="0" w:after="283"/>
              <w:jc w:val="right"/>
              <w:rPr>
                <w:rFonts w:ascii="arial" w:hAnsi="arial"/>
                <w:b/>
                <w:sz w:val="24"/>
              </w:rPr>
            </w:pPr>
            <w:r>
              <w:rPr>
                <w:rFonts w:ascii="arial" w:hAnsi="arial"/>
                <w:b/>
                <w:sz w:val="24"/>
              </w:rPr>
              <w:t>Citigroup</w:t>
            </w:r>
          </w:p>
        </w:tc>
      </w:tr>
      <w:tr>
        <w:trPr/>
        <w:tc>
          <w:tcPr>
            <w:tcW w:w="3469" w:type="dxa"/>
            <w:tcBorders/>
            <w:shd w:fill="auto" w:val="clear"/>
          </w:tcPr>
          <w:p>
            <w:pPr>
              <w:pStyle w:val="TableContents"/>
              <w:spacing w:before="0" w:after="283"/>
              <w:rPr>
                <w:rFonts w:ascii="arial" w:hAnsi="arial"/>
                <w:b/>
                <w:sz w:val="24"/>
              </w:rPr>
            </w:pPr>
            <w:r>
              <w:rPr>
                <w:rFonts w:ascii="arial" w:hAnsi="arial"/>
                <w:b/>
                <w:sz w:val="24"/>
              </w:rPr>
              <w:t>J.P. Morgan</w:t>
            </w:r>
          </w:p>
        </w:tc>
        <w:tc>
          <w:tcPr>
            <w:tcW w:w="101" w:type="dxa"/>
            <w:tcBorders/>
            <w:shd w:fill="auto" w:val="clear"/>
            <w:vAlign w:val="bottom"/>
          </w:tcPr>
          <w:p>
            <w:pPr>
              <w:pStyle w:val="TableContents"/>
              <w:spacing w:before="0" w:after="283"/>
              <w:rPr/>
            </w:pPr>
            <w:r>
              <w:rPr/>
              <w:t> </w:t>
            </w:r>
          </w:p>
        </w:tc>
        <w:tc>
          <w:tcPr>
            <w:tcW w:w="3267" w:type="dxa"/>
            <w:tcBorders/>
            <w:shd w:fill="auto" w:val="clear"/>
            <w:vAlign w:val="bottom"/>
          </w:tcPr>
          <w:p>
            <w:pPr>
              <w:pStyle w:val="TableContents"/>
              <w:spacing w:before="0" w:after="283"/>
              <w:jc w:val="center"/>
              <w:rPr>
                <w:rFonts w:ascii="arial" w:hAnsi="arial"/>
                <w:b/>
                <w:sz w:val="24"/>
              </w:rPr>
            </w:pPr>
            <w:r>
              <w:rPr>
                <w:rFonts w:ascii="arial" w:hAnsi="arial"/>
                <w:b/>
                <w:sz w:val="24"/>
              </w:rPr>
              <w:t>UBS Investment Bank</w:t>
            </w:r>
          </w:p>
        </w:tc>
        <w:tc>
          <w:tcPr>
            <w:tcW w:w="101" w:type="dxa"/>
            <w:tcBorders/>
            <w:shd w:fill="auto" w:val="clear"/>
            <w:vAlign w:val="bottom"/>
          </w:tcPr>
          <w:p>
            <w:pPr>
              <w:pStyle w:val="TableContents"/>
              <w:spacing w:before="0" w:after="283"/>
              <w:rPr/>
            </w:pPr>
            <w:r>
              <w:rPr/>
              <w:t> </w:t>
            </w:r>
          </w:p>
        </w:tc>
        <w:tc>
          <w:tcPr>
            <w:tcW w:w="3267" w:type="dxa"/>
            <w:tcBorders/>
            <w:shd w:fill="auto" w:val="clear"/>
            <w:vAlign w:val="bottom"/>
          </w:tcPr>
          <w:p>
            <w:pPr>
              <w:pStyle w:val="TableContents"/>
              <w:spacing w:before="0" w:after="283"/>
              <w:jc w:val="right"/>
              <w:rPr>
                <w:rFonts w:ascii="arial" w:hAnsi="arial"/>
                <w:b/>
                <w:sz w:val="24"/>
              </w:rPr>
            </w:pPr>
            <w:r>
              <w:rPr>
                <w:rFonts w:ascii="arial" w:hAnsi="arial"/>
                <w:b/>
                <w:sz w:val="24"/>
              </w:rPr>
              <w:t>Wells Fargo Securities</w:t>
            </w:r>
          </w:p>
        </w:tc>
      </w:tr>
    </w:tbl>
    <w:p>
      <w:pPr>
        <w:pStyle w:val="TextBody"/>
        <w:spacing w:before="150" w:after="0"/>
        <w:jc w:val="center"/>
        <w:rPr>
          <w:rFonts w:ascii="Times New Roman" w:hAnsi="Times New Roman"/>
          <w:i/>
          <w:sz w:val="24"/>
        </w:rPr>
      </w:pPr>
      <w:r>
        <w:rPr>
          <w:rFonts w:ascii="Times New Roman" w:hAnsi="Times New Roman"/>
          <w:i/>
          <w:sz w:val="24"/>
        </w:rPr>
        <w:t xml:space="preserve">Co-Managers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692"/>
        <w:gridCol w:w="210"/>
        <w:gridCol w:w="2245"/>
        <w:gridCol w:w="210"/>
        <w:gridCol w:w="2266"/>
        <w:gridCol w:w="310"/>
        <w:gridCol w:w="2272"/>
      </w:tblGrid>
      <w:tr>
        <w:trPr/>
        <w:tc>
          <w:tcPr>
            <w:tcW w:w="2692"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sz w:val="4"/>
                <w:szCs w:val="4"/>
              </w:rPr>
            </w:pPr>
            <w:r>
              <w:rPr>
                <w:sz w:val="4"/>
                <w:szCs w:val="4"/>
              </w:rPr>
            </w:r>
          </w:p>
        </w:tc>
        <w:tc>
          <w:tcPr>
            <w:tcW w:w="2245"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bottom"/>
          </w:tcPr>
          <w:p>
            <w:pPr>
              <w:pStyle w:val="TableContents"/>
              <w:spacing w:before="0" w:after="283"/>
              <w:rPr>
                <w:sz w:val="4"/>
                <w:szCs w:val="4"/>
              </w:rPr>
            </w:pPr>
            <w:r>
              <w:rPr>
                <w:sz w:val="4"/>
                <w:szCs w:val="4"/>
              </w:rPr>
            </w:r>
          </w:p>
        </w:tc>
        <w:tc>
          <w:tcPr>
            <w:tcW w:w="2272" w:type="dxa"/>
            <w:tcBorders/>
            <w:shd w:fill="auto" w:val="clear"/>
            <w:vAlign w:val="center"/>
          </w:tcPr>
          <w:p>
            <w:pPr>
              <w:pStyle w:val="TableContents"/>
              <w:spacing w:before="0" w:after="283"/>
              <w:rPr>
                <w:sz w:val="4"/>
                <w:szCs w:val="4"/>
              </w:rPr>
            </w:pPr>
            <w:r>
              <w:rPr>
                <w:sz w:val="4"/>
                <w:szCs w:val="4"/>
              </w:rPr>
            </w:r>
          </w:p>
        </w:tc>
      </w:tr>
      <w:tr>
        <w:trPr/>
        <w:tc>
          <w:tcPr>
            <w:tcW w:w="2692" w:type="dxa"/>
            <w:tcBorders/>
            <w:shd w:fill="auto" w:val="clear"/>
          </w:tcPr>
          <w:p>
            <w:pPr>
              <w:pStyle w:val="TableContents"/>
              <w:spacing w:before="0" w:after="283"/>
              <w:rPr>
                <w:rFonts w:ascii="arial" w:hAnsi="arial"/>
                <w:b/>
                <w:sz w:val="24"/>
              </w:rPr>
            </w:pPr>
            <w:r>
              <w:rPr>
                <w:rFonts w:ascii="arial" w:hAnsi="arial"/>
                <w:b/>
                <w:sz w:val="24"/>
              </w:rPr>
              <w:t>Raymond James</w:t>
            </w:r>
          </w:p>
        </w:tc>
        <w:tc>
          <w:tcPr>
            <w:tcW w:w="210" w:type="dxa"/>
            <w:tcBorders/>
            <w:shd w:fill="auto" w:val="clear"/>
            <w:vAlign w:val="bottom"/>
          </w:tcPr>
          <w:p>
            <w:pPr>
              <w:pStyle w:val="TableContents"/>
              <w:spacing w:before="0" w:after="283"/>
              <w:rPr/>
            </w:pPr>
            <w:r>
              <w:rPr/>
              <w:t> </w:t>
            </w:r>
          </w:p>
        </w:tc>
        <w:tc>
          <w:tcPr>
            <w:tcW w:w="2245" w:type="dxa"/>
            <w:tcBorders/>
            <w:shd w:fill="auto" w:val="clea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pPr>
            <w:r>
              <w:rPr/>
              <w:t> </w:t>
            </w:r>
          </w:p>
        </w:tc>
        <w:tc>
          <w:tcPr>
            <w:tcW w:w="4848" w:type="dxa"/>
            <w:gridSpan w:val="3"/>
            <w:tcBorders/>
            <w:shd w:fill="auto" w:val="clear"/>
            <w:vAlign w:val="bottom"/>
          </w:tcPr>
          <w:p>
            <w:pPr>
              <w:pStyle w:val="TableContents"/>
              <w:spacing w:before="0" w:after="283"/>
              <w:jc w:val="right"/>
              <w:rPr>
                <w:rFonts w:ascii="arial" w:hAnsi="arial"/>
                <w:b/>
                <w:sz w:val="24"/>
              </w:rPr>
            </w:pPr>
            <w:r>
              <w:rPr>
                <w:rFonts w:ascii="arial" w:hAnsi="arial"/>
                <w:b/>
                <w:sz w:val="24"/>
              </w:rPr>
              <w:t>RBC Capital Markets</w:t>
            </w:r>
          </w:p>
        </w:tc>
      </w:tr>
    </w:tbl>
    <w:tbl>
      <w:tblPr>
        <w:tblW w:w="5000" w:type="pct"/>
        <w:jc w:val="center"/>
        <w:tblInd w:w="0" w:type="dxa"/>
        <w:tblCellMar>
          <w:top w:w="0" w:type="dxa"/>
          <w:left w:w="0" w:type="dxa"/>
          <w:bottom w:w="0" w:type="dxa"/>
          <w:right w:w="0" w:type="dxa"/>
        </w:tblCellMar>
      </w:tblPr>
      <w:tblGrid>
        <w:gridCol w:w="1000"/>
        <w:gridCol w:w="174"/>
        <w:gridCol w:w="3057"/>
        <w:gridCol w:w="174"/>
        <w:gridCol w:w="2609"/>
        <w:gridCol w:w="174"/>
        <w:gridCol w:w="60"/>
        <w:gridCol w:w="2833"/>
        <w:gridCol w:w="124"/>
      </w:tblGrid>
      <w:tr>
        <w:trPr/>
        <w:tc>
          <w:tcPr>
            <w:tcW w:w="1000"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sz w:val="4"/>
                <w:szCs w:val="4"/>
              </w:rPr>
            </w:pPr>
            <w:r>
              <w:rPr>
                <w:sz w:val="4"/>
                <w:szCs w:val="4"/>
              </w:rPr>
            </w:r>
          </w:p>
        </w:tc>
        <w:tc>
          <w:tcPr>
            <w:tcW w:w="3057"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sz w:val="4"/>
                <w:szCs w:val="4"/>
              </w:rPr>
            </w:pPr>
            <w:r>
              <w:rPr>
                <w:sz w:val="4"/>
                <w:szCs w:val="4"/>
              </w:rPr>
            </w:r>
          </w:p>
        </w:tc>
        <w:tc>
          <w:tcPr>
            <w:tcW w:w="26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833"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r>
      <w:tr>
        <w:trPr/>
        <w:tc>
          <w:tcPr>
            <w:tcW w:w="1000" w:type="dxa"/>
            <w:tcBorders/>
            <w:shd w:fill="auto" w:val="clear"/>
          </w:tcPr>
          <w:p>
            <w:pPr>
              <w:pStyle w:val="TableContents"/>
              <w:spacing w:before="0" w:after="283"/>
              <w:rPr>
                <w:rFonts w:ascii="arial" w:hAnsi="arial"/>
                <w:b/>
                <w:sz w:val="24"/>
              </w:rPr>
            </w:pPr>
            <w:r>
              <w:rPr>
                <w:rFonts w:ascii="arial" w:hAnsi="arial"/>
                <w:b/>
                <w:sz w:val="24"/>
              </w:rPr>
              <w:t>Baird</w:t>
            </w:r>
          </w:p>
        </w:tc>
        <w:tc>
          <w:tcPr>
            <w:tcW w:w="174" w:type="dxa"/>
            <w:tcBorders/>
            <w:shd w:fill="auto" w:val="clear"/>
            <w:vAlign w:val="bottom"/>
          </w:tcPr>
          <w:p>
            <w:pPr>
              <w:pStyle w:val="TableContents"/>
              <w:spacing w:before="0" w:after="283"/>
              <w:rPr/>
            </w:pPr>
            <w:r>
              <w:rPr/>
              <w:t>  </w:t>
            </w:r>
          </w:p>
        </w:tc>
        <w:tc>
          <w:tcPr>
            <w:tcW w:w="3057" w:type="dxa"/>
            <w:tcBorders/>
            <w:shd w:fill="auto" w:val="clear"/>
          </w:tcPr>
          <w:p>
            <w:pPr>
              <w:pStyle w:val="TableContents"/>
              <w:spacing w:before="0" w:after="283"/>
              <w:rPr>
                <w:rFonts w:ascii="arial" w:hAnsi="arial"/>
                <w:b/>
                <w:sz w:val="24"/>
              </w:rPr>
            </w:pPr>
            <w:r>
              <w:rPr>
                <w:rFonts w:ascii="arial" w:hAnsi="arial"/>
                <w:b/>
                <w:sz w:val="24"/>
              </w:rPr>
              <w:t>Global Hunter Securities</w:t>
            </w:r>
          </w:p>
        </w:tc>
        <w:tc>
          <w:tcPr>
            <w:tcW w:w="174" w:type="dxa"/>
            <w:tcBorders/>
            <w:shd w:fill="auto" w:val="clear"/>
            <w:vAlign w:val="bottom"/>
          </w:tcPr>
          <w:p>
            <w:pPr>
              <w:pStyle w:val="TableContents"/>
              <w:spacing w:before="0" w:after="283"/>
              <w:rPr/>
            </w:pPr>
            <w:r>
              <w:rPr/>
              <w:t>  </w:t>
            </w:r>
          </w:p>
        </w:tc>
        <w:tc>
          <w:tcPr>
            <w:tcW w:w="2609" w:type="dxa"/>
            <w:tcBorders/>
            <w:shd w:fill="auto" w:val="clear"/>
          </w:tcPr>
          <w:p>
            <w:pPr>
              <w:pStyle w:val="TableContents"/>
              <w:spacing w:before="0" w:after="283"/>
              <w:rPr/>
            </w:pPr>
            <w:r>
              <w:rPr/>
              <w:t>  </w:t>
            </w:r>
            <w:r>
              <w:rPr>
                <w:rFonts w:ascii="arial" w:hAnsi="arial"/>
                <w:b/>
                <w:sz w:val="24"/>
              </w:rPr>
              <w:t>Oppenheimer &amp; Co.</w:t>
            </w:r>
          </w:p>
        </w:tc>
        <w:tc>
          <w:tcPr>
            <w:tcW w:w="174"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2833" w:type="dxa"/>
            <w:tcBorders/>
            <w:shd w:fill="auto" w:val="clear"/>
          </w:tcPr>
          <w:p>
            <w:pPr>
              <w:pStyle w:val="TableContents"/>
              <w:spacing w:before="0" w:after="283"/>
              <w:jc w:val="right"/>
              <w:rPr/>
            </w:pPr>
            <w:r>
              <w:rPr/>
              <w:t>  </w:t>
            </w:r>
            <w:r>
              <w:rPr>
                <w:rFonts w:ascii="arial" w:hAnsi="arial"/>
                <w:b/>
                <w:sz w:val="24"/>
              </w:rPr>
              <w:t>Stifel Nicolaus Weisel</w:t>
            </w:r>
          </w:p>
        </w:tc>
        <w:tc>
          <w:tcPr>
            <w:tcW w:w="124" w:type="dxa"/>
            <w:tcBorders/>
            <w:shd w:fill="auto" w:val="clear"/>
          </w:tcPr>
          <w:p>
            <w:pPr>
              <w:pStyle w:val="TableContents"/>
              <w:spacing w:before="0" w:after="283"/>
              <w:rPr/>
            </w:pPr>
            <w:r>
              <w:rPr/>
              <w:t>  </w:t>
            </w:r>
          </w:p>
        </w:tc>
      </w:tr>
    </w:tbl>
    <w:p>
      <w:pPr>
        <w:pStyle w:val="TextBody"/>
        <w:spacing w:before="150" w:after="0"/>
        <w:jc w:val="center"/>
        <w:rPr>
          <w:rFonts w:ascii="arial" w:hAnsi="arial"/>
          <w:sz w:val="20"/>
        </w:rPr>
      </w:pPr>
      <w:r>
        <w:rPr>
          <w:rFonts w:ascii="arial" w:hAnsi="arial"/>
          <w:sz w:val="20"/>
        </w:rPr>
        <w:t xml:space="preserve">The date of this prospectus supplement is March     , 2012. </w:t>
      </w:r>
    </w:p>
    <w:p>
      <w:pPr>
        <w:pStyle w:val="TextBody"/>
        <w:spacing w:before="0" w:after="0"/>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spacing w:before="180" w:after="0"/>
        <w:jc w:val="center"/>
        <w:rPr>
          <w:rFonts w:ascii="Times New Roman" w:hAnsi="Times New Roman"/>
          <w:b/>
          <w:sz w:val="20"/>
        </w:rPr>
      </w:pPr>
      <w:r>
        <w:rPr>
          <w:rFonts w:ascii="Times New Roman" w:hAnsi="Times New Roman"/>
          <w:b/>
          <w:sz w:val="20"/>
        </w:rPr>
        <w:t xml:space="preserve">Prospectus Supplement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475"/>
        <w:gridCol w:w="237"/>
        <w:gridCol w:w="60"/>
        <w:gridCol w:w="311"/>
        <w:gridCol w:w="122"/>
      </w:tblGrid>
      <w:tr>
        <w:trPr/>
        <w:tc>
          <w:tcPr>
            <w:tcW w:w="9475"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r>
      <w:tr>
        <w:trPr/>
        <w:tc>
          <w:tcPr>
            <w:tcW w:w="9475" w:type="dxa"/>
            <w:tcBorders/>
            <w:shd w:fill="CCEEFF" w:val="clear"/>
          </w:tcPr>
          <w:p>
            <w:pPr>
              <w:pStyle w:val="TableContents"/>
              <w:spacing w:before="0" w:after="283"/>
              <w:rPr/>
            </w:pPr>
            <w:hyperlink w:anchor="supprom308566_1">
              <w:r>
                <w:rPr>
                  <w:rStyle w:val="InternetLink"/>
                  <w:rFonts w:ascii="Times New Roman" w:hAnsi="Times New Roman"/>
                  <w:sz w:val="20"/>
                </w:rPr>
                <w:t>Important Notice About Information in this Prospectus Supplement and the Accompanying Prospectus</w:t>
              </w:r>
            </w:hyperlink>
          </w:p>
        </w:tc>
        <w:tc>
          <w:tcPr>
            <w:tcW w:w="2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S-ii</w:t>
            </w:r>
          </w:p>
        </w:tc>
        <w:tc>
          <w:tcPr>
            <w:tcW w:w="122" w:type="dxa"/>
            <w:tcBorders/>
            <w:shd w:fill="CCEEFF" w:val="clear"/>
            <w:vAlign w:val="bottom"/>
          </w:tcPr>
          <w:p>
            <w:pPr>
              <w:pStyle w:val="TableContents"/>
              <w:spacing w:before="0" w:after="283"/>
              <w:rPr/>
            </w:pPr>
            <w:r>
              <w:rPr/>
              <w:t>  </w:t>
            </w:r>
          </w:p>
        </w:tc>
      </w:tr>
      <w:tr>
        <w:trPr/>
        <w:tc>
          <w:tcPr>
            <w:tcW w:w="9475" w:type="dxa"/>
            <w:tcBorders/>
            <w:shd w:fill="auto" w:val="clear"/>
          </w:tcPr>
          <w:p>
            <w:pPr>
              <w:pStyle w:val="TableContents"/>
              <w:spacing w:before="0" w:after="283"/>
              <w:rPr/>
            </w:pPr>
            <w:hyperlink w:anchor="supprom308566_2">
              <w:r>
                <w:rPr>
                  <w:rStyle w:val="InternetLink"/>
                  <w:rFonts w:ascii="Times New Roman" w:hAnsi="Times New Roman"/>
                  <w:sz w:val="20"/>
                </w:rPr>
                <w:t>Forward-Looking Statements</w:t>
              </w:r>
            </w:hyperlink>
          </w:p>
        </w:tc>
        <w:tc>
          <w:tcPr>
            <w:tcW w:w="2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S-ii</w:t>
            </w:r>
          </w:p>
        </w:tc>
        <w:tc>
          <w:tcPr>
            <w:tcW w:w="122" w:type="dxa"/>
            <w:tcBorders/>
            <w:shd w:fill="auto" w:val="clear"/>
            <w:vAlign w:val="bottom"/>
          </w:tcPr>
          <w:p>
            <w:pPr>
              <w:pStyle w:val="TableContents"/>
              <w:spacing w:before="0" w:after="283"/>
              <w:rPr/>
            </w:pPr>
            <w:r>
              <w:rPr/>
              <w:t>  </w:t>
            </w:r>
          </w:p>
        </w:tc>
      </w:tr>
      <w:tr>
        <w:trPr/>
        <w:tc>
          <w:tcPr>
            <w:tcW w:w="9475" w:type="dxa"/>
            <w:tcBorders/>
            <w:shd w:fill="CCEEFF" w:val="clear"/>
          </w:tcPr>
          <w:p>
            <w:pPr>
              <w:pStyle w:val="TableContents"/>
              <w:spacing w:before="0" w:after="283"/>
              <w:rPr/>
            </w:pPr>
            <w:hyperlink w:anchor="supprom308566_3">
              <w:r>
                <w:rPr>
                  <w:rStyle w:val="InternetLink"/>
                  <w:rFonts w:ascii="Times New Roman" w:hAnsi="Times New Roman"/>
                  <w:sz w:val="20"/>
                </w:rPr>
                <w:t>Prospectus Supplement Summary</w:t>
              </w:r>
            </w:hyperlink>
          </w:p>
        </w:tc>
        <w:tc>
          <w:tcPr>
            <w:tcW w:w="2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S-1</w:t>
            </w:r>
          </w:p>
        </w:tc>
        <w:tc>
          <w:tcPr>
            <w:tcW w:w="122" w:type="dxa"/>
            <w:tcBorders/>
            <w:shd w:fill="CCEEFF" w:val="clear"/>
            <w:vAlign w:val="bottom"/>
          </w:tcPr>
          <w:p>
            <w:pPr>
              <w:pStyle w:val="TableContents"/>
              <w:spacing w:before="0" w:after="283"/>
              <w:rPr/>
            </w:pPr>
            <w:r>
              <w:rPr/>
              <w:t>  </w:t>
            </w:r>
          </w:p>
        </w:tc>
      </w:tr>
      <w:tr>
        <w:trPr/>
        <w:tc>
          <w:tcPr>
            <w:tcW w:w="9475" w:type="dxa"/>
            <w:tcBorders/>
            <w:shd w:fill="auto" w:val="clear"/>
          </w:tcPr>
          <w:p>
            <w:pPr>
              <w:pStyle w:val="TableContents"/>
              <w:spacing w:before="0" w:after="283"/>
              <w:rPr/>
            </w:pPr>
            <w:hyperlink w:anchor="supprom308566_4">
              <w:r>
                <w:rPr>
                  <w:rStyle w:val="InternetLink"/>
                  <w:rFonts w:ascii="Times New Roman" w:hAnsi="Times New Roman"/>
                  <w:sz w:val="20"/>
                </w:rPr>
                <w:t>The Offering</w:t>
              </w:r>
            </w:hyperlink>
          </w:p>
        </w:tc>
        <w:tc>
          <w:tcPr>
            <w:tcW w:w="2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S-4</w:t>
            </w:r>
          </w:p>
        </w:tc>
        <w:tc>
          <w:tcPr>
            <w:tcW w:w="122" w:type="dxa"/>
            <w:tcBorders/>
            <w:shd w:fill="auto" w:val="clear"/>
            <w:vAlign w:val="bottom"/>
          </w:tcPr>
          <w:p>
            <w:pPr>
              <w:pStyle w:val="TableContents"/>
              <w:spacing w:before="0" w:after="283"/>
              <w:rPr/>
            </w:pPr>
            <w:r>
              <w:rPr/>
              <w:t>  </w:t>
            </w:r>
          </w:p>
        </w:tc>
      </w:tr>
      <w:tr>
        <w:trPr/>
        <w:tc>
          <w:tcPr>
            <w:tcW w:w="9475" w:type="dxa"/>
            <w:tcBorders/>
            <w:shd w:fill="CCEEFF" w:val="clear"/>
          </w:tcPr>
          <w:p>
            <w:pPr>
              <w:pStyle w:val="TableContents"/>
              <w:spacing w:before="0" w:after="283"/>
              <w:rPr/>
            </w:pPr>
            <w:hyperlink w:anchor="supprom308566_5">
              <w:r>
                <w:rPr>
                  <w:rStyle w:val="InternetLink"/>
                  <w:rFonts w:ascii="Times New Roman" w:hAnsi="Times New Roman"/>
                  <w:sz w:val="20"/>
                </w:rPr>
                <w:t>Risk Factors</w:t>
              </w:r>
            </w:hyperlink>
          </w:p>
        </w:tc>
        <w:tc>
          <w:tcPr>
            <w:tcW w:w="2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S-5</w:t>
            </w:r>
          </w:p>
        </w:tc>
        <w:tc>
          <w:tcPr>
            <w:tcW w:w="122" w:type="dxa"/>
            <w:tcBorders/>
            <w:shd w:fill="CCEEFF" w:val="clear"/>
            <w:vAlign w:val="bottom"/>
          </w:tcPr>
          <w:p>
            <w:pPr>
              <w:pStyle w:val="TableContents"/>
              <w:spacing w:before="0" w:after="283"/>
              <w:rPr/>
            </w:pPr>
            <w:r>
              <w:rPr/>
              <w:t>  </w:t>
            </w:r>
          </w:p>
        </w:tc>
      </w:tr>
      <w:tr>
        <w:trPr/>
        <w:tc>
          <w:tcPr>
            <w:tcW w:w="9475" w:type="dxa"/>
            <w:tcBorders/>
            <w:shd w:fill="auto" w:val="clear"/>
          </w:tcPr>
          <w:p>
            <w:pPr>
              <w:pStyle w:val="TableContents"/>
              <w:spacing w:before="0" w:after="283"/>
              <w:rPr/>
            </w:pPr>
            <w:hyperlink w:anchor="supprom308566_6">
              <w:r>
                <w:rPr>
                  <w:rStyle w:val="InternetLink"/>
                  <w:rFonts w:ascii="Times New Roman" w:hAnsi="Times New Roman"/>
                  <w:sz w:val="20"/>
                </w:rPr>
                <w:t>Use of Proceeds</w:t>
              </w:r>
            </w:hyperlink>
          </w:p>
        </w:tc>
        <w:tc>
          <w:tcPr>
            <w:tcW w:w="2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S-6</w:t>
            </w:r>
          </w:p>
        </w:tc>
        <w:tc>
          <w:tcPr>
            <w:tcW w:w="122" w:type="dxa"/>
            <w:tcBorders/>
            <w:shd w:fill="auto" w:val="clear"/>
            <w:vAlign w:val="bottom"/>
          </w:tcPr>
          <w:p>
            <w:pPr>
              <w:pStyle w:val="TableContents"/>
              <w:spacing w:before="0" w:after="283"/>
              <w:rPr/>
            </w:pPr>
            <w:r>
              <w:rPr/>
              <w:t>  </w:t>
            </w:r>
          </w:p>
        </w:tc>
      </w:tr>
      <w:tr>
        <w:trPr/>
        <w:tc>
          <w:tcPr>
            <w:tcW w:w="9475" w:type="dxa"/>
            <w:tcBorders/>
            <w:shd w:fill="CCEEFF" w:val="clear"/>
          </w:tcPr>
          <w:p>
            <w:pPr>
              <w:pStyle w:val="TableContents"/>
              <w:spacing w:before="0" w:after="283"/>
              <w:rPr/>
            </w:pPr>
            <w:hyperlink w:anchor="supprom308566_7">
              <w:r>
                <w:rPr>
                  <w:rStyle w:val="InternetLink"/>
                  <w:rFonts w:ascii="Times New Roman" w:hAnsi="Times New Roman"/>
                  <w:sz w:val="20"/>
                </w:rPr>
                <w:t>Price Range of Common Units and Distributions</w:t>
              </w:r>
            </w:hyperlink>
          </w:p>
        </w:tc>
        <w:tc>
          <w:tcPr>
            <w:tcW w:w="2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S-7</w:t>
            </w:r>
          </w:p>
        </w:tc>
        <w:tc>
          <w:tcPr>
            <w:tcW w:w="122" w:type="dxa"/>
            <w:tcBorders/>
            <w:shd w:fill="CCEEFF" w:val="clear"/>
            <w:vAlign w:val="bottom"/>
          </w:tcPr>
          <w:p>
            <w:pPr>
              <w:pStyle w:val="TableContents"/>
              <w:spacing w:before="0" w:after="283"/>
              <w:rPr/>
            </w:pPr>
            <w:r>
              <w:rPr/>
              <w:t>  </w:t>
            </w:r>
          </w:p>
        </w:tc>
      </w:tr>
      <w:tr>
        <w:trPr/>
        <w:tc>
          <w:tcPr>
            <w:tcW w:w="9475" w:type="dxa"/>
            <w:tcBorders/>
            <w:shd w:fill="auto" w:val="clear"/>
          </w:tcPr>
          <w:p>
            <w:pPr>
              <w:pStyle w:val="TableContents"/>
              <w:spacing w:before="0" w:after="283"/>
              <w:rPr/>
            </w:pPr>
            <w:hyperlink w:anchor="supprom308566_8">
              <w:r>
                <w:rPr>
                  <w:rStyle w:val="InternetLink"/>
                  <w:rFonts w:ascii="Times New Roman" w:hAnsi="Times New Roman"/>
                  <w:sz w:val="20"/>
                </w:rPr>
                <w:t>Capitalization</w:t>
              </w:r>
            </w:hyperlink>
          </w:p>
        </w:tc>
        <w:tc>
          <w:tcPr>
            <w:tcW w:w="2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S-8</w:t>
            </w:r>
          </w:p>
        </w:tc>
        <w:tc>
          <w:tcPr>
            <w:tcW w:w="122" w:type="dxa"/>
            <w:tcBorders/>
            <w:shd w:fill="auto" w:val="clear"/>
            <w:vAlign w:val="bottom"/>
          </w:tcPr>
          <w:p>
            <w:pPr>
              <w:pStyle w:val="TableContents"/>
              <w:spacing w:before="0" w:after="283"/>
              <w:rPr/>
            </w:pPr>
            <w:r>
              <w:rPr/>
              <w:t>  </w:t>
            </w:r>
          </w:p>
        </w:tc>
      </w:tr>
      <w:tr>
        <w:trPr/>
        <w:tc>
          <w:tcPr>
            <w:tcW w:w="9475" w:type="dxa"/>
            <w:tcBorders/>
            <w:shd w:fill="CCEEFF" w:val="clear"/>
          </w:tcPr>
          <w:p>
            <w:pPr>
              <w:pStyle w:val="TableContents"/>
              <w:spacing w:before="0" w:after="283"/>
              <w:rPr/>
            </w:pPr>
            <w:hyperlink w:anchor="supprom308566_9">
              <w:r>
                <w:rPr>
                  <w:rStyle w:val="InternetLink"/>
                  <w:rFonts w:ascii="Times New Roman" w:hAnsi="Times New Roman"/>
                  <w:sz w:val="20"/>
                </w:rPr>
                <w:t>Material U.S. Federal Income Tax Consequences</w:t>
              </w:r>
            </w:hyperlink>
          </w:p>
        </w:tc>
        <w:tc>
          <w:tcPr>
            <w:tcW w:w="2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S-9</w:t>
            </w:r>
          </w:p>
        </w:tc>
        <w:tc>
          <w:tcPr>
            <w:tcW w:w="122" w:type="dxa"/>
            <w:tcBorders/>
            <w:shd w:fill="CCEEFF" w:val="clear"/>
            <w:vAlign w:val="bottom"/>
          </w:tcPr>
          <w:p>
            <w:pPr>
              <w:pStyle w:val="TableContents"/>
              <w:spacing w:before="0" w:after="283"/>
              <w:rPr/>
            </w:pPr>
            <w:r>
              <w:rPr/>
              <w:t>  </w:t>
            </w:r>
          </w:p>
        </w:tc>
      </w:tr>
      <w:tr>
        <w:trPr/>
        <w:tc>
          <w:tcPr>
            <w:tcW w:w="9475" w:type="dxa"/>
            <w:tcBorders/>
            <w:shd w:fill="auto" w:val="clear"/>
          </w:tcPr>
          <w:p>
            <w:pPr>
              <w:pStyle w:val="TableContents"/>
              <w:spacing w:before="0" w:after="283"/>
              <w:rPr/>
            </w:pPr>
            <w:hyperlink w:anchor="supprom308566_10">
              <w:r>
                <w:rPr>
                  <w:rStyle w:val="InternetLink"/>
                  <w:rFonts w:ascii="Times New Roman" w:hAnsi="Times New Roman"/>
                  <w:sz w:val="20"/>
                </w:rPr>
                <w:t>Underwriting (Conflicts of Interest)</w:t>
              </w:r>
            </w:hyperlink>
          </w:p>
        </w:tc>
        <w:tc>
          <w:tcPr>
            <w:tcW w:w="2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S-11</w:t>
            </w:r>
          </w:p>
        </w:tc>
        <w:tc>
          <w:tcPr>
            <w:tcW w:w="122" w:type="dxa"/>
            <w:tcBorders/>
            <w:shd w:fill="auto" w:val="clear"/>
            <w:vAlign w:val="bottom"/>
          </w:tcPr>
          <w:p>
            <w:pPr>
              <w:pStyle w:val="TableContents"/>
              <w:spacing w:before="0" w:after="283"/>
              <w:rPr/>
            </w:pPr>
            <w:r>
              <w:rPr/>
              <w:t>  </w:t>
            </w:r>
          </w:p>
        </w:tc>
      </w:tr>
      <w:tr>
        <w:trPr/>
        <w:tc>
          <w:tcPr>
            <w:tcW w:w="9475" w:type="dxa"/>
            <w:tcBorders/>
            <w:shd w:fill="CCEEFF" w:val="clear"/>
          </w:tcPr>
          <w:p>
            <w:pPr>
              <w:pStyle w:val="TableContents"/>
              <w:spacing w:before="0" w:after="283"/>
              <w:rPr/>
            </w:pPr>
            <w:hyperlink w:anchor="supprom308566_11">
              <w:r>
                <w:rPr>
                  <w:rStyle w:val="InternetLink"/>
                  <w:rFonts w:ascii="Times New Roman" w:hAnsi="Times New Roman"/>
                  <w:sz w:val="20"/>
                </w:rPr>
                <w:t>Legal Matters</w:t>
              </w:r>
            </w:hyperlink>
          </w:p>
        </w:tc>
        <w:tc>
          <w:tcPr>
            <w:tcW w:w="2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S-16</w:t>
            </w:r>
          </w:p>
        </w:tc>
        <w:tc>
          <w:tcPr>
            <w:tcW w:w="122" w:type="dxa"/>
            <w:tcBorders/>
            <w:shd w:fill="CCEEFF" w:val="clear"/>
            <w:vAlign w:val="bottom"/>
          </w:tcPr>
          <w:p>
            <w:pPr>
              <w:pStyle w:val="TableContents"/>
              <w:spacing w:before="0" w:after="283"/>
              <w:rPr/>
            </w:pPr>
            <w:r>
              <w:rPr/>
              <w:t>  </w:t>
            </w:r>
          </w:p>
        </w:tc>
      </w:tr>
      <w:tr>
        <w:trPr/>
        <w:tc>
          <w:tcPr>
            <w:tcW w:w="9475" w:type="dxa"/>
            <w:tcBorders/>
            <w:shd w:fill="auto" w:val="clear"/>
          </w:tcPr>
          <w:p>
            <w:pPr>
              <w:pStyle w:val="TableContents"/>
              <w:spacing w:before="0" w:after="283"/>
              <w:rPr/>
            </w:pPr>
            <w:hyperlink w:anchor="supprom308566_12">
              <w:r>
                <w:rPr>
                  <w:rStyle w:val="InternetLink"/>
                  <w:rFonts w:ascii="Times New Roman" w:hAnsi="Times New Roman"/>
                  <w:sz w:val="20"/>
                </w:rPr>
                <w:t>Experts</w:t>
              </w:r>
            </w:hyperlink>
          </w:p>
        </w:tc>
        <w:tc>
          <w:tcPr>
            <w:tcW w:w="2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S-16</w:t>
            </w:r>
          </w:p>
        </w:tc>
        <w:tc>
          <w:tcPr>
            <w:tcW w:w="122" w:type="dxa"/>
            <w:tcBorders/>
            <w:shd w:fill="auto" w:val="clear"/>
            <w:vAlign w:val="bottom"/>
          </w:tcPr>
          <w:p>
            <w:pPr>
              <w:pStyle w:val="TableContents"/>
              <w:spacing w:before="0" w:after="283"/>
              <w:rPr/>
            </w:pPr>
            <w:r>
              <w:rPr/>
              <w:t>  </w:t>
            </w:r>
          </w:p>
        </w:tc>
      </w:tr>
      <w:tr>
        <w:trPr/>
        <w:tc>
          <w:tcPr>
            <w:tcW w:w="9475" w:type="dxa"/>
            <w:tcBorders/>
            <w:shd w:fill="CCEEFF" w:val="clear"/>
          </w:tcPr>
          <w:p>
            <w:pPr>
              <w:pStyle w:val="TableContents"/>
              <w:spacing w:before="0" w:after="283"/>
              <w:rPr/>
            </w:pPr>
            <w:hyperlink w:anchor="supprom308566_13">
              <w:r>
                <w:rPr>
                  <w:rStyle w:val="InternetLink"/>
                  <w:rFonts w:ascii="Times New Roman" w:hAnsi="Times New Roman"/>
                  <w:sz w:val="20"/>
                </w:rPr>
                <w:t>Where You Can Find More Information</w:t>
              </w:r>
            </w:hyperlink>
          </w:p>
        </w:tc>
        <w:tc>
          <w:tcPr>
            <w:tcW w:w="2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S-16</w:t>
            </w:r>
          </w:p>
        </w:tc>
        <w:tc>
          <w:tcPr>
            <w:tcW w:w="122" w:type="dxa"/>
            <w:tcBorders/>
            <w:shd w:fill="CCEEFF" w:val="clear"/>
            <w:vAlign w:val="bottom"/>
          </w:tcPr>
          <w:p>
            <w:pPr>
              <w:pStyle w:val="TableContents"/>
              <w:spacing w:before="0" w:after="283"/>
              <w:rPr/>
            </w:pPr>
            <w:r>
              <w:rPr/>
              <w:t>  </w:t>
            </w:r>
          </w:p>
        </w:tc>
      </w:tr>
      <w:tr>
        <w:trPr>
          <w:trHeight w:val="240" w:hRule="atLeast"/>
        </w:trPr>
        <w:tc>
          <w:tcPr>
            <w:tcW w:w="9475" w:type="dxa"/>
            <w:tcBorders/>
            <w:shd w:fill="auto" w:val="clear"/>
            <w:vAlign w:val="center"/>
          </w:tcPr>
          <w:p>
            <w:pPr>
              <w:pStyle w:val="TableContents"/>
              <w:spacing w:before="0" w:after="283"/>
              <w:rPr>
                <w:sz w:val="4"/>
                <w:szCs w:val="4"/>
              </w:rPr>
            </w:pPr>
            <w:r>
              <w:rPr>
                <w:sz w:val="4"/>
                <w:szCs w:val="4"/>
              </w:rPr>
            </w:r>
          </w:p>
        </w:tc>
        <w:tc>
          <w:tcPr>
            <w:tcW w:w="730" w:type="dxa"/>
            <w:gridSpan w:val="4"/>
            <w:tcBorders/>
            <w:shd w:fill="auto" w:val="clear"/>
            <w:vAlign w:val="center"/>
          </w:tcPr>
          <w:p>
            <w:pPr>
              <w:pStyle w:val="TableContents"/>
              <w:spacing w:before="0" w:after="283"/>
              <w:rPr>
                <w:sz w:val="4"/>
                <w:szCs w:val="4"/>
              </w:rPr>
            </w:pPr>
            <w:r>
              <w:rPr>
                <w:sz w:val="4"/>
                <w:szCs w:val="4"/>
              </w:rPr>
            </w:r>
          </w:p>
        </w:tc>
      </w:tr>
      <w:tr>
        <w:trPr/>
        <w:tc>
          <w:tcPr>
            <w:tcW w:w="9475"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Prospectus</w:t>
            </w:r>
          </w:p>
        </w:tc>
        <w:tc>
          <w:tcPr>
            <w:tcW w:w="2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r>
      <w:tr>
        <w:trPr/>
        <w:tc>
          <w:tcPr>
            <w:tcW w:w="9475" w:type="dxa"/>
            <w:tcBorders/>
            <w:shd w:fill="CCEEFF" w:val="clear"/>
          </w:tcPr>
          <w:p>
            <w:pPr>
              <w:pStyle w:val="TableContents"/>
              <w:spacing w:before="0" w:after="283"/>
              <w:rPr/>
            </w:pPr>
            <w:hyperlink w:anchor="supprom308566_14">
              <w:r>
                <w:rPr>
                  <w:rStyle w:val="InternetLink"/>
                  <w:rFonts w:ascii="Times New Roman" w:hAnsi="Times New Roman"/>
                  <w:sz w:val="20"/>
                </w:rPr>
                <w:t>About This Prospectus</w:t>
              </w:r>
            </w:hyperlink>
          </w:p>
        </w:tc>
        <w:tc>
          <w:tcPr>
            <w:tcW w:w="2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i</w:t>
            </w:r>
          </w:p>
        </w:tc>
        <w:tc>
          <w:tcPr>
            <w:tcW w:w="122" w:type="dxa"/>
            <w:tcBorders/>
            <w:shd w:fill="CCEEFF" w:val="clear"/>
            <w:vAlign w:val="bottom"/>
          </w:tcPr>
          <w:p>
            <w:pPr>
              <w:pStyle w:val="TableContents"/>
              <w:spacing w:before="0" w:after="283"/>
              <w:rPr/>
            </w:pPr>
            <w:r>
              <w:rPr/>
              <w:t>  </w:t>
            </w:r>
          </w:p>
        </w:tc>
      </w:tr>
      <w:tr>
        <w:trPr/>
        <w:tc>
          <w:tcPr>
            <w:tcW w:w="9475" w:type="dxa"/>
            <w:tcBorders/>
            <w:shd w:fill="auto" w:val="clear"/>
          </w:tcPr>
          <w:p>
            <w:pPr>
              <w:pStyle w:val="TableContents"/>
              <w:spacing w:before="0" w:after="283"/>
              <w:rPr/>
            </w:pPr>
            <w:hyperlink w:anchor="supprom308566_15">
              <w:r>
                <w:rPr>
                  <w:rStyle w:val="InternetLink"/>
                  <w:rFonts w:ascii="Times New Roman" w:hAnsi="Times New Roman"/>
                  <w:sz w:val="20"/>
                </w:rPr>
                <w:t>Where You Can Find More Information</w:t>
              </w:r>
            </w:hyperlink>
          </w:p>
        </w:tc>
        <w:tc>
          <w:tcPr>
            <w:tcW w:w="2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2" w:type="dxa"/>
            <w:tcBorders/>
            <w:shd w:fill="auto" w:val="clear"/>
            <w:vAlign w:val="bottom"/>
          </w:tcPr>
          <w:p>
            <w:pPr>
              <w:pStyle w:val="TableContents"/>
              <w:spacing w:before="0" w:after="283"/>
              <w:rPr/>
            </w:pPr>
            <w:r>
              <w:rPr/>
              <w:t>  </w:t>
            </w:r>
          </w:p>
        </w:tc>
      </w:tr>
      <w:tr>
        <w:trPr/>
        <w:tc>
          <w:tcPr>
            <w:tcW w:w="9475" w:type="dxa"/>
            <w:tcBorders/>
            <w:shd w:fill="CCEEFF" w:val="clear"/>
          </w:tcPr>
          <w:p>
            <w:pPr>
              <w:pStyle w:val="TableContents"/>
              <w:spacing w:before="0" w:after="283"/>
              <w:rPr/>
            </w:pPr>
            <w:hyperlink w:anchor="supprom308566_16">
              <w:r>
                <w:rPr>
                  <w:rStyle w:val="InternetLink"/>
                  <w:rFonts w:ascii="Times New Roman" w:hAnsi="Times New Roman"/>
                  <w:sz w:val="20"/>
                </w:rPr>
                <w:t>Forward-Looking Statements</w:t>
              </w:r>
            </w:hyperlink>
          </w:p>
        </w:tc>
        <w:tc>
          <w:tcPr>
            <w:tcW w:w="2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2" w:type="dxa"/>
            <w:tcBorders/>
            <w:shd w:fill="CCEEFF" w:val="clear"/>
            <w:vAlign w:val="bottom"/>
          </w:tcPr>
          <w:p>
            <w:pPr>
              <w:pStyle w:val="TableContents"/>
              <w:spacing w:before="0" w:after="283"/>
              <w:rPr/>
            </w:pPr>
            <w:r>
              <w:rPr/>
              <w:t>  </w:t>
            </w:r>
          </w:p>
        </w:tc>
      </w:tr>
      <w:tr>
        <w:trPr/>
        <w:tc>
          <w:tcPr>
            <w:tcW w:w="9475" w:type="dxa"/>
            <w:tcBorders/>
            <w:shd w:fill="auto" w:val="clear"/>
          </w:tcPr>
          <w:p>
            <w:pPr>
              <w:pStyle w:val="TableContents"/>
              <w:spacing w:before="0" w:after="283"/>
              <w:rPr/>
            </w:pPr>
            <w:hyperlink w:anchor="supprom308566_17">
              <w:r>
                <w:rPr>
                  <w:rStyle w:val="InternetLink"/>
                  <w:rFonts w:ascii="Times New Roman" w:hAnsi="Times New Roman"/>
                  <w:sz w:val="20"/>
                </w:rPr>
                <w:t>Who We Are</w:t>
              </w:r>
            </w:hyperlink>
          </w:p>
        </w:tc>
        <w:tc>
          <w:tcPr>
            <w:tcW w:w="2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2" w:type="dxa"/>
            <w:tcBorders/>
            <w:shd w:fill="auto" w:val="clear"/>
            <w:vAlign w:val="bottom"/>
          </w:tcPr>
          <w:p>
            <w:pPr>
              <w:pStyle w:val="TableContents"/>
              <w:spacing w:before="0" w:after="283"/>
              <w:rPr/>
            </w:pPr>
            <w:r>
              <w:rPr/>
              <w:t>  </w:t>
            </w:r>
          </w:p>
        </w:tc>
      </w:tr>
      <w:tr>
        <w:trPr/>
        <w:tc>
          <w:tcPr>
            <w:tcW w:w="9475" w:type="dxa"/>
            <w:tcBorders/>
            <w:shd w:fill="CCEEFF" w:val="clear"/>
          </w:tcPr>
          <w:p>
            <w:pPr>
              <w:pStyle w:val="TableContents"/>
              <w:spacing w:before="0" w:after="283"/>
              <w:rPr/>
            </w:pPr>
            <w:hyperlink w:anchor="supprom308566_18">
              <w:r>
                <w:rPr>
                  <w:rStyle w:val="InternetLink"/>
                  <w:rFonts w:ascii="Times New Roman" w:hAnsi="Times New Roman"/>
                  <w:sz w:val="20"/>
                </w:rPr>
                <w:t>Risk Factors</w:t>
              </w:r>
            </w:hyperlink>
          </w:p>
        </w:tc>
        <w:tc>
          <w:tcPr>
            <w:tcW w:w="2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122" w:type="dxa"/>
            <w:tcBorders/>
            <w:shd w:fill="CCEEFF" w:val="clear"/>
            <w:vAlign w:val="bottom"/>
          </w:tcPr>
          <w:p>
            <w:pPr>
              <w:pStyle w:val="TableContents"/>
              <w:spacing w:before="0" w:after="283"/>
              <w:rPr/>
            </w:pPr>
            <w:r>
              <w:rPr/>
              <w:t>  </w:t>
            </w:r>
          </w:p>
        </w:tc>
      </w:tr>
      <w:tr>
        <w:trPr/>
        <w:tc>
          <w:tcPr>
            <w:tcW w:w="9475" w:type="dxa"/>
            <w:tcBorders/>
            <w:shd w:fill="auto" w:val="clear"/>
          </w:tcPr>
          <w:p>
            <w:pPr>
              <w:pStyle w:val="TableContents"/>
              <w:spacing w:before="0" w:after="283"/>
              <w:rPr/>
            </w:pPr>
            <w:hyperlink w:anchor="supprom308566_19">
              <w:r>
                <w:rPr>
                  <w:rStyle w:val="InternetLink"/>
                  <w:rFonts w:ascii="Times New Roman" w:hAnsi="Times New Roman"/>
                  <w:sz w:val="20"/>
                </w:rPr>
                <w:t>Use of Proceeds</w:t>
              </w:r>
            </w:hyperlink>
          </w:p>
        </w:tc>
        <w:tc>
          <w:tcPr>
            <w:tcW w:w="2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2" w:type="dxa"/>
            <w:tcBorders/>
            <w:shd w:fill="auto" w:val="clear"/>
            <w:vAlign w:val="bottom"/>
          </w:tcPr>
          <w:p>
            <w:pPr>
              <w:pStyle w:val="TableContents"/>
              <w:spacing w:before="0" w:after="283"/>
              <w:rPr/>
            </w:pPr>
            <w:r>
              <w:rPr/>
              <w:t>  </w:t>
            </w:r>
          </w:p>
        </w:tc>
      </w:tr>
      <w:tr>
        <w:trPr/>
        <w:tc>
          <w:tcPr>
            <w:tcW w:w="9475" w:type="dxa"/>
            <w:tcBorders/>
            <w:shd w:fill="CCEEFF" w:val="clear"/>
          </w:tcPr>
          <w:p>
            <w:pPr>
              <w:pStyle w:val="TableContents"/>
              <w:spacing w:before="0" w:after="283"/>
              <w:rPr/>
            </w:pPr>
            <w:hyperlink w:anchor="supprom308566_20">
              <w:r>
                <w:rPr>
                  <w:rStyle w:val="InternetLink"/>
                  <w:rFonts w:ascii="Times New Roman" w:hAnsi="Times New Roman"/>
                  <w:sz w:val="20"/>
                </w:rPr>
                <w:t>Ratio of Earnings to Fixed Charges</w:t>
              </w:r>
            </w:hyperlink>
          </w:p>
        </w:tc>
        <w:tc>
          <w:tcPr>
            <w:tcW w:w="2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2" w:type="dxa"/>
            <w:tcBorders/>
            <w:shd w:fill="CCEEFF" w:val="clear"/>
            <w:vAlign w:val="bottom"/>
          </w:tcPr>
          <w:p>
            <w:pPr>
              <w:pStyle w:val="TableContents"/>
              <w:spacing w:before="0" w:after="283"/>
              <w:rPr/>
            </w:pPr>
            <w:r>
              <w:rPr/>
              <w:t>  </w:t>
            </w:r>
          </w:p>
        </w:tc>
      </w:tr>
      <w:tr>
        <w:trPr/>
        <w:tc>
          <w:tcPr>
            <w:tcW w:w="9475" w:type="dxa"/>
            <w:tcBorders/>
            <w:shd w:fill="auto" w:val="clear"/>
          </w:tcPr>
          <w:p>
            <w:pPr>
              <w:pStyle w:val="TableContents"/>
              <w:spacing w:before="0" w:after="283"/>
              <w:rPr/>
            </w:pPr>
            <w:hyperlink w:anchor="supprom308566_21">
              <w:r>
                <w:rPr>
                  <w:rStyle w:val="InternetLink"/>
                  <w:rFonts w:ascii="Times New Roman" w:hAnsi="Times New Roman"/>
                  <w:sz w:val="20"/>
                </w:rPr>
                <w:t>Description of Our Debt Securities</w:t>
              </w:r>
            </w:hyperlink>
          </w:p>
        </w:tc>
        <w:tc>
          <w:tcPr>
            <w:tcW w:w="2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2" w:type="dxa"/>
            <w:tcBorders/>
            <w:shd w:fill="auto" w:val="clear"/>
            <w:vAlign w:val="bottom"/>
          </w:tcPr>
          <w:p>
            <w:pPr>
              <w:pStyle w:val="TableContents"/>
              <w:spacing w:before="0" w:after="283"/>
              <w:rPr/>
            </w:pPr>
            <w:r>
              <w:rPr/>
              <w:t>  </w:t>
            </w:r>
          </w:p>
        </w:tc>
      </w:tr>
      <w:tr>
        <w:trPr/>
        <w:tc>
          <w:tcPr>
            <w:tcW w:w="9475" w:type="dxa"/>
            <w:tcBorders/>
            <w:shd w:fill="CCEEFF" w:val="clear"/>
          </w:tcPr>
          <w:p>
            <w:pPr>
              <w:pStyle w:val="TableContents"/>
              <w:spacing w:before="0" w:after="283"/>
              <w:rPr/>
            </w:pPr>
            <w:hyperlink w:anchor="supprom308566_22">
              <w:r>
                <w:rPr>
                  <w:rStyle w:val="InternetLink"/>
                  <w:rFonts w:ascii="Times New Roman" w:hAnsi="Times New Roman"/>
                  <w:sz w:val="20"/>
                </w:rPr>
                <w:t>Description of Our Common Units</w:t>
              </w:r>
            </w:hyperlink>
          </w:p>
        </w:tc>
        <w:tc>
          <w:tcPr>
            <w:tcW w:w="2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22" w:type="dxa"/>
            <w:tcBorders/>
            <w:shd w:fill="CCEEFF" w:val="clear"/>
            <w:vAlign w:val="bottom"/>
          </w:tcPr>
          <w:p>
            <w:pPr>
              <w:pStyle w:val="TableContents"/>
              <w:spacing w:before="0" w:after="283"/>
              <w:rPr/>
            </w:pPr>
            <w:r>
              <w:rPr/>
              <w:t>  </w:t>
            </w:r>
          </w:p>
        </w:tc>
      </w:tr>
      <w:tr>
        <w:trPr/>
        <w:tc>
          <w:tcPr>
            <w:tcW w:w="9475" w:type="dxa"/>
            <w:tcBorders/>
            <w:shd w:fill="auto" w:val="clear"/>
          </w:tcPr>
          <w:p>
            <w:pPr>
              <w:pStyle w:val="TableContents"/>
              <w:spacing w:before="0" w:after="283"/>
              <w:rPr/>
            </w:pPr>
            <w:hyperlink w:anchor="supprom308566_23">
              <w:r>
                <w:rPr>
                  <w:rStyle w:val="InternetLink"/>
                  <w:rFonts w:ascii="Times New Roman" w:hAnsi="Times New Roman"/>
                  <w:sz w:val="20"/>
                </w:rPr>
                <w:t>Cash Distribution Policy</w:t>
              </w:r>
            </w:hyperlink>
          </w:p>
        </w:tc>
        <w:tc>
          <w:tcPr>
            <w:tcW w:w="2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2" w:type="dxa"/>
            <w:tcBorders/>
            <w:shd w:fill="auto" w:val="clear"/>
            <w:vAlign w:val="bottom"/>
          </w:tcPr>
          <w:p>
            <w:pPr>
              <w:pStyle w:val="TableContents"/>
              <w:spacing w:before="0" w:after="283"/>
              <w:rPr/>
            </w:pPr>
            <w:r>
              <w:rPr/>
              <w:t>  </w:t>
            </w:r>
          </w:p>
        </w:tc>
      </w:tr>
      <w:tr>
        <w:trPr/>
        <w:tc>
          <w:tcPr>
            <w:tcW w:w="9475" w:type="dxa"/>
            <w:tcBorders/>
            <w:shd w:fill="CCEEFF" w:val="clear"/>
          </w:tcPr>
          <w:p>
            <w:pPr>
              <w:pStyle w:val="TableContents"/>
              <w:spacing w:before="0" w:after="283"/>
              <w:rPr/>
            </w:pPr>
            <w:hyperlink w:anchor="supprom308566_24">
              <w:r>
                <w:rPr>
                  <w:rStyle w:val="InternetLink"/>
                  <w:rFonts w:ascii="Times New Roman" w:hAnsi="Times New Roman"/>
                  <w:sz w:val="20"/>
                </w:rPr>
                <w:t>Description of Our Partnership Agreement</w:t>
              </w:r>
            </w:hyperlink>
          </w:p>
        </w:tc>
        <w:tc>
          <w:tcPr>
            <w:tcW w:w="2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w:t>
            </w:r>
          </w:p>
        </w:tc>
        <w:tc>
          <w:tcPr>
            <w:tcW w:w="122" w:type="dxa"/>
            <w:tcBorders/>
            <w:shd w:fill="CCEEFF" w:val="clear"/>
            <w:vAlign w:val="bottom"/>
          </w:tcPr>
          <w:p>
            <w:pPr>
              <w:pStyle w:val="TableContents"/>
              <w:spacing w:before="0" w:after="283"/>
              <w:rPr/>
            </w:pPr>
            <w:r>
              <w:rPr/>
              <w:t>  </w:t>
            </w:r>
          </w:p>
        </w:tc>
      </w:tr>
      <w:tr>
        <w:trPr/>
        <w:tc>
          <w:tcPr>
            <w:tcW w:w="9475" w:type="dxa"/>
            <w:tcBorders/>
            <w:shd w:fill="auto" w:val="clear"/>
          </w:tcPr>
          <w:p>
            <w:pPr>
              <w:pStyle w:val="TableContents"/>
              <w:spacing w:before="0" w:after="283"/>
              <w:rPr/>
            </w:pPr>
            <w:hyperlink w:anchor="supprom308566_25">
              <w:r>
                <w:rPr>
                  <w:rStyle w:val="InternetLink"/>
                  <w:rFonts w:ascii="Times New Roman" w:hAnsi="Times New Roman"/>
                  <w:sz w:val="20"/>
                </w:rPr>
                <w:t>Material Income Tax Considerations</w:t>
              </w:r>
            </w:hyperlink>
          </w:p>
        </w:tc>
        <w:tc>
          <w:tcPr>
            <w:tcW w:w="2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w:t>
            </w:r>
          </w:p>
        </w:tc>
        <w:tc>
          <w:tcPr>
            <w:tcW w:w="122" w:type="dxa"/>
            <w:tcBorders/>
            <w:shd w:fill="auto" w:val="clear"/>
            <w:vAlign w:val="bottom"/>
          </w:tcPr>
          <w:p>
            <w:pPr>
              <w:pStyle w:val="TableContents"/>
              <w:spacing w:before="0" w:after="283"/>
              <w:rPr/>
            </w:pPr>
            <w:r>
              <w:rPr/>
              <w:t>  </w:t>
            </w:r>
          </w:p>
        </w:tc>
      </w:tr>
      <w:tr>
        <w:trPr/>
        <w:tc>
          <w:tcPr>
            <w:tcW w:w="9475" w:type="dxa"/>
            <w:tcBorders/>
            <w:shd w:fill="CCEEFF" w:val="clear"/>
          </w:tcPr>
          <w:p>
            <w:pPr>
              <w:pStyle w:val="TableContents"/>
              <w:spacing w:before="0" w:after="283"/>
              <w:rPr/>
            </w:pPr>
            <w:hyperlink w:anchor="supprom308566_26">
              <w:r>
                <w:rPr>
                  <w:rStyle w:val="InternetLink"/>
                  <w:rFonts w:ascii="Times New Roman" w:hAnsi="Times New Roman"/>
                  <w:sz w:val="20"/>
                </w:rPr>
                <w:t>Legal Matters</w:t>
              </w:r>
            </w:hyperlink>
          </w:p>
        </w:tc>
        <w:tc>
          <w:tcPr>
            <w:tcW w:w="2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w:t>
            </w:r>
          </w:p>
        </w:tc>
        <w:tc>
          <w:tcPr>
            <w:tcW w:w="122" w:type="dxa"/>
            <w:tcBorders/>
            <w:shd w:fill="CCEEFF" w:val="clear"/>
            <w:vAlign w:val="bottom"/>
          </w:tcPr>
          <w:p>
            <w:pPr>
              <w:pStyle w:val="TableContents"/>
              <w:spacing w:before="0" w:after="283"/>
              <w:rPr/>
            </w:pPr>
            <w:r>
              <w:rPr/>
              <w:t>  </w:t>
            </w:r>
          </w:p>
        </w:tc>
      </w:tr>
      <w:tr>
        <w:trPr/>
        <w:tc>
          <w:tcPr>
            <w:tcW w:w="9475" w:type="dxa"/>
            <w:tcBorders/>
            <w:shd w:fill="auto" w:val="clear"/>
          </w:tcPr>
          <w:p>
            <w:pPr>
              <w:pStyle w:val="TableContents"/>
              <w:spacing w:before="0" w:after="283"/>
              <w:rPr/>
            </w:pPr>
            <w:hyperlink w:anchor="supprom308566_27">
              <w:r>
                <w:rPr>
                  <w:rStyle w:val="InternetLink"/>
                  <w:rFonts w:ascii="Times New Roman" w:hAnsi="Times New Roman"/>
                  <w:sz w:val="20"/>
                </w:rPr>
                <w:t>Experts</w:t>
              </w:r>
            </w:hyperlink>
          </w:p>
        </w:tc>
        <w:tc>
          <w:tcPr>
            <w:tcW w:w="2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w:t>
            </w:r>
          </w:p>
        </w:tc>
        <w:tc>
          <w:tcPr>
            <w:tcW w:w="122"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 w:name="supprom308566_1"/>
      <w:bookmarkEnd w:id="3"/>
      <w:r>
        <w:rPr>
          <w:rFonts w:ascii="Times New Roman" w:hAnsi="Times New Roman"/>
          <w:b/>
          <w:sz w:val="20"/>
        </w:rPr>
        <w:t xml:space="preserve">IMPORTANT NOTICE ABOUT INFORMATION IN THIS </w:t>
      </w:r>
    </w:p>
    <w:p>
      <w:pPr>
        <w:pStyle w:val="TextBody"/>
        <w:spacing w:before="0" w:after="0"/>
        <w:jc w:val="center"/>
        <w:rPr>
          <w:rFonts w:ascii="Times New Roman" w:hAnsi="Times New Roman"/>
          <w:b/>
          <w:sz w:val="20"/>
        </w:rPr>
      </w:pPr>
      <w:r>
        <w:rPr>
          <w:rFonts w:ascii="Times New Roman" w:hAnsi="Times New Roman"/>
          <w:b/>
          <w:sz w:val="20"/>
        </w:rPr>
        <w:t xml:space="preserve">PROSPECTUS SUPPLEMENT AND THE ACCOMPANYING PROSPECTUS </w:t>
      </w:r>
    </w:p>
    <w:p>
      <w:pPr>
        <w:pStyle w:val="TextBody"/>
        <w:spacing w:before="180" w:after="0"/>
        <w:rPr>
          <w:rFonts w:ascii="Times New Roman" w:hAnsi="Times New Roman"/>
          <w:b/>
          <w:sz w:val="20"/>
        </w:rPr>
      </w:pPr>
      <w:r>
        <w:rPr>
          <w:rFonts w:ascii="Times New Roman" w:hAnsi="Times New Roman"/>
          <w:b/>
          <w:sz w:val="20"/>
        </w:rPr>
        <w:t xml:space="preserve">This document is in two parts. The first part is the prospectus supplement, which describes our business and the specific terms of this offering. The second part, the base prospectus, gives more general information, some of which may not apply to this offering. Generally, when we refer only to the prospectus, we are referring to both parts combined. </w:t>
      </w:r>
    </w:p>
    <w:p>
      <w:pPr>
        <w:pStyle w:val="TextBody"/>
        <w:spacing w:before="180" w:after="0"/>
        <w:rPr>
          <w:rFonts w:ascii="Times New Roman" w:hAnsi="Times New Roman"/>
          <w:b/>
          <w:sz w:val="20"/>
        </w:rPr>
      </w:pPr>
      <w:r>
        <w:rPr>
          <w:rFonts w:ascii="Times New Roman" w:hAnsi="Times New Roman"/>
          <w:b/>
          <w:sz w:val="20"/>
        </w:rPr>
        <w:t xml:space="preserve">If the description of the offering varies between the prospectus supplement and the base prospectus, you should rely on the information in the prospectus supplement. </w:t>
      </w:r>
    </w:p>
    <w:p>
      <w:pPr>
        <w:pStyle w:val="TextBody"/>
        <w:spacing w:before="180" w:after="0"/>
        <w:rPr>
          <w:rFonts w:ascii="Times New Roman" w:hAnsi="Times New Roman"/>
          <w:b/>
          <w:sz w:val="20"/>
        </w:rPr>
      </w:pPr>
      <w:r>
        <w:rPr>
          <w:rFonts w:ascii="Times New Roman" w:hAnsi="Times New Roman"/>
          <w:b/>
          <w:sz w:val="20"/>
        </w:rPr>
        <w:t xml:space="preserve">You should rely only on the information contained in or incorporated by reference in this prospectus or any free writing prospectus relating to this offering of common units. Neither we nor the underwriters have authorized anyone to provide you with different information. We are not making an offer of the common units in any jurisdiction where the offer is not permitted. You should not assume that the information contained in this prospectus, any free writing prospectus or in the documents incorporated by reference in this prospectus is accurate as of any date other than the date on the front of those documents. </w:t>
      </w:r>
    </w:p>
    <w:p>
      <w:pPr>
        <w:pStyle w:val="TextBody"/>
        <w:spacing w:before="180" w:after="0"/>
        <w:rPr>
          <w:rFonts w:ascii="Times New Roman" w:hAnsi="Times New Roman"/>
          <w:b/>
          <w:sz w:val="20"/>
        </w:rPr>
      </w:pPr>
      <w:r>
        <w:rPr>
          <w:rFonts w:ascii="Times New Roman" w:hAnsi="Times New Roman"/>
          <w:b/>
          <w:sz w:val="20"/>
        </w:rPr>
        <w:t xml:space="preserve">The information in this prospectus supplement is not complete. You should review carefully all of the detailed information appearing in this prospectus supplement, the accompanying prospectus and the documents we have incorporated by reference before making any investment decision. </w:t>
      </w:r>
    </w:p>
    <w:p>
      <w:pPr>
        <w:pStyle w:val="TextBody"/>
        <w:spacing w:before="270" w:after="0"/>
        <w:jc w:val="center"/>
        <w:rPr>
          <w:rFonts w:ascii="Times New Roman" w:hAnsi="Times New Roman"/>
          <w:b/>
          <w:sz w:val="20"/>
        </w:rPr>
      </w:pPr>
      <w:bookmarkStart w:id="4" w:name="supprom308566_2"/>
      <w:bookmarkEnd w:id="4"/>
      <w:r>
        <w:rPr>
          <w:rFonts w:ascii="Times New Roman" w:hAnsi="Times New Roman"/>
          <w:b/>
          <w:sz w:val="20"/>
        </w:rPr>
        <w:t xml:space="preserve">FORWARD-LOOKING STATEMENTS </w:t>
      </w:r>
    </w:p>
    <w:p>
      <w:pPr>
        <w:pStyle w:val="TextBody"/>
        <w:spacing w:before="180" w:after="0"/>
        <w:rPr>
          <w:rFonts w:ascii="Times New Roman" w:hAnsi="Times New Roman"/>
          <w:sz w:val="20"/>
        </w:rPr>
      </w:pPr>
      <w:r>
        <w:rPr>
          <w:rFonts w:ascii="Times New Roman" w:hAnsi="Times New Roman"/>
          <w:sz w:val="20"/>
        </w:rPr>
        <w:t xml:space="preserve">All statements included or incorporated by reference in this prospectus supplement, other than statements of historical fact, are forward-looking statements, including but not limited to statements identified by the words anticipate, believe, estimate, expect, plan, intend and forecast, as well as similar expressions and statements regarding our business strategy, plans and objectives for future operations. The absence of these words, however, does not mean that the statements are not forward-looking. These statements reflect our current views with respect to future events, based on what we believe to be reasonable assumptions. Certain factors could cause actual results to differ materially from results anticipated in the forward-looking statements. The most important of these factors include, but are not limited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consummate and integrate the BP NGL Acquisition;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3"/>
        <w:gridCol w:w="101"/>
        <w:gridCol w:w="9493"/>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implement or capitalize on planned internal growth projects;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maintenance of our credit rating and ability to receive open credit from our suppliers and trade counterparties;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continued creditworthiness of, and performance by, our counterparties, including financial institutions and trading companies with which we do business;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4"/>
        <w:gridCol w:w="102"/>
        <w:gridCol w:w="9491"/>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effectiveness of our risk management activities;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unanticipated changes in crude oil market structure, grade differentials and volatility (or lack thereof);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environmental liabilities or events that are not covered by an indemnity, insurance or existing reserves;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4"/>
        <w:gridCol w:w="102"/>
        <w:gridCol w:w="9491"/>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abrupt or severe declines or interruptions in outer continental shelf production located offshore California and transported on our pipeline systems;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shortages or cost increases of supplies, materials or labor;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fluctuations in refinery capacity in areas supplied by our mainlines and other factors affecting demand for various grades of crude oil, refined products and natural gas and resulting changes in pricing conditions or transportation throughput requirements;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availability of, and our ability to consummate, acquisition or combination opportunities;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ability to obtain debt or equity financing on satisfactory terms to fund additional acquisitions, expansion projects, working capital requirements and the repayment or refinancing of indebtedness;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successful integration and future performance of acquired assets or businesses and the risks associated with operating in lines of business that are distinct and separate from our historical operations;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impact of current and future laws, rulings, governmental regulations, accounting standards and statements and related interpretations;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effects of competition;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4"/>
        <w:gridCol w:w="102"/>
        <w:gridCol w:w="9491"/>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interruptions in service on third-party pipelines;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increased costs or lack of availability of insurance;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fluctuations in the debt and equity markets, including the price of our units at the time of vesting under our long-term incentive plans;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currency exchange rate of the Canadian dollar;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weather interference with business operations or project construction;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risks related to the development and operation of natural gas storage facilities;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factors affecting demand for natural gas and natural gas storage services and rates;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general economic, market or business conditions and the amplification of other risks caused by volatile financial markets, capital constraints and pervasive liquidity concerns;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other factors and uncertainties inherent in the transportation, storage, terminalling and marketing of crude oil and refined products, as well as in the storage of natural gas and the processing, transportation, fractionation, storage and marketing of natural gas liquids. </w:t>
            </w:r>
          </w:p>
        </w:tc>
      </w:tr>
    </w:tbl>
    <w:p>
      <w:pPr>
        <w:pStyle w:val="TextBody"/>
        <w:spacing w:before="180" w:after="0"/>
        <w:rPr>
          <w:rFonts w:ascii="Times New Roman" w:hAnsi="Times New Roman"/>
          <w:sz w:val="20"/>
        </w:rPr>
      </w:pPr>
      <w:r>
        <w:rPr>
          <w:rFonts w:ascii="Times New Roman" w:hAnsi="Times New Roman"/>
          <w:sz w:val="20"/>
        </w:rPr>
        <w:t xml:space="preserve">Other factors described herein or incorporated by reference, as well as factors that are unknown or unpredictable, could also have a material adverse effect on future results. Such factors are described in Risk Factors on page S-5 of this prospectus supplement and in Item 1A. Risk Factors in our Annual Report on Form 10-K for the year ended December 31, 2011 (File No. 001-14569), which is incorporated in this prospectus supplement by reference. Except as required by applicable securities laws, we do not intend to update these forward-looking statements and information.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20"/>
          <w:bdr w:val="single" w:sz="8" w:space="1" w:color="000000"/>
        </w:rPr>
      </w:pPr>
      <w:bookmarkStart w:id="5" w:name="supprom308566_3"/>
      <w:bookmarkEnd w:id="5"/>
      <w:r>
        <w:rPr>
          <w:rFonts w:ascii="Times New Roman" w:hAnsi="Times New Roman"/>
          <w:b/>
          <w:sz w:val="20"/>
          <w:bdr w:val="single" w:sz="8" w:space="1" w:color="000000"/>
        </w:rPr>
        <w:t xml:space="preserve">PROSPECTUS SUPPLEMENT SUMMARY </w:t>
      </w:r>
    </w:p>
    <w:p>
      <w:pPr>
        <w:pStyle w:val="TextBody"/>
        <w:spacing w:before="180" w:after="0"/>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information contained elsewhere, or incorporated by reference, in this prospectus supplement and the accompanying prospectus. It does not contain all of the information that you should consider before making an investment decision. You should read this entire prospectus supplement, the accompanying prospectus and the documents incorporated herein by reference for a more complete understanding of this offering of common units. Please read Risk Factors on page S-5 of this prospectus supplement and in our Annual Report on Form 10-K for the year ended December 31, 2011, which is incorporated into this prospectus supplement by reference, for information regarding risks you should consider before investing in our common units. </w:t>
      </w:r>
    </w:p>
    <w:p>
      <w:pPr>
        <w:pStyle w:val="TextBody"/>
        <w:spacing w:before="180" w:after="0"/>
        <w:rPr>
          <w:rFonts w:ascii="Times New Roman" w:hAnsi="Times New Roman"/>
          <w:i/>
          <w:sz w:val="20"/>
          <w:bdr w:val="single" w:sz="8" w:space="1" w:color="000000"/>
        </w:rPr>
      </w:pPr>
      <w:r>
        <w:rPr>
          <w:rFonts w:ascii="Times New Roman" w:hAnsi="Times New Roman"/>
          <w:i/>
          <w:sz w:val="20"/>
          <w:bdr w:val="single" w:sz="8" w:space="1" w:color="000000"/>
        </w:rPr>
        <w:t xml:space="preserve">Except as the context otherwise indicates, the information in this prospectus supplement assumes no exercise of the underwriters option to purchase additional common units. </w:t>
      </w:r>
    </w:p>
    <w:p>
      <w:pPr>
        <w:pStyle w:val="TextBody"/>
        <w:spacing w:before="180" w:after="0"/>
        <w:rPr>
          <w:rFonts w:ascii="Times New Roman" w:hAnsi="Times New Roman"/>
          <w:i/>
          <w:sz w:val="20"/>
          <w:bdr w:val="single" w:sz="8" w:space="1" w:color="000000"/>
        </w:rPr>
      </w:pPr>
      <w:r>
        <w:rPr>
          <w:rFonts w:ascii="Times New Roman" w:hAnsi="Times New Roman"/>
          <w:i/>
          <w:sz w:val="20"/>
          <w:bdr w:val="single" w:sz="8" w:space="1" w:color="000000"/>
        </w:rPr>
        <w:t xml:space="preserve">For purposes of this prospectus supplement and the accompanying prospectus, unless the context clearly indicates otherwise, PAA, we, us, our and the Partnership refer to Plains All American Pipeline, L.P. and its subsidiaries. References to our general partner, as the context requires, include any or all of PAA GP LLC, Plains AAP, L.P. and Plains All American GP LLC. </w:t>
      </w:r>
    </w:p>
    <w:p>
      <w:pPr>
        <w:pStyle w:val="TextBody"/>
        <w:spacing w:before="270" w:after="0"/>
        <w:rPr>
          <w:rFonts w:ascii="Times New Roman" w:hAnsi="Times New Roman"/>
          <w:b/>
          <w:i/>
          <w:sz w:val="20"/>
          <w:bdr w:val="single" w:sz="8" w:space="1" w:color="000000"/>
        </w:rPr>
      </w:pPr>
      <w:r>
        <w:rPr>
          <w:rFonts w:ascii="Times New Roman" w:hAnsi="Times New Roman"/>
          <w:b/>
          <w:i/>
          <w:sz w:val="20"/>
          <w:bdr w:val="single" w:sz="8" w:space="1" w:color="000000"/>
        </w:rPr>
        <w:t xml:space="preserve">Plains All American Pipeline, L.P. </w:t>
      </w:r>
    </w:p>
    <w:p>
      <w:pPr>
        <w:pStyle w:val="TextBody"/>
        <w:spacing w:before="90" w:after="0"/>
        <w:rPr>
          <w:rFonts w:ascii="Times New Roman" w:hAnsi="Times New Roman"/>
          <w:sz w:val="20"/>
          <w:bdr w:val="single" w:sz="8" w:space="1" w:color="000000"/>
        </w:rPr>
      </w:pPr>
      <w:r>
        <w:rPr>
          <w:rFonts w:ascii="Times New Roman" w:hAnsi="Times New Roman"/>
          <w:sz w:val="20"/>
          <w:bdr w:val="single" w:sz="8" w:space="1" w:color="000000"/>
        </w:rPr>
        <w:t xml:space="preserve">We are a Delaware limited partnership formed in September 1998. Our operations are conducted directly and indirectly through our primary operating subsidiaries. We engage in the transportation, storage, terminalling and marketing of crude oil and refined products, as well as in the processing, transportation, fractionation, storage and marketing of natural gas liquids (NGL). The term NGL includes ethane and natural gasoline products as well as propane and butane, products which are commonly referred to as liquefied petroleum gas (LPG). </w:t>
      </w:r>
    </w:p>
    <w:p>
      <w:pPr>
        <w:pStyle w:val="TextBody"/>
        <w:spacing w:before="180" w:after="0"/>
        <w:rPr>
          <w:rFonts w:ascii="Times New Roman" w:hAnsi="Times New Roman"/>
          <w:sz w:val="20"/>
          <w:bdr w:val="single" w:sz="8" w:space="1" w:color="000000"/>
        </w:rPr>
      </w:pPr>
      <w:r>
        <w:rPr>
          <w:rFonts w:ascii="Times New Roman" w:hAnsi="Times New Roman"/>
          <w:sz w:val="20"/>
          <w:bdr w:val="single" w:sz="8" w:space="1" w:color="000000"/>
        </w:rPr>
        <w:t xml:space="preserve">We also own and operate natural gas storage facilities through our direct and indirect ownership of PAA Natural Gas Storage, L.P. (PNG), which is a fee-based, growth-oriented Delaware limited partnership engaged in the ownership, acquisition, development, operation and commercial management of natural gas storage facilities. We own PNGs general partner, PNGS GP LLC, which holds a 2% general partner interest in PNG and all of its incentive distributions rights. We also currently own an approximate 62% limited partner interest in PNG. </w:t>
      </w:r>
    </w:p>
    <w:p>
      <w:pPr>
        <w:pStyle w:val="TextBody"/>
        <w:spacing w:before="180" w:after="0"/>
        <w:rPr>
          <w:rFonts w:ascii="Times New Roman" w:hAnsi="Times New Roman"/>
          <w:sz w:val="20"/>
          <w:bdr w:val="single" w:sz="8" w:space="1" w:color="000000"/>
        </w:rPr>
      </w:pPr>
      <w:r>
        <w:rPr>
          <w:rFonts w:ascii="Times New Roman" w:hAnsi="Times New Roman"/>
          <w:sz w:val="20"/>
          <w:bdr w:val="single" w:sz="8" w:space="1" w:color="000000"/>
        </w:rPr>
        <w:t xml:space="preserve">We are one of the largest midstream crude oil companies in North America. We have an extensive network of pipeline transportation, terminalling, storage and gathering assets in key oil-producing basins and transportation corridors, and at major market hubs in the United States and Canada. We manage our operations through three primary operating segments: transportation, facilities and supply and logistics. </w:t>
      </w:r>
    </w:p>
    <w:p>
      <w:pPr>
        <w:pStyle w:val="TextBody"/>
        <w:spacing w:before="270" w:after="0"/>
        <w:rPr>
          <w:rFonts w:ascii="Times New Roman" w:hAnsi="Times New Roman"/>
          <w:b/>
          <w:i/>
          <w:sz w:val="20"/>
          <w:bdr w:val="single" w:sz="8" w:space="1" w:color="000000"/>
        </w:rPr>
      </w:pPr>
      <w:r>
        <w:rPr>
          <w:rFonts w:ascii="Times New Roman" w:hAnsi="Times New Roman"/>
          <w:b/>
          <w:i/>
          <w:sz w:val="20"/>
          <w:bdr w:val="single" w:sz="8" w:space="1" w:color="000000"/>
        </w:rPr>
        <w:t xml:space="preserve">Business Strategy </w:t>
      </w:r>
    </w:p>
    <w:p>
      <w:pPr>
        <w:pStyle w:val="TextBody"/>
        <w:spacing w:before="90" w:after="0"/>
        <w:rPr>
          <w:rFonts w:ascii="Times New Roman" w:hAnsi="Times New Roman"/>
          <w:sz w:val="20"/>
          <w:bdr w:val="single" w:sz="8" w:space="1" w:color="000000"/>
        </w:rPr>
      </w:pPr>
      <w:r>
        <w:rPr>
          <w:rFonts w:ascii="Times New Roman" w:hAnsi="Times New Roman"/>
          <w:sz w:val="20"/>
          <w:bdr w:val="single" w:sz="8" w:space="1" w:color="000000"/>
        </w:rPr>
        <w:t xml:space="preserve">Our principal business strategy is to provide competitive and efficient midstream transportation, terminalling, storage, processing, fractionation and supply and logistics services to our producer, refiner and other customers. Toward this end, we endeavor to address regional supply and demand imbalances for crude oil, refined products, NGL and natural gas in the United States and Canada by combining the strategic location and capabilities of our transportation, terminalling, storage, processing and fractionation assets with our extensive supply, logistics and distribution expertise. </w:t>
      </w:r>
    </w:p>
    <w:p>
      <w:pPr>
        <w:pStyle w:val="TextBody"/>
        <w:spacing w:before="180" w:after="0"/>
        <w:rPr>
          <w:rFonts w:ascii="Times New Roman" w:hAnsi="Times New Roman"/>
          <w:sz w:val="20"/>
          <w:bdr w:val="single" w:sz="8" w:space="1" w:color="000000"/>
        </w:rPr>
      </w:pPr>
      <w:r>
        <w:rPr>
          <w:rFonts w:ascii="Times New Roman" w:hAnsi="Times New Roman"/>
          <w:sz w:val="20"/>
          <w:bdr w:val="single" w:sz="8" w:space="1" w:color="000000"/>
        </w:rPr>
        <w:t xml:space="preserve">We believe successful execution of this strategy will enable us to generate sustainable earnings and cash flow. We intend to manage and grow our business by: </w:t>
      </w:r>
    </w:p>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optimizing our existing assets and realizing cost efficiencies through operational improvements; </w:t>
            </w:r>
          </w:p>
        </w:tc>
      </w:tr>
    </w:tbl>
    <w:p>
      <w:pPr>
        <w:pStyle w:val="TextBody"/>
        <w:spacing w:before="0" w:after="0"/>
        <w:rPr>
          <w:bdr w:val="single" w:sz="8" w:space="1" w:color="000000"/>
        </w:rPr>
      </w:pPr>
      <w:r>
        <w:rPr>
          <w:bdr w:val="single" w:sz="8" w:space="1" w:color="000000"/>
        </w:rPr>
        <w:t> </w:t>
      </w:r>
    </w:p>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using our transportation, terminalling, storage, processing and fractionation assets in conjunction with our supply and logistics activities to capitalize on inefficient energy markets and to address physical market imbalances, mitigate inherent risks and increase margin;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developing and implementing internal growth projects that (i) address evolving crude oil, refined products, natural gas and NGL needs in the midstream transportation and infrastructure sector and (ii) are well-positioned to benefit from long-term industry trends and opportunities;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selectively pursuing strategic and accretive acquisitions that complement our existing asset base and distribution capabilities; and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capitalizing on the anticipated long-term growth in demand for natural gas storage services in North America by owning and operating high-quality natural gas storage facilities and providing our current and future customers reliable, competitive and flexible natural gas storage and related services through our ownership interest in PNG. </w:t>
            </w:r>
          </w:p>
        </w:tc>
      </w:tr>
    </w:tbl>
    <w:p>
      <w:pPr>
        <w:pStyle w:val="TextBody"/>
        <w:spacing w:before="270" w:after="0"/>
        <w:rPr>
          <w:rFonts w:ascii="Times New Roman" w:hAnsi="Times New Roman"/>
          <w:b/>
          <w:i/>
          <w:sz w:val="20"/>
          <w:bdr w:val="single" w:sz="8" w:space="1" w:color="000000"/>
        </w:rPr>
      </w:pPr>
      <w:r>
        <w:rPr>
          <w:rFonts w:ascii="Times New Roman" w:hAnsi="Times New Roman"/>
          <w:b/>
          <w:i/>
          <w:sz w:val="20"/>
          <w:bdr w:val="single" w:sz="8" w:space="1" w:color="000000"/>
        </w:rPr>
        <w:t xml:space="preserve">Ongoing Acquisition Activities </w:t>
      </w:r>
    </w:p>
    <w:p>
      <w:pPr>
        <w:pStyle w:val="TextBody"/>
        <w:spacing w:before="90" w:after="0"/>
        <w:rPr>
          <w:rFonts w:ascii="Times New Roman" w:hAnsi="Times New Roman"/>
          <w:sz w:val="20"/>
          <w:bdr w:val="single" w:sz="8" w:space="1" w:color="000000"/>
        </w:rPr>
      </w:pPr>
      <w:r>
        <w:rPr>
          <w:rFonts w:ascii="Times New Roman" w:hAnsi="Times New Roman"/>
          <w:sz w:val="20"/>
          <w:bdr w:val="single" w:sz="8" w:space="1" w:color="000000"/>
        </w:rPr>
        <w:t xml:space="preserve">Consistent with our business strategy, we are continuously engaged in discussions with potential sellers regarding the possible purchase of assets and operations that are strategic and complementary to our existing operations. In addition, we have in the past evaluated and pursued, and intend in the future to evaluate and pursue, other energy-related assets that have characteristics and opportunities similar to our existing business lines and enable us to leverage our asset base, knowledge base and skill sets. Such acquisition efforts may involve participation by us in processes that have been made public and involve a number of potential buyers, commonly referred to as auction processes, as well as situations in which we believe we are the only party or one of a limited number of potential buyers in negotiations with the potential seller. These acquisition efforts often involve assets which, if acquired, could have a material effect on our financial condition and results of operations. </w:t>
      </w:r>
    </w:p>
    <w:p>
      <w:pPr>
        <w:pStyle w:val="TextBody"/>
        <w:spacing w:before="180" w:after="0"/>
        <w:rPr>
          <w:rFonts w:ascii="Times New Roman" w:hAnsi="Times New Roman"/>
          <w:sz w:val="20"/>
          <w:bdr w:val="single" w:sz="8" w:space="1" w:color="000000"/>
        </w:rPr>
      </w:pPr>
      <w:r>
        <w:rPr>
          <w:rFonts w:ascii="Times New Roman" w:hAnsi="Times New Roman"/>
          <w:sz w:val="20"/>
          <w:bdr w:val="single" w:sz="8" w:space="1" w:color="000000"/>
        </w:rPr>
        <w:t xml:space="preserve">We typically do not announce a transaction until after we have executed a definitive acquisition agreement. However, in certain cases in order to protect our business interests or for other reasons, we may defer public announcement of an acquisition until closing or a later date. Past experience has demonstrated that discussions and negotiations regarding a potential acquisition can advance or terminate in a short period of time. Moreover, the closing of any transaction for which we have entered into a definitive acquisition agreement will be subject to customary and other closing conditions, which may not ultimately be satisfied or waived. Accordingly, we can give no assurance that our current or future acquisition efforts will be successful. Although we expect the acquisitions we make to be accretive in the long term, we can provide no assurance that our expectations will ultimately be realized. </w:t>
      </w:r>
    </w:p>
    <w:p>
      <w:pPr>
        <w:pStyle w:val="TextBody"/>
        <w:spacing w:before="270" w:after="0"/>
        <w:rPr>
          <w:rFonts w:ascii="Times New Roman" w:hAnsi="Times New Roman"/>
          <w:b/>
          <w:i/>
          <w:sz w:val="20"/>
          <w:bdr w:val="single" w:sz="8" w:space="1" w:color="000000"/>
        </w:rPr>
      </w:pPr>
      <w:r>
        <w:rPr>
          <w:rFonts w:ascii="Times New Roman" w:hAnsi="Times New Roman"/>
          <w:b/>
          <w:i/>
          <w:sz w:val="20"/>
          <w:bdr w:val="single" w:sz="8" w:space="1" w:color="000000"/>
        </w:rPr>
        <w:t xml:space="preserve">Pending BP NGL Acquisition </w:t>
      </w:r>
    </w:p>
    <w:p>
      <w:pPr>
        <w:pStyle w:val="TextBody"/>
        <w:spacing w:before="90" w:after="0"/>
        <w:rPr>
          <w:rFonts w:ascii="Times New Roman" w:hAnsi="Times New Roman"/>
          <w:sz w:val="20"/>
          <w:bdr w:val="single" w:sz="8" w:space="1" w:color="000000"/>
        </w:rPr>
      </w:pPr>
      <w:r>
        <w:rPr>
          <w:rFonts w:ascii="Times New Roman" w:hAnsi="Times New Roman"/>
          <w:sz w:val="20"/>
          <w:bdr w:val="single" w:sz="8" w:space="1" w:color="000000"/>
        </w:rPr>
        <w:t xml:space="preserve">On December 1, 2011, we entered into a definitive agreement to acquire (the BP NGL Acquisition) all outstanding shares of BP Canada Energy Company, a wholly owned subsidiary of BP Corporation North America Inc. (BP North America). Total consideration for the acquisition, which will be based on an October 1, 2011 effective date, is approximately $1.67 billion, subject to working capital and other adjustments. A cash deposit of $50 million was paid upon signing, and the balance, plus 2% interest from October 1, 2011, is payable in cash upon closing. Subject to Canadian and U.S. regulatory approvals and other customary closing conditions, the acquisition is expected to close in the second quarter of 2012. </w:t>
      </w:r>
    </w:p>
    <w:p>
      <w:pPr>
        <w:pStyle w:val="TextBody"/>
        <w:spacing w:before="180" w:after="0"/>
        <w:rPr>
          <w:rFonts w:ascii="Times New Roman" w:hAnsi="Times New Roman"/>
          <w:sz w:val="20"/>
          <w:bdr w:val="single" w:sz="8" w:space="1" w:color="000000"/>
        </w:rPr>
      </w:pPr>
      <w:r>
        <w:rPr>
          <w:rFonts w:ascii="Times New Roman" w:hAnsi="Times New Roman"/>
          <w:sz w:val="20"/>
          <w:bdr w:val="single" w:sz="8" w:space="1" w:color="000000"/>
        </w:rPr>
        <w:t xml:space="preserve">Upon completion of this acquisition, we will become the indirect owner of all of BP North Americas Canadian-based NGL business and certain of BP North Americas NGL assets located in the upper-Midwest United States (collectively the BP NGL Assets). The BP NGL Assets to be acquired include varying ownership interests and contractual rights relating to approximately 2,600 miles of NGL pipelines; approximately 20 million barrels of NGL storage capacity; seven fractionation plants with an aggregate net </w:t>
      </w:r>
    </w:p>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rPr>
          <w:rFonts w:ascii="Times New Roman" w:hAnsi="Times New Roman"/>
          <w:sz w:val="20"/>
          <w:bdr w:val="single" w:sz="8" w:space="1" w:color="000000"/>
        </w:rPr>
      </w:pPr>
      <w:r>
        <w:rPr>
          <w:rFonts w:ascii="Times New Roman" w:hAnsi="Times New Roman"/>
          <w:sz w:val="20"/>
          <w:bdr w:val="single" w:sz="8" w:space="1" w:color="000000"/>
        </w:rPr>
        <w:t xml:space="preserve">capacity of approximately 232,000 barrels per day; four straddle plants and two field gas processing plants with an aggregate net capacity of approximately six billion cubic feet (Bcf) per day; and long-term and seasonal NGL inventories of approximately 10 million barrels as of October 1, 2011. Certain of these pipelines and storage assets are currently inactive. The acquired business also includes various third party supply contracts at other field gas processing plants and a supply contract relating to a third-party owned straddle plant with throughput capacity of 2.5 Bcf per day, shipping arrangements on third-party NGL pipelines and long-term leases on 720 rail cars used to move product among various locations. Collectively, these assets and activities provide access to approximately 140,000 to 150,000 barrels per day of NGL supply that are transported through an integrated network to fractionation facilities and markets in Western and Eastern Canada and in the United States. Subject to closing the transaction, we have also entered into an Integrated Supply and Trading Agreement, pursuant to which an affiliate of BP North America will, for a period of two years following the closing of the acquisition, continue to provide sourcing services for gas supply to feed certain of the straddle plants to be acquired as a result of the acquisition. </w:t>
      </w:r>
    </w:p>
    <w:p>
      <w:pPr>
        <w:pStyle w:val="TextBody"/>
        <w:spacing w:before="180" w:after="0"/>
        <w:rPr>
          <w:rFonts w:ascii="Times New Roman" w:hAnsi="Times New Roman"/>
          <w:sz w:val="20"/>
          <w:bdr w:val="single" w:sz="8" w:space="1" w:color="000000"/>
        </w:rPr>
      </w:pPr>
      <w:r>
        <w:rPr>
          <w:rFonts w:ascii="Times New Roman" w:hAnsi="Times New Roman"/>
          <w:sz w:val="20"/>
          <w:bdr w:val="single" w:sz="8" w:space="1" w:color="000000"/>
        </w:rPr>
        <w:t xml:space="preserve">There can be no assurance that the BP NGL Acquisition will be completed in the anticipated time frame, or at all, or that the anticipated benefits of the BP NGL Acquisition will be realized. </w:t>
      </w:r>
    </w:p>
    <w:p>
      <w:pPr>
        <w:pStyle w:val="TextBody"/>
        <w:spacing w:before="180" w:after="0"/>
        <w:rPr>
          <w:rFonts w:ascii="Times New Roman" w:hAnsi="Times New Roman"/>
          <w:sz w:val="20"/>
          <w:bdr w:val="single" w:sz="8" w:space="1" w:color="000000"/>
        </w:rPr>
      </w:pPr>
      <w:r>
        <w:rPr>
          <w:rFonts w:ascii="Times New Roman" w:hAnsi="Times New Roman"/>
          <w:sz w:val="20"/>
          <w:bdr w:val="single" w:sz="8" w:space="1" w:color="000000"/>
        </w:rPr>
        <w:t xml:space="preserve">We intend to use the net proceeds of this offering (as well as the proceeds from any exercise of the underwriters option to purchase additional common units) to fund a portion of the consideration for the BP NGL Acquisition. Pending the application of the net proceeds to fund the BP NGL Acquisition, we intend to repay all borrowings outstanding under the PAA credit facilities and use the balance for general partnership purposes. If the BP NGL Acquisition is not consummated for any reason, we will use the net proceeds for general partnership purposes, including future acquisitions and capital program expenditures. </w:t>
      </w:r>
    </w:p>
    <w:p>
      <w:pPr>
        <w:pStyle w:val="TextBody"/>
        <w:spacing w:before="180" w:after="0"/>
        <w:rPr>
          <w:rFonts w:ascii="Times New Roman" w:hAnsi="Times New Roman"/>
          <w:sz w:val="20"/>
          <w:bdr w:val="single" w:sz="8" w:space="1" w:color="000000"/>
        </w:rPr>
      </w:pPr>
      <w:r>
        <w:rPr>
          <w:rFonts w:ascii="Times New Roman" w:hAnsi="Times New Roman"/>
          <w:sz w:val="20"/>
          <w:bdr w:val="single" w:sz="8" w:space="1" w:color="000000"/>
        </w:rPr>
        <w:t xml:space="preserve">We currently have sufficient available borrowing capacity under our revolving credit facilities to fund all of the consideration required to close the BP NGL Acquisition. </w:t>
      </w:r>
    </w:p>
    <w:p>
      <w:pPr>
        <w:pStyle w:val="TextBody"/>
        <w:spacing w:before="270" w:after="0"/>
        <w:rPr>
          <w:rFonts w:ascii="Times New Roman" w:hAnsi="Times New Roman"/>
          <w:b/>
          <w:i/>
          <w:sz w:val="20"/>
          <w:bdr w:val="single" w:sz="8" w:space="1" w:color="000000"/>
        </w:rPr>
      </w:pPr>
      <w:r>
        <w:rPr>
          <w:rFonts w:ascii="Times New Roman" w:hAnsi="Times New Roman"/>
          <w:b/>
          <w:i/>
          <w:sz w:val="20"/>
          <w:bdr w:val="single" w:sz="8" w:space="1" w:color="000000"/>
        </w:rPr>
        <w:t xml:space="preserve">Our Principal Executive Offices </w:t>
      </w:r>
    </w:p>
    <w:p>
      <w:pPr>
        <w:pStyle w:val="TextBody"/>
        <w:spacing w:before="90" w:after="0"/>
        <w:rPr>
          <w:rFonts w:ascii="Times New Roman" w:hAnsi="Times New Roman"/>
          <w:sz w:val="20"/>
          <w:bdr w:val="single" w:sz="8" w:space="1" w:color="000000"/>
        </w:rPr>
      </w:pPr>
      <w:r>
        <w:rPr>
          <w:rFonts w:ascii="Times New Roman" w:hAnsi="Times New Roman"/>
          <w:sz w:val="20"/>
          <w:bdr w:val="single" w:sz="8" w:space="1" w:color="000000"/>
        </w:rPr>
        <w:t xml:space="preserve">Our executive offices are located at 333 Clay Street, Suite 1600, Houston, Texas 77002. Our telephone number is (713) 646-4100. We maintain a website at </w:t>
      </w:r>
      <w:r>
        <w:rPr>
          <w:rFonts w:ascii="Times New Roman" w:hAnsi="Times New Roman"/>
          <w:i/>
          <w:sz w:val="20"/>
          <w:bdr w:val="single" w:sz="8" w:space="1" w:color="000000"/>
        </w:rPr>
        <w:t xml:space="preserve">www.paalp.com </w:t>
      </w:r>
      <w:r>
        <w:rPr>
          <w:rFonts w:ascii="Times New Roman" w:hAnsi="Times New Roman"/>
          <w:sz w:val="20"/>
          <w:bdr w:val="single" w:sz="8" w:space="1" w:color="000000"/>
        </w:rPr>
        <w:t xml:space="preserve">that provides information about our business and operations. Information contained on or available through our website is not incorporated into or otherwise a part of this prospectus supplement or the accompanying base prospectus. </w:t>
      </w:r>
    </w:p>
    <w:p>
      <w:pPr>
        <w:pStyle w:val="TextBody"/>
        <w:spacing w:before="270" w:after="0"/>
        <w:rPr>
          <w:rFonts w:ascii="Times New Roman" w:hAnsi="Times New Roman"/>
          <w:b/>
          <w:i/>
          <w:sz w:val="20"/>
          <w:bdr w:val="single" w:sz="8" w:space="1" w:color="000000"/>
        </w:rPr>
      </w:pPr>
      <w:r>
        <w:rPr>
          <w:rFonts w:ascii="Times New Roman" w:hAnsi="Times New Roman"/>
          <w:b/>
          <w:i/>
          <w:sz w:val="20"/>
          <w:bdr w:val="single" w:sz="8" w:space="1" w:color="000000"/>
        </w:rPr>
        <w:t xml:space="preserve">Additional Information </w:t>
      </w:r>
    </w:p>
    <w:p>
      <w:pPr>
        <w:pStyle w:val="TextBody"/>
        <w:spacing w:before="90" w:after="0"/>
        <w:rPr>
          <w:rFonts w:ascii="Times New Roman" w:hAnsi="Times New Roman"/>
          <w:sz w:val="20"/>
          <w:bdr w:val="single" w:sz="8" w:space="1" w:color="000000"/>
        </w:rPr>
      </w:pPr>
      <w:r>
        <w:rPr>
          <w:rFonts w:ascii="Times New Roman" w:hAnsi="Times New Roman"/>
          <w:sz w:val="20"/>
          <w:bdr w:val="single" w:sz="8" w:space="1" w:color="000000"/>
        </w:rPr>
        <w:t xml:space="preserve">For additional information about us, including our partnership structure and management, please see our Annual Report on Form 10-K for the year ended December 31, 2011, which is incorporated by reference herein. Please refer to the section in this prospectus supplement entitled Where You Can Find More Information. </w:t>
      </w:r>
    </w:p>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20"/>
          <w:bdr w:val="single" w:sz="8" w:space="1" w:color="000000"/>
        </w:rPr>
      </w:pPr>
      <w:bookmarkStart w:id="6" w:name="supprom308566_4"/>
      <w:bookmarkEnd w:id="6"/>
      <w:r>
        <w:rPr>
          <w:rFonts w:ascii="Times New Roman" w:hAnsi="Times New Roman"/>
          <w:b/>
          <w:sz w:val="20"/>
          <w:bdr w:val="single" w:sz="8" w:space="1" w:color="000000"/>
        </w:rPr>
        <w:t xml:space="preserve">THE OFFERING </w:t>
      </w:r>
    </w:p>
    <w:p>
      <w:pPr>
        <w:pStyle w:val="TextBody"/>
        <w:spacing w:before="0" w:after="0"/>
        <w:rPr>
          <w:bdr w:val="single" w:sz="8" w:space="1" w:color="000000"/>
        </w:rPr>
      </w:pPr>
      <w:r>
        <w:rPr>
          <w:bdr w:val="single" w:sz="8" w:space="1" w:color="000000"/>
        </w:rPr>
        <w:t> </w:t>
      </w:r>
    </w:p>
    <w:tbl>
      <w:tblPr>
        <w:tblW w:w="5000" w:type="pct"/>
        <w:jc w:val="center"/>
        <w:tblInd w:w="0" w:type="dxa"/>
        <w:tblCellMar>
          <w:top w:w="0" w:type="dxa"/>
          <w:left w:w="0" w:type="dxa"/>
          <w:bottom w:w="0" w:type="dxa"/>
          <w:right w:w="0" w:type="dxa"/>
        </w:tblCellMar>
      </w:tblPr>
      <w:tblGrid>
        <w:gridCol w:w="3367"/>
        <w:gridCol w:w="203"/>
        <w:gridCol w:w="6635"/>
      </w:tblGrid>
      <w:tr>
        <w:trPr/>
        <w:tc>
          <w:tcPr>
            <w:tcW w:w="3367"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6635" w:type="dxa"/>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rFonts w:ascii="Times New Roman" w:hAnsi="Times New Roman"/>
                <w:sz w:val="20"/>
              </w:rPr>
            </w:pPr>
            <w:r>
              <w:rPr>
                <w:rFonts w:ascii="Times New Roman" w:hAnsi="Times New Roman"/>
                <w:sz w:val="20"/>
              </w:rPr>
              <w:t>Common units we are offering</w:t>
            </w:r>
          </w:p>
        </w:tc>
        <w:tc>
          <w:tcPr>
            <w:tcW w:w="203" w:type="dxa"/>
            <w:tcBorders/>
            <w:shd w:fill="auto" w:val="clear"/>
            <w:vAlign w:val="bottom"/>
          </w:tcPr>
          <w:p>
            <w:pPr>
              <w:pStyle w:val="TableContents"/>
              <w:spacing w:before="0" w:after="283"/>
              <w:rPr/>
            </w:pPr>
            <w:r>
              <w:rPr/>
              <w:t>  </w:t>
            </w:r>
          </w:p>
        </w:tc>
        <w:tc>
          <w:tcPr>
            <w:tcW w:w="66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5,000,000 common units; 5,750,000 common units if the underwriters exercise their option to purchase additional common units in full.</w:t>
            </w:r>
          </w:p>
        </w:tc>
      </w:tr>
      <w:tr>
        <w:trPr>
          <w:trHeight w:val="120" w:hRule="atLeast"/>
        </w:trPr>
        <w:tc>
          <w:tcPr>
            <w:tcW w:w="3367" w:type="dxa"/>
            <w:tcBorders/>
            <w:shd w:fill="auto" w:val="clear"/>
            <w:vAlign w:val="center"/>
          </w:tcPr>
          <w:p>
            <w:pPr>
              <w:pStyle w:val="TableContents"/>
              <w:spacing w:before="0" w:after="283"/>
              <w:rPr>
                <w:sz w:val="4"/>
                <w:szCs w:val="4"/>
              </w:rPr>
            </w:pPr>
            <w:r>
              <w:rPr>
                <w:sz w:val="4"/>
                <w:szCs w:val="4"/>
              </w:rPr>
            </w:r>
          </w:p>
        </w:tc>
        <w:tc>
          <w:tcPr>
            <w:tcW w:w="683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rFonts w:ascii="Times New Roman" w:hAnsi="Times New Roman"/>
                <w:sz w:val="20"/>
              </w:rPr>
            </w:pPr>
            <w:r>
              <w:rPr>
                <w:rFonts w:ascii="Times New Roman" w:hAnsi="Times New Roman"/>
                <w:sz w:val="20"/>
              </w:rPr>
              <w:t>Units outstanding after this offering</w:t>
            </w:r>
          </w:p>
        </w:tc>
        <w:tc>
          <w:tcPr>
            <w:tcW w:w="203" w:type="dxa"/>
            <w:tcBorders/>
            <w:shd w:fill="auto" w:val="clear"/>
            <w:vAlign w:val="bottom"/>
          </w:tcPr>
          <w:p>
            <w:pPr>
              <w:pStyle w:val="TableContents"/>
              <w:spacing w:before="0" w:after="283"/>
              <w:rPr/>
            </w:pPr>
            <w:r>
              <w:rPr/>
              <w:t>  </w:t>
            </w:r>
          </w:p>
        </w:tc>
        <w:tc>
          <w:tcPr>
            <w:tcW w:w="66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160,568,749 common units if the underwriters do not exercise their option to purchase additional common units and 161,318,749 common units if the underwriters exercise their option to purchase additional common units in full.</w:t>
            </w:r>
          </w:p>
        </w:tc>
      </w:tr>
      <w:tr>
        <w:trPr>
          <w:trHeight w:val="120" w:hRule="atLeast"/>
        </w:trPr>
        <w:tc>
          <w:tcPr>
            <w:tcW w:w="3367" w:type="dxa"/>
            <w:tcBorders/>
            <w:shd w:fill="auto" w:val="clear"/>
            <w:vAlign w:val="center"/>
          </w:tcPr>
          <w:p>
            <w:pPr>
              <w:pStyle w:val="TableContents"/>
              <w:spacing w:before="0" w:after="283"/>
              <w:rPr>
                <w:sz w:val="4"/>
                <w:szCs w:val="4"/>
              </w:rPr>
            </w:pPr>
            <w:r>
              <w:rPr>
                <w:sz w:val="4"/>
                <w:szCs w:val="4"/>
              </w:rPr>
            </w:r>
          </w:p>
        </w:tc>
        <w:tc>
          <w:tcPr>
            <w:tcW w:w="683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rFonts w:ascii="Times New Roman" w:hAnsi="Times New Roman"/>
                <w:sz w:val="20"/>
              </w:rPr>
            </w:pPr>
            <w:r>
              <w:rPr>
                <w:rFonts w:ascii="Times New Roman" w:hAnsi="Times New Roman"/>
                <w:sz w:val="20"/>
              </w:rPr>
              <w:t>Use of proceeds</w:t>
            </w:r>
          </w:p>
        </w:tc>
        <w:tc>
          <w:tcPr>
            <w:tcW w:w="203" w:type="dxa"/>
            <w:tcBorders/>
            <w:shd w:fill="auto" w:val="clear"/>
            <w:vAlign w:val="bottom"/>
          </w:tcPr>
          <w:p>
            <w:pPr>
              <w:pStyle w:val="TableContents"/>
              <w:spacing w:before="0" w:after="283"/>
              <w:rPr/>
            </w:pPr>
            <w:r>
              <w:rPr/>
              <w:t>  </w:t>
            </w:r>
          </w:p>
        </w:tc>
        <w:tc>
          <w:tcPr>
            <w:tcW w:w="66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We intend to use the net proceeds from this offering of approximately $              million, including our general partners proportionate capital contribution and after deducting the underwriters discounts and commissions and estimated offering expenses, to fund a portion of the consideration for the BP NGL Acquisition. Pending the application of the net proceeds to fund the BP NGL Acquisition, we intend to repay all borrowings outstanding under the PAA credit facilities and use the balance for general partnership purposes. If the BP NGL Acquisition is not consummated for any reason, we will use the net proceeds for general partnership purposes, including future acquisitions and capital program expenditures.</w:t>
            </w:r>
          </w:p>
        </w:tc>
      </w:tr>
      <w:tr>
        <w:trPr>
          <w:trHeight w:val="120" w:hRule="atLeast"/>
        </w:trPr>
        <w:tc>
          <w:tcPr>
            <w:tcW w:w="3367" w:type="dxa"/>
            <w:tcBorders/>
            <w:shd w:fill="auto" w:val="clear"/>
            <w:vAlign w:val="center"/>
          </w:tcPr>
          <w:p>
            <w:pPr>
              <w:pStyle w:val="TableContents"/>
              <w:spacing w:before="0" w:after="283"/>
              <w:rPr>
                <w:sz w:val="4"/>
                <w:szCs w:val="4"/>
              </w:rPr>
            </w:pPr>
            <w:r>
              <w:rPr>
                <w:sz w:val="4"/>
                <w:szCs w:val="4"/>
              </w:rPr>
            </w:r>
          </w:p>
        </w:tc>
        <w:tc>
          <w:tcPr>
            <w:tcW w:w="683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rFonts w:ascii="Times New Roman" w:hAnsi="Times New Roman"/>
                <w:sz w:val="20"/>
              </w:rPr>
            </w:pPr>
            <w:r>
              <w:rPr>
                <w:rFonts w:ascii="Times New Roman" w:hAnsi="Times New Roman"/>
                <w:sz w:val="20"/>
              </w:rPr>
              <w:t>Cash distributions</w:t>
            </w:r>
          </w:p>
        </w:tc>
        <w:tc>
          <w:tcPr>
            <w:tcW w:w="203" w:type="dxa"/>
            <w:tcBorders/>
            <w:shd w:fill="auto" w:val="clear"/>
            <w:vAlign w:val="bottom"/>
          </w:tcPr>
          <w:p>
            <w:pPr>
              <w:pStyle w:val="TableContents"/>
              <w:spacing w:before="0" w:after="283"/>
              <w:rPr/>
            </w:pPr>
            <w:r>
              <w:rPr/>
              <w:t>  </w:t>
            </w:r>
          </w:p>
        </w:tc>
        <w:tc>
          <w:tcPr>
            <w:tcW w:w="663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Under our partnership agreement, we must distribute all of our cash on hand at the end of each quarter, less reserves established by our general partner in its discretion. We refer to this cash as available cash, and we define its meaning in our partnership agreement.</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Under the quarterly incentive distribution provisions in our partnership agreement, generally our general partner is entitled, following the distribution of our minimum quarterly distribution of $0.45 per common unit and without duplication, to 15% of amounts we distribute until each unitholder receives a total of $0.495 per common unit, 25% of amounts we distribute until each unitholder receives a total of $0.675 per common unit and 50% thereafter. For a description of our cash distribution policy, please read Cash Distribution Policy in the accompanying prospectus.</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On February 14, 2012, we paid a cash distribution of $1.0250 per unit ($4.10 per unit on an annualized basis) to holders of record of such units at the close of business on February 3, 2012. The distribution represented an increase of approximately 7.0% over the quarterly distribution of $0.9575 per unit ($3.83 per unit on an annualized basis) we paid in February 2011 and approximately 3.0% over the quarterly distribution of $0.9950 per unit ($3.98 per unit on an annualized basis) we paid in November 2011.</w:t>
            </w:r>
          </w:p>
        </w:tc>
      </w:tr>
      <w:tr>
        <w:trPr>
          <w:trHeight w:val="120" w:hRule="atLeast"/>
        </w:trPr>
        <w:tc>
          <w:tcPr>
            <w:tcW w:w="3367" w:type="dxa"/>
            <w:tcBorders/>
            <w:shd w:fill="auto" w:val="clear"/>
            <w:vAlign w:val="center"/>
          </w:tcPr>
          <w:p>
            <w:pPr>
              <w:pStyle w:val="TableContents"/>
              <w:spacing w:before="0" w:after="283"/>
              <w:rPr>
                <w:sz w:val="4"/>
                <w:szCs w:val="4"/>
              </w:rPr>
            </w:pPr>
            <w:r>
              <w:rPr>
                <w:sz w:val="4"/>
                <w:szCs w:val="4"/>
              </w:rPr>
            </w:r>
          </w:p>
        </w:tc>
        <w:tc>
          <w:tcPr>
            <w:tcW w:w="683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rFonts w:ascii="Times New Roman" w:hAnsi="Times New Roman"/>
                <w:sz w:val="20"/>
              </w:rPr>
            </w:pPr>
            <w:r>
              <w:rPr>
                <w:rFonts w:ascii="Times New Roman" w:hAnsi="Times New Roman"/>
                <w:sz w:val="20"/>
              </w:rPr>
              <w:t>Estimated ratio of taxable income to distributions</w:t>
            </w:r>
          </w:p>
        </w:tc>
        <w:tc>
          <w:tcPr>
            <w:tcW w:w="203" w:type="dxa"/>
            <w:tcBorders/>
            <w:shd w:fill="auto" w:val="clear"/>
            <w:vAlign w:val="bottom"/>
          </w:tcPr>
          <w:p>
            <w:pPr>
              <w:pStyle w:val="TableContents"/>
              <w:spacing w:before="0" w:after="283"/>
              <w:rPr/>
            </w:pPr>
            <w:r>
              <w:rPr/>
              <w:t>  </w:t>
            </w:r>
          </w:p>
        </w:tc>
        <w:tc>
          <w:tcPr>
            <w:tcW w:w="66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We estimate that if you own the common units you purchase in this offering through the record date for the distribution for the period ending December 31, 2014, you will be allocated, on a cumulative basis, an amount of federal taxable income for that period that will be less than 20% of the cash distributed to you with respect to that period. Please read Material U.S. Federal Income Tax Consequences in this prospectus supplement for the basis of this estimate.</w:t>
            </w:r>
          </w:p>
        </w:tc>
      </w:tr>
      <w:tr>
        <w:trPr>
          <w:trHeight w:val="120" w:hRule="atLeast"/>
        </w:trPr>
        <w:tc>
          <w:tcPr>
            <w:tcW w:w="3367" w:type="dxa"/>
            <w:tcBorders/>
            <w:shd w:fill="auto" w:val="clear"/>
            <w:vAlign w:val="center"/>
          </w:tcPr>
          <w:p>
            <w:pPr>
              <w:pStyle w:val="TableContents"/>
              <w:spacing w:before="0" w:after="283"/>
              <w:rPr>
                <w:sz w:val="4"/>
                <w:szCs w:val="4"/>
              </w:rPr>
            </w:pPr>
            <w:r>
              <w:rPr>
                <w:sz w:val="4"/>
                <w:szCs w:val="4"/>
              </w:rPr>
            </w:r>
          </w:p>
        </w:tc>
        <w:tc>
          <w:tcPr>
            <w:tcW w:w="683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rFonts w:ascii="Times New Roman" w:hAnsi="Times New Roman"/>
                <w:sz w:val="20"/>
              </w:rPr>
            </w:pPr>
            <w:r>
              <w:rPr>
                <w:rFonts w:ascii="Times New Roman" w:hAnsi="Times New Roman"/>
                <w:sz w:val="20"/>
              </w:rPr>
              <w:t>Conflicts of interest</w:t>
            </w:r>
          </w:p>
        </w:tc>
        <w:tc>
          <w:tcPr>
            <w:tcW w:w="203" w:type="dxa"/>
            <w:tcBorders/>
            <w:shd w:fill="auto" w:val="clear"/>
            <w:vAlign w:val="bottom"/>
          </w:tcPr>
          <w:p>
            <w:pPr>
              <w:pStyle w:val="TableContents"/>
              <w:spacing w:before="0" w:after="283"/>
              <w:rPr/>
            </w:pPr>
            <w:r>
              <w:rPr/>
              <w:t>  </w:t>
            </w:r>
          </w:p>
        </w:tc>
        <w:tc>
          <w:tcPr>
            <w:tcW w:w="66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Affiliates of certain of the underwriters are lenders under our credit facilities, and accordingly, may receive a portion of the proceeds from this offering pursuant to any repayment of borrowings under such facilities. Please read UnderwritingConflicts of Interest in this prospectus supplement for further information.</w:t>
            </w:r>
          </w:p>
        </w:tc>
      </w:tr>
      <w:tr>
        <w:trPr>
          <w:trHeight w:val="120" w:hRule="atLeast"/>
        </w:trPr>
        <w:tc>
          <w:tcPr>
            <w:tcW w:w="3367" w:type="dxa"/>
            <w:tcBorders/>
            <w:shd w:fill="auto" w:val="clear"/>
            <w:vAlign w:val="center"/>
          </w:tcPr>
          <w:p>
            <w:pPr>
              <w:pStyle w:val="TableContents"/>
              <w:spacing w:before="0" w:after="283"/>
              <w:rPr>
                <w:sz w:val="4"/>
                <w:szCs w:val="4"/>
              </w:rPr>
            </w:pPr>
            <w:r>
              <w:rPr>
                <w:sz w:val="4"/>
                <w:szCs w:val="4"/>
              </w:rPr>
            </w:r>
          </w:p>
        </w:tc>
        <w:tc>
          <w:tcPr>
            <w:tcW w:w="683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0"/>
              <w:rPr>
                <w:rFonts w:ascii="Times New Roman" w:hAnsi="Times New Roman"/>
                <w:sz w:val="20"/>
              </w:rPr>
            </w:pPr>
            <w:r>
              <w:rPr>
                <w:rFonts w:ascii="Times New Roman" w:hAnsi="Times New Roman"/>
                <w:sz w:val="20"/>
              </w:rPr>
              <w:t>New York Stock Exchange symbol</w:t>
            </w:r>
          </w:p>
          <w:p>
            <w:pPr>
              <w:pStyle w:val="TableContents"/>
              <w:spacing w:before="0" w:after="15"/>
              <w:rPr/>
            </w:pPr>
            <w:r>
              <w:rPr/>
              <w:t> </w:t>
            </w:r>
          </w:p>
        </w:tc>
        <w:tc>
          <w:tcPr>
            <w:tcW w:w="203" w:type="dxa"/>
            <w:tcBorders/>
            <w:shd w:fill="auto" w:val="clear"/>
            <w:vAlign w:val="bottom"/>
          </w:tcPr>
          <w:p>
            <w:pPr>
              <w:pStyle w:val="TableContents"/>
              <w:spacing w:before="0" w:after="283"/>
              <w:rPr/>
            </w:pPr>
            <w:r>
              <w:rPr/>
              <w:t>  </w:t>
            </w:r>
          </w:p>
        </w:tc>
        <w:tc>
          <w:tcPr>
            <w:tcW w:w="663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PAA.</w:t>
            </w:r>
          </w:p>
          <w:p>
            <w:pPr>
              <w:pStyle w:val="TableContents"/>
              <w:spacing w:before="0" w:after="15"/>
              <w:rPr/>
            </w:pPr>
            <w:r>
              <w:rPr/>
              <w:t> </w:t>
            </w:r>
          </w:p>
        </w:tc>
      </w:tr>
    </w:tbl>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7" w:name="supprom308566_5"/>
      <w:bookmarkEnd w:id="7"/>
      <w:r>
        <w:rPr>
          <w:rFonts w:ascii="Times New Roman" w:hAnsi="Times New Roman"/>
          <w:b/>
          <w:sz w:val="20"/>
        </w:rPr>
        <w:t xml:space="preserve">RISK FACTORS </w:t>
      </w:r>
    </w:p>
    <w:p>
      <w:pPr>
        <w:pStyle w:val="TextBody"/>
        <w:spacing w:before="180" w:after="0"/>
        <w:rPr>
          <w:rFonts w:ascii="Times New Roman" w:hAnsi="Times New Roman"/>
          <w:i/>
          <w:sz w:val="20"/>
        </w:rPr>
      </w:pPr>
      <w:r>
        <w:rPr>
          <w:rFonts w:ascii="Times New Roman" w:hAnsi="Times New Roman"/>
          <w:i/>
          <w:sz w:val="20"/>
        </w:rPr>
        <w:t xml:space="preserve">Before making an investment in the common units offered hereby, you should carefully consider the risk factors included in Item 1A. Risk Factors in our Annual Report on Form 10-K for the year ended December 31, 2011, which is incorporated in this prospectus supplement by reference, together with all of the other information included or incorporated by reference in this prospectus. If any of these risks were to occur, our business, financial condition or results of operations could be materially adversely affected. In such case, the trading price of our common units could decline, and you could lose all or part of your investment.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8" w:name="supprom308566_6"/>
      <w:bookmarkEnd w:id="8"/>
      <w:r>
        <w:rPr>
          <w:rFonts w:ascii="Times New Roman" w:hAnsi="Times New Roman"/>
          <w:b/>
          <w:sz w:val="20"/>
        </w:rPr>
        <w:t xml:space="preserve">USE OF PROCEEDS </w:t>
      </w:r>
    </w:p>
    <w:p>
      <w:pPr>
        <w:pStyle w:val="TextBody"/>
        <w:spacing w:before="180" w:after="0"/>
        <w:rPr>
          <w:rFonts w:ascii="Times New Roman" w:hAnsi="Times New Roman"/>
          <w:sz w:val="20"/>
        </w:rPr>
      </w:pPr>
      <w:r>
        <w:rPr>
          <w:rFonts w:ascii="Times New Roman" w:hAnsi="Times New Roman"/>
          <w:sz w:val="20"/>
        </w:rPr>
        <w:t xml:space="preserve">The net proceeds of this offering will be approximately $            million, including our general partners proportionate capital contribution, after deducting the underwriters discounts and commissions and estimated offering expenses. If the underwriters exercise their option to purchase additional common units in full, the net proceeds of this offering will be approximately $             million, including our general partners proportionate capital contribution. </w:t>
      </w:r>
    </w:p>
    <w:p>
      <w:pPr>
        <w:pStyle w:val="TextBody"/>
        <w:spacing w:before="180" w:after="0"/>
        <w:rPr>
          <w:rFonts w:ascii="Times New Roman" w:hAnsi="Times New Roman"/>
          <w:sz w:val="20"/>
        </w:rPr>
      </w:pPr>
      <w:r>
        <w:rPr>
          <w:rFonts w:ascii="Times New Roman" w:hAnsi="Times New Roman"/>
          <w:sz w:val="20"/>
        </w:rPr>
        <w:t xml:space="preserve">We intend to use the net proceeds of this offering (as well as the proceeds from any exercise of the underwriters option to purchase additional common units) to fund a portion of the consideration for the BP NGL Acquisition. Pending the application of the net proceeds to fund the BP NGL Acquisition, we intend to repay all borrowings outstanding under the PAA credit facilities and use the balance for general partnership purposes. If the BP NGL Acquisition is not consummated for any reason, we will use the net proceeds for general partnership purposes, including future acquisitions and capital program expenditures. </w:t>
      </w:r>
    </w:p>
    <w:p>
      <w:pPr>
        <w:pStyle w:val="TextBody"/>
        <w:spacing w:before="180" w:after="0"/>
        <w:rPr>
          <w:rFonts w:ascii="Times New Roman" w:hAnsi="Times New Roman"/>
          <w:sz w:val="20"/>
        </w:rPr>
      </w:pPr>
      <w:r>
        <w:rPr>
          <w:rFonts w:ascii="Times New Roman" w:hAnsi="Times New Roman"/>
          <w:sz w:val="20"/>
        </w:rPr>
        <w:t xml:space="preserve">We currently have sufficient available borrowing capacity under our revolving credit facilities to fund all of the consideration required to close the BP NGL Acquisition. </w:t>
      </w:r>
    </w:p>
    <w:p>
      <w:pPr>
        <w:pStyle w:val="TextBody"/>
        <w:spacing w:before="180" w:after="0"/>
        <w:rPr>
          <w:rFonts w:ascii="Times New Roman" w:hAnsi="Times New Roman"/>
          <w:sz w:val="20"/>
        </w:rPr>
      </w:pPr>
      <w:r>
        <w:rPr>
          <w:rFonts w:ascii="Times New Roman" w:hAnsi="Times New Roman"/>
          <w:sz w:val="20"/>
        </w:rPr>
        <w:t xml:space="preserve">As of March 2, 2012, we had approximately $30.3 million and $75.0 million of borrowings under our PAA revolving credit facility and our PAA senior secured hedged inventory facility, respectively, and the weighted average interest rate of each credit facility was approximately 2.6% and 1.4%, respectively. Our PAA revolving credit facility matures in August 2016, and our PAA senior secured hedged inventory facility matures in August 2013. </w:t>
      </w:r>
    </w:p>
    <w:p>
      <w:pPr>
        <w:pStyle w:val="TextBody"/>
        <w:spacing w:before="180" w:after="0"/>
        <w:rPr>
          <w:rFonts w:ascii="Times New Roman" w:hAnsi="Times New Roman"/>
          <w:sz w:val="20"/>
        </w:rPr>
      </w:pPr>
      <w:r>
        <w:rPr>
          <w:rFonts w:ascii="Times New Roman" w:hAnsi="Times New Roman"/>
          <w:sz w:val="20"/>
        </w:rPr>
        <w:t xml:space="preserve">Affiliates of certain of the underwriters are lenders under our credit facilities, and, accordingly, may receive a portion of the proceeds from this offering pursuant to any repayment of borrowings under such facilities. Please read UnderwritingConflicts of Interest in this prospectus supplement for further information.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9" w:name="supprom308566_7"/>
      <w:bookmarkEnd w:id="9"/>
      <w:r>
        <w:rPr>
          <w:rFonts w:ascii="Times New Roman" w:hAnsi="Times New Roman"/>
          <w:b/>
          <w:sz w:val="20"/>
        </w:rPr>
        <w:t xml:space="preserve">PRICE RANGE OF COMMON UNITS AND DISTRIBUTIONS </w:t>
      </w:r>
    </w:p>
    <w:p>
      <w:pPr>
        <w:pStyle w:val="TextBody"/>
        <w:spacing w:before="180" w:after="0"/>
        <w:rPr>
          <w:rFonts w:ascii="Times New Roman" w:hAnsi="Times New Roman"/>
          <w:sz w:val="20"/>
        </w:rPr>
      </w:pPr>
      <w:r>
        <w:rPr>
          <w:rFonts w:ascii="Times New Roman" w:hAnsi="Times New Roman"/>
          <w:sz w:val="20"/>
        </w:rPr>
        <w:t xml:space="preserve">As of March 2, 2012, we had 155,568,749 common units outstanding, held by approximately 159,000 holders, including common units held in street name. Our common units are traded on the New York Stock Exchange under the symbol PAA. </w:t>
      </w:r>
    </w:p>
    <w:p>
      <w:pPr>
        <w:pStyle w:val="TextBody"/>
        <w:spacing w:before="180" w:after="0"/>
        <w:rPr>
          <w:rFonts w:ascii="Times New Roman" w:hAnsi="Times New Roman"/>
          <w:sz w:val="20"/>
        </w:rPr>
      </w:pPr>
      <w:r>
        <w:rPr>
          <w:rFonts w:ascii="Times New Roman" w:hAnsi="Times New Roman"/>
          <w:sz w:val="20"/>
        </w:rPr>
        <w:t xml:space="preserve">The following table sets forth, for the periods indicated, the high and low sales prices for the common units, as reported on the New York Stock Exchange Composite Transactions Tape, and quarterly cash distributions declared per common unit. The last reported sale price of common units on the New York Stock Exchange on March 2, 2012 was $83.08 per common unit.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556"/>
        <w:gridCol w:w="404"/>
        <w:gridCol w:w="125"/>
        <w:gridCol w:w="489"/>
        <w:gridCol w:w="120"/>
        <w:gridCol w:w="404"/>
        <w:gridCol w:w="125"/>
        <w:gridCol w:w="489"/>
        <w:gridCol w:w="120"/>
        <w:gridCol w:w="404"/>
        <w:gridCol w:w="142"/>
        <w:gridCol w:w="697"/>
        <w:gridCol w:w="130"/>
      </w:tblGrid>
      <w:tr>
        <w:trPr/>
        <w:tc>
          <w:tcPr>
            <w:tcW w:w="6556"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r>
      <w:tr>
        <w:trPr/>
        <w:tc>
          <w:tcPr>
            <w:tcW w:w="6556"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1752" w:type="dxa"/>
            <w:gridSpan w:val="6"/>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Common Unit</w:t>
            </w:r>
            <w:r>
              <w:rPr/>
              <w:br/>
            </w:r>
            <w:r>
              <w:rPr>
                <w:rFonts w:ascii="Times New Roman" w:hAnsi="Times New Roman"/>
                <w:b/>
                <w:sz w:val="14"/>
              </w:rPr>
              <w:t>Price Range</w:t>
            </w:r>
          </w:p>
        </w:tc>
        <w:tc>
          <w:tcPr>
            <w:tcW w:w="120"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39" w:type="dxa"/>
            <w:gridSpan w:val="2"/>
            <w:vMerge w:val="restart"/>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Cash</w:t>
            </w:r>
            <w:r>
              <w:rPr/>
              <w:br/>
            </w:r>
            <w:r>
              <w:rPr>
                <w:rFonts w:ascii="Times New Roman" w:hAnsi="Times New Roman"/>
                <w:b/>
                <w:sz w:val="14"/>
              </w:rPr>
              <w:t>Distributions</w:t>
              <w:br/>
              <w:t>per Unit(1)</w:t>
            </w:r>
          </w:p>
        </w:tc>
        <w:tc>
          <w:tcPr>
            <w:tcW w:w="130" w:type="dxa"/>
            <w:vMerge w:val="restart"/>
            <w:tcBorders/>
            <w:shd w:fill="auto" w:val="clear"/>
            <w:vAlign w:val="bottom"/>
          </w:tcPr>
          <w:p>
            <w:pPr>
              <w:pStyle w:val="TableContents"/>
              <w:spacing w:before="0" w:after="283"/>
              <w:rPr/>
            </w:pPr>
            <w:r>
              <w:rPr/>
              <w:t> </w:t>
            </w:r>
          </w:p>
        </w:tc>
      </w:tr>
      <w:tr>
        <w:trPr/>
        <w:tc>
          <w:tcPr>
            <w:tcW w:w="6556"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61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High</w:t>
            </w:r>
          </w:p>
        </w:tc>
        <w:tc>
          <w:tcPr>
            <w:tcW w:w="120"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61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Low</w:t>
            </w:r>
          </w:p>
        </w:tc>
        <w:tc>
          <w:tcPr>
            <w:tcW w:w="120"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839" w:type="dxa"/>
            <w:gridSpan w:val="2"/>
            <w:vMerge w:val="continue"/>
            <w:tcBorders>
              <w:bottom w:val="single" w:sz="2" w:space="0" w:color="000000"/>
            </w:tcBorders>
            <w:shd w:fill="auto" w:val="clear"/>
            <w:tcMar>
              <w:bottom w:w="28" w:type="dxa"/>
            </w:tcMar>
            <w:vAlign w:val="bottom"/>
          </w:tcPr>
          <w:p>
            <w:pPr>
              <w:pStyle w:val="Normal"/>
              <w:rPr/>
            </w:pPr>
            <w:r>
              <w:rPr/>
            </w:r>
          </w:p>
        </w:tc>
        <w:tc>
          <w:tcPr>
            <w:tcW w:w="130" w:type="dxa"/>
            <w:vMerge w:val="continue"/>
            <w:tcBorders/>
            <w:shd w:fill="auto" w:val="clear"/>
            <w:vAlign w:val="bottom"/>
          </w:tcPr>
          <w:p>
            <w:pPr>
              <w:pStyle w:val="Normal"/>
              <w:rPr/>
            </w:pPr>
            <w:r>
              <w:rPr/>
            </w:r>
          </w:p>
        </w:tc>
      </w:tr>
      <w:tr>
        <w:trPr/>
        <w:tc>
          <w:tcPr>
            <w:tcW w:w="6556" w:type="dxa"/>
            <w:tcBorders/>
            <w:shd w:fill="CCEEFF" w:val="clear"/>
          </w:tcPr>
          <w:p>
            <w:pPr>
              <w:pStyle w:val="TableContents"/>
              <w:spacing w:before="0" w:after="283"/>
              <w:rPr>
                <w:rFonts w:ascii="Times New Roman" w:hAnsi="Times New Roman"/>
                <w:b/>
                <w:sz w:val="20"/>
              </w:rPr>
            </w:pPr>
            <w:r>
              <w:rPr>
                <w:rFonts w:ascii="Times New Roman" w:hAnsi="Times New Roman"/>
                <w:b/>
                <w:sz w:val="20"/>
              </w:rPr>
              <w:t>2010</w:t>
            </w:r>
          </w:p>
        </w:tc>
        <w:tc>
          <w:tcPr>
            <w:tcW w:w="4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489"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4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489"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404"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sz w:val="4"/>
                <w:szCs w:val="4"/>
              </w:rPr>
            </w:pPr>
            <w:r>
              <w:rPr>
                <w:sz w:val="4"/>
                <w:szCs w:val="4"/>
              </w:rPr>
            </w:r>
          </w:p>
        </w:tc>
        <w:tc>
          <w:tcPr>
            <w:tcW w:w="697"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r>
      <w:tr>
        <w:trPr/>
        <w:tc>
          <w:tcPr>
            <w:tcW w:w="6556" w:type="dxa"/>
            <w:tcBorders/>
            <w:shd w:fill="auto" w:val="clear"/>
          </w:tcPr>
          <w:p>
            <w:pPr>
              <w:pStyle w:val="TableContents"/>
              <w:spacing w:before="0" w:after="283"/>
              <w:rPr>
                <w:rFonts w:ascii="Times New Roman" w:hAnsi="Times New Roman"/>
                <w:sz w:val="20"/>
              </w:rPr>
            </w:pPr>
            <w:r>
              <w:rPr>
                <w:rFonts w:ascii="Times New Roman" w:hAnsi="Times New Roman"/>
                <w:sz w:val="20"/>
              </w:rPr>
              <w:t>First Quarter</w:t>
            </w:r>
          </w:p>
        </w:tc>
        <w:tc>
          <w:tcPr>
            <w:tcW w:w="4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57.11</w:t>
            </w:r>
          </w:p>
        </w:tc>
        <w:tc>
          <w:tcPr>
            <w:tcW w:w="120"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49.82</w:t>
            </w:r>
          </w:p>
        </w:tc>
        <w:tc>
          <w:tcPr>
            <w:tcW w:w="120"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0.9350</w:t>
            </w:r>
          </w:p>
        </w:tc>
        <w:tc>
          <w:tcPr>
            <w:tcW w:w="130" w:type="dxa"/>
            <w:tcBorders/>
            <w:shd w:fill="auto" w:val="clear"/>
            <w:vAlign w:val="bottom"/>
          </w:tcPr>
          <w:p>
            <w:pPr>
              <w:pStyle w:val="TableContents"/>
              <w:spacing w:before="0" w:after="283"/>
              <w:rPr/>
            </w:pPr>
            <w:r>
              <w:rPr/>
              <w:t>  </w:t>
            </w:r>
          </w:p>
        </w:tc>
      </w:tr>
      <w:tr>
        <w:trPr/>
        <w:tc>
          <w:tcPr>
            <w:tcW w:w="6556" w:type="dxa"/>
            <w:tcBorders/>
            <w:shd w:fill="CCEEFF" w:val="clear"/>
          </w:tcPr>
          <w:p>
            <w:pPr>
              <w:pStyle w:val="TableContents"/>
              <w:spacing w:before="0" w:after="283"/>
              <w:rPr>
                <w:rFonts w:ascii="Times New Roman" w:hAnsi="Times New Roman"/>
                <w:sz w:val="20"/>
              </w:rPr>
            </w:pPr>
            <w:r>
              <w:rPr>
                <w:rFonts w:ascii="Times New Roman" w:hAnsi="Times New Roman"/>
                <w:sz w:val="20"/>
              </w:rPr>
              <w:t>Second Quarter</w:t>
            </w:r>
          </w:p>
        </w:tc>
        <w:tc>
          <w:tcPr>
            <w:tcW w:w="4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60.06</w:t>
            </w:r>
          </w:p>
        </w:tc>
        <w:tc>
          <w:tcPr>
            <w:tcW w:w="120"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44.12</w:t>
            </w:r>
          </w:p>
        </w:tc>
        <w:tc>
          <w:tcPr>
            <w:tcW w:w="120"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0.9425</w:t>
            </w:r>
          </w:p>
        </w:tc>
        <w:tc>
          <w:tcPr>
            <w:tcW w:w="130" w:type="dxa"/>
            <w:tcBorders/>
            <w:shd w:fill="CCEEFF" w:val="clear"/>
            <w:vAlign w:val="bottom"/>
          </w:tcPr>
          <w:p>
            <w:pPr>
              <w:pStyle w:val="TableContents"/>
              <w:spacing w:before="0" w:after="283"/>
              <w:rPr/>
            </w:pPr>
            <w:r>
              <w:rPr/>
              <w:t>  </w:t>
            </w:r>
          </w:p>
        </w:tc>
      </w:tr>
      <w:tr>
        <w:trPr/>
        <w:tc>
          <w:tcPr>
            <w:tcW w:w="6556" w:type="dxa"/>
            <w:tcBorders/>
            <w:shd w:fill="auto" w:val="clear"/>
          </w:tcPr>
          <w:p>
            <w:pPr>
              <w:pStyle w:val="TableContents"/>
              <w:spacing w:before="0" w:after="283"/>
              <w:rPr>
                <w:rFonts w:ascii="Times New Roman" w:hAnsi="Times New Roman"/>
                <w:sz w:val="20"/>
              </w:rPr>
            </w:pPr>
            <w:r>
              <w:rPr>
                <w:rFonts w:ascii="Times New Roman" w:hAnsi="Times New Roman"/>
                <w:sz w:val="20"/>
              </w:rPr>
              <w:t>Third Quarter</w:t>
            </w:r>
          </w:p>
        </w:tc>
        <w:tc>
          <w:tcPr>
            <w:tcW w:w="4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64.21</w:t>
            </w:r>
          </w:p>
        </w:tc>
        <w:tc>
          <w:tcPr>
            <w:tcW w:w="120"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57.33</w:t>
            </w:r>
          </w:p>
        </w:tc>
        <w:tc>
          <w:tcPr>
            <w:tcW w:w="120"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0.9500</w:t>
            </w:r>
          </w:p>
        </w:tc>
        <w:tc>
          <w:tcPr>
            <w:tcW w:w="130" w:type="dxa"/>
            <w:tcBorders/>
            <w:shd w:fill="auto" w:val="clear"/>
            <w:vAlign w:val="bottom"/>
          </w:tcPr>
          <w:p>
            <w:pPr>
              <w:pStyle w:val="TableContents"/>
              <w:spacing w:before="0" w:after="283"/>
              <w:rPr/>
            </w:pPr>
            <w:r>
              <w:rPr/>
              <w:t>  </w:t>
            </w:r>
          </w:p>
        </w:tc>
      </w:tr>
      <w:tr>
        <w:trPr/>
        <w:tc>
          <w:tcPr>
            <w:tcW w:w="6556" w:type="dxa"/>
            <w:tcBorders/>
            <w:shd w:fill="CCEEFF" w:val="clear"/>
          </w:tcPr>
          <w:p>
            <w:pPr>
              <w:pStyle w:val="TableContents"/>
              <w:spacing w:before="0" w:after="283"/>
              <w:rPr>
                <w:rFonts w:ascii="Times New Roman" w:hAnsi="Times New Roman"/>
                <w:sz w:val="20"/>
              </w:rPr>
            </w:pPr>
            <w:r>
              <w:rPr>
                <w:rFonts w:ascii="Times New Roman" w:hAnsi="Times New Roman"/>
                <w:sz w:val="20"/>
              </w:rPr>
              <w:t>Fourth Quarter</w:t>
            </w:r>
          </w:p>
        </w:tc>
        <w:tc>
          <w:tcPr>
            <w:tcW w:w="4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65.20</w:t>
            </w:r>
          </w:p>
        </w:tc>
        <w:tc>
          <w:tcPr>
            <w:tcW w:w="120"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60.91</w:t>
            </w:r>
          </w:p>
        </w:tc>
        <w:tc>
          <w:tcPr>
            <w:tcW w:w="120"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0.9575</w:t>
            </w:r>
          </w:p>
        </w:tc>
        <w:tc>
          <w:tcPr>
            <w:tcW w:w="130" w:type="dxa"/>
            <w:tcBorders/>
            <w:shd w:fill="CCEEFF" w:val="clear"/>
            <w:vAlign w:val="bottom"/>
          </w:tcPr>
          <w:p>
            <w:pPr>
              <w:pStyle w:val="TableContents"/>
              <w:spacing w:before="0" w:after="283"/>
              <w:rPr/>
            </w:pPr>
            <w:r>
              <w:rPr/>
              <w:t>  </w:t>
            </w:r>
          </w:p>
        </w:tc>
      </w:tr>
      <w:tr>
        <w:trPr/>
        <w:tc>
          <w:tcPr>
            <w:tcW w:w="6556" w:type="dxa"/>
            <w:tcBorders/>
            <w:shd w:fill="auto" w:val="clear"/>
          </w:tcPr>
          <w:p>
            <w:pPr>
              <w:pStyle w:val="TableContents"/>
              <w:spacing w:before="0" w:after="283"/>
              <w:rPr>
                <w:rFonts w:ascii="Times New Roman" w:hAnsi="Times New Roman"/>
                <w:b/>
                <w:sz w:val="20"/>
              </w:rPr>
            </w:pPr>
            <w:r>
              <w:rPr>
                <w:rFonts w:ascii="Times New Roman" w:hAnsi="Times New Roman"/>
                <w:b/>
                <w:sz w:val="20"/>
              </w:rPr>
              <w:t>2011</w:t>
            </w:r>
          </w:p>
        </w:tc>
        <w:tc>
          <w:tcPr>
            <w:tcW w:w="4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489"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489"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0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697"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r>
      <w:tr>
        <w:trPr/>
        <w:tc>
          <w:tcPr>
            <w:tcW w:w="6556" w:type="dxa"/>
            <w:tcBorders/>
            <w:shd w:fill="CCEEFF" w:val="clear"/>
          </w:tcPr>
          <w:p>
            <w:pPr>
              <w:pStyle w:val="TableContents"/>
              <w:spacing w:before="0" w:after="283"/>
              <w:rPr>
                <w:rFonts w:ascii="Times New Roman" w:hAnsi="Times New Roman"/>
                <w:sz w:val="20"/>
              </w:rPr>
            </w:pPr>
            <w:r>
              <w:rPr>
                <w:rFonts w:ascii="Times New Roman" w:hAnsi="Times New Roman"/>
                <w:sz w:val="20"/>
              </w:rPr>
              <w:t>First Quarter</w:t>
            </w:r>
          </w:p>
        </w:tc>
        <w:tc>
          <w:tcPr>
            <w:tcW w:w="4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65.96</w:t>
            </w:r>
          </w:p>
        </w:tc>
        <w:tc>
          <w:tcPr>
            <w:tcW w:w="120"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60.21</w:t>
            </w:r>
          </w:p>
        </w:tc>
        <w:tc>
          <w:tcPr>
            <w:tcW w:w="120"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0.9700</w:t>
            </w:r>
          </w:p>
        </w:tc>
        <w:tc>
          <w:tcPr>
            <w:tcW w:w="130" w:type="dxa"/>
            <w:tcBorders/>
            <w:shd w:fill="CCEEFF" w:val="clear"/>
            <w:vAlign w:val="bottom"/>
          </w:tcPr>
          <w:p>
            <w:pPr>
              <w:pStyle w:val="TableContents"/>
              <w:spacing w:before="0" w:after="283"/>
              <w:rPr/>
            </w:pPr>
            <w:r>
              <w:rPr/>
              <w:t>  </w:t>
            </w:r>
          </w:p>
        </w:tc>
      </w:tr>
      <w:tr>
        <w:trPr/>
        <w:tc>
          <w:tcPr>
            <w:tcW w:w="6556" w:type="dxa"/>
            <w:tcBorders/>
            <w:shd w:fill="auto" w:val="clear"/>
          </w:tcPr>
          <w:p>
            <w:pPr>
              <w:pStyle w:val="TableContents"/>
              <w:spacing w:before="0" w:after="283"/>
              <w:rPr>
                <w:rFonts w:ascii="Times New Roman" w:hAnsi="Times New Roman"/>
                <w:sz w:val="20"/>
              </w:rPr>
            </w:pPr>
            <w:r>
              <w:rPr>
                <w:rFonts w:ascii="Times New Roman" w:hAnsi="Times New Roman"/>
                <w:sz w:val="20"/>
              </w:rPr>
              <w:t>Second Quarter</w:t>
            </w:r>
          </w:p>
        </w:tc>
        <w:tc>
          <w:tcPr>
            <w:tcW w:w="4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65.69</w:t>
            </w:r>
          </w:p>
        </w:tc>
        <w:tc>
          <w:tcPr>
            <w:tcW w:w="120"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57.80</w:t>
            </w:r>
          </w:p>
        </w:tc>
        <w:tc>
          <w:tcPr>
            <w:tcW w:w="120"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0.9825</w:t>
            </w:r>
          </w:p>
        </w:tc>
        <w:tc>
          <w:tcPr>
            <w:tcW w:w="130" w:type="dxa"/>
            <w:tcBorders/>
            <w:shd w:fill="auto" w:val="clear"/>
            <w:vAlign w:val="bottom"/>
          </w:tcPr>
          <w:p>
            <w:pPr>
              <w:pStyle w:val="TableContents"/>
              <w:spacing w:before="0" w:after="283"/>
              <w:rPr/>
            </w:pPr>
            <w:r>
              <w:rPr/>
              <w:t>  </w:t>
            </w:r>
          </w:p>
        </w:tc>
      </w:tr>
      <w:tr>
        <w:trPr/>
        <w:tc>
          <w:tcPr>
            <w:tcW w:w="6556" w:type="dxa"/>
            <w:tcBorders/>
            <w:shd w:fill="CCEEFF" w:val="clear"/>
          </w:tcPr>
          <w:p>
            <w:pPr>
              <w:pStyle w:val="TableContents"/>
              <w:spacing w:before="0" w:after="283"/>
              <w:rPr>
                <w:rFonts w:ascii="Times New Roman" w:hAnsi="Times New Roman"/>
                <w:sz w:val="20"/>
              </w:rPr>
            </w:pPr>
            <w:r>
              <w:rPr>
                <w:rFonts w:ascii="Times New Roman" w:hAnsi="Times New Roman"/>
                <w:sz w:val="20"/>
              </w:rPr>
              <w:t>Third Quarter</w:t>
            </w:r>
          </w:p>
        </w:tc>
        <w:tc>
          <w:tcPr>
            <w:tcW w:w="4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64.98</w:t>
            </w:r>
          </w:p>
        </w:tc>
        <w:tc>
          <w:tcPr>
            <w:tcW w:w="120"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56.41</w:t>
            </w:r>
          </w:p>
        </w:tc>
        <w:tc>
          <w:tcPr>
            <w:tcW w:w="120"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0.9950</w:t>
            </w:r>
          </w:p>
        </w:tc>
        <w:tc>
          <w:tcPr>
            <w:tcW w:w="130" w:type="dxa"/>
            <w:tcBorders/>
            <w:shd w:fill="CCEEFF" w:val="clear"/>
            <w:vAlign w:val="bottom"/>
          </w:tcPr>
          <w:p>
            <w:pPr>
              <w:pStyle w:val="TableContents"/>
              <w:spacing w:before="0" w:after="283"/>
              <w:rPr/>
            </w:pPr>
            <w:r>
              <w:rPr/>
              <w:t>  </w:t>
            </w:r>
          </w:p>
        </w:tc>
      </w:tr>
      <w:tr>
        <w:trPr/>
        <w:tc>
          <w:tcPr>
            <w:tcW w:w="6556" w:type="dxa"/>
            <w:tcBorders/>
            <w:shd w:fill="auto" w:val="clear"/>
          </w:tcPr>
          <w:p>
            <w:pPr>
              <w:pStyle w:val="TableContents"/>
              <w:spacing w:before="0" w:after="283"/>
              <w:rPr>
                <w:rFonts w:ascii="Times New Roman" w:hAnsi="Times New Roman"/>
                <w:sz w:val="20"/>
              </w:rPr>
            </w:pPr>
            <w:r>
              <w:rPr>
                <w:rFonts w:ascii="Times New Roman" w:hAnsi="Times New Roman"/>
                <w:sz w:val="20"/>
              </w:rPr>
              <w:t>Fourth Quarter</w:t>
            </w:r>
          </w:p>
        </w:tc>
        <w:tc>
          <w:tcPr>
            <w:tcW w:w="4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73.55</w:t>
            </w:r>
          </w:p>
        </w:tc>
        <w:tc>
          <w:tcPr>
            <w:tcW w:w="120"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54.90</w:t>
            </w:r>
          </w:p>
        </w:tc>
        <w:tc>
          <w:tcPr>
            <w:tcW w:w="120"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1.0250</w:t>
            </w:r>
          </w:p>
        </w:tc>
        <w:tc>
          <w:tcPr>
            <w:tcW w:w="130" w:type="dxa"/>
            <w:tcBorders/>
            <w:shd w:fill="auto" w:val="clear"/>
            <w:vAlign w:val="bottom"/>
          </w:tcPr>
          <w:p>
            <w:pPr>
              <w:pStyle w:val="TableContents"/>
              <w:spacing w:before="0" w:after="283"/>
              <w:rPr/>
            </w:pPr>
            <w:r>
              <w:rPr/>
              <w:t>  </w:t>
            </w:r>
          </w:p>
        </w:tc>
      </w:tr>
      <w:tr>
        <w:trPr/>
        <w:tc>
          <w:tcPr>
            <w:tcW w:w="6556" w:type="dxa"/>
            <w:tcBorders/>
            <w:shd w:fill="CCEEFF" w:val="clear"/>
          </w:tcPr>
          <w:p>
            <w:pPr>
              <w:pStyle w:val="TableContents"/>
              <w:spacing w:before="0" w:after="283"/>
              <w:rPr>
                <w:rFonts w:ascii="Times New Roman" w:hAnsi="Times New Roman"/>
                <w:b/>
                <w:sz w:val="20"/>
              </w:rPr>
            </w:pPr>
            <w:r>
              <w:rPr>
                <w:rFonts w:ascii="Times New Roman" w:hAnsi="Times New Roman"/>
                <w:b/>
                <w:sz w:val="20"/>
              </w:rPr>
              <w:t>2012</w:t>
            </w:r>
          </w:p>
        </w:tc>
        <w:tc>
          <w:tcPr>
            <w:tcW w:w="4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489"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4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489"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404"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sz w:val="4"/>
                <w:szCs w:val="4"/>
              </w:rPr>
            </w:pPr>
            <w:r>
              <w:rPr>
                <w:sz w:val="4"/>
                <w:szCs w:val="4"/>
              </w:rPr>
            </w:r>
          </w:p>
        </w:tc>
        <w:tc>
          <w:tcPr>
            <w:tcW w:w="697"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r>
      <w:tr>
        <w:trPr/>
        <w:tc>
          <w:tcPr>
            <w:tcW w:w="6556" w:type="dxa"/>
            <w:tcBorders/>
            <w:shd w:fill="auto" w:val="clear"/>
          </w:tcPr>
          <w:p>
            <w:pPr>
              <w:pStyle w:val="TableContents"/>
              <w:spacing w:before="0" w:after="283"/>
              <w:rPr>
                <w:rFonts w:ascii="Times New Roman" w:hAnsi="Times New Roman"/>
                <w:sz w:val="20"/>
              </w:rPr>
            </w:pPr>
            <w:r>
              <w:rPr>
                <w:rFonts w:ascii="Times New Roman" w:hAnsi="Times New Roman"/>
                <w:sz w:val="20"/>
              </w:rPr>
              <w:t>First Quarter (through March 2, 2012)</w:t>
            </w:r>
          </w:p>
        </w:tc>
        <w:tc>
          <w:tcPr>
            <w:tcW w:w="4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84.48</w:t>
            </w:r>
          </w:p>
        </w:tc>
        <w:tc>
          <w:tcPr>
            <w:tcW w:w="120"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69.48</w:t>
            </w:r>
          </w:p>
        </w:tc>
        <w:tc>
          <w:tcPr>
            <w:tcW w:w="120"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(1) </w:t>
            </w:r>
          </w:p>
        </w:tc>
        <w:tc>
          <w:tcPr>
            <w:tcW w:w="9900"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 xml:space="preserve">Represents cash distributions attributable to the quarter and paid within 45 days after the quarter end. </w:t>
            </w:r>
          </w:p>
        </w:tc>
      </w:tr>
    </w:tbl>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 xml:space="preserve">(2)  </w:t>
            </w:r>
          </w:p>
        </w:tc>
        <w:tc>
          <w:tcPr>
            <w:tcW w:w="9900"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 xml:space="preserve">Cash distributions in respect of the first quarter of 2012 have not been declared or paid.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0" w:name="supprom308566_8"/>
      <w:bookmarkEnd w:id="10"/>
      <w:r>
        <w:rPr>
          <w:rFonts w:ascii="Times New Roman" w:hAnsi="Times New Roman"/>
          <w:b/>
          <w:sz w:val="20"/>
        </w:rPr>
        <w:t xml:space="preserve">CAPITALIZATION </w:t>
      </w:r>
    </w:p>
    <w:p>
      <w:pPr>
        <w:pStyle w:val="TextBody"/>
        <w:spacing w:before="180" w:after="0"/>
        <w:rPr>
          <w:rFonts w:ascii="Times New Roman" w:hAnsi="Times New Roman"/>
          <w:sz w:val="20"/>
        </w:rPr>
      </w:pPr>
      <w:r>
        <w:rPr>
          <w:rFonts w:ascii="Times New Roman" w:hAnsi="Times New Roman"/>
          <w:sz w:val="20"/>
        </w:rPr>
        <w:t xml:space="preserve">The following table sets forth our capitalization as of December 31, 2011: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on a historical basis;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on an as adjusted basis to give effect to the closing of the BP NGL Acquisition, assuming such acquisition is funded by borrowings under our credit facilities;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3"/>
        <w:gridCol w:w="101"/>
        <w:gridCol w:w="9493"/>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on an as further adjusted basis to give effect to the sale of the common units offered hereby and the application of the net proceeds therefrom as described under Use of Proceeds and our general partners proportionate capital contribution, net of offering expenses. </w:t>
            </w:r>
          </w:p>
        </w:tc>
      </w:tr>
    </w:tbl>
    <w:p>
      <w:pPr>
        <w:pStyle w:val="TextBody"/>
        <w:spacing w:before="180" w:after="0"/>
        <w:rPr>
          <w:rFonts w:ascii="Times New Roman" w:hAnsi="Times New Roman"/>
          <w:sz w:val="20"/>
        </w:rPr>
      </w:pPr>
      <w:r>
        <w:rPr>
          <w:rFonts w:ascii="Times New Roman" w:hAnsi="Times New Roman"/>
          <w:sz w:val="20"/>
        </w:rPr>
        <w:t xml:space="preserve">This table should also be read in conjunction with our financial statements and the notes thereto that are incorporated by reference into this prospectus supplement. As of March 2, 2012, we had approximately $30.3 million and $75.0 million outstanding under our PAA revolving credit facility and our PAA senior secured hedged inventory facility, respectively.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271"/>
        <w:gridCol w:w="455"/>
        <w:gridCol w:w="125"/>
        <w:gridCol w:w="647"/>
        <w:gridCol w:w="120"/>
        <w:gridCol w:w="455"/>
        <w:gridCol w:w="126"/>
        <w:gridCol w:w="653"/>
        <w:gridCol w:w="120"/>
        <w:gridCol w:w="454"/>
        <w:gridCol w:w="133"/>
        <w:gridCol w:w="520"/>
        <w:gridCol w:w="126"/>
      </w:tblGrid>
      <w:tr>
        <w:trPr/>
        <w:tc>
          <w:tcPr>
            <w:tcW w:w="6271"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r>
      <w:tr>
        <w:trPr/>
        <w:tc>
          <w:tcPr>
            <w:tcW w:w="6271"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3353" w:type="dxa"/>
            <w:gridSpan w:val="10"/>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December 31, 2011</w:t>
            </w:r>
          </w:p>
        </w:tc>
        <w:tc>
          <w:tcPr>
            <w:tcW w:w="126" w:type="dxa"/>
            <w:tcBorders/>
            <w:shd w:fill="auto" w:val="clear"/>
            <w:vAlign w:val="bottom"/>
          </w:tcPr>
          <w:p>
            <w:pPr>
              <w:pStyle w:val="TableContents"/>
              <w:spacing w:before="0" w:after="283"/>
              <w:rPr/>
            </w:pPr>
            <w:r>
              <w:rPr/>
              <w:t> </w:t>
            </w:r>
          </w:p>
        </w:tc>
      </w:tr>
      <w:tr>
        <w:trPr/>
        <w:tc>
          <w:tcPr>
            <w:tcW w:w="6271"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77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Historical</w:t>
            </w:r>
          </w:p>
        </w:tc>
        <w:tc>
          <w:tcPr>
            <w:tcW w:w="120"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77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As Adjusted</w:t>
            </w:r>
          </w:p>
        </w:tc>
        <w:tc>
          <w:tcPr>
            <w:tcW w:w="120"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65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As Further</w:t>
              <w:br/>
              <w:t>Adjusted</w:t>
            </w:r>
          </w:p>
        </w:tc>
        <w:tc>
          <w:tcPr>
            <w:tcW w:w="126" w:type="dxa"/>
            <w:tcBorders/>
            <w:shd w:fill="auto" w:val="clear"/>
            <w:vAlign w:val="bottom"/>
          </w:tcPr>
          <w:p>
            <w:pPr>
              <w:pStyle w:val="TableContents"/>
              <w:spacing w:before="0" w:after="283"/>
              <w:rPr/>
            </w:pPr>
            <w:r>
              <w:rPr/>
              <w:t> </w:t>
            </w:r>
          </w:p>
        </w:tc>
      </w:tr>
      <w:tr>
        <w:trPr/>
        <w:tc>
          <w:tcPr>
            <w:tcW w:w="6271"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3353" w:type="dxa"/>
            <w:gridSpan w:val="10"/>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millions)</w:t>
            </w:r>
          </w:p>
        </w:tc>
        <w:tc>
          <w:tcPr>
            <w:tcW w:w="126" w:type="dxa"/>
            <w:tcBorders/>
            <w:shd w:fill="auto" w:val="clear"/>
            <w:vAlign w:val="bottom"/>
          </w:tcPr>
          <w:p>
            <w:pPr>
              <w:pStyle w:val="TableContents"/>
              <w:spacing w:before="0" w:after="283"/>
              <w:rPr/>
            </w:pPr>
            <w:r>
              <w:rPr/>
              <w:t> </w:t>
            </w:r>
          </w:p>
        </w:tc>
      </w:tr>
      <w:tr>
        <w:trPr/>
        <w:tc>
          <w:tcPr>
            <w:tcW w:w="6271" w:type="dxa"/>
            <w:tcBorders/>
            <w:shd w:fill="CCEEFF" w:val="clear"/>
          </w:tcPr>
          <w:p>
            <w:pPr>
              <w:pStyle w:val="TableContents"/>
              <w:spacing w:before="0" w:after="283"/>
              <w:rPr>
                <w:rFonts w:ascii="Times New Roman" w:hAnsi="Times New Roman"/>
                <w:b/>
                <w:sz w:val="20"/>
              </w:rPr>
            </w:pPr>
            <w:r>
              <w:rPr>
                <w:rFonts w:ascii="Times New Roman" w:hAnsi="Times New Roman"/>
                <w:b/>
                <w:sz w:val="20"/>
              </w:rPr>
              <w:t>CASH AND CASH EQUIVALENTS</w:t>
            </w:r>
          </w:p>
        </w:tc>
        <w:tc>
          <w:tcPr>
            <w:tcW w:w="4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120"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120" w:type="dxa"/>
            <w:tcBorders/>
            <w:shd w:fill="CCEEFF" w:val="clear"/>
            <w:vAlign w:val="bottom"/>
          </w:tcPr>
          <w:p>
            <w:pPr>
              <w:pStyle w:val="TableContents"/>
              <w:spacing w:before="0" w:after="283"/>
              <w:rPr/>
            </w:pPr>
            <w:r>
              <w:rPr/>
              <w:t>  </w:t>
            </w:r>
          </w:p>
        </w:tc>
        <w:tc>
          <w:tcPr>
            <w:tcW w:w="45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126" w:type="dxa"/>
            <w:tcBorders/>
            <w:shd w:fill="CCEEFF" w:val="clear"/>
            <w:vAlign w:val="bottom"/>
          </w:tcPr>
          <w:p>
            <w:pPr>
              <w:pStyle w:val="TableContents"/>
              <w:spacing w:before="0" w:after="283"/>
              <w:rPr/>
            </w:pPr>
            <w:r>
              <w:rPr/>
              <w:t>  </w:t>
            </w:r>
          </w:p>
        </w:tc>
      </w:tr>
      <w:tr>
        <w:trPr/>
        <w:tc>
          <w:tcPr>
            <w:tcW w:w="6271" w:type="dxa"/>
            <w:tcBorders/>
            <w:shd w:fill="auto" w:val="clear"/>
            <w:vAlign w:val="bottom"/>
          </w:tcPr>
          <w:p>
            <w:pPr>
              <w:pStyle w:val="TableContents"/>
              <w:spacing w:before="0" w:after="283"/>
              <w:rPr>
                <w:sz w:val="4"/>
                <w:szCs w:val="4"/>
              </w:rPr>
            </w:pPr>
            <w:r>
              <w:rPr>
                <w:sz w:val="4"/>
                <w:szCs w:val="4"/>
              </w:rPr>
            </w:r>
          </w:p>
        </w:tc>
        <w:tc>
          <w:tcPr>
            <w:tcW w:w="4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47"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double" w:sz="6" w:space="1" w:color="000000"/>
              </w:pBdr>
              <w:spacing w:before="0" w:after="283"/>
              <w:rPr/>
            </w:pPr>
            <w:r>
              <w:rPr/>
              <w:t> </w:t>
            </w:r>
          </w:p>
        </w:tc>
        <w:tc>
          <w:tcPr>
            <w:tcW w:w="653"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pBdr>
                <w:top w:val="double" w:sz="6" w:space="1" w:color="000000"/>
              </w:pBdr>
              <w:spacing w:before="0" w:after="283"/>
              <w:rPr/>
            </w:pPr>
            <w:r>
              <w:rPr/>
              <w:t> </w:t>
            </w:r>
          </w:p>
        </w:tc>
        <w:tc>
          <w:tcPr>
            <w:tcW w:w="520" w:type="dxa"/>
            <w:tcBorders/>
            <w:shd w:fill="auto" w:val="clear"/>
            <w:vAlign w:val="bottom"/>
          </w:tcPr>
          <w:p>
            <w:pPr>
              <w:pStyle w:val="TableContents"/>
              <w:pBdr>
                <w:top w:val="double" w:sz="6" w:space="1" w:color="000000"/>
              </w:pBdr>
              <w:spacing w:before="0" w:after="283"/>
              <w:rPr/>
            </w:pPr>
            <w:r>
              <w:rPr/>
              <w:t> </w:t>
            </w:r>
          </w:p>
        </w:tc>
        <w:tc>
          <w:tcPr>
            <w:tcW w:w="126" w:type="dxa"/>
            <w:tcBorders/>
            <w:shd w:fill="auto" w:val="clear"/>
            <w:vAlign w:val="center"/>
          </w:tcPr>
          <w:p>
            <w:pPr>
              <w:pStyle w:val="TableContents"/>
              <w:spacing w:before="0" w:after="283"/>
              <w:rPr/>
            </w:pPr>
            <w:r>
              <w:rPr/>
              <w:t> </w:t>
            </w:r>
          </w:p>
        </w:tc>
      </w:tr>
      <w:tr>
        <w:trPr/>
        <w:tc>
          <w:tcPr>
            <w:tcW w:w="6271" w:type="dxa"/>
            <w:tcBorders/>
            <w:shd w:fill="auto" w:val="clear"/>
          </w:tcPr>
          <w:p>
            <w:pPr>
              <w:pStyle w:val="TableContents"/>
              <w:spacing w:before="0" w:after="283"/>
              <w:rPr>
                <w:rFonts w:ascii="Times New Roman" w:hAnsi="Times New Roman"/>
                <w:b/>
                <w:sz w:val="20"/>
              </w:rPr>
            </w:pPr>
            <w:r>
              <w:rPr>
                <w:rFonts w:ascii="Times New Roman" w:hAnsi="Times New Roman"/>
                <w:b/>
                <w:sz w:val="20"/>
              </w:rPr>
              <w:t>SHORT-TERM DEBT</w:t>
            </w:r>
          </w:p>
        </w:tc>
        <w:tc>
          <w:tcPr>
            <w:tcW w:w="4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47"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5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653"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5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sz w:val="4"/>
                <w:szCs w:val="4"/>
              </w:rPr>
            </w:pPr>
            <w:r>
              <w:rPr>
                <w:sz w:val="4"/>
                <w:szCs w:val="4"/>
              </w:rPr>
            </w:r>
          </w:p>
        </w:tc>
        <w:tc>
          <w:tcPr>
            <w:tcW w:w="520"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r>
      <w:tr>
        <w:trPr/>
        <w:tc>
          <w:tcPr>
            <w:tcW w:w="6271" w:type="dxa"/>
            <w:tcBorders/>
            <w:shd w:fill="CCEEFF" w:val="clear"/>
          </w:tcPr>
          <w:p>
            <w:pPr>
              <w:pStyle w:val="TableContents"/>
              <w:spacing w:before="0" w:after="283"/>
              <w:rPr>
                <w:rFonts w:ascii="Times New Roman" w:hAnsi="Times New Roman"/>
                <w:sz w:val="20"/>
              </w:rPr>
            </w:pPr>
            <w:r>
              <w:rPr>
                <w:rFonts w:ascii="Times New Roman" w:hAnsi="Times New Roman"/>
                <w:sz w:val="20"/>
              </w:rPr>
              <w:t>PAA senior secured hedged inventory facility</w:t>
            </w:r>
          </w:p>
        </w:tc>
        <w:tc>
          <w:tcPr>
            <w:tcW w:w="4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w:t>
            </w:r>
          </w:p>
        </w:tc>
        <w:tc>
          <w:tcPr>
            <w:tcW w:w="120"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w:t>
            </w:r>
          </w:p>
        </w:tc>
        <w:tc>
          <w:tcPr>
            <w:tcW w:w="120" w:type="dxa"/>
            <w:tcBorders/>
            <w:shd w:fill="CCEEFF" w:val="clear"/>
            <w:vAlign w:val="bottom"/>
          </w:tcPr>
          <w:p>
            <w:pPr>
              <w:pStyle w:val="TableContents"/>
              <w:spacing w:before="0" w:after="283"/>
              <w:rPr/>
            </w:pPr>
            <w:r>
              <w:rPr/>
              <w:t>  </w:t>
            </w:r>
          </w:p>
        </w:tc>
        <w:tc>
          <w:tcPr>
            <w:tcW w:w="45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w:t>
            </w:r>
          </w:p>
        </w:tc>
        <w:tc>
          <w:tcPr>
            <w:tcW w:w="126" w:type="dxa"/>
            <w:tcBorders/>
            <w:shd w:fill="CCEEFF" w:val="clear"/>
            <w:vAlign w:val="bottom"/>
          </w:tcPr>
          <w:p>
            <w:pPr>
              <w:pStyle w:val="TableContents"/>
              <w:spacing w:before="0" w:after="283"/>
              <w:rPr/>
            </w:pPr>
            <w:r>
              <w:rPr/>
              <w:t>  </w:t>
            </w:r>
          </w:p>
        </w:tc>
      </w:tr>
      <w:tr>
        <w:trPr/>
        <w:tc>
          <w:tcPr>
            <w:tcW w:w="6271" w:type="dxa"/>
            <w:tcBorders/>
            <w:shd w:fill="auto" w:val="clear"/>
          </w:tcPr>
          <w:p>
            <w:pPr>
              <w:pStyle w:val="TableContents"/>
              <w:spacing w:before="0" w:after="283"/>
              <w:rPr/>
            </w:pPr>
            <w:r>
              <w:rPr>
                <w:rFonts w:ascii="Times New Roman" w:hAnsi="Times New Roman"/>
                <w:sz w:val="20"/>
              </w:rPr>
              <w:t xml:space="preserve">PAA senior unsecured revolving credit facility </w:t>
            </w:r>
            <w:r>
              <w:rPr>
                <w:rFonts w:ascii="Times New Roman" w:hAnsi="Times New Roman"/>
                <w:sz w:val="14"/>
              </w:rPr>
              <w:t>(1)(3)</w:t>
            </w:r>
          </w:p>
        </w:tc>
        <w:tc>
          <w:tcPr>
            <w:tcW w:w="4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w:t>
            </w:r>
          </w:p>
        </w:tc>
        <w:tc>
          <w:tcPr>
            <w:tcW w:w="120"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332</w:t>
            </w:r>
          </w:p>
        </w:tc>
        <w:tc>
          <w:tcPr>
            <w:tcW w:w="120"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5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332</w:t>
            </w:r>
          </w:p>
        </w:tc>
        <w:tc>
          <w:tcPr>
            <w:tcW w:w="126" w:type="dxa"/>
            <w:tcBorders/>
            <w:shd w:fill="auto" w:val="clear"/>
            <w:vAlign w:val="bottom"/>
          </w:tcPr>
          <w:p>
            <w:pPr>
              <w:pStyle w:val="TableContents"/>
              <w:spacing w:before="0" w:after="283"/>
              <w:rPr/>
            </w:pPr>
            <w:r>
              <w:rPr/>
              <w:t>  </w:t>
            </w:r>
          </w:p>
        </w:tc>
      </w:tr>
      <w:tr>
        <w:trPr/>
        <w:tc>
          <w:tcPr>
            <w:tcW w:w="6271" w:type="dxa"/>
            <w:tcBorders/>
            <w:shd w:fill="CCEEFF" w:val="clear"/>
          </w:tcPr>
          <w:p>
            <w:pPr>
              <w:pStyle w:val="TableContents"/>
              <w:spacing w:before="0" w:after="283"/>
              <w:rPr/>
            </w:pPr>
            <w:r>
              <w:rPr>
                <w:rFonts w:ascii="Times New Roman" w:hAnsi="Times New Roman"/>
                <w:sz w:val="20"/>
              </w:rPr>
              <w:t xml:space="preserve">PNG senior unsecured revolving credit facility </w:t>
            </w:r>
            <w:r>
              <w:rPr>
                <w:rFonts w:ascii="Times New Roman" w:hAnsi="Times New Roman"/>
                <w:sz w:val="14"/>
              </w:rPr>
              <w:t>(2)</w:t>
            </w:r>
          </w:p>
        </w:tc>
        <w:tc>
          <w:tcPr>
            <w:tcW w:w="4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w:t>
            </w:r>
          </w:p>
        </w:tc>
        <w:tc>
          <w:tcPr>
            <w:tcW w:w="120"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w:t>
            </w:r>
          </w:p>
        </w:tc>
        <w:tc>
          <w:tcPr>
            <w:tcW w:w="120" w:type="dxa"/>
            <w:tcBorders/>
            <w:shd w:fill="CCEEFF" w:val="clear"/>
            <w:vAlign w:val="bottom"/>
          </w:tcPr>
          <w:p>
            <w:pPr>
              <w:pStyle w:val="TableContents"/>
              <w:spacing w:before="0" w:after="283"/>
              <w:rPr/>
            </w:pPr>
            <w:r>
              <w:rPr/>
              <w:t>  </w:t>
            </w:r>
          </w:p>
        </w:tc>
        <w:tc>
          <w:tcPr>
            <w:tcW w:w="45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5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w:t>
            </w:r>
          </w:p>
        </w:tc>
        <w:tc>
          <w:tcPr>
            <w:tcW w:w="126" w:type="dxa"/>
            <w:tcBorders/>
            <w:shd w:fill="CCEEFF" w:val="clear"/>
            <w:vAlign w:val="bottom"/>
          </w:tcPr>
          <w:p>
            <w:pPr>
              <w:pStyle w:val="TableContents"/>
              <w:spacing w:before="0" w:after="283"/>
              <w:rPr/>
            </w:pPr>
            <w:r>
              <w:rPr/>
              <w:t>  </w:t>
            </w:r>
          </w:p>
        </w:tc>
      </w:tr>
      <w:tr>
        <w:trPr/>
        <w:tc>
          <w:tcPr>
            <w:tcW w:w="6271" w:type="dxa"/>
            <w:tcBorders/>
            <w:shd w:fill="auto" w:val="clear"/>
          </w:tcPr>
          <w:p>
            <w:pPr>
              <w:pStyle w:val="TableContents"/>
              <w:spacing w:before="0" w:after="283"/>
              <w:rPr>
                <w:rFonts w:ascii="Times New Roman" w:hAnsi="Times New Roman"/>
                <w:sz w:val="20"/>
              </w:rPr>
            </w:pPr>
            <w:r>
              <w:rPr>
                <w:rFonts w:ascii="Times New Roman" w:hAnsi="Times New Roman"/>
                <w:sz w:val="20"/>
              </w:rPr>
              <w:t>4.25% senior notes due September 2012</w:t>
            </w:r>
          </w:p>
        </w:tc>
        <w:tc>
          <w:tcPr>
            <w:tcW w:w="4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120"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120"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5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126" w:type="dxa"/>
            <w:tcBorders/>
            <w:shd w:fill="auto" w:val="clear"/>
            <w:vAlign w:val="bottom"/>
          </w:tcPr>
          <w:p>
            <w:pPr>
              <w:pStyle w:val="TableContents"/>
              <w:spacing w:before="0" w:after="283"/>
              <w:rPr/>
            </w:pPr>
            <w:r>
              <w:rPr/>
              <w:t>  </w:t>
            </w:r>
          </w:p>
        </w:tc>
      </w:tr>
      <w:tr>
        <w:trPr/>
        <w:tc>
          <w:tcPr>
            <w:tcW w:w="6271" w:type="dxa"/>
            <w:tcBorders/>
            <w:shd w:fill="CCEEFF" w:val="clear"/>
          </w:tcPr>
          <w:p>
            <w:pPr>
              <w:pStyle w:val="TableContents"/>
              <w:spacing w:before="0" w:after="283"/>
              <w:rPr>
                <w:rFonts w:ascii="Times New Roman" w:hAnsi="Times New Roman"/>
                <w:sz w:val="20"/>
              </w:rPr>
            </w:pPr>
            <w:r>
              <w:rPr>
                <w:rFonts w:ascii="Times New Roman" w:hAnsi="Times New Roman"/>
                <w:sz w:val="20"/>
              </w:rPr>
              <w:t>Other</w:t>
            </w:r>
          </w:p>
        </w:tc>
        <w:tc>
          <w:tcPr>
            <w:tcW w:w="4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0"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0" w:type="dxa"/>
            <w:tcBorders/>
            <w:shd w:fill="CCEEFF" w:val="clear"/>
            <w:vAlign w:val="bottom"/>
          </w:tcPr>
          <w:p>
            <w:pPr>
              <w:pStyle w:val="TableContents"/>
              <w:spacing w:before="0" w:after="283"/>
              <w:rPr/>
            </w:pPr>
            <w:r>
              <w:rPr/>
              <w:t>  </w:t>
            </w:r>
          </w:p>
        </w:tc>
        <w:tc>
          <w:tcPr>
            <w:tcW w:w="45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5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6" w:type="dxa"/>
            <w:tcBorders/>
            <w:shd w:fill="CCEEFF" w:val="clear"/>
            <w:vAlign w:val="bottom"/>
          </w:tcPr>
          <w:p>
            <w:pPr>
              <w:pStyle w:val="TableContents"/>
              <w:spacing w:before="0" w:after="283"/>
              <w:rPr/>
            </w:pPr>
            <w:r>
              <w:rPr/>
              <w:t>  </w:t>
            </w:r>
          </w:p>
        </w:tc>
      </w:tr>
      <w:tr>
        <w:trPr/>
        <w:tc>
          <w:tcPr>
            <w:tcW w:w="6271" w:type="dxa"/>
            <w:tcBorders/>
            <w:shd w:fill="auto" w:val="clear"/>
            <w:vAlign w:val="bottom"/>
          </w:tcPr>
          <w:p>
            <w:pPr>
              <w:pStyle w:val="TableContents"/>
              <w:spacing w:before="0" w:after="283"/>
              <w:rPr>
                <w:sz w:val="4"/>
                <w:szCs w:val="4"/>
              </w:rPr>
            </w:pPr>
            <w:r>
              <w:rPr>
                <w:sz w:val="4"/>
                <w:szCs w:val="4"/>
              </w:rPr>
            </w:r>
          </w:p>
        </w:tc>
        <w:tc>
          <w:tcPr>
            <w:tcW w:w="4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4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65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pBdr>
                <w:top w:val="single" w:sz="2" w:space="1" w:color="000000"/>
              </w:pBdr>
              <w:spacing w:before="0" w:after="283"/>
              <w:rPr/>
            </w:pPr>
            <w:r>
              <w:rPr/>
              <w:t> </w:t>
            </w:r>
          </w:p>
        </w:tc>
        <w:tc>
          <w:tcPr>
            <w:tcW w:w="520" w:type="dxa"/>
            <w:tcBorders/>
            <w:shd w:fill="auto" w:val="clear"/>
            <w:vAlign w:val="bottom"/>
          </w:tcPr>
          <w:p>
            <w:pPr>
              <w:pStyle w:val="TableContents"/>
              <w:pBdr>
                <w:top w:val="single" w:sz="2" w:space="1" w:color="000000"/>
              </w:pBdr>
              <w:spacing w:before="0" w:after="283"/>
              <w:rPr/>
            </w:pPr>
            <w:r>
              <w:rPr/>
              <w:t> </w:t>
            </w:r>
          </w:p>
        </w:tc>
        <w:tc>
          <w:tcPr>
            <w:tcW w:w="126" w:type="dxa"/>
            <w:tcBorders/>
            <w:shd w:fill="auto" w:val="clear"/>
            <w:vAlign w:val="center"/>
          </w:tcPr>
          <w:p>
            <w:pPr>
              <w:pStyle w:val="TableContents"/>
              <w:spacing w:before="0" w:after="283"/>
              <w:rPr/>
            </w:pPr>
            <w:r>
              <w:rPr/>
              <w:t> </w:t>
            </w:r>
          </w:p>
        </w:tc>
      </w:tr>
      <w:tr>
        <w:trPr/>
        <w:tc>
          <w:tcPr>
            <w:tcW w:w="6271" w:type="dxa"/>
            <w:tcBorders/>
            <w:shd w:fill="auto" w:val="clear"/>
          </w:tcPr>
          <w:p>
            <w:pPr>
              <w:pStyle w:val="TableContents"/>
              <w:spacing w:before="0" w:after="283"/>
              <w:rPr>
                <w:rFonts w:ascii="Times New Roman" w:hAnsi="Times New Roman"/>
                <w:sz w:val="20"/>
              </w:rPr>
            </w:pPr>
            <w:r>
              <w:rPr>
                <w:rFonts w:ascii="Times New Roman" w:hAnsi="Times New Roman"/>
                <w:sz w:val="20"/>
              </w:rPr>
              <w:t>Total short-term debt</w:t>
            </w:r>
          </w:p>
        </w:tc>
        <w:tc>
          <w:tcPr>
            <w:tcW w:w="4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679</w:t>
            </w:r>
          </w:p>
        </w:tc>
        <w:tc>
          <w:tcPr>
            <w:tcW w:w="120"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979</w:t>
            </w:r>
          </w:p>
        </w:tc>
        <w:tc>
          <w:tcPr>
            <w:tcW w:w="120"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979</w:t>
            </w:r>
          </w:p>
        </w:tc>
        <w:tc>
          <w:tcPr>
            <w:tcW w:w="126" w:type="dxa"/>
            <w:tcBorders/>
            <w:shd w:fill="auto" w:val="clear"/>
            <w:vAlign w:val="bottom"/>
          </w:tcPr>
          <w:p>
            <w:pPr>
              <w:pStyle w:val="TableContents"/>
              <w:spacing w:before="0" w:after="283"/>
              <w:rPr/>
            </w:pPr>
            <w:r>
              <w:rPr/>
              <w:t>  </w:t>
            </w:r>
          </w:p>
        </w:tc>
      </w:tr>
      <w:tr>
        <w:trPr/>
        <w:tc>
          <w:tcPr>
            <w:tcW w:w="6271" w:type="dxa"/>
            <w:tcBorders/>
            <w:shd w:fill="auto" w:val="clear"/>
            <w:vAlign w:val="bottom"/>
          </w:tcPr>
          <w:p>
            <w:pPr>
              <w:pStyle w:val="TableContents"/>
              <w:spacing w:before="0" w:after="283"/>
              <w:rPr>
                <w:sz w:val="4"/>
                <w:szCs w:val="4"/>
              </w:rPr>
            </w:pPr>
            <w:r>
              <w:rPr>
                <w:sz w:val="4"/>
                <w:szCs w:val="4"/>
              </w:rPr>
            </w:r>
          </w:p>
        </w:tc>
        <w:tc>
          <w:tcPr>
            <w:tcW w:w="4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47"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double" w:sz="6" w:space="1" w:color="000000"/>
              </w:pBdr>
              <w:spacing w:before="0" w:after="283"/>
              <w:rPr/>
            </w:pPr>
            <w:r>
              <w:rPr/>
              <w:t> </w:t>
            </w:r>
          </w:p>
        </w:tc>
        <w:tc>
          <w:tcPr>
            <w:tcW w:w="653"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pBdr>
                <w:top w:val="double" w:sz="6" w:space="1" w:color="000000"/>
              </w:pBdr>
              <w:spacing w:before="0" w:after="283"/>
              <w:rPr/>
            </w:pPr>
            <w:r>
              <w:rPr/>
              <w:t> </w:t>
            </w:r>
          </w:p>
        </w:tc>
        <w:tc>
          <w:tcPr>
            <w:tcW w:w="520" w:type="dxa"/>
            <w:tcBorders/>
            <w:shd w:fill="auto" w:val="clear"/>
            <w:vAlign w:val="bottom"/>
          </w:tcPr>
          <w:p>
            <w:pPr>
              <w:pStyle w:val="TableContents"/>
              <w:pBdr>
                <w:top w:val="double" w:sz="6" w:space="1" w:color="000000"/>
              </w:pBdr>
              <w:spacing w:before="0" w:after="283"/>
              <w:rPr/>
            </w:pPr>
            <w:r>
              <w:rPr/>
              <w:t> </w:t>
            </w:r>
          </w:p>
        </w:tc>
        <w:tc>
          <w:tcPr>
            <w:tcW w:w="126" w:type="dxa"/>
            <w:tcBorders/>
            <w:shd w:fill="auto" w:val="clear"/>
            <w:vAlign w:val="center"/>
          </w:tcPr>
          <w:p>
            <w:pPr>
              <w:pStyle w:val="TableContents"/>
              <w:spacing w:before="0" w:after="283"/>
              <w:rPr/>
            </w:pPr>
            <w:r>
              <w:rPr/>
              <w:t> </w:t>
            </w:r>
          </w:p>
        </w:tc>
      </w:tr>
      <w:tr>
        <w:trPr/>
        <w:tc>
          <w:tcPr>
            <w:tcW w:w="6271" w:type="dxa"/>
            <w:tcBorders/>
            <w:shd w:fill="CCEEFF" w:val="clear"/>
          </w:tcPr>
          <w:p>
            <w:pPr>
              <w:pStyle w:val="TableContents"/>
              <w:spacing w:before="0" w:after="283"/>
              <w:rPr>
                <w:rFonts w:ascii="Times New Roman" w:hAnsi="Times New Roman"/>
                <w:b/>
                <w:sz w:val="20"/>
              </w:rPr>
            </w:pPr>
            <w:r>
              <w:rPr>
                <w:rFonts w:ascii="Times New Roman" w:hAnsi="Times New Roman"/>
                <w:b/>
                <w:sz w:val="20"/>
              </w:rPr>
              <w:t>LONG-TERM DEBT</w:t>
            </w:r>
          </w:p>
        </w:tc>
        <w:tc>
          <w:tcPr>
            <w:tcW w:w="4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47"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45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653"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45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sz w:val="4"/>
                <w:szCs w:val="4"/>
              </w:rPr>
            </w:pPr>
            <w:r>
              <w:rPr>
                <w:sz w:val="4"/>
                <w:szCs w:val="4"/>
              </w:rPr>
            </w:r>
          </w:p>
        </w:tc>
        <w:tc>
          <w:tcPr>
            <w:tcW w:w="520"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sz w:val="4"/>
                <w:szCs w:val="4"/>
              </w:rPr>
            </w:pPr>
            <w:r>
              <w:rPr>
                <w:sz w:val="4"/>
                <w:szCs w:val="4"/>
              </w:rPr>
            </w:r>
          </w:p>
        </w:tc>
      </w:tr>
      <w:tr>
        <w:trPr/>
        <w:tc>
          <w:tcPr>
            <w:tcW w:w="6271" w:type="dxa"/>
            <w:tcBorders/>
            <w:shd w:fill="auto" w:val="clear"/>
          </w:tcPr>
          <w:p>
            <w:pPr>
              <w:pStyle w:val="TableContents"/>
              <w:spacing w:before="0" w:after="283"/>
              <w:rPr>
                <w:rFonts w:ascii="Times New Roman" w:hAnsi="Times New Roman"/>
                <w:sz w:val="20"/>
              </w:rPr>
            </w:pPr>
            <w:r>
              <w:rPr>
                <w:rFonts w:ascii="Times New Roman" w:hAnsi="Times New Roman"/>
                <w:sz w:val="20"/>
              </w:rPr>
              <w:t>Senior notes, net of unamortized discounts</w:t>
            </w:r>
          </w:p>
        </w:tc>
        <w:tc>
          <w:tcPr>
            <w:tcW w:w="4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4,262</w:t>
            </w:r>
          </w:p>
        </w:tc>
        <w:tc>
          <w:tcPr>
            <w:tcW w:w="120"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4,262</w:t>
            </w:r>
          </w:p>
        </w:tc>
        <w:tc>
          <w:tcPr>
            <w:tcW w:w="120"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4,262</w:t>
            </w:r>
          </w:p>
        </w:tc>
        <w:tc>
          <w:tcPr>
            <w:tcW w:w="126" w:type="dxa"/>
            <w:tcBorders/>
            <w:shd w:fill="auto" w:val="clear"/>
            <w:vAlign w:val="bottom"/>
          </w:tcPr>
          <w:p>
            <w:pPr>
              <w:pStyle w:val="TableContents"/>
              <w:spacing w:before="0" w:after="283"/>
              <w:rPr/>
            </w:pPr>
            <w:r>
              <w:rPr/>
              <w:t>  </w:t>
            </w:r>
          </w:p>
        </w:tc>
      </w:tr>
      <w:tr>
        <w:trPr/>
        <w:tc>
          <w:tcPr>
            <w:tcW w:w="6271" w:type="dxa"/>
            <w:tcBorders/>
            <w:shd w:fill="CCEEFF" w:val="clear"/>
          </w:tcPr>
          <w:p>
            <w:pPr>
              <w:pStyle w:val="TableContents"/>
              <w:spacing w:before="0" w:after="283"/>
              <w:rPr/>
            </w:pPr>
            <w:r>
              <w:rPr>
                <w:rFonts w:ascii="Times New Roman" w:hAnsi="Times New Roman"/>
                <w:sz w:val="20"/>
              </w:rPr>
              <w:t xml:space="preserve">Long-term debt under credit facilities and other </w:t>
            </w:r>
            <w:r>
              <w:rPr>
                <w:rFonts w:ascii="Times New Roman" w:hAnsi="Times New Roman"/>
                <w:sz w:val="14"/>
              </w:rPr>
              <w:t>(3)</w:t>
            </w:r>
          </w:p>
        </w:tc>
        <w:tc>
          <w:tcPr>
            <w:tcW w:w="4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258</w:t>
            </w:r>
          </w:p>
        </w:tc>
        <w:tc>
          <w:tcPr>
            <w:tcW w:w="120"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1,582</w:t>
            </w:r>
          </w:p>
        </w:tc>
        <w:tc>
          <w:tcPr>
            <w:tcW w:w="120" w:type="dxa"/>
            <w:tcBorders/>
            <w:shd w:fill="CCEEFF" w:val="clear"/>
            <w:vAlign w:val="bottom"/>
          </w:tcPr>
          <w:p>
            <w:pPr>
              <w:pStyle w:val="TableContents"/>
              <w:spacing w:before="0" w:after="283"/>
              <w:rPr/>
            </w:pPr>
            <w:r>
              <w:rPr/>
              <w:t>  </w:t>
            </w:r>
          </w:p>
        </w:tc>
        <w:tc>
          <w:tcPr>
            <w:tcW w:w="45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sz w:val="4"/>
                <w:szCs w:val="4"/>
              </w:rPr>
            </w:pPr>
            <w:r>
              <w:rPr>
                <w:sz w:val="4"/>
                <w:szCs w:val="4"/>
              </w:rPr>
            </w:r>
          </w:p>
        </w:tc>
        <w:tc>
          <w:tcPr>
            <w:tcW w:w="520"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sz w:val="4"/>
                <w:szCs w:val="4"/>
              </w:rPr>
            </w:pPr>
            <w:r>
              <w:rPr>
                <w:sz w:val="4"/>
                <w:szCs w:val="4"/>
              </w:rPr>
            </w:r>
          </w:p>
        </w:tc>
      </w:tr>
      <w:tr>
        <w:trPr/>
        <w:tc>
          <w:tcPr>
            <w:tcW w:w="6271" w:type="dxa"/>
            <w:tcBorders/>
            <w:shd w:fill="auto" w:val="clear"/>
            <w:vAlign w:val="bottom"/>
          </w:tcPr>
          <w:p>
            <w:pPr>
              <w:pStyle w:val="TableContents"/>
              <w:spacing w:before="0" w:after="283"/>
              <w:rPr>
                <w:sz w:val="4"/>
                <w:szCs w:val="4"/>
              </w:rPr>
            </w:pPr>
            <w:r>
              <w:rPr>
                <w:sz w:val="4"/>
                <w:szCs w:val="4"/>
              </w:rPr>
            </w:r>
          </w:p>
        </w:tc>
        <w:tc>
          <w:tcPr>
            <w:tcW w:w="4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4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65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pBdr>
                <w:top w:val="single" w:sz="2" w:space="1" w:color="000000"/>
              </w:pBdr>
              <w:spacing w:before="0" w:after="283"/>
              <w:rPr/>
            </w:pPr>
            <w:r>
              <w:rPr/>
              <w:t> </w:t>
            </w:r>
          </w:p>
        </w:tc>
        <w:tc>
          <w:tcPr>
            <w:tcW w:w="520" w:type="dxa"/>
            <w:tcBorders/>
            <w:shd w:fill="auto" w:val="clear"/>
            <w:vAlign w:val="bottom"/>
          </w:tcPr>
          <w:p>
            <w:pPr>
              <w:pStyle w:val="TableContents"/>
              <w:pBdr>
                <w:top w:val="single" w:sz="2" w:space="1" w:color="000000"/>
              </w:pBdr>
              <w:spacing w:before="0" w:after="283"/>
              <w:rPr/>
            </w:pPr>
            <w:r>
              <w:rPr/>
              <w:t> </w:t>
            </w:r>
          </w:p>
        </w:tc>
        <w:tc>
          <w:tcPr>
            <w:tcW w:w="126" w:type="dxa"/>
            <w:tcBorders/>
            <w:shd w:fill="auto" w:val="clear"/>
            <w:vAlign w:val="center"/>
          </w:tcPr>
          <w:p>
            <w:pPr>
              <w:pStyle w:val="TableContents"/>
              <w:spacing w:before="0" w:after="283"/>
              <w:rPr/>
            </w:pPr>
            <w:r>
              <w:rPr/>
              <w:t> </w:t>
            </w:r>
          </w:p>
        </w:tc>
      </w:tr>
      <w:tr>
        <w:trPr/>
        <w:tc>
          <w:tcPr>
            <w:tcW w:w="6271" w:type="dxa"/>
            <w:tcBorders/>
            <w:shd w:fill="auto" w:val="clear"/>
          </w:tcPr>
          <w:p>
            <w:pPr>
              <w:pStyle w:val="TableContents"/>
              <w:spacing w:before="0" w:after="283"/>
              <w:rPr>
                <w:rFonts w:ascii="Times New Roman" w:hAnsi="Times New Roman"/>
                <w:sz w:val="20"/>
              </w:rPr>
            </w:pPr>
            <w:r>
              <w:rPr>
                <w:rFonts w:ascii="Times New Roman" w:hAnsi="Times New Roman"/>
                <w:sz w:val="20"/>
              </w:rPr>
              <w:t>Total long-term debt</w:t>
            </w:r>
          </w:p>
        </w:tc>
        <w:tc>
          <w:tcPr>
            <w:tcW w:w="4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4,520</w:t>
            </w:r>
          </w:p>
        </w:tc>
        <w:tc>
          <w:tcPr>
            <w:tcW w:w="120"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5,844</w:t>
            </w:r>
          </w:p>
        </w:tc>
        <w:tc>
          <w:tcPr>
            <w:tcW w:w="120"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0" w:type="dxa"/>
            <w:tcBorders/>
            <w:shd w:fill="auto" w:val="clear"/>
            <w:vAlign w:val="bottom"/>
          </w:tcPr>
          <w:p>
            <w:pPr>
              <w:pStyle w:val="TableContents"/>
              <w:spacing w:before="0" w:after="283"/>
              <w:jc w:val="right"/>
              <w:rPr/>
            </w:pPr>
            <w:r>
              <w:rPr/>
              <w:t> </w:t>
            </w:r>
          </w:p>
        </w:tc>
        <w:tc>
          <w:tcPr>
            <w:tcW w:w="126" w:type="dxa"/>
            <w:tcBorders/>
            <w:shd w:fill="auto" w:val="clear"/>
            <w:vAlign w:val="bottom"/>
          </w:tcPr>
          <w:p>
            <w:pPr>
              <w:pStyle w:val="TableContents"/>
              <w:spacing w:before="0" w:after="283"/>
              <w:rPr/>
            </w:pPr>
            <w:r>
              <w:rPr/>
              <w:t>  </w:t>
            </w:r>
          </w:p>
        </w:tc>
      </w:tr>
      <w:tr>
        <w:trPr/>
        <w:tc>
          <w:tcPr>
            <w:tcW w:w="6271" w:type="dxa"/>
            <w:tcBorders/>
            <w:shd w:fill="auto" w:val="clear"/>
            <w:vAlign w:val="bottom"/>
          </w:tcPr>
          <w:p>
            <w:pPr>
              <w:pStyle w:val="TableContents"/>
              <w:spacing w:before="0" w:after="283"/>
              <w:rPr>
                <w:sz w:val="4"/>
                <w:szCs w:val="4"/>
              </w:rPr>
            </w:pPr>
            <w:r>
              <w:rPr>
                <w:sz w:val="4"/>
                <w:szCs w:val="4"/>
              </w:rPr>
            </w:r>
          </w:p>
        </w:tc>
        <w:tc>
          <w:tcPr>
            <w:tcW w:w="4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47"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double" w:sz="6" w:space="1" w:color="000000"/>
              </w:pBdr>
              <w:spacing w:before="0" w:after="283"/>
              <w:rPr/>
            </w:pPr>
            <w:r>
              <w:rPr/>
              <w:t> </w:t>
            </w:r>
          </w:p>
        </w:tc>
        <w:tc>
          <w:tcPr>
            <w:tcW w:w="653"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pBdr>
                <w:top w:val="double" w:sz="6" w:space="1" w:color="000000"/>
              </w:pBdr>
              <w:spacing w:before="0" w:after="283"/>
              <w:rPr/>
            </w:pPr>
            <w:r>
              <w:rPr/>
              <w:t> </w:t>
            </w:r>
          </w:p>
        </w:tc>
        <w:tc>
          <w:tcPr>
            <w:tcW w:w="520" w:type="dxa"/>
            <w:tcBorders/>
            <w:shd w:fill="auto" w:val="clear"/>
            <w:vAlign w:val="bottom"/>
          </w:tcPr>
          <w:p>
            <w:pPr>
              <w:pStyle w:val="TableContents"/>
              <w:pBdr>
                <w:top w:val="double" w:sz="6" w:space="1" w:color="000000"/>
              </w:pBdr>
              <w:spacing w:before="0" w:after="283"/>
              <w:rPr/>
            </w:pPr>
            <w:r>
              <w:rPr/>
              <w:t> </w:t>
            </w:r>
          </w:p>
        </w:tc>
        <w:tc>
          <w:tcPr>
            <w:tcW w:w="126" w:type="dxa"/>
            <w:tcBorders/>
            <w:shd w:fill="auto" w:val="clear"/>
            <w:vAlign w:val="center"/>
          </w:tcPr>
          <w:p>
            <w:pPr>
              <w:pStyle w:val="TableContents"/>
              <w:spacing w:before="0" w:after="283"/>
              <w:rPr/>
            </w:pPr>
            <w:r>
              <w:rPr/>
              <w:t> </w:t>
            </w:r>
          </w:p>
        </w:tc>
      </w:tr>
      <w:tr>
        <w:trPr/>
        <w:tc>
          <w:tcPr>
            <w:tcW w:w="6271" w:type="dxa"/>
            <w:tcBorders/>
            <w:shd w:fill="CCEEFF" w:val="clear"/>
          </w:tcPr>
          <w:p>
            <w:pPr>
              <w:pStyle w:val="TableContents"/>
              <w:spacing w:before="0" w:after="283"/>
              <w:rPr>
                <w:rFonts w:ascii="Times New Roman" w:hAnsi="Times New Roman"/>
                <w:b/>
                <w:sz w:val="20"/>
              </w:rPr>
            </w:pPr>
            <w:r>
              <w:rPr>
                <w:rFonts w:ascii="Times New Roman" w:hAnsi="Times New Roman"/>
                <w:b/>
                <w:sz w:val="20"/>
              </w:rPr>
              <w:t>PARTNERS CAPITAL</w:t>
            </w:r>
          </w:p>
        </w:tc>
        <w:tc>
          <w:tcPr>
            <w:tcW w:w="4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47"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45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653"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45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sz w:val="4"/>
                <w:szCs w:val="4"/>
              </w:rPr>
            </w:pPr>
            <w:r>
              <w:rPr>
                <w:sz w:val="4"/>
                <w:szCs w:val="4"/>
              </w:rPr>
            </w:r>
          </w:p>
        </w:tc>
        <w:tc>
          <w:tcPr>
            <w:tcW w:w="520"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sz w:val="4"/>
                <w:szCs w:val="4"/>
              </w:rPr>
            </w:pPr>
            <w:r>
              <w:rPr>
                <w:sz w:val="4"/>
                <w:szCs w:val="4"/>
              </w:rPr>
            </w:r>
          </w:p>
        </w:tc>
      </w:tr>
      <w:tr>
        <w:trPr/>
        <w:tc>
          <w:tcPr>
            <w:tcW w:w="6271" w:type="dxa"/>
            <w:tcBorders/>
            <w:shd w:fill="auto" w:val="clear"/>
          </w:tcPr>
          <w:p>
            <w:pPr>
              <w:pStyle w:val="TableContents"/>
              <w:spacing w:before="0" w:after="283"/>
              <w:rPr>
                <w:rFonts w:ascii="Times New Roman" w:hAnsi="Times New Roman"/>
                <w:sz w:val="20"/>
              </w:rPr>
            </w:pPr>
            <w:r>
              <w:rPr>
                <w:rFonts w:ascii="Times New Roman" w:hAnsi="Times New Roman"/>
                <w:sz w:val="20"/>
              </w:rPr>
              <w:t>Common unitholders</w:t>
            </w:r>
          </w:p>
        </w:tc>
        <w:tc>
          <w:tcPr>
            <w:tcW w:w="4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5,249</w:t>
            </w:r>
          </w:p>
        </w:tc>
        <w:tc>
          <w:tcPr>
            <w:tcW w:w="120"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5,249</w:t>
            </w:r>
          </w:p>
        </w:tc>
        <w:tc>
          <w:tcPr>
            <w:tcW w:w="120"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0" w:type="dxa"/>
            <w:tcBorders/>
            <w:shd w:fill="auto" w:val="clear"/>
            <w:vAlign w:val="bottom"/>
          </w:tcPr>
          <w:p>
            <w:pPr>
              <w:pStyle w:val="TableContents"/>
              <w:spacing w:before="0" w:after="283"/>
              <w:jc w:val="right"/>
              <w:rPr/>
            </w:pPr>
            <w:r>
              <w:rPr/>
              <w:t> </w:t>
            </w:r>
          </w:p>
        </w:tc>
        <w:tc>
          <w:tcPr>
            <w:tcW w:w="126" w:type="dxa"/>
            <w:tcBorders/>
            <w:shd w:fill="auto" w:val="clear"/>
            <w:vAlign w:val="bottom"/>
          </w:tcPr>
          <w:p>
            <w:pPr>
              <w:pStyle w:val="TableContents"/>
              <w:spacing w:before="0" w:after="283"/>
              <w:rPr/>
            </w:pPr>
            <w:r>
              <w:rPr/>
              <w:t>  </w:t>
            </w:r>
          </w:p>
        </w:tc>
      </w:tr>
      <w:tr>
        <w:trPr/>
        <w:tc>
          <w:tcPr>
            <w:tcW w:w="6271" w:type="dxa"/>
            <w:tcBorders/>
            <w:shd w:fill="CCEEFF" w:val="clear"/>
          </w:tcPr>
          <w:p>
            <w:pPr>
              <w:pStyle w:val="TableContents"/>
              <w:spacing w:before="0" w:after="283"/>
              <w:rPr>
                <w:rFonts w:ascii="Times New Roman" w:hAnsi="Times New Roman"/>
                <w:sz w:val="20"/>
              </w:rPr>
            </w:pPr>
            <w:r>
              <w:rPr>
                <w:rFonts w:ascii="Times New Roman" w:hAnsi="Times New Roman"/>
                <w:sz w:val="20"/>
              </w:rPr>
              <w:t>General partner</w:t>
            </w:r>
          </w:p>
        </w:tc>
        <w:tc>
          <w:tcPr>
            <w:tcW w:w="4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201</w:t>
            </w:r>
          </w:p>
        </w:tc>
        <w:tc>
          <w:tcPr>
            <w:tcW w:w="120"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201</w:t>
            </w:r>
          </w:p>
        </w:tc>
        <w:tc>
          <w:tcPr>
            <w:tcW w:w="120" w:type="dxa"/>
            <w:tcBorders/>
            <w:shd w:fill="CCEEFF" w:val="clear"/>
            <w:vAlign w:val="bottom"/>
          </w:tcPr>
          <w:p>
            <w:pPr>
              <w:pStyle w:val="TableContents"/>
              <w:spacing w:before="0" w:after="283"/>
              <w:rPr/>
            </w:pPr>
            <w:r>
              <w:rPr/>
              <w:t>  </w:t>
            </w:r>
          </w:p>
        </w:tc>
        <w:tc>
          <w:tcPr>
            <w:tcW w:w="45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sz w:val="4"/>
                <w:szCs w:val="4"/>
              </w:rPr>
            </w:pPr>
            <w:r>
              <w:rPr>
                <w:sz w:val="4"/>
                <w:szCs w:val="4"/>
              </w:rPr>
            </w:r>
          </w:p>
        </w:tc>
        <w:tc>
          <w:tcPr>
            <w:tcW w:w="520"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sz w:val="4"/>
                <w:szCs w:val="4"/>
              </w:rPr>
            </w:pPr>
            <w:r>
              <w:rPr>
                <w:sz w:val="4"/>
                <w:szCs w:val="4"/>
              </w:rPr>
            </w:r>
          </w:p>
        </w:tc>
      </w:tr>
      <w:tr>
        <w:trPr/>
        <w:tc>
          <w:tcPr>
            <w:tcW w:w="6271" w:type="dxa"/>
            <w:tcBorders/>
            <w:shd w:fill="auto" w:val="clear"/>
            <w:vAlign w:val="bottom"/>
          </w:tcPr>
          <w:p>
            <w:pPr>
              <w:pStyle w:val="TableContents"/>
              <w:spacing w:before="0" w:after="283"/>
              <w:rPr>
                <w:sz w:val="4"/>
                <w:szCs w:val="4"/>
              </w:rPr>
            </w:pPr>
            <w:r>
              <w:rPr>
                <w:sz w:val="4"/>
                <w:szCs w:val="4"/>
              </w:rPr>
            </w:r>
          </w:p>
        </w:tc>
        <w:tc>
          <w:tcPr>
            <w:tcW w:w="4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4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65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pBdr>
                <w:top w:val="single" w:sz="2" w:space="1" w:color="000000"/>
              </w:pBdr>
              <w:spacing w:before="0" w:after="283"/>
              <w:rPr/>
            </w:pPr>
            <w:r>
              <w:rPr/>
              <w:t> </w:t>
            </w:r>
          </w:p>
        </w:tc>
        <w:tc>
          <w:tcPr>
            <w:tcW w:w="520" w:type="dxa"/>
            <w:tcBorders/>
            <w:shd w:fill="auto" w:val="clear"/>
            <w:vAlign w:val="bottom"/>
          </w:tcPr>
          <w:p>
            <w:pPr>
              <w:pStyle w:val="TableContents"/>
              <w:pBdr>
                <w:top w:val="single" w:sz="2" w:space="1" w:color="000000"/>
              </w:pBdr>
              <w:spacing w:before="0" w:after="283"/>
              <w:rPr/>
            </w:pPr>
            <w:r>
              <w:rPr/>
              <w:t> </w:t>
            </w:r>
          </w:p>
        </w:tc>
        <w:tc>
          <w:tcPr>
            <w:tcW w:w="126" w:type="dxa"/>
            <w:tcBorders/>
            <w:shd w:fill="auto" w:val="clear"/>
            <w:vAlign w:val="center"/>
          </w:tcPr>
          <w:p>
            <w:pPr>
              <w:pStyle w:val="TableContents"/>
              <w:spacing w:before="0" w:after="283"/>
              <w:rPr/>
            </w:pPr>
            <w:r>
              <w:rPr/>
              <w:t> </w:t>
            </w:r>
          </w:p>
        </w:tc>
      </w:tr>
      <w:tr>
        <w:trPr/>
        <w:tc>
          <w:tcPr>
            <w:tcW w:w="6271" w:type="dxa"/>
            <w:tcBorders/>
            <w:shd w:fill="auto" w:val="clear"/>
          </w:tcPr>
          <w:p>
            <w:pPr>
              <w:pStyle w:val="TableContents"/>
              <w:spacing w:before="0" w:after="283"/>
              <w:rPr>
                <w:rFonts w:ascii="Times New Roman" w:hAnsi="Times New Roman"/>
                <w:sz w:val="20"/>
              </w:rPr>
            </w:pPr>
            <w:r>
              <w:rPr>
                <w:rFonts w:ascii="Times New Roman" w:hAnsi="Times New Roman"/>
                <w:sz w:val="20"/>
              </w:rPr>
              <w:t>Total partners capital excluding noncontrolling interests</w:t>
            </w:r>
          </w:p>
        </w:tc>
        <w:tc>
          <w:tcPr>
            <w:tcW w:w="4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5,450</w:t>
            </w:r>
          </w:p>
        </w:tc>
        <w:tc>
          <w:tcPr>
            <w:tcW w:w="120"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5,450</w:t>
            </w:r>
          </w:p>
        </w:tc>
        <w:tc>
          <w:tcPr>
            <w:tcW w:w="120"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sz w:val="4"/>
                <w:szCs w:val="4"/>
              </w:rPr>
            </w:pPr>
            <w:r>
              <w:rPr>
                <w:sz w:val="4"/>
                <w:szCs w:val="4"/>
              </w:rPr>
            </w:r>
          </w:p>
        </w:tc>
        <w:tc>
          <w:tcPr>
            <w:tcW w:w="520"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r>
      <w:tr>
        <w:trPr/>
        <w:tc>
          <w:tcPr>
            <w:tcW w:w="6271" w:type="dxa"/>
            <w:tcBorders/>
            <w:shd w:fill="CCEEFF" w:val="clear"/>
          </w:tcPr>
          <w:p>
            <w:pPr>
              <w:pStyle w:val="TableContents"/>
              <w:spacing w:before="0" w:after="283"/>
              <w:rPr>
                <w:rFonts w:ascii="Times New Roman" w:hAnsi="Times New Roman"/>
                <w:sz w:val="20"/>
              </w:rPr>
            </w:pPr>
            <w:r>
              <w:rPr>
                <w:rFonts w:ascii="Times New Roman" w:hAnsi="Times New Roman"/>
                <w:sz w:val="20"/>
              </w:rPr>
              <w:t>Noncontrolling interests</w:t>
            </w:r>
          </w:p>
        </w:tc>
        <w:tc>
          <w:tcPr>
            <w:tcW w:w="4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524</w:t>
            </w:r>
          </w:p>
        </w:tc>
        <w:tc>
          <w:tcPr>
            <w:tcW w:w="120"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524</w:t>
            </w:r>
          </w:p>
        </w:tc>
        <w:tc>
          <w:tcPr>
            <w:tcW w:w="120" w:type="dxa"/>
            <w:tcBorders/>
            <w:shd w:fill="CCEEFF" w:val="clear"/>
            <w:vAlign w:val="bottom"/>
          </w:tcPr>
          <w:p>
            <w:pPr>
              <w:pStyle w:val="TableContents"/>
              <w:spacing w:before="0" w:after="283"/>
              <w:rPr/>
            </w:pPr>
            <w:r>
              <w:rPr/>
              <w:t>  </w:t>
            </w:r>
          </w:p>
        </w:tc>
        <w:tc>
          <w:tcPr>
            <w:tcW w:w="45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5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524</w:t>
            </w:r>
          </w:p>
        </w:tc>
        <w:tc>
          <w:tcPr>
            <w:tcW w:w="126" w:type="dxa"/>
            <w:tcBorders/>
            <w:shd w:fill="CCEEFF" w:val="clear"/>
            <w:vAlign w:val="bottom"/>
          </w:tcPr>
          <w:p>
            <w:pPr>
              <w:pStyle w:val="TableContents"/>
              <w:spacing w:before="0" w:after="283"/>
              <w:rPr/>
            </w:pPr>
            <w:r>
              <w:rPr/>
              <w:t>  </w:t>
            </w:r>
          </w:p>
        </w:tc>
      </w:tr>
      <w:tr>
        <w:trPr/>
        <w:tc>
          <w:tcPr>
            <w:tcW w:w="6271" w:type="dxa"/>
            <w:tcBorders/>
            <w:shd w:fill="auto" w:val="clear"/>
            <w:vAlign w:val="bottom"/>
          </w:tcPr>
          <w:p>
            <w:pPr>
              <w:pStyle w:val="TableContents"/>
              <w:spacing w:before="0" w:after="283"/>
              <w:rPr>
                <w:sz w:val="4"/>
                <w:szCs w:val="4"/>
              </w:rPr>
            </w:pPr>
            <w:r>
              <w:rPr>
                <w:sz w:val="4"/>
                <w:szCs w:val="4"/>
              </w:rPr>
            </w:r>
          </w:p>
        </w:tc>
        <w:tc>
          <w:tcPr>
            <w:tcW w:w="4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4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65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pBdr>
                <w:top w:val="single" w:sz="2" w:space="1" w:color="000000"/>
              </w:pBdr>
              <w:spacing w:before="0" w:after="283"/>
              <w:rPr/>
            </w:pPr>
            <w:r>
              <w:rPr/>
              <w:t> </w:t>
            </w:r>
          </w:p>
        </w:tc>
        <w:tc>
          <w:tcPr>
            <w:tcW w:w="520" w:type="dxa"/>
            <w:tcBorders/>
            <w:shd w:fill="auto" w:val="clear"/>
            <w:vAlign w:val="bottom"/>
          </w:tcPr>
          <w:p>
            <w:pPr>
              <w:pStyle w:val="TableContents"/>
              <w:pBdr>
                <w:top w:val="single" w:sz="2" w:space="1" w:color="000000"/>
              </w:pBdr>
              <w:spacing w:before="0" w:after="283"/>
              <w:rPr/>
            </w:pPr>
            <w:r>
              <w:rPr/>
              <w:t> </w:t>
            </w:r>
          </w:p>
        </w:tc>
        <w:tc>
          <w:tcPr>
            <w:tcW w:w="126" w:type="dxa"/>
            <w:tcBorders/>
            <w:shd w:fill="auto" w:val="clear"/>
            <w:vAlign w:val="center"/>
          </w:tcPr>
          <w:p>
            <w:pPr>
              <w:pStyle w:val="TableContents"/>
              <w:spacing w:before="0" w:after="283"/>
              <w:rPr/>
            </w:pPr>
            <w:r>
              <w:rPr/>
              <w:t> </w:t>
            </w:r>
          </w:p>
        </w:tc>
      </w:tr>
      <w:tr>
        <w:trPr/>
        <w:tc>
          <w:tcPr>
            <w:tcW w:w="6271" w:type="dxa"/>
            <w:tcBorders/>
            <w:shd w:fill="auto" w:val="clear"/>
          </w:tcPr>
          <w:p>
            <w:pPr>
              <w:pStyle w:val="TableContents"/>
              <w:spacing w:before="0" w:after="283"/>
              <w:rPr>
                <w:rFonts w:ascii="Times New Roman" w:hAnsi="Times New Roman"/>
                <w:sz w:val="20"/>
              </w:rPr>
            </w:pPr>
            <w:r>
              <w:rPr>
                <w:rFonts w:ascii="Times New Roman" w:hAnsi="Times New Roman"/>
                <w:sz w:val="20"/>
              </w:rPr>
              <w:t>Total partners capital</w:t>
            </w:r>
          </w:p>
        </w:tc>
        <w:tc>
          <w:tcPr>
            <w:tcW w:w="4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5,974</w:t>
            </w:r>
          </w:p>
        </w:tc>
        <w:tc>
          <w:tcPr>
            <w:tcW w:w="120"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5,974</w:t>
            </w:r>
          </w:p>
        </w:tc>
        <w:tc>
          <w:tcPr>
            <w:tcW w:w="120"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0" w:type="dxa"/>
            <w:tcBorders/>
            <w:shd w:fill="auto" w:val="clear"/>
            <w:vAlign w:val="bottom"/>
          </w:tcPr>
          <w:p>
            <w:pPr>
              <w:pStyle w:val="TableContents"/>
              <w:spacing w:before="0" w:after="283"/>
              <w:jc w:val="right"/>
              <w:rPr/>
            </w:pPr>
            <w:r>
              <w:rPr/>
              <w:t> </w:t>
            </w:r>
          </w:p>
        </w:tc>
        <w:tc>
          <w:tcPr>
            <w:tcW w:w="126" w:type="dxa"/>
            <w:tcBorders/>
            <w:shd w:fill="auto" w:val="clear"/>
            <w:vAlign w:val="bottom"/>
          </w:tcPr>
          <w:p>
            <w:pPr>
              <w:pStyle w:val="TableContents"/>
              <w:spacing w:before="0" w:after="283"/>
              <w:rPr/>
            </w:pPr>
            <w:r>
              <w:rPr/>
              <w:t>  </w:t>
            </w:r>
          </w:p>
        </w:tc>
      </w:tr>
      <w:tr>
        <w:trPr/>
        <w:tc>
          <w:tcPr>
            <w:tcW w:w="6271" w:type="dxa"/>
            <w:tcBorders/>
            <w:shd w:fill="auto" w:val="clear"/>
            <w:vAlign w:val="bottom"/>
          </w:tcPr>
          <w:p>
            <w:pPr>
              <w:pStyle w:val="TableContents"/>
              <w:spacing w:before="0" w:after="283"/>
              <w:rPr>
                <w:sz w:val="4"/>
                <w:szCs w:val="4"/>
              </w:rPr>
            </w:pPr>
            <w:r>
              <w:rPr>
                <w:sz w:val="4"/>
                <w:szCs w:val="4"/>
              </w:rPr>
            </w:r>
          </w:p>
        </w:tc>
        <w:tc>
          <w:tcPr>
            <w:tcW w:w="4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4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65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pBdr>
                <w:top w:val="single" w:sz="2" w:space="1" w:color="000000"/>
              </w:pBdr>
              <w:spacing w:before="0" w:after="283"/>
              <w:rPr/>
            </w:pPr>
            <w:r>
              <w:rPr/>
              <w:t> </w:t>
            </w:r>
          </w:p>
        </w:tc>
        <w:tc>
          <w:tcPr>
            <w:tcW w:w="520" w:type="dxa"/>
            <w:tcBorders/>
            <w:shd w:fill="auto" w:val="clear"/>
            <w:vAlign w:val="bottom"/>
          </w:tcPr>
          <w:p>
            <w:pPr>
              <w:pStyle w:val="TableContents"/>
              <w:pBdr>
                <w:top w:val="single" w:sz="2" w:space="1" w:color="000000"/>
              </w:pBdr>
              <w:spacing w:before="0" w:after="283"/>
              <w:rPr/>
            </w:pPr>
            <w:r>
              <w:rPr/>
              <w:t> </w:t>
            </w:r>
          </w:p>
        </w:tc>
        <w:tc>
          <w:tcPr>
            <w:tcW w:w="126" w:type="dxa"/>
            <w:tcBorders/>
            <w:shd w:fill="auto" w:val="clear"/>
            <w:vAlign w:val="center"/>
          </w:tcPr>
          <w:p>
            <w:pPr>
              <w:pStyle w:val="TableContents"/>
              <w:spacing w:before="0" w:after="283"/>
              <w:rPr/>
            </w:pPr>
            <w:r>
              <w:rPr/>
              <w:t> </w:t>
            </w:r>
          </w:p>
        </w:tc>
      </w:tr>
      <w:tr>
        <w:trPr/>
        <w:tc>
          <w:tcPr>
            <w:tcW w:w="6271" w:type="dxa"/>
            <w:tcBorders/>
            <w:shd w:fill="CCEEFF" w:val="clear"/>
          </w:tcPr>
          <w:p>
            <w:pPr>
              <w:pStyle w:val="TableContents"/>
              <w:spacing w:before="0" w:after="283"/>
              <w:rPr>
                <w:rFonts w:ascii="Times New Roman" w:hAnsi="Times New Roman"/>
                <w:sz w:val="20"/>
              </w:rPr>
            </w:pPr>
            <w:r>
              <w:rPr>
                <w:rFonts w:ascii="Times New Roman" w:hAnsi="Times New Roman"/>
                <w:sz w:val="20"/>
              </w:rPr>
              <w:t>Total capitalization</w:t>
            </w:r>
          </w:p>
        </w:tc>
        <w:tc>
          <w:tcPr>
            <w:tcW w:w="4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10,494</w:t>
            </w:r>
          </w:p>
        </w:tc>
        <w:tc>
          <w:tcPr>
            <w:tcW w:w="120"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11,818</w:t>
            </w:r>
          </w:p>
        </w:tc>
        <w:tc>
          <w:tcPr>
            <w:tcW w:w="120" w:type="dxa"/>
            <w:tcBorders/>
            <w:shd w:fill="CCEEFF" w:val="clear"/>
            <w:vAlign w:val="bottom"/>
          </w:tcPr>
          <w:p>
            <w:pPr>
              <w:pStyle w:val="TableContents"/>
              <w:spacing w:before="0" w:after="283"/>
              <w:rPr/>
            </w:pPr>
            <w:r>
              <w:rPr/>
              <w:t>  </w:t>
            </w:r>
          </w:p>
        </w:tc>
        <w:tc>
          <w:tcPr>
            <w:tcW w:w="45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0"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rPr/>
            </w:pPr>
            <w:r>
              <w:rPr/>
              <w:t>  </w:t>
            </w:r>
          </w:p>
        </w:tc>
      </w:tr>
      <w:tr>
        <w:trPr/>
        <w:tc>
          <w:tcPr>
            <w:tcW w:w="6271" w:type="dxa"/>
            <w:tcBorders/>
            <w:shd w:fill="auto" w:val="clear"/>
            <w:vAlign w:val="bottom"/>
          </w:tcPr>
          <w:p>
            <w:pPr>
              <w:pStyle w:val="TableContents"/>
              <w:spacing w:before="0" w:after="283"/>
              <w:rPr>
                <w:sz w:val="4"/>
                <w:szCs w:val="4"/>
              </w:rPr>
            </w:pPr>
            <w:r>
              <w:rPr>
                <w:sz w:val="4"/>
                <w:szCs w:val="4"/>
              </w:rPr>
            </w:r>
          </w:p>
        </w:tc>
        <w:tc>
          <w:tcPr>
            <w:tcW w:w="4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47"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double" w:sz="6" w:space="1" w:color="000000"/>
              </w:pBdr>
              <w:spacing w:before="0" w:after="283"/>
              <w:rPr/>
            </w:pPr>
            <w:r>
              <w:rPr/>
              <w:t> </w:t>
            </w:r>
          </w:p>
        </w:tc>
        <w:tc>
          <w:tcPr>
            <w:tcW w:w="653"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pBdr>
                <w:top w:val="double" w:sz="6" w:space="1" w:color="000000"/>
              </w:pBdr>
              <w:spacing w:before="0" w:after="283"/>
              <w:rPr/>
            </w:pPr>
            <w:r>
              <w:rPr/>
              <w:t> </w:t>
            </w:r>
          </w:p>
        </w:tc>
        <w:tc>
          <w:tcPr>
            <w:tcW w:w="520" w:type="dxa"/>
            <w:tcBorders/>
            <w:shd w:fill="auto" w:val="clear"/>
            <w:vAlign w:val="bottom"/>
          </w:tcPr>
          <w:p>
            <w:pPr>
              <w:pStyle w:val="TableContents"/>
              <w:pBdr>
                <w:top w:val="double" w:sz="6" w:space="1" w:color="000000"/>
              </w:pBdr>
              <w:spacing w:before="0" w:after="283"/>
              <w:rPr/>
            </w:pPr>
            <w:r>
              <w:rPr/>
              <w:t> </w:t>
            </w:r>
          </w:p>
        </w:tc>
        <w:tc>
          <w:tcPr>
            <w:tcW w:w="126" w:type="dxa"/>
            <w:tcBorders/>
            <w:shd w:fill="auto" w:val="clear"/>
            <w:vAlign w:val="center"/>
          </w:tcPr>
          <w:p>
            <w:pPr>
              <w:pStyle w:val="TableContents"/>
              <w:spacing w:before="0" w:after="283"/>
              <w:rPr/>
            </w:pPr>
            <w:r>
              <w:rPr/>
              <w:t> </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(1) </w:t>
            </w:r>
          </w:p>
        </w:tc>
        <w:tc>
          <w:tcPr>
            <w:tcW w:w="9901"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 xml:space="preserve">We classify as short-term certain borrowings under the PAA senior unsecured revolving credit facility. These borrowings are primarily designated as working capital borrowings, must be repaid within one year and are primarily for hedged LPG and crude oil inventory and NYMEX and ICE margin deposits. </w:t>
            </w:r>
          </w:p>
        </w:tc>
      </w:tr>
    </w:tbl>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(2) </w:t>
            </w:r>
          </w:p>
        </w:tc>
        <w:tc>
          <w:tcPr>
            <w:tcW w:w="9901"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 xml:space="preserve">PNG classifies as short-term any borrowings under the PNG senior unsecured credit facility that have been designated as working capital borrowings and must be repaid within one year. Such borrowings are primarily related to a portion of PNGs hedged natural gas inventory. </w:t>
            </w:r>
          </w:p>
        </w:tc>
      </w:tr>
    </w:tbl>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(3) </w:t>
            </w:r>
          </w:p>
        </w:tc>
        <w:tc>
          <w:tcPr>
            <w:tcW w:w="9900"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 xml:space="preserve">In December 2011, we supplemented our existing credit facility by entering into a 364-day revolving credit facility with a borrowing capacity of $1.2 billion. As of December 31, 2011, this facility had not been activated; pursuant to its terms, we may activate the facility at any time within six months of the closing of the facility, resulting in a maturity date 364 days from the activation date.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1" w:name="supprom308566_9"/>
      <w:bookmarkEnd w:id="11"/>
      <w:r>
        <w:rPr>
          <w:rFonts w:ascii="Times New Roman" w:hAnsi="Times New Roman"/>
          <w:b/>
          <w:sz w:val="20"/>
        </w:rPr>
        <w:t xml:space="preserve">MATERIAL U.S. FEDERAL INCOME TAX CONSEQUENCES </w:t>
      </w:r>
    </w:p>
    <w:p>
      <w:pPr>
        <w:pStyle w:val="TextBody"/>
        <w:spacing w:before="180" w:after="0"/>
        <w:rPr>
          <w:rFonts w:ascii="Times New Roman" w:hAnsi="Times New Roman"/>
          <w:sz w:val="20"/>
        </w:rPr>
      </w:pPr>
      <w:r>
        <w:rPr>
          <w:rFonts w:ascii="Times New Roman" w:hAnsi="Times New Roman"/>
          <w:sz w:val="20"/>
        </w:rPr>
        <w:t xml:space="preserve">The tax consequences to you of an investment in our common units will depend in part on your own tax circumstances. For a discussion of the material U.S. federal income tax consequences associated with our operations and the purchase, ownership and disposition of our common units, please read Material Income Tax Considerations in the accompanying prospectus, as updated and supplemented by the discussion included herein. You are urged to consult with your own tax advisor about the federal, state, local and foreign tax consequences particular to your circumstances. </w:t>
      </w:r>
    </w:p>
    <w:p>
      <w:pPr>
        <w:pStyle w:val="TextBody"/>
        <w:spacing w:before="270" w:after="0"/>
        <w:rPr>
          <w:rFonts w:ascii="Times New Roman" w:hAnsi="Times New Roman"/>
          <w:b/>
          <w:sz w:val="20"/>
        </w:rPr>
      </w:pPr>
      <w:r>
        <w:rPr>
          <w:rFonts w:ascii="Times New Roman" w:hAnsi="Times New Roman"/>
          <w:b/>
          <w:sz w:val="20"/>
        </w:rPr>
        <w:t xml:space="preserve">Tax Consequences of Unit Ownership </w:t>
      </w:r>
    </w:p>
    <w:p>
      <w:pPr>
        <w:pStyle w:val="TextBody"/>
        <w:spacing w:before="90" w:after="0"/>
        <w:rPr>
          <w:rFonts w:ascii="Times New Roman" w:hAnsi="Times New Roman"/>
          <w:sz w:val="20"/>
        </w:rPr>
      </w:pPr>
      <w:r>
        <w:rPr>
          <w:rFonts w:ascii="Times New Roman" w:hAnsi="Times New Roman"/>
          <w:b/>
          <w:i/>
          <w:sz w:val="20"/>
        </w:rPr>
        <w:t>Ratio of Taxable Income to Distributions</w:t>
      </w:r>
      <w:r>
        <w:rPr>
          <w:rFonts w:ascii="Times New Roman" w:hAnsi="Times New Roman"/>
          <w:sz w:val="20"/>
        </w:rPr>
        <w:t xml:space="preserve">. We estimate that a purchaser of common units in this offering who holds those common units from the date of closing of this offering through the record date for the period ending December 31, 2014 will be allocated an amount of federal taxable income for that period that will be less than 20% of the cash distributed to the unitholder with respect to that period. Thereafter, we anticipate that the ratio of allocable taxable income to cash distributions to the unitholders will increase. These estimates are based upon the assumption that gross income from operations will approximate the amount required to make the current quarterly distribution on all units and other assumptions with respect to capital expenditures, cash flow, net working capital and anticipated cash distributions. These estimates and assumptions are subject to, among other things, numerous business, economic, regulatory, legislative, competitive and political uncertainties beyond our control. Further, the estimates are based on current tax law and tax reporting positions that we will adopt and with which the Internal Revenue Service could disagree. Accordingly, we cannot assure you that these estimates will prove to be correct. The ratio of taxable income to distributions could be higher or lower than expected, and any differences could be material and could materially affect the value of the common units. For example, the ratio of taxable income to cash distributions to a purchaser of common units in this offering will be higher, and perhaps substantially higher, than our estimate with respect to the period described above if our gross income from operations exceeds the amount required to maintain the current distribution level on all units, yet we only distribute the current distribution amount on all units; or we make a future offering of common units and use the proceeds of the offering in a manner that does not produce substantial additional deductions during the period described above, such as to repay indebtedness outstanding at the time of this offering or to acquire property that is not eligible for depreciation or amortization for federal income tax purposes or that is depreciable or amortizable at a rate significantly slower than the rate applicable to our assets at the time of this offering. </w:t>
      </w:r>
    </w:p>
    <w:p>
      <w:pPr>
        <w:pStyle w:val="TextBody"/>
        <w:spacing w:before="180" w:after="0"/>
        <w:rPr>
          <w:rFonts w:ascii="Times New Roman" w:hAnsi="Times New Roman"/>
          <w:sz w:val="20"/>
        </w:rPr>
      </w:pPr>
      <w:r>
        <w:rPr>
          <w:rFonts w:ascii="Times New Roman" w:hAnsi="Times New Roman"/>
          <w:sz w:val="20"/>
        </w:rPr>
        <w:t xml:space="preserve">In addition, our interest in PNG and our other operations are generally required to be treated as separate activities for purposes of applying the passive loss limitations. Income from one activity may not be offset with losses from the other activity. This inability to treat our interest in PNG and our other operations as a single activity could result in a higher than expected ratio of taxable income to distributions. </w:t>
      </w:r>
    </w:p>
    <w:p>
      <w:pPr>
        <w:pStyle w:val="TextBody"/>
        <w:spacing w:before="180" w:after="0"/>
        <w:rPr>
          <w:rFonts w:ascii="Times New Roman" w:hAnsi="Times New Roman"/>
          <w:sz w:val="20"/>
        </w:rPr>
      </w:pPr>
      <w:r>
        <w:rPr>
          <w:rFonts w:ascii="Times New Roman" w:hAnsi="Times New Roman"/>
          <w:b/>
          <w:i/>
          <w:sz w:val="20"/>
        </w:rPr>
        <w:t>Tax Rates</w:t>
      </w:r>
      <w:r>
        <w:rPr>
          <w:rFonts w:ascii="Times New Roman" w:hAnsi="Times New Roman"/>
          <w:sz w:val="20"/>
        </w:rPr>
        <w:t xml:space="preserve">. Under current law, the highest marginal federal income tax rate applicable to ordinary income of individuals is 35% and the highest marginal federal income tax rate applicable to long-term capital gains (generally, capital gains on certain assets held for more than 12 months) of individuals is 15%. However, absent new legislation extending the current rates, beginning January 1, 2013, the highest marginal federal income tax rate applicable to ordinary income and long-term capital gains of individuals will increase to 39.6% and 20%, respectively. Moreover, these rates are subject to change by new legislation at any time. </w:t>
      </w:r>
    </w:p>
    <w:p>
      <w:pPr>
        <w:pStyle w:val="TextBody"/>
        <w:spacing w:before="180" w:after="0"/>
        <w:rPr>
          <w:rFonts w:ascii="Times New Roman" w:hAnsi="Times New Roman"/>
          <w:sz w:val="20"/>
        </w:rPr>
      </w:pPr>
      <w:r>
        <w:rPr>
          <w:rFonts w:ascii="Times New Roman" w:hAnsi="Times New Roman"/>
          <w:sz w:val="20"/>
        </w:rPr>
        <w:t xml:space="preserve">A 3.8% Medicare tax on certain investment income earned by individuals, estates, and trusts is scheduled to apply for taxable years beginning after December 31, 2012. For these purposes, investment income generally includes a unitholders allocable share of our income and gain realized by a unitholder from a sale of units. In the case of an individual, the tax will be imposed on the lesser of (i) the unitholders net investment income from all investments, or (ii) the amount by which the unitholders modified adjusted gross income exceeds $250,000 (if the unitholder is married and filing jointly or a surviving spouse), $125,000 (if the unitholder is married and filing separately) or $200,000 (in any other case). In the case of an estate or trust, the tax will be imposed on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lesser of (i) undistributed net investment income, or (ii) the excess adjusted gross income over the dollar amount at which the highest income tax bracket applicable to an estate or trust begins. </w:t>
      </w:r>
    </w:p>
    <w:p>
      <w:pPr>
        <w:pStyle w:val="TextBody"/>
        <w:spacing w:before="180" w:after="0"/>
        <w:rPr>
          <w:rFonts w:ascii="Times New Roman" w:hAnsi="Times New Roman"/>
          <w:sz w:val="20"/>
        </w:rPr>
      </w:pPr>
      <w:r>
        <w:rPr>
          <w:rFonts w:ascii="Times New Roman" w:hAnsi="Times New Roman"/>
          <w:b/>
          <w:i/>
          <w:sz w:val="20"/>
        </w:rPr>
        <w:t>Nominee Reporting</w:t>
      </w:r>
      <w:r>
        <w:rPr>
          <w:rFonts w:ascii="Times New Roman" w:hAnsi="Times New Roman"/>
          <w:sz w:val="20"/>
        </w:rPr>
        <w:t xml:space="preserve">. Persons who hold an interest in us as a nominee for another person are required to furnish to us: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name, address and taxpayer identification number of the beneficial owner and the nominee;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statement regarding whether the beneficial owner is: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4"/>
        <w:gridCol w:w="509"/>
        <w:gridCol w:w="8882"/>
      </w:tblGrid>
      <w:tr>
        <w:trPr/>
        <w:tc>
          <w:tcPr>
            <w:tcW w:w="814"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i.</w:t>
            </w:r>
          </w:p>
        </w:tc>
        <w:tc>
          <w:tcPr>
            <w:tcW w:w="888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person that is not a U.S. person;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508"/>
        <w:gridCol w:w="8881"/>
      </w:tblGrid>
      <w:tr>
        <w:trPr/>
        <w:tc>
          <w:tcPr>
            <w:tcW w:w="816"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ii.</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foreign government, an international organization or any wholly-owned agency or instrumentality of either of the foregoing;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4"/>
        <w:gridCol w:w="511"/>
        <w:gridCol w:w="8880"/>
      </w:tblGrid>
      <w:tr>
        <w:trPr/>
        <w:tc>
          <w:tcPr>
            <w:tcW w:w="814" w:type="dxa"/>
            <w:tcBorders/>
            <w:shd w:fill="auto" w:val="clear"/>
            <w:vAlign w:val="center"/>
          </w:tcPr>
          <w:p>
            <w:pPr>
              <w:pStyle w:val="TableContents"/>
              <w:spacing w:before="0" w:after="283"/>
              <w:rPr/>
            </w:pPr>
            <w:r>
              <w:rPr/>
              <w:t> </w:t>
            </w:r>
          </w:p>
        </w:tc>
        <w:tc>
          <w:tcPr>
            <w:tcW w:w="51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iii.</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tax-exempt entity;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amount and description of common units held, acquired or transferred for the beneficial owner;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specific information including the dates of acquisitions and transfers, means of acquisitions and transfers, and acquisition cost for purchases, as well as the amount of net proceeds from sales. </w:t>
            </w:r>
          </w:p>
        </w:tc>
      </w:tr>
    </w:tbl>
    <w:p>
      <w:pPr>
        <w:pStyle w:val="TextBody"/>
        <w:spacing w:before="180" w:after="0"/>
        <w:rPr>
          <w:rFonts w:ascii="Times New Roman" w:hAnsi="Times New Roman"/>
          <w:sz w:val="20"/>
        </w:rPr>
      </w:pPr>
      <w:r>
        <w:rPr>
          <w:rFonts w:ascii="Times New Roman" w:hAnsi="Times New Roman"/>
          <w:sz w:val="20"/>
        </w:rPr>
        <w:t xml:space="preserve">Brokers and financial institutions are required to furnish additional information, including whether they are U.S. persons and specific information on common units they acquire, hold or transfer for their own account. A penalty of $100 per failure, up to a maximum of $1,500,000 per calendar year, is imposed by the Internal Revenue Code of 1986, as amended, for failure to report that information to us. The nominee is required to supply the beneficial owner of the common units with the information furnished by us. </w:t>
      </w:r>
    </w:p>
    <w:p>
      <w:pPr>
        <w:pStyle w:val="TextBody"/>
        <w:spacing w:before="180" w:after="0"/>
        <w:rPr>
          <w:rFonts w:ascii="Times New Roman" w:hAnsi="Times New Roman"/>
          <w:sz w:val="20"/>
        </w:rPr>
      </w:pPr>
      <w:r>
        <w:rPr>
          <w:rFonts w:ascii="Times New Roman" w:hAnsi="Times New Roman"/>
          <w:b/>
          <w:i/>
          <w:sz w:val="20"/>
        </w:rPr>
        <w:t>Tax-Exempt Organizations and Other Investors</w:t>
      </w:r>
      <w:r>
        <w:rPr>
          <w:rFonts w:ascii="Times New Roman" w:hAnsi="Times New Roman"/>
          <w:sz w:val="20"/>
        </w:rPr>
        <w:t xml:space="preserve">. Ownership of common units by tax-exempt entities and non-U.S. investors raises issues unique to such persons. Tax-exempt entities and non-U.S. investors are encouraged to consult with your own tax advisor about the federal, state, local and foreign tax consequences particular to your circumstances before investing. Please read Material Income Tax ConsiderationsTax-Exempt Organizations and Other Investors in the accompanying prospectus. </w:t>
      </w:r>
    </w:p>
    <w:p>
      <w:pPr>
        <w:pStyle w:val="TextBody"/>
        <w:spacing w:before="270" w:after="0"/>
        <w:rPr>
          <w:rFonts w:ascii="Times New Roman" w:hAnsi="Times New Roman"/>
          <w:b/>
          <w:sz w:val="20"/>
        </w:rPr>
      </w:pPr>
      <w:r>
        <w:rPr>
          <w:rFonts w:ascii="Times New Roman" w:hAnsi="Times New Roman"/>
          <w:b/>
          <w:sz w:val="20"/>
        </w:rPr>
        <w:t xml:space="preserve">Administrative Matters </w:t>
      </w:r>
    </w:p>
    <w:p>
      <w:pPr>
        <w:pStyle w:val="TextBody"/>
        <w:spacing w:before="90" w:after="0"/>
        <w:rPr>
          <w:rFonts w:ascii="Times New Roman" w:hAnsi="Times New Roman"/>
          <w:sz w:val="20"/>
        </w:rPr>
      </w:pPr>
      <w:r>
        <w:rPr>
          <w:rFonts w:ascii="Times New Roman" w:hAnsi="Times New Roman"/>
          <w:b/>
          <w:i/>
          <w:sz w:val="20"/>
        </w:rPr>
        <w:t>Accuracy-Related Penalties.</w:t>
      </w:r>
      <w:r>
        <w:rPr>
          <w:rFonts w:ascii="Times New Roman" w:hAnsi="Times New Roman"/>
          <w:sz w:val="20"/>
        </w:rPr>
        <w:t xml:space="preserve"> The 20% accuracy-related penalty applies to any portion of an underpayment of tax that is attributable to transactions lacking economic substance. To the extent that such transactions are not disclosed, the penalty imposed is increased to 40%. Additionally, there is no reasonable cause defense to the imposition of this penalty to such transactions.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2" w:name="supprom308566_10"/>
      <w:bookmarkEnd w:id="12"/>
      <w:r>
        <w:rPr>
          <w:rFonts w:ascii="Times New Roman" w:hAnsi="Times New Roman"/>
          <w:b/>
          <w:sz w:val="20"/>
        </w:rPr>
        <w:t xml:space="preserve">UNDERWRITING (CONFLICTS OF INTEREST) </w:t>
      </w:r>
    </w:p>
    <w:p>
      <w:pPr>
        <w:pStyle w:val="TextBody"/>
        <w:spacing w:before="180" w:after="0"/>
        <w:rPr>
          <w:rFonts w:ascii="Times New Roman" w:hAnsi="Times New Roman"/>
          <w:sz w:val="20"/>
        </w:rPr>
      </w:pPr>
      <w:r>
        <w:rPr>
          <w:rFonts w:ascii="Times New Roman" w:hAnsi="Times New Roman"/>
          <w:sz w:val="20"/>
        </w:rPr>
        <w:t xml:space="preserve">Barclays Capital Inc., Merrill Lynch, Pierce, Fenner &amp; Smith Incorporated, Citigroup Global Markets Inc., J.P. Morgan Securities LLC, UBS Securities LLC and Wells Fargo Securities, LLC are acting as joint book-running managers of the underwritten offering and representatives of the underwriters named below. Subject to the terms and conditions stated in the underwriting agreement dated the date of this prospectus supplement, each underwriter named below has agreed to severally purchase, and we have agreed to sell to that underwriter, the number of common units set forth opposite the underwriters name. </w:t>
      </w:r>
    </w:p>
    <w:p>
      <w:pPr>
        <w:pStyle w:val="TextBody"/>
        <w:spacing w:before="0" w:after="0"/>
        <w:rPr/>
      </w:pPr>
      <w:r>
        <w:rPr/>
        <w:t> </w:t>
      </w:r>
    </w:p>
    <w:tbl>
      <w:tblPr>
        <w:tblW w:w="4250" w:type="pct"/>
        <w:jc w:val="center"/>
        <w:tblInd w:w="0" w:type="dxa"/>
        <w:tblCellMar>
          <w:top w:w="0" w:type="dxa"/>
          <w:left w:w="0" w:type="dxa"/>
          <w:bottom w:w="0" w:type="dxa"/>
          <w:right w:w="0" w:type="dxa"/>
        </w:tblCellMar>
      </w:tblPr>
      <w:tblGrid>
        <w:gridCol w:w="7204"/>
        <w:gridCol w:w="436"/>
        <w:gridCol w:w="60"/>
        <w:gridCol w:w="850"/>
        <w:gridCol w:w="124"/>
      </w:tblGrid>
      <w:tr>
        <w:trPr/>
        <w:tc>
          <w:tcPr>
            <w:tcW w:w="7204"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r>
      <w:tr>
        <w:trPr/>
        <w:tc>
          <w:tcPr>
            <w:tcW w:w="7204" w:type="dxa"/>
            <w:tcBorders>
              <w:bottom w:val="single" w:sz="2" w:space="0" w:color="000000"/>
            </w:tcBorders>
            <w:shd w:fill="auto" w:val="clear"/>
            <w:tcMar>
              <w:bottom w:w="28" w:type="dxa"/>
            </w:tcMar>
            <w:vAlign w:val="bottom"/>
          </w:tcPr>
          <w:p>
            <w:pPr>
              <w:pStyle w:val="TableContents"/>
              <w:spacing w:before="0" w:after="15"/>
              <w:rPr>
                <w:rFonts w:ascii="Times New Roman" w:hAnsi="Times New Roman"/>
                <w:b/>
                <w:sz w:val="14"/>
              </w:rPr>
            </w:pPr>
            <w:r>
              <w:rPr>
                <w:rFonts w:ascii="Times New Roman" w:hAnsi="Times New Roman"/>
                <w:b/>
                <w:sz w:val="14"/>
              </w:rPr>
              <w:t>Underwriter</w:t>
            </w:r>
          </w:p>
        </w:tc>
        <w:tc>
          <w:tcPr>
            <w:tcW w:w="436" w:type="dxa"/>
            <w:tcBorders/>
            <w:shd w:fill="auto" w:val="clear"/>
            <w:vAlign w:val="bottom"/>
          </w:tcPr>
          <w:p>
            <w:pPr>
              <w:pStyle w:val="TableContents"/>
              <w:spacing w:before="0" w:after="283"/>
              <w:rPr/>
            </w:pPr>
            <w:r>
              <w:rPr/>
              <w:t>  </w:t>
            </w:r>
          </w:p>
        </w:tc>
        <w:tc>
          <w:tcPr>
            <w:tcW w:w="91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Number of</w:t>
              <w:br/>
              <w:t>Common Units</w:t>
            </w:r>
          </w:p>
        </w:tc>
        <w:tc>
          <w:tcPr>
            <w:tcW w:w="124" w:type="dxa"/>
            <w:tcBorders/>
            <w:shd w:fill="auto" w:val="clear"/>
            <w:vAlign w:val="bottom"/>
          </w:tcPr>
          <w:p>
            <w:pPr>
              <w:pStyle w:val="TableContents"/>
              <w:spacing w:before="0" w:after="283"/>
              <w:rPr/>
            </w:pPr>
            <w:r>
              <w:rPr/>
              <w:t> </w:t>
            </w:r>
          </w:p>
        </w:tc>
      </w:tr>
      <w:tr>
        <w:trPr/>
        <w:tc>
          <w:tcPr>
            <w:tcW w:w="7204" w:type="dxa"/>
            <w:tcBorders/>
            <w:shd w:fill="CCEEFF" w:val="clear"/>
          </w:tcPr>
          <w:p>
            <w:pPr>
              <w:pStyle w:val="TableContents"/>
              <w:spacing w:before="0" w:after="283"/>
              <w:rPr>
                <w:rFonts w:ascii="Times New Roman" w:hAnsi="Times New Roman"/>
                <w:sz w:val="20"/>
              </w:rPr>
            </w:pPr>
            <w:r>
              <w:rPr>
                <w:rFonts w:ascii="Times New Roman" w:hAnsi="Times New Roman"/>
                <w:sz w:val="20"/>
              </w:rPr>
              <w:t>Barclays Capital Inc.</w:t>
            </w:r>
          </w:p>
        </w:tc>
        <w:tc>
          <w:tcPr>
            <w:tcW w:w="43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850"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r>
      <w:tr>
        <w:trPr/>
        <w:tc>
          <w:tcPr>
            <w:tcW w:w="7204" w:type="dxa"/>
            <w:tcBorders/>
            <w:shd w:fill="auto" w:val="clear"/>
          </w:tcPr>
          <w:p>
            <w:pPr>
              <w:pStyle w:val="TableContents"/>
              <w:spacing w:before="0" w:after="0"/>
              <w:rPr>
                <w:rFonts w:ascii="Times New Roman" w:hAnsi="Times New Roman"/>
                <w:sz w:val="20"/>
              </w:rPr>
            </w:pPr>
            <w:r>
              <w:rPr>
                <w:rFonts w:ascii="Times New Roman" w:hAnsi="Times New Roman"/>
                <w:sz w:val="20"/>
              </w:rPr>
              <w:t>Merrill Lynch, Pierce, Fenner &amp; Smith</w:t>
            </w:r>
          </w:p>
          <w:p>
            <w:pPr>
              <w:pStyle w:val="TableContents"/>
              <w:spacing w:before="0" w:after="15"/>
              <w:rPr/>
            </w:pPr>
            <w:r>
              <w:rPr/>
              <w:t>                      </w:t>
            </w:r>
            <w:r>
              <w:rPr>
                <w:rFonts w:ascii="Times New Roman" w:hAnsi="Times New Roman"/>
                <w:sz w:val="20"/>
              </w:rPr>
              <w:t>Incorporated</w:t>
            </w:r>
          </w:p>
        </w:tc>
        <w:tc>
          <w:tcPr>
            <w:tcW w:w="4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850"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r>
      <w:tr>
        <w:trPr/>
        <w:tc>
          <w:tcPr>
            <w:tcW w:w="7204" w:type="dxa"/>
            <w:tcBorders/>
            <w:shd w:fill="CCEEFF" w:val="clear"/>
          </w:tcPr>
          <w:p>
            <w:pPr>
              <w:pStyle w:val="TableContents"/>
              <w:spacing w:before="0" w:after="283"/>
              <w:rPr>
                <w:rFonts w:ascii="Times New Roman" w:hAnsi="Times New Roman"/>
                <w:sz w:val="20"/>
              </w:rPr>
            </w:pPr>
            <w:r>
              <w:rPr>
                <w:rFonts w:ascii="Times New Roman" w:hAnsi="Times New Roman"/>
                <w:sz w:val="20"/>
              </w:rPr>
              <w:t>Citigroup Global Markets Inc.</w:t>
            </w:r>
          </w:p>
        </w:tc>
        <w:tc>
          <w:tcPr>
            <w:tcW w:w="43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850"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r>
      <w:tr>
        <w:trPr/>
        <w:tc>
          <w:tcPr>
            <w:tcW w:w="7204" w:type="dxa"/>
            <w:tcBorders/>
            <w:shd w:fill="auto" w:val="clear"/>
          </w:tcPr>
          <w:p>
            <w:pPr>
              <w:pStyle w:val="TableContents"/>
              <w:spacing w:before="0" w:after="283"/>
              <w:rPr>
                <w:rFonts w:ascii="Times New Roman" w:hAnsi="Times New Roman"/>
                <w:sz w:val="20"/>
              </w:rPr>
            </w:pPr>
            <w:r>
              <w:rPr>
                <w:rFonts w:ascii="Times New Roman" w:hAnsi="Times New Roman"/>
                <w:sz w:val="20"/>
              </w:rPr>
              <w:t>J.P. Morgan Securities LLC</w:t>
            </w:r>
          </w:p>
        </w:tc>
        <w:tc>
          <w:tcPr>
            <w:tcW w:w="4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850"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r>
      <w:tr>
        <w:trPr/>
        <w:tc>
          <w:tcPr>
            <w:tcW w:w="7204" w:type="dxa"/>
            <w:tcBorders/>
            <w:shd w:fill="CCEEFF" w:val="clear"/>
          </w:tcPr>
          <w:p>
            <w:pPr>
              <w:pStyle w:val="TableContents"/>
              <w:spacing w:before="0" w:after="283"/>
              <w:rPr>
                <w:rFonts w:ascii="Times New Roman" w:hAnsi="Times New Roman"/>
                <w:sz w:val="20"/>
              </w:rPr>
            </w:pPr>
            <w:r>
              <w:rPr>
                <w:rFonts w:ascii="Times New Roman" w:hAnsi="Times New Roman"/>
                <w:sz w:val="20"/>
              </w:rPr>
              <w:t>UBS Securities LLC</w:t>
            </w:r>
          </w:p>
        </w:tc>
        <w:tc>
          <w:tcPr>
            <w:tcW w:w="43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850"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r>
      <w:tr>
        <w:trPr/>
        <w:tc>
          <w:tcPr>
            <w:tcW w:w="7204" w:type="dxa"/>
            <w:tcBorders/>
            <w:shd w:fill="auto" w:val="clear"/>
          </w:tcPr>
          <w:p>
            <w:pPr>
              <w:pStyle w:val="TableContents"/>
              <w:spacing w:before="0" w:after="283"/>
              <w:rPr>
                <w:rFonts w:ascii="Times New Roman" w:hAnsi="Times New Roman"/>
                <w:sz w:val="20"/>
              </w:rPr>
            </w:pPr>
            <w:r>
              <w:rPr>
                <w:rFonts w:ascii="Times New Roman" w:hAnsi="Times New Roman"/>
                <w:sz w:val="20"/>
              </w:rPr>
              <w:t>Wells Fargo Securities, LLC</w:t>
            </w:r>
          </w:p>
        </w:tc>
        <w:tc>
          <w:tcPr>
            <w:tcW w:w="4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850"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r>
      <w:tr>
        <w:trPr/>
        <w:tc>
          <w:tcPr>
            <w:tcW w:w="7204" w:type="dxa"/>
            <w:tcBorders/>
            <w:shd w:fill="CCEEFF" w:val="clear"/>
          </w:tcPr>
          <w:p>
            <w:pPr>
              <w:pStyle w:val="TableContents"/>
              <w:spacing w:before="0" w:after="283"/>
              <w:rPr>
                <w:rFonts w:ascii="Times New Roman" w:hAnsi="Times New Roman"/>
                <w:sz w:val="20"/>
              </w:rPr>
            </w:pPr>
            <w:r>
              <w:rPr>
                <w:rFonts w:ascii="Times New Roman" w:hAnsi="Times New Roman"/>
                <w:sz w:val="20"/>
              </w:rPr>
              <w:t>Raymond James &amp; Associates, Inc.</w:t>
            </w:r>
          </w:p>
        </w:tc>
        <w:tc>
          <w:tcPr>
            <w:tcW w:w="43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850"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r>
      <w:tr>
        <w:trPr/>
        <w:tc>
          <w:tcPr>
            <w:tcW w:w="7204" w:type="dxa"/>
            <w:tcBorders/>
            <w:shd w:fill="auto" w:val="clear"/>
          </w:tcPr>
          <w:p>
            <w:pPr>
              <w:pStyle w:val="TableContents"/>
              <w:spacing w:before="0" w:after="283"/>
              <w:rPr>
                <w:rFonts w:ascii="Times New Roman" w:hAnsi="Times New Roman"/>
                <w:sz w:val="20"/>
              </w:rPr>
            </w:pPr>
            <w:r>
              <w:rPr>
                <w:rFonts w:ascii="Times New Roman" w:hAnsi="Times New Roman"/>
                <w:sz w:val="20"/>
              </w:rPr>
              <w:t>RBC Capital Markets LLC</w:t>
            </w:r>
          </w:p>
        </w:tc>
        <w:tc>
          <w:tcPr>
            <w:tcW w:w="4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850"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r>
      <w:tr>
        <w:trPr/>
        <w:tc>
          <w:tcPr>
            <w:tcW w:w="7204" w:type="dxa"/>
            <w:tcBorders/>
            <w:shd w:fill="CCEEFF" w:val="clear"/>
          </w:tcPr>
          <w:p>
            <w:pPr>
              <w:pStyle w:val="TableContents"/>
              <w:spacing w:before="0" w:after="283"/>
              <w:rPr>
                <w:rFonts w:ascii="Times New Roman" w:hAnsi="Times New Roman"/>
                <w:sz w:val="20"/>
              </w:rPr>
            </w:pPr>
            <w:r>
              <w:rPr>
                <w:rFonts w:ascii="Times New Roman" w:hAnsi="Times New Roman"/>
                <w:sz w:val="20"/>
              </w:rPr>
              <w:t>Global Hunter Securities, LLC</w:t>
            </w:r>
          </w:p>
        </w:tc>
        <w:tc>
          <w:tcPr>
            <w:tcW w:w="43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850"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r>
      <w:tr>
        <w:trPr/>
        <w:tc>
          <w:tcPr>
            <w:tcW w:w="7204" w:type="dxa"/>
            <w:tcBorders/>
            <w:shd w:fill="auto" w:val="clear"/>
          </w:tcPr>
          <w:p>
            <w:pPr>
              <w:pStyle w:val="TableContents"/>
              <w:spacing w:before="0" w:after="283"/>
              <w:rPr>
                <w:rFonts w:ascii="Times New Roman" w:hAnsi="Times New Roman"/>
                <w:sz w:val="20"/>
              </w:rPr>
            </w:pPr>
            <w:r>
              <w:rPr>
                <w:rFonts w:ascii="Times New Roman" w:hAnsi="Times New Roman"/>
                <w:sz w:val="20"/>
              </w:rPr>
              <w:t>Oppenheimer &amp; Co. Inc.</w:t>
            </w:r>
          </w:p>
        </w:tc>
        <w:tc>
          <w:tcPr>
            <w:tcW w:w="4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850"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r>
      <w:tr>
        <w:trPr/>
        <w:tc>
          <w:tcPr>
            <w:tcW w:w="7204" w:type="dxa"/>
            <w:tcBorders/>
            <w:shd w:fill="CCEEFF" w:val="clear"/>
          </w:tcPr>
          <w:p>
            <w:pPr>
              <w:pStyle w:val="TableContents"/>
              <w:spacing w:before="0" w:after="283"/>
              <w:rPr>
                <w:rFonts w:ascii="Times New Roman" w:hAnsi="Times New Roman"/>
                <w:sz w:val="20"/>
              </w:rPr>
            </w:pPr>
            <w:r>
              <w:rPr>
                <w:rFonts w:ascii="Times New Roman" w:hAnsi="Times New Roman"/>
                <w:sz w:val="20"/>
              </w:rPr>
              <w:t>Robert W. Baird &amp; Co. Incorporated</w:t>
            </w:r>
          </w:p>
        </w:tc>
        <w:tc>
          <w:tcPr>
            <w:tcW w:w="43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850"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r>
      <w:tr>
        <w:trPr/>
        <w:tc>
          <w:tcPr>
            <w:tcW w:w="7204" w:type="dxa"/>
            <w:tcBorders/>
            <w:shd w:fill="auto" w:val="clear"/>
          </w:tcPr>
          <w:p>
            <w:pPr>
              <w:pStyle w:val="TableContents"/>
              <w:spacing w:before="0" w:after="283"/>
              <w:rPr>
                <w:rFonts w:ascii="Times New Roman" w:hAnsi="Times New Roman"/>
                <w:sz w:val="20"/>
              </w:rPr>
            </w:pPr>
            <w:r>
              <w:rPr>
                <w:rFonts w:ascii="Times New Roman" w:hAnsi="Times New Roman"/>
                <w:sz w:val="20"/>
              </w:rPr>
              <w:t>Stifel, Nicolaus &amp; Company, Incorporated</w:t>
            </w:r>
          </w:p>
        </w:tc>
        <w:tc>
          <w:tcPr>
            <w:tcW w:w="4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850"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r>
      <w:tr>
        <w:trPr/>
        <w:tc>
          <w:tcPr>
            <w:tcW w:w="7204" w:type="dxa"/>
            <w:tcBorders/>
            <w:shd w:fill="auto" w:val="clear"/>
            <w:vAlign w:val="bottom"/>
          </w:tcPr>
          <w:p>
            <w:pPr>
              <w:pStyle w:val="TableContents"/>
              <w:spacing w:before="0" w:after="283"/>
              <w:rPr>
                <w:sz w:val="4"/>
                <w:szCs w:val="4"/>
              </w:rPr>
            </w:pPr>
            <w:r>
              <w:rPr>
                <w:sz w:val="4"/>
                <w:szCs w:val="4"/>
              </w:rPr>
            </w:r>
          </w:p>
        </w:tc>
        <w:tc>
          <w:tcPr>
            <w:tcW w:w="4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850"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r>
      <w:tr>
        <w:trPr/>
        <w:tc>
          <w:tcPr>
            <w:tcW w:w="7204"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43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5,000,000</w:t>
            </w:r>
          </w:p>
        </w:tc>
        <w:tc>
          <w:tcPr>
            <w:tcW w:w="124" w:type="dxa"/>
            <w:tcBorders/>
            <w:shd w:fill="CCEEFF" w:val="clear"/>
            <w:vAlign w:val="bottom"/>
          </w:tcPr>
          <w:p>
            <w:pPr>
              <w:pStyle w:val="TableContents"/>
              <w:spacing w:before="0" w:after="283"/>
              <w:rPr/>
            </w:pPr>
            <w:r>
              <w:rPr/>
              <w:t>  </w:t>
            </w:r>
          </w:p>
        </w:tc>
      </w:tr>
      <w:tr>
        <w:trPr/>
        <w:tc>
          <w:tcPr>
            <w:tcW w:w="7204" w:type="dxa"/>
            <w:tcBorders/>
            <w:shd w:fill="auto" w:val="clear"/>
            <w:vAlign w:val="bottom"/>
          </w:tcPr>
          <w:p>
            <w:pPr>
              <w:pStyle w:val="TableContents"/>
              <w:spacing w:before="0" w:after="283"/>
              <w:rPr>
                <w:sz w:val="4"/>
                <w:szCs w:val="4"/>
              </w:rPr>
            </w:pPr>
            <w:r>
              <w:rPr>
                <w:sz w:val="4"/>
                <w:szCs w:val="4"/>
              </w:rPr>
            </w:r>
          </w:p>
        </w:tc>
        <w:tc>
          <w:tcPr>
            <w:tcW w:w="4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283"/>
              <w:rPr/>
            </w:pPr>
            <w:r>
              <w:rPr/>
              <w:t> </w:t>
            </w:r>
          </w:p>
        </w:tc>
        <w:tc>
          <w:tcPr>
            <w:tcW w:w="850" w:type="dxa"/>
            <w:tcBorders/>
            <w:shd w:fill="auto" w:val="clear"/>
            <w:vAlign w:val="bottom"/>
          </w:tcPr>
          <w:p>
            <w:pPr>
              <w:pStyle w:val="TableContents"/>
              <w:pBdr>
                <w:top w:val="double" w:sz="6" w:space="1" w:color="000000"/>
              </w:pBdr>
              <w:spacing w:before="0" w:after="283"/>
              <w:rPr/>
            </w:pPr>
            <w:r>
              <w:rPr/>
              <w:t> </w:t>
            </w:r>
          </w:p>
        </w:tc>
        <w:tc>
          <w:tcPr>
            <w:tcW w:w="124"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The underwriting agreement provides that the obligations of the underwriters to purchase the common units included in this offering are subject to approval of legal matters by counsel and to other conditions. The underwriters are obligated to purchase all of the common units (other than those covered by the over-allotment option to purchase additional common units described below) if they purchase any of the common units. </w:t>
      </w:r>
    </w:p>
    <w:p>
      <w:pPr>
        <w:pStyle w:val="TextBody"/>
        <w:spacing w:before="180" w:after="0"/>
        <w:rPr>
          <w:rFonts w:ascii="Times New Roman" w:hAnsi="Times New Roman"/>
          <w:sz w:val="20"/>
        </w:rPr>
      </w:pPr>
      <w:r>
        <w:rPr>
          <w:rFonts w:ascii="Times New Roman" w:hAnsi="Times New Roman"/>
          <w:sz w:val="20"/>
        </w:rPr>
        <w:t xml:space="preserve">The underwriters propose to offer some of the common units directly to the public at the public offering price set forth on the cover page of this prospectus supplement and some of the common units to dealers at the public offering price less a concession not to exceed $ per common unit. If all of the common units are not sold at the initial offering price, the underwriters may change the public offering price and the other selling terms. </w:t>
      </w:r>
    </w:p>
    <w:p>
      <w:pPr>
        <w:pStyle w:val="TextBody"/>
        <w:spacing w:before="270" w:after="0"/>
        <w:rPr>
          <w:rFonts w:ascii="Times New Roman" w:hAnsi="Times New Roman"/>
          <w:b/>
          <w:sz w:val="20"/>
        </w:rPr>
      </w:pPr>
      <w:r>
        <w:rPr>
          <w:rFonts w:ascii="Times New Roman" w:hAnsi="Times New Roman"/>
          <w:b/>
          <w:sz w:val="20"/>
        </w:rPr>
        <w:t xml:space="preserve">Overallotment Option </w:t>
      </w:r>
    </w:p>
    <w:p>
      <w:pPr>
        <w:pStyle w:val="TextBody"/>
        <w:spacing w:before="90" w:after="0"/>
        <w:rPr>
          <w:rFonts w:ascii="Times New Roman" w:hAnsi="Times New Roman"/>
          <w:sz w:val="20"/>
        </w:rPr>
      </w:pPr>
      <w:r>
        <w:rPr>
          <w:rFonts w:ascii="Times New Roman" w:hAnsi="Times New Roman"/>
          <w:sz w:val="20"/>
        </w:rPr>
        <w:t xml:space="preserve">We have granted to the underwriters an option, exercisable for 30 days from the date of this prospectus supplement, to purchase up to 750,000 additional common units at the public offering price less the underwriting discount. To the extent the option is exercised, each underwriter must purchase a number of additional common units approximately proportionate to that underwriters initial purchase commitment. </w:t>
      </w:r>
    </w:p>
    <w:p>
      <w:pPr>
        <w:pStyle w:val="TextBody"/>
        <w:spacing w:before="270" w:after="0"/>
        <w:rPr>
          <w:rFonts w:ascii="Times New Roman" w:hAnsi="Times New Roman"/>
          <w:b/>
          <w:sz w:val="20"/>
        </w:rPr>
      </w:pPr>
      <w:r>
        <w:rPr>
          <w:rFonts w:ascii="Times New Roman" w:hAnsi="Times New Roman"/>
          <w:b/>
          <w:sz w:val="20"/>
        </w:rPr>
        <w:t xml:space="preserve">Lock-Up Agreements </w:t>
      </w:r>
    </w:p>
    <w:p>
      <w:pPr>
        <w:pStyle w:val="TextBody"/>
        <w:spacing w:before="90" w:after="0"/>
        <w:rPr>
          <w:rFonts w:ascii="Times New Roman" w:hAnsi="Times New Roman"/>
          <w:sz w:val="20"/>
        </w:rPr>
      </w:pPr>
      <w:r>
        <w:rPr>
          <w:rFonts w:ascii="Times New Roman" w:hAnsi="Times New Roman"/>
          <w:sz w:val="20"/>
        </w:rPr>
        <w:t xml:space="preserve">We, our general partner, certain officers and directors of our general partner and certain of their affiliates have agreed that, for a period of 45 days from the date of this prospectus supplement, we and they will not, without the prior written consent of Barclays Capital Inc., offer, sell, contract to sell, pledge or otherwise dispose of any common units or any securities convertible into, or exercisable or exchangeable for or that represent the right to receive common units or any securities that are senior to or pari passu with common units, including the grant of any options or warrants to purchase common units. Certain Kayne Anderson entities, which collectively own approximately 6.1 million common units and which are affiliated with Robert V. Sinnott, a director of our general partner, are not subject to this agreement and may sell some or all of their common units during the lock-up period. This agreement also will not apply to grants under existing employee benefit plans (including long-term incentive plans adopted by our general partner, Plains AAP, L.P. or Plains All American GP LLC), to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issuances of common units or any securities convertible or exchangeable into common units as payment of any part of the purchase price in connection with acquisitions by us and our affiliates or any third parties (with any transferees in such acquisitions agreeing to be bound by the lock-up agreement for the remainder of the term), to certain sales of common units by the officers or directors of the company that controls our general partner to pay tax liabilities associated with the vesting of units, to transfers of common units by the officers and directors of our general partner in connection with gifts or charitable donations or to issuances or deliveries of common units in connection with the conversion, vesting or exercise of securities (including long-term incentive plan awards, options and warrants) currently outstanding. Barclays Capital Inc., in its sole discretion, may release any of the common units subject to these lock-up agreements at any time without notice. </w:t>
      </w:r>
    </w:p>
    <w:p>
      <w:pPr>
        <w:pStyle w:val="TextBody"/>
        <w:spacing w:before="180" w:after="0"/>
        <w:rPr>
          <w:rFonts w:ascii="Times New Roman" w:hAnsi="Times New Roman"/>
          <w:sz w:val="20"/>
        </w:rPr>
      </w:pPr>
      <w:r>
        <w:rPr>
          <w:rFonts w:ascii="Times New Roman" w:hAnsi="Times New Roman"/>
          <w:sz w:val="20"/>
        </w:rPr>
        <w:t xml:space="preserve">In addition, Vulcan Energy Corporation, Vulcan Capital Private Equity I LLC and Vulcan Capital Private Equity II LLC have entered into lock-up agreements with us, with restrictions similar to those set forth above, for a period lasting until August 2013 with respect to the approximately 2.6 million units owned by Vulcan Energy Corporation and until August 2012 with respect to the approximately 3.9 million units owned by Vulcan Capital Private Equity I LLC and Vulcan Capital Private Equity II LLC. We may waive these restrictions at any time or from time to time in our discretion. </w:t>
      </w:r>
    </w:p>
    <w:p>
      <w:pPr>
        <w:pStyle w:val="TextBody"/>
        <w:spacing w:before="270" w:after="0"/>
        <w:rPr>
          <w:rFonts w:ascii="Times New Roman" w:hAnsi="Times New Roman"/>
          <w:b/>
          <w:sz w:val="20"/>
        </w:rPr>
      </w:pPr>
      <w:r>
        <w:rPr>
          <w:rFonts w:ascii="Times New Roman" w:hAnsi="Times New Roman"/>
          <w:b/>
          <w:sz w:val="20"/>
        </w:rPr>
        <w:t xml:space="preserve">Listing </w:t>
      </w:r>
    </w:p>
    <w:p>
      <w:pPr>
        <w:pStyle w:val="TextBody"/>
        <w:spacing w:before="90" w:after="0"/>
        <w:rPr>
          <w:rFonts w:ascii="Times New Roman" w:hAnsi="Times New Roman"/>
          <w:sz w:val="20"/>
        </w:rPr>
      </w:pPr>
      <w:r>
        <w:rPr>
          <w:rFonts w:ascii="Times New Roman" w:hAnsi="Times New Roman"/>
          <w:sz w:val="20"/>
        </w:rPr>
        <w:t xml:space="preserve">Our common units are listed on the New York Stock Exchange under the symbol PAA. </w:t>
      </w:r>
    </w:p>
    <w:p>
      <w:pPr>
        <w:pStyle w:val="TextBody"/>
        <w:spacing w:before="270" w:after="0"/>
        <w:rPr>
          <w:rFonts w:ascii="Times New Roman" w:hAnsi="Times New Roman"/>
          <w:b/>
          <w:sz w:val="20"/>
        </w:rPr>
      </w:pPr>
      <w:r>
        <w:rPr>
          <w:rFonts w:ascii="Times New Roman" w:hAnsi="Times New Roman"/>
          <w:b/>
          <w:sz w:val="20"/>
        </w:rPr>
        <w:t xml:space="preserve">Commissions and Expenses </w:t>
      </w:r>
    </w:p>
    <w:p>
      <w:pPr>
        <w:pStyle w:val="TextBody"/>
        <w:spacing w:before="90" w:after="0"/>
        <w:rPr>
          <w:rFonts w:ascii="Times New Roman" w:hAnsi="Times New Roman"/>
          <w:sz w:val="20"/>
        </w:rPr>
      </w:pPr>
      <w:r>
        <w:rPr>
          <w:rFonts w:ascii="Times New Roman" w:hAnsi="Times New Roman"/>
          <w:sz w:val="20"/>
        </w:rPr>
        <w:t xml:space="preserve">The following table shows the underwriting discounts and commissions that we are to pay to the underwriters in connection with this offering. These amounts are shown assuming both no exercise and full exercise of the underwriters option to purchase additional common units.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256"/>
        <w:gridCol w:w="501"/>
        <w:gridCol w:w="125"/>
        <w:gridCol w:w="727"/>
        <w:gridCol w:w="120"/>
        <w:gridCol w:w="501"/>
        <w:gridCol w:w="125"/>
        <w:gridCol w:w="727"/>
        <w:gridCol w:w="123"/>
      </w:tblGrid>
      <w:tr>
        <w:trPr/>
        <w:tc>
          <w:tcPr>
            <w:tcW w:w="7256"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7256" w:type="dxa"/>
            <w:tcBorders/>
            <w:shd w:fill="auto" w:val="clear"/>
            <w:vAlign w:val="bottom"/>
          </w:tcPr>
          <w:p>
            <w:pPr>
              <w:pStyle w:val="TableContents"/>
              <w:spacing w:before="0" w:after="283"/>
              <w:rPr/>
            </w:pPr>
            <w:r>
              <w:rPr/>
              <w:t> </w:t>
            </w:r>
          </w:p>
        </w:tc>
        <w:tc>
          <w:tcPr>
            <w:tcW w:w="501" w:type="dxa"/>
            <w:tcBorders/>
            <w:shd w:fill="auto" w:val="clear"/>
            <w:vAlign w:val="bottom"/>
          </w:tcPr>
          <w:p>
            <w:pPr>
              <w:pStyle w:val="TableContents"/>
              <w:spacing w:before="0" w:after="283"/>
              <w:rPr/>
            </w:pPr>
            <w:r>
              <w:rPr/>
              <w:t>  </w:t>
            </w:r>
          </w:p>
        </w:tc>
        <w:tc>
          <w:tcPr>
            <w:tcW w:w="85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No Exercise</w:t>
            </w:r>
          </w:p>
        </w:tc>
        <w:tc>
          <w:tcPr>
            <w:tcW w:w="120" w:type="dxa"/>
            <w:tcBorders/>
            <w:shd w:fill="auto" w:val="clear"/>
            <w:vAlign w:val="bottom"/>
          </w:tcPr>
          <w:p>
            <w:pPr>
              <w:pStyle w:val="TableContents"/>
              <w:spacing w:before="0" w:after="283"/>
              <w:rPr/>
            </w:pPr>
            <w:r>
              <w:rPr/>
              <w:t> </w:t>
            </w:r>
          </w:p>
        </w:tc>
        <w:tc>
          <w:tcPr>
            <w:tcW w:w="501" w:type="dxa"/>
            <w:tcBorders/>
            <w:shd w:fill="auto" w:val="clear"/>
            <w:vAlign w:val="bottom"/>
          </w:tcPr>
          <w:p>
            <w:pPr>
              <w:pStyle w:val="TableContents"/>
              <w:spacing w:before="0" w:after="283"/>
              <w:rPr/>
            </w:pPr>
            <w:r>
              <w:rPr/>
              <w:t>  </w:t>
            </w:r>
          </w:p>
        </w:tc>
        <w:tc>
          <w:tcPr>
            <w:tcW w:w="85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Full Exercise</w:t>
            </w:r>
          </w:p>
        </w:tc>
        <w:tc>
          <w:tcPr>
            <w:tcW w:w="123" w:type="dxa"/>
            <w:tcBorders/>
            <w:shd w:fill="auto" w:val="clear"/>
            <w:vAlign w:val="bottom"/>
          </w:tcPr>
          <w:p>
            <w:pPr>
              <w:pStyle w:val="TableContents"/>
              <w:spacing w:before="0" w:after="283"/>
              <w:rPr/>
            </w:pPr>
            <w:r>
              <w:rPr/>
              <w:t> </w:t>
            </w:r>
          </w:p>
        </w:tc>
      </w:tr>
      <w:tr>
        <w:trPr/>
        <w:tc>
          <w:tcPr>
            <w:tcW w:w="7256" w:type="dxa"/>
            <w:tcBorders/>
            <w:shd w:fill="CCEEFF" w:val="clear"/>
          </w:tcPr>
          <w:p>
            <w:pPr>
              <w:pStyle w:val="TableContents"/>
              <w:spacing w:before="0" w:after="283"/>
              <w:rPr>
                <w:rFonts w:ascii="Times New Roman" w:hAnsi="Times New Roman"/>
                <w:sz w:val="20"/>
              </w:rPr>
            </w:pPr>
            <w:r>
              <w:rPr>
                <w:rFonts w:ascii="Times New Roman" w:hAnsi="Times New Roman"/>
                <w:sz w:val="20"/>
              </w:rPr>
              <w:t>Per Common Unit</w:t>
            </w:r>
          </w:p>
        </w:tc>
        <w:tc>
          <w:tcPr>
            <w:tcW w:w="5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7"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5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7"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rPr/>
            </w:pPr>
            <w:r>
              <w:rPr/>
              <w:t>  </w:t>
            </w:r>
          </w:p>
        </w:tc>
      </w:tr>
      <w:tr>
        <w:trPr/>
        <w:tc>
          <w:tcPr>
            <w:tcW w:w="7256" w:type="dxa"/>
            <w:tcBorders/>
            <w:shd w:fill="auto" w:val="clear"/>
          </w:tcPr>
          <w:p>
            <w:pPr>
              <w:pStyle w:val="TableContents"/>
              <w:spacing w:before="0" w:after="283"/>
              <w:rPr>
                <w:rFonts w:ascii="Times New Roman" w:hAnsi="Times New Roman"/>
                <w:sz w:val="20"/>
              </w:rPr>
            </w:pPr>
            <w:r>
              <w:rPr>
                <w:rFonts w:ascii="Times New Roman" w:hAnsi="Times New Roman"/>
                <w:sz w:val="20"/>
              </w:rPr>
              <w:t>Total</w:t>
            </w:r>
          </w:p>
        </w:tc>
        <w:tc>
          <w:tcPr>
            <w:tcW w:w="5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7" w:type="dxa"/>
            <w:tcBorders/>
            <w:shd w:fill="auto" w:val="clear"/>
            <w:vAlign w:val="bottom"/>
          </w:tcPr>
          <w:p>
            <w:pPr>
              <w:pStyle w:val="TableContents"/>
              <w:spacing w:before="0" w:after="283"/>
              <w:jc w:val="right"/>
              <w:rPr/>
            </w:pPr>
            <w:r>
              <w:rPr/>
              <w:t> </w:t>
            </w:r>
          </w:p>
        </w:tc>
        <w:tc>
          <w:tcPr>
            <w:tcW w:w="120" w:type="dxa"/>
            <w:tcBorders/>
            <w:shd w:fill="auto" w:val="clear"/>
            <w:vAlign w:val="bottom"/>
          </w:tcPr>
          <w:p>
            <w:pPr>
              <w:pStyle w:val="TableContents"/>
              <w:spacing w:before="0" w:after="283"/>
              <w:rPr/>
            </w:pPr>
            <w:r>
              <w:rPr/>
              <w:t>  </w:t>
            </w:r>
          </w:p>
        </w:tc>
        <w:tc>
          <w:tcPr>
            <w:tcW w:w="5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rPr/>
            </w:pPr>
            <w:r>
              <w:rPr/>
              <w:t>  </w:t>
            </w:r>
          </w:p>
        </w:tc>
      </w:tr>
    </w:tbl>
    <w:p>
      <w:pPr>
        <w:pStyle w:val="TextBody"/>
        <w:spacing w:before="270" w:after="0"/>
        <w:rPr>
          <w:rFonts w:ascii="Times New Roman" w:hAnsi="Times New Roman"/>
          <w:b/>
          <w:sz w:val="20"/>
        </w:rPr>
      </w:pPr>
      <w:r>
        <w:rPr>
          <w:rFonts w:ascii="Times New Roman" w:hAnsi="Times New Roman"/>
          <w:b/>
          <w:sz w:val="20"/>
        </w:rPr>
        <w:t xml:space="preserve">Price Stabilizations, Short Positions and Penalty Bids </w:t>
      </w:r>
    </w:p>
    <w:p>
      <w:pPr>
        <w:pStyle w:val="TextBody"/>
        <w:spacing w:before="90" w:after="0"/>
        <w:rPr>
          <w:rFonts w:ascii="Times New Roman" w:hAnsi="Times New Roman"/>
          <w:sz w:val="20"/>
        </w:rPr>
      </w:pPr>
      <w:r>
        <w:rPr>
          <w:rFonts w:ascii="Times New Roman" w:hAnsi="Times New Roman"/>
          <w:sz w:val="20"/>
        </w:rPr>
        <w:t xml:space="preserve">In connection with the offering, the representatives, on behalf of the underwriters, may purchase and sell common units in the open market. These transactions may include short sales, syndicate covering transactions and stabilizing transactions. Short sales involve syndicate sales of common units in excess of the number of common units to be purchased by the underwriters in the offering, which creates a syndicate short position. Covered short sales are sales of common units made in an amount up to the number of common units represented by the underwriters overallotment option. In determining the source of common units to close out the covered syndicate short position, the underwriters will consider, among other things, the price of common units available for purchase in the open market as compared to the price at which they may purchase units through the over-allotment option. Transactions to close out the covered syndicate short position involve either purchases of the common units in the open market after the distribution has been completed or the exercise of the overallotment option. The underwriters may also make naked short sales of common units in excess of the overallotment option. The underwriters must close out any naked short position by purchasing common units in the open market. A naked short position is more likely to be created if the underwriters are concerned that there may be downward pressure on the price of the common units in the open market after pricing that could adversely affect investors who purchase in the offering. Stabilizing transactions consist of bids for or purchases of common units in the open market while the offering is in progress. </w:t>
      </w:r>
    </w:p>
    <w:p>
      <w:pPr>
        <w:pStyle w:val="TextBody"/>
        <w:spacing w:before="180" w:after="0"/>
        <w:rPr>
          <w:rFonts w:ascii="Times New Roman" w:hAnsi="Times New Roman"/>
          <w:sz w:val="20"/>
        </w:rPr>
      </w:pPr>
      <w:r>
        <w:rPr>
          <w:rFonts w:ascii="Times New Roman" w:hAnsi="Times New Roman"/>
          <w:sz w:val="20"/>
        </w:rPr>
        <w:t xml:space="preserve">The underwriters also may impose a penalty bid. Penalty bids permit the underwriters to reclaim a selling concession from a syndicate member when the representatives repurchase common units originally sold by that syndicate member in order to cover syndicate short positions or make stabilizing purchases.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Any of these activities may have the effect of preventing or retarding a decline in the market price of the common units. They may also cause the price of the common units to be higher than the price that would otherwise exist in the open market in the absence of these transactions. The underwriters may conduct these transactions on the New York Stock Exchange or in the over-the-counter market, or otherwise. If the underwriters commence any of these transactions, they may discontinue them at any time. </w:t>
      </w:r>
    </w:p>
    <w:p>
      <w:pPr>
        <w:pStyle w:val="TextBody"/>
        <w:spacing w:before="270" w:after="0"/>
        <w:rPr>
          <w:rFonts w:ascii="Times New Roman" w:hAnsi="Times New Roman"/>
          <w:b/>
          <w:sz w:val="20"/>
        </w:rPr>
      </w:pPr>
      <w:r>
        <w:rPr>
          <w:rFonts w:ascii="Times New Roman" w:hAnsi="Times New Roman"/>
          <w:b/>
          <w:sz w:val="20"/>
        </w:rPr>
        <w:t xml:space="preserve">Partnership Expenses </w:t>
      </w:r>
    </w:p>
    <w:p>
      <w:pPr>
        <w:pStyle w:val="TextBody"/>
        <w:spacing w:before="90" w:after="0"/>
        <w:rPr>
          <w:rFonts w:ascii="Times New Roman" w:hAnsi="Times New Roman"/>
          <w:sz w:val="20"/>
        </w:rPr>
      </w:pPr>
      <w:r>
        <w:rPr>
          <w:rFonts w:ascii="Times New Roman" w:hAnsi="Times New Roman"/>
          <w:sz w:val="20"/>
        </w:rPr>
        <w:t xml:space="preserve">We estimate that our total expenses of this offering, excluding underwriting discounts and commissions, will be approximately $375,000. </w:t>
      </w:r>
    </w:p>
    <w:p>
      <w:pPr>
        <w:pStyle w:val="TextBody"/>
        <w:spacing w:before="270" w:after="0"/>
        <w:rPr>
          <w:rFonts w:ascii="Times New Roman" w:hAnsi="Times New Roman"/>
          <w:b/>
          <w:sz w:val="20"/>
        </w:rPr>
      </w:pPr>
      <w:r>
        <w:rPr>
          <w:rFonts w:ascii="Times New Roman" w:hAnsi="Times New Roman"/>
          <w:b/>
          <w:sz w:val="20"/>
        </w:rPr>
        <w:t xml:space="preserve">Conflicts of Interest </w:t>
      </w:r>
    </w:p>
    <w:p>
      <w:pPr>
        <w:pStyle w:val="TextBody"/>
        <w:spacing w:before="90" w:after="0"/>
        <w:rPr>
          <w:rFonts w:ascii="Times New Roman" w:hAnsi="Times New Roman"/>
          <w:sz w:val="20"/>
        </w:rPr>
      </w:pPr>
      <w:r>
        <w:rPr>
          <w:rFonts w:ascii="Times New Roman" w:hAnsi="Times New Roman"/>
          <w:sz w:val="20"/>
        </w:rPr>
        <w:t xml:space="preserve">All of the underwriters and their affiliates have performed investment and commercial banking and advisory services for us and our affiliates from time to time for which they have received customary fees and expenses. The underwriters and their affiliates may, from time to time, engage in transactions with and perform services for us in the ordinary course of their business. </w:t>
      </w:r>
    </w:p>
    <w:p>
      <w:pPr>
        <w:pStyle w:val="TextBody"/>
        <w:spacing w:before="180" w:after="0"/>
        <w:rPr>
          <w:rFonts w:ascii="Times New Roman" w:hAnsi="Times New Roman"/>
          <w:sz w:val="20"/>
        </w:rPr>
      </w:pPr>
      <w:r>
        <w:rPr>
          <w:rFonts w:ascii="Times New Roman" w:hAnsi="Times New Roman"/>
          <w:sz w:val="20"/>
        </w:rPr>
        <w:t xml:space="preserve">Affiliates of Barclays Capital Inc., Merrill Lynch, Pierce, Fenner &amp; Smith Incorporated, Citigroup Global Markets Inc., J.P. Morgan Securities LLC, UBS Securities LLC, Wells Fargo Securities, LLC, Raymond James &amp; Associates, Inc. and RBC Capital Markets LLC are lenders under our credit facilities, and, accordingly, may receive a portion of the proceeds from this offering pursuant to any repayment of borrowings under our credit facilities. </w:t>
      </w:r>
    </w:p>
    <w:p>
      <w:pPr>
        <w:pStyle w:val="TextBody"/>
        <w:spacing w:before="270" w:after="0"/>
        <w:rPr>
          <w:rFonts w:ascii="Times New Roman" w:hAnsi="Times New Roman"/>
          <w:b/>
          <w:sz w:val="20"/>
        </w:rPr>
      </w:pPr>
      <w:r>
        <w:rPr>
          <w:rFonts w:ascii="Times New Roman" w:hAnsi="Times New Roman"/>
          <w:b/>
          <w:sz w:val="20"/>
        </w:rPr>
        <w:t xml:space="preserve">Electronic Distribution </w:t>
      </w:r>
    </w:p>
    <w:p>
      <w:pPr>
        <w:pStyle w:val="TextBody"/>
        <w:spacing w:before="90" w:after="0"/>
        <w:rPr>
          <w:rFonts w:ascii="Times New Roman" w:hAnsi="Times New Roman"/>
          <w:sz w:val="20"/>
        </w:rPr>
      </w:pPr>
      <w:r>
        <w:rPr>
          <w:rFonts w:ascii="Times New Roman" w:hAnsi="Times New Roman"/>
          <w:sz w:val="20"/>
        </w:rPr>
        <w:t xml:space="preserve">This prospectus supplement and the accompanying prospectus in electronic format may be made available on the websites maintained by one or more of the underwriters. The underwriters may agree to allocate a number of common units for sale to their online brokerage account holders. The common units will be allocated to underwriters that may make Internet distributions on the same basis as other allocations. In addition, common units may be sold by the underwriters to securities dealers who resell common units to online brokerage account holders. </w:t>
      </w:r>
    </w:p>
    <w:p>
      <w:pPr>
        <w:pStyle w:val="TextBody"/>
        <w:spacing w:before="180" w:after="0"/>
        <w:rPr>
          <w:rFonts w:ascii="Times New Roman" w:hAnsi="Times New Roman"/>
          <w:sz w:val="20"/>
        </w:rPr>
      </w:pPr>
      <w:r>
        <w:rPr>
          <w:rFonts w:ascii="Times New Roman" w:hAnsi="Times New Roman"/>
          <w:sz w:val="20"/>
        </w:rPr>
        <w:t xml:space="preserve">Other than this prospectus supplement and the accompanying prospectus in electronic format, information contained in any website maintained by an underwriter is not part of this prospectus supplement or the accompanying prospectus or registration statement of which the accompanying prospectus forms a part, has not been endorsed by us and should not be relied on by investors in deciding whether to purchase common units. The underwriters are not responsible for information contained in websites that they do not maintain. </w:t>
      </w:r>
    </w:p>
    <w:p>
      <w:pPr>
        <w:pStyle w:val="TextBody"/>
        <w:spacing w:before="270" w:after="0"/>
        <w:rPr>
          <w:rFonts w:ascii="Times New Roman" w:hAnsi="Times New Roman"/>
          <w:b/>
          <w:sz w:val="20"/>
        </w:rPr>
      </w:pPr>
      <w:r>
        <w:rPr>
          <w:rFonts w:ascii="Times New Roman" w:hAnsi="Times New Roman"/>
          <w:b/>
          <w:sz w:val="20"/>
        </w:rPr>
        <w:t xml:space="preserve">Indemnification </w:t>
      </w:r>
    </w:p>
    <w:p>
      <w:pPr>
        <w:pStyle w:val="TextBody"/>
        <w:spacing w:before="90" w:after="0"/>
        <w:rPr>
          <w:rFonts w:ascii="Times New Roman" w:hAnsi="Times New Roman"/>
          <w:sz w:val="20"/>
        </w:rPr>
      </w:pPr>
      <w:r>
        <w:rPr>
          <w:rFonts w:ascii="Times New Roman" w:hAnsi="Times New Roman"/>
          <w:sz w:val="20"/>
        </w:rPr>
        <w:t xml:space="preserve">We have agreed to indemnify the underwriters against certain liabilities, including liabilities under the Securities Act of 1933, as amended, or to contribute to payments the underwriters may be required to make because of any of those liabilities. </w:t>
      </w:r>
    </w:p>
    <w:p>
      <w:pPr>
        <w:pStyle w:val="TextBody"/>
        <w:spacing w:before="270" w:after="0"/>
        <w:rPr>
          <w:rFonts w:ascii="Times New Roman" w:hAnsi="Times New Roman"/>
          <w:b/>
          <w:sz w:val="20"/>
        </w:rPr>
      </w:pPr>
      <w:r>
        <w:rPr>
          <w:rFonts w:ascii="Times New Roman" w:hAnsi="Times New Roman"/>
          <w:b/>
          <w:sz w:val="20"/>
        </w:rPr>
        <w:t xml:space="preserve">FINRA Conduct Rule </w:t>
      </w:r>
    </w:p>
    <w:p>
      <w:pPr>
        <w:pStyle w:val="TextBody"/>
        <w:spacing w:before="90" w:after="0"/>
        <w:rPr>
          <w:rFonts w:ascii="Times New Roman" w:hAnsi="Times New Roman"/>
          <w:sz w:val="20"/>
        </w:rPr>
      </w:pPr>
      <w:r>
        <w:rPr>
          <w:rFonts w:ascii="Times New Roman" w:hAnsi="Times New Roman"/>
          <w:sz w:val="20"/>
        </w:rPr>
        <w:t xml:space="preserve">Because the Financial Industry Regulatory Authority views our common units as interests in a direct participation program, this offering is being made in compliance with Rule 2310 of the FINRA Rules. Investor suitability with respect to the common units will be judged similarly to the suitability with respect to other securities that are listed for trading on a national securities exchange.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Notice to Investors </w:t>
      </w:r>
    </w:p>
    <w:p>
      <w:pPr>
        <w:pStyle w:val="TextBody"/>
        <w:spacing w:before="90" w:after="0"/>
        <w:rPr>
          <w:rFonts w:ascii="Times New Roman" w:hAnsi="Times New Roman"/>
          <w:b/>
          <w:i/>
          <w:sz w:val="20"/>
        </w:rPr>
      </w:pPr>
      <w:r>
        <w:rPr>
          <w:rFonts w:ascii="Times New Roman" w:hAnsi="Times New Roman"/>
          <w:b/>
          <w:i/>
          <w:sz w:val="20"/>
        </w:rPr>
        <w:t xml:space="preserve">Notice to Prospective Investors in the EEA </w:t>
      </w:r>
    </w:p>
    <w:p>
      <w:pPr>
        <w:pStyle w:val="TextBody"/>
        <w:spacing w:before="90" w:after="0"/>
        <w:rPr>
          <w:rFonts w:ascii="Times New Roman" w:hAnsi="Times New Roman"/>
          <w:sz w:val="20"/>
        </w:rPr>
      </w:pPr>
      <w:r>
        <w:rPr>
          <w:rFonts w:ascii="Times New Roman" w:hAnsi="Times New Roman"/>
          <w:sz w:val="20"/>
        </w:rPr>
        <w:t xml:space="preserve">In relation to each member state of the European Economic Area that has implemented the Prospectus Directive (each, a relevant member state), other than Germany, with effect from and including the date on which the Prospectus Directive is implemented in that relevant member state (the relevant implementation date), an offer of securities described in this prospectus may not be made to the public in that relevant member state other than: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3"/>
        <w:gridCol w:w="101"/>
        <w:gridCol w:w="9493"/>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any legal entity which is a qualified investor as defined in the Prospectus Directive;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the issuer for any such offer;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any other circumstances falling within Article 3(2) of the Prospectus Directive, </w:t>
            </w:r>
          </w:p>
        </w:tc>
      </w:tr>
    </w:tbl>
    <w:p>
      <w:pPr>
        <w:pStyle w:val="TextBody"/>
        <w:spacing w:before="180" w:after="0"/>
        <w:rPr>
          <w:rFonts w:ascii="Times New Roman" w:hAnsi="Times New Roman"/>
          <w:sz w:val="20"/>
        </w:rPr>
      </w:pPr>
      <w:r>
        <w:rPr>
          <w:rFonts w:ascii="Times New Roman" w:hAnsi="Times New Roman"/>
          <w:sz w:val="20"/>
        </w:rPr>
        <w:t xml:space="preserve">provided that no such offer of securities shall require us or any underwriter to publish a prospectus pursuant to Article 3 of the Prospectus Directive. </w:t>
      </w:r>
    </w:p>
    <w:p>
      <w:pPr>
        <w:pStyle w:val="TextBody"/>
        <w:spacing w:before="195" w:after="0"/>
        <w:rPr>
          <w:rFonts w:ascii="Times New Roman" w:hAnsi="Times New Roman"/>
          <w:sz w:val="20"/>
        </w:rPr>
      </w:pPr>
      <w:r>
        <w:rPr>
          <w:rFonts w:ascii="Times New Roman" w:hAnsi="Times New Roman"/>
          <w:sz w:val="20"/>
        </w:rPr>
        <w:t xml:space="preserve">For purposes of this provision, the expression an offer of securities to the public in any relevant member state means the communication in any form and by any means of sufficient information on the terms of the offer and the securities to be offered so as to enable an investor to decide to purchase or subscribe for the securities,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the relevant member state. The expression 2010 PD Amending Directive means Directive 2010/73/EU. </w:t>
      </w:r>
    </w:p>
    <w:p>
      <w:pPr>
        <w:pStyle w:val="TextBody"/>
        <w:spacing w:before="180" w:after="0"/>
        <w:rPr>
          <w:rFonts w:ascii="Times New Roman" w:hAnsi="Times New Roman"/>
          <w:sz w:val="20"/>
        </w:rPr>
      </w:pPr>
      <w:r>
        <w:rPr>
          <w:rFonts w:ascii="Times New Roman" w:hAnsi="Times New Roman"/>
          <w:sz w:val="20"/>
        </w:rPr>
        <w:t xml:space="preserve">We have not authorized and do not authorize the making of any offer of securities through any financial intermediary on their behalf, other than offers made by the underwriters with a view to the final placement of the securities as contemplated in this prospectus. Accordingly, no purchaser of the securities, other than the underwriters, is authorized to make any further offer of the securities on behalf of us or the underwriters. </w:t>
      </w:r>
    </w:p>
    <w:p>
      <w:pPr>
        <w:pStyle w:val="TextBody"/>
        <w:spacing w:before="300" w:after="0"/>
        <w:rPr>
          <w:rFonts w:ascii="Times New Roman" w:hAnsi="Times New Roman"/>
          <w:b/>
          <w:i/>
          <w:sz w:val="20"/>
        </w:rPr>
      </w:pPr>
      <w:r>
        <w:rPr>
          <w:rFonts w:ascii="Times New Roman" w:hAnsi="Times New Roman"/>
          <w:b/>
          <w:i/>
          <w:sz w:val="20"/>
        </w:rPr>
        <w:t xml:space="preserve">Notice to Prospective Investors in the United Kingdom </w:t>
      </w:r>
    </w:p>
    <w:p>
      <w:pPr>
        <w:pStyle w:val="TextBody"/>
        <w:spacing w:before="90" w:after="0"/>
        <w:rPr>
          <w:rFonts w:ascii="Times New Roman" w:hAnsi="Times New Roman"/>
          <w:sz w:val="20"/>
        </w:rPr>
      </w:pPr>
      <w:r>
        <w:rPr>
          <w:rFonts w:ascii="Times New Roman" w:hAnsi="Times New Roman"/>
          <w:sz w:val="20"/>
        </w:rPr>
        <w:t xml:space="preserve">Our partnership may constitute a collective investment scheme as defined by section 235 of the Financial Services and Markets Act 2000 (FSMA) that is not a recognized collective investment scheme for the purposes of FSMA (CIS) and that has not been authorized or otherwise approved. As an unregulated scheme, it cannot be marketed in the United Kingdom to the general public, except in accordance with FSMA. This prospectus is only being distributed in the United Kingdom to, and is only directed at: </w:t>
      </w:r>
    </w:p>
    <w:p>
      <w:pPr>
        <w:pStyle w:val="TextBody"/>
        <w:spacing w:before="90" w:after="0"/>
        <w:rPr>
          <w:rFonts w:ascii="Times New Roman" w:hAnsi="Times New Roman"/>
          <w:sz w:val="20"/>
        </w:rPr>
      </w:pPr>
      <w:r>
        <w:rPr>
          <w:rFonts w:ascii="Times New Roman" w:hAnsi="Times New Roman"/>
          <w:sz w:val="20"/>
        </w:rPr>
        <w:t xml:space="preserve">(i) if our partnership is a CIS and is marketed by a person who is an authorized person under FSMA, (a) investment professionals falling within Article 14(5) of the Financial Services and Markets Act 2000 (Promotion of Collective Investment Schemes) (Exemptions) Order 2001, as amended (the CIS Promotion Order) or (b) high net worth companies and other persons falling within Article 22(2)(a) to (d) of the CIS Promotion Order; or </w:t>
      </w:r>
    </w:p>
    <w:p>
      <w:pPr>
        <w:pStyle w:val="TextBody"/>
        <w:spacing w:before="90" w:after="0"/>
        <w:rPr>
          <w:rFonts w:ascii="Times New Roman" w:hAnsi="Times New Roman"/>
          <w:sz w:val="20"/>
        </w:rPr>
      </w:pPr>
      <w:r>
        <w:rPr>
          <w:rFonts w:ascii="Times New Roman" w:hAnsi="Times New Roman"/>
          <w:sz w:val="20"/>
        </w:rPr>
        <w:t xml:space="preserve">(ii) otherwise, if marketed by a person who is not an authorized person under FSMA, (a) persons who fall within Article 19(5) of the Financial Services and Markets Act 2000 (Financial Promotion) Order 2005, as amended (the Financial Promotion Order) or (b) Article 49(2)(a) to (d) of the Financial Promotion Order; and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(iii) in both cases (i) and (ii) to any other person to whom it may otherwise lawfully be made, (all such persons together being referred to as relevant persons). Our partnerships common units are only available to, and any invitation, offer or agreement to subscribe, purchase or otherwise acquire such common units will be engaged in only with, relevant persons. Any person who is not a relevant person should not act or rely on this document or any of its contents. </w:t>
      </w:r>
    </w:p>
    <w:p>
      <w:pPr>
        <w:pStyle w:val="TextBody"/>
        <w:spacing w:before="180" w:after="0"/>
        <w:rPr>
          <w:rFonts w:ascii="Times New Roman" w:hAnsi="Times New Roman"/>
          <w:sz w:val="20"/>
        </w:rPr>
      </w:pPr>
      <w:r>
        <w:rPr>
          <w:rFonts w:ascii="Times New Roman" w:hAnsi="Times New Roman"/>
          <w:sz w:val="20"/>
        </w:rPr>
        <w:t xml:space="preserve">An invitation or inducement to engage in investment activity (within the meaning of Section 21 of FSMA) in connection with the issue or sale of any common units which are the subject of the offering contemplated by this prospectus will only be communicated or caused to be communicated in circumstances in which Section 21(1) of FSMA does not apply to our partnership. </w:t>
      </w:r>
    </w:p>
    <w:p>
      <w:pPr>
        <w:pStyle w:val="TextBody"/>
        <w:spacing w:before="270" w:after="0"/>
        <w:rPr>
          <w:rFonts w:ascii="Times New Roman" w:hAnsi="Times New Roman"/>
          <w:b/>
          <w:i/>
          <w:sz w:val="20"/>
        </w:rPr>
      </w:pPr>
      <w:r>
        <w:rPr>
          <w:rFonts w:ascii="Times New Roman" w:hAnsi="Times New Roman"/>
          <w:b/>
          <w:i/>
          <w:sz w:val="20"/>
        </w:rPr>
        <w:t xml:space="preserve">Notice to Prospective Investors in Germany </w:t>
      </w:r>
    </w:p>
    <w:p>
      <w:pPr>
        <w:pStyle w:val="TextBody"/>
        <w:spacing w:before="90" w:after="0"/>
        <w:rPr>
          <w:rFonts w:ascii="Times New Roman" w:hAnsi="Times New Roman"/>
          <w:sz w:val="20"/>
        </w:rPr>
      </w:pPr>
      <w:r>
        <w:rPr>
          <w:rFonts w:ascii="Times New Roman" w:hAnsi="Times New Roman"/>
          <w:sz w:val="20"/>
        </w:rPr>
        <w:t>This prospectus has not been prepared in accordance with the requirements for a securities or sales prospectus under the German Securities Prospectus Act (</w:t>
      </w:r>
      <w:r>
        <w:rPr>
          <w:rFonts w:ascii="Times New Roman" w:hAnsi="Times New Roman"/>
          <w:i/>
          <w:sz w:val="20"/>
        </w:rPr>
        <w:t>Wertpapierprospektgesetz</w:t>
      </w:r>
      <w:r>
        <w:rPr>
          <w:rFonts w:ascii="Times New Roman" w:hAnsi="Times New Roman"/>
          <w:sz w:val="20"/>
        </w:rPr>
        <w:t>), the German Sales Prospectus Act (</w:t>
      </w:r>
      <w:r>
        <w:rPr>
          <w:rFonts w:ascii="Times New Roman" w:hAnsi="Times New Roman"/>
          <w:i/>
          <w:sz w:val="20"/>
        </w:rPr>
        <w:t>Verkaufsprospektgesetz</w:t>
      </w:r>
      <w:r>
        <w:rPr>
          <w:rFonts w:ascii="Times New Roman" w:hAnsi="Times New Roman"/>
          <w:sz w:val="20"/>
        </w:rPr>
        <w:t>), or the German Investment Act (</w:t>
      </w:r>
      <w:r>
        <w:rPr>
          <w:rFonts w:ascii="Times New Roman" w:hAnsi="Times New Roman"/>
          <w:i/>
          <w:sz w:val="20"/>
        </w:rPr>
        <w:t>Investmentgesetz</w:t>
      </w:r>
      <w:r>
        <w:rPr>
          <w:rFonts w:ascii="Times New Roman" w:hAnsi="Times New Roman"/>
          <w:sz w:val="20"/>
        </w:rPr>
        <w:t>). Neither the German Federal Financial Services Supervisory Authority (</w:t>
      </w:r>
      <w:r>
        <w:rPr>
          <w:rFonts w:ascii="Times New Roman" w:hAnsi="Times New Roman"/>
          <w:i/>
          <w:sz w:val="20"/>
        </w:rPr>
        <w:t>Bundesanstalt fiir Finanzdienstleistungsaufsicht</w:t>
      </w:r>
      <w:r>
        <w:rPr>
          <w:rFonts w:ascii="Times New Roman" w:hAnsi="Times New Roman"/>
          <w:sz w:val="20"/>
        </w:rPr>
        <w:t xml:space="preserve">  BaFin) nor any other German authority has been notified of the intention to distribute our common units in Germany. Consequently, our common units may not be distributed in Germany by way of public offering, public advertisement or in any similar manner and this prospectus and any other document relating to this offering, as well as information or statements contained therein, may not be supplied to the public in Germany or used in connection with any offer for subscription of our common units to the public in Germany or any other means of public marketing. Our common units are being offered and sold in Germany only to qualified investors which are referred to in Section 3, paragraph 2 no. 1, in connection with Section 2, no. 6, of the German Securities Prospectus Act, Section 8f paragraph 2 no. 4 of the German Sales Prospectus Act, and in Section 2 paragraph 11 sentence 2 no. 1 of the German Investment Act. This prospectus is strictly for use of the person who has received it. It may not be forwarded to other persons or published in Germany. </w:t>
      </w:r>
    </w:p>
    <w:p>
      <w:pPr>
        <w:pStyle w:val="TextBody"/>
        <w:spacing w:before="180" w:after="0"/>
        <w:rPr>
          <w:rFonts w:ascii="Times New Roman" w:hAnsi="Times New Roman"/>
          <w:sz w:val="20"/>
        </w:rPr>
      </w:pPr>
      <w:r>
        <w:rPr>
          <w:rFonts w:ascii="Times New Roman" w:hAnsi="Times New Roman"/>
          <w:sz w:val="20"/>
        </w:rPr>
        <w:t xml:space="preserve">This offering does not constitute an offer to sell or the solicitation of an offer to buy our common units in any circumstances in which such offer or solicitation is unlawful. </w:t>
      </w:r>
    </w:p>
    <w:p>
      <w:pPr>
        <w:pStyle w:val="TextBody"/>
        <w:spacing w:before="270" w:after="0"/>
        <w:rPr>
          <w:rFonts w:ascii="Times New Roman" w:hAnsi="Times New Roman"/>
          <w:b/>
          <w:i/>
          <w:sz w:val="20"/>
        </w:rPr>
      </w:pPr>
      <w:r>
        <w:rPr>
          <w:rFonts w:ascii="Times New Roman" w:hAnsi="Times New Roman"/>
          <w:b/>
          <w:i/>
          <w:sz w:val="20"/>
        </w:rPr>
        <w:t xml:space="preserve">Notice to Prospective Investors in the Netherlands </w:t>
      </w:r>
    </w:p>
    <w:p>
      <w:pPr>
        <w:pStyle w:val="TextBody"/>
        <w:spacing w:before="90" w:after="0"/>
        <w:rPr>
          <w:rFonts w:ascii="Times New Roman" w:hAnsi="Times New Roman"/>
          <w:sz w:val="20"/>
        </w:rPr>
      </w:pPr>
      <w:r>
        <w:rPr>
          <w:rFonts w:ascii="Times New Roman" w:hAnsi="Times New Roman"/>
          <w:sz w:val="20"/>
        </w:rPr>
        <w:t xml:space="preserve">Our common units may not be offered or sold, directly or indirectly, in the Netherlands, other than to qualified investors (gekwalificeerde beleggers) within the meaning of Article 1:1 of the Dutch Financial Supervision Act (Wet op het financieel toezicht). </w:t>
      </w:r>
    </w:p>
    <w:p>
      <w:pPr>
        <w:pStyle w:val="TextBody"/>
        <w:spacing w:before="270" w:after="0"/>
        <w:rPr>
          <w:rFonts w:ascii="Times New Roman" w:hAnsi="Times New Roman"/>
          <w:b/>
          <w:i/>
          <w:sz w:val="20"/>
        </w:rPr>
      </w:pPr>
      <w:r>
        <w:rPr>
          <w:rFonts w:ascii="Times New Roman" w:hAnsi="Times New Roman"/>
          <w:b/>
          <w:i/>
          <w:sz w:val="20"/>
        </w:rPr>
        <w:t xml:space="preserve">Notice to Prospective Investors in Switzerland </w:t>
      </w:r>
    </w:p>
    <w:p>
      <w:pPr>
        <w:pStyle w:val="TextBody"/>
        <w:spacing w:before="90" w:after="0"/>
        <w:rPr>
          <w:rFonts w:ascii="Times New Roman" w:hAnsi="Times New Roman"/>
          <w:sz w:val="20"/>
        </w:rPr>
      </w:pPr>
      <w:r>
        <w:rPr>
          <w:rFonts w:ascii="Times New Roman" w:hAnsi="Times New Roman"/>
          <w:sz w:val="20"/>
        </w:rPr>
        <w:t xml:space="preserve">This prospectus is being communicated in Switzerland to a small number of selected investors only. Each copy of this prospectus is addressed to a specifically named recipient and may not be copied, reproduced, distributed or passed on to third parties. Our common units are not being offered to the public in Switzerland, and neither this prospectus, nor any other offering materials relating to our common units may be distributed in connection with any such public offering. </w:t>
      </w:r>
    </w:p>
    <w:p>
      <w:pPr>
        <w:pStyle w:val="TextBody"/>
        <w:spacing w:before="180" w:after="0"/>
        <w:rPr>
          <w:rFonts w:ascii="Times New Roman" w:hAnsi="Times New Roman"/>
          <w:sz w:val="20"/>
        </w:rPr>
      </w:pPr>
      <w:r>
        <w:rPr>
          <w:rFonts w:ascii="Times New Roman" w:hAnsi="Times New Roman"/>
          <w:sz w:val="20"/>
        </w:rPr>
        <w:t xml:space="preserve">We have not been registered with the Swiss Financial Market Supervisory Authority FINMA as a foreign collective investment scheme pursuant to Article 120 of the Collective Investment Schemes Act of June 23, 2006 (CISA). Accordingly, our common units may not be offered to the public in or from Switzerland, and neither this prospectus, nor any other offering materials relating to our common units may be made available through a public offering in or from Switzerland. Our common units may only be offered and this prospectus may only be distributed in or from Switzerland by way of private placement exclusively to qualified investors (as this term is defined in the CISA and its implementing ordinance).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3" w:name="supprom308566_11"/>
      <w:bookmarkEnd w:id="13"/>
      <w:r>
        <w:rPr>
          <w:rFonts w:ascii="Times New Roman" w:hAnsi="Times New Roman"/>
          <w:b/>
          <w:sz w:val="20"/>
        </w:rPr>
        <w:t xml:space="preserve">LEGAL MATTERS </w:t>
      </w:r>
    </w:p>
    <w:p>
      <w:pPr>
        <w:pStyle w:val="TextBody"/>
        <w:spacing w:before="180" w:after="0"/>
        <w:rPr>
          <w:rFonts w:ascii="Times New Roman" w:hAnsi="Times New Roman"/>
          <w:sz w:val="20"/>
        </w:rPr>
      </w:pPr>
      <w:r>
        <w:rPr>
          <w:rFonts w:ascii="Times New Roman" w:hAnsi="Times New Roman"/>
          <w:sz w:val="20"/>
        </w:rPr>
        <w:t xml:space="preserve">Vinson &amp; Elkins L.L.P. will issue opinions about the validity of the common units offered hereby and various other legal matters in connection with the offering on our behalf. Baker Botts L.L.P., the underwriters counsel, will also issue opinions about various legal matters in connection with the offering on behalf of the underwriters. </w:t>
      </w:r>
    </w:p>
    <w:p>
      <w:pPr>
        <w:pStyle w:val="TextBody"/>
        <w:spacing w:before="270" w:after="0"/>
        <w:jc w:val="center"/>
        <w:rPr>
          <w:rFonts w:ascii="Times New Roman" w:hAnsi="Times New Roman"/>
          <w:b/>
          <w:sz w:val="20"/>
        </w:rPr>
      </w:pPr>
      <w:bookmarkStart w:id="14" w:name="supprom308566_12"/>
      <w:bookmarkEnd w:id="14"/>
      <w:r>
        <w:rPr>
          <w:rFonts w:ascii="Times New Roman" w:hAnsi="Times New Roman"/>
          <w:b/>
          <w:sz w:val="20"/>
        </w:rPr>
        <w:t xml:space="preserve">EXPERTS </w:t>
      </w:r>
    </w:p>
    <w:p>
      <w:pPr>
        <w:pStyle w:val="TextBody"/>
        <w:spacing w:before="180" w:after="0"/>
        <w:rPr>
          <w:rFonts w:ascii="Times New Roman" w:hAnsi="Times New Roman"/>
          <w:sz w:val="20"/>
        </w:rPr>
      </w:pPr>
      <w:r>
        <w:rPr>
          <w:rFonts w:ascii="Times New Roman" w:hAnsi="Times New Roman"/>
          <w:sz w:val="20"/>
        </w:rPr>
        <w:t xml:space="preserve">The financial statements of Plains All American Pipeline, L.P. and managements assessment of the effectiveness of internal control over financial reporting (which is included in Managements Report on Internal Control over Financial Reporting) incorporated in this prospectus supplement by reference to the Annual Report on Form 10-K for the year ended December 31, 2011, have been incorporated in reliance on the report of PricewaterhouseCoopers LLP, an independent registered public accounting firm, given on the authority of said firm as experts in auditing and accounting. </w:t>
      </w:r>
    </w:p>
    <w:p>
      <w:pPr>
        <w:pStyle w:val="TextBody"/>
        <w:spacing w:before="270" w:after="0"/>
        <w:jc w:val="center"/>
        <w:rPr>
          <w:rFonts w:ascii="Times New Roman" w:hAnsi="Times New Roman"/>
          <w:b/>
          <w:sz w:val="20"/>
        </w:rPr>
      </w:pPr>
      <w:bookmarkStart w:id="15" w:name="supprom308566_13"/>
      <w:bookmarkEnd w:id="15"/>
      <w:r>
        <w:rPr>
          <w:rFonts w:ascii="Times New Roman" w:hAnsi="Times New Roman"/>
          <w:b/>
          <w:sz w:val="20"/>
        </w:rPr>
        <w:t xml:space="preserve">WHERE YOU CAN FIND MORE INFORMATION </w:t>
      </w:r>
    </w:p>
    <w:p>
      <w:pPr>
        <w:pStyle w:val="TextBody"/>
        <w:spacing w:before="180" w:after="0"/>
        <w:rPr>
          <w:rFonts w:ascii="Times New Roman" w:hAnsi="Times New Roman"/>
          <w:sz w:val="20"/>
        </w:rPr>
      </w:pPr>
      <w:r>
        <w:rPr>
          <w:rFonts w:ascii="Times New Roman" w:hAnsi="Times New Roman"/>
          <w:sz w:val="20"/>
        </w:rPr>
        <w:t xml:space="preserve">We are incorporating by reference into this prospectus supplement information we file with the Securities and Exchange Commission (the SEC). This procedure means that we can disclose important information to you by referring you to documents filed with the SEC. The information we incorporate by reference is part of this prospectus supplement and later information that we file with the SEC will automatically update and supersede this information. We incorporate by reference the documents listed below and any future filings we make with the SEC under Sections 13(a), 13(c), 14 or 15(d) of the Exchange Act (excluding any information furnished and not filed pursuant to any Current Report on Form 8-K) until the offering and sale of the common units contemplated by this prospectus supplement are complete: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2"/>
        <w:gridCol w:w="9493"/>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October 24, 2011 (announcement of proposal to acquire SemGroup Corporation);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3"/>
        <w:gridCol w:w="101"/>
        <w:gridCol w:w="9493"/>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Annual Report on Form 10-K for the year ended December 31, 2011. </w:t>
            </w:r>
          </w:p>
        </w:tc>
      </w:tr>
    </w:tbl>
    <w:p>
      <w:pPr>
        <w:pStyle w:val="TextBody"/>
        <w:spacing w:before="180" w:after="0"/>
        <w:rPr>
          <w:rFonts w:ascii="Times New Roman" w:hAnsi="Times New Roman"/>
          <w:sz w:val="20"/>
        </w:rPr>
      </w:pPr>
      <w:r>
        <w:rPr>
          <w:rFonts w:ascii="Times New Roman" w:hAnsi="Times New Roman"/>
          <w:sz w:val="20"/>
        </w:rPr>
        <w:t xml:space="preserve">You may request a copy of these filings (other than any exhibits unless specifically incorporated by reference into this prospectus supplement and the accompanying prospectus) at no cost by making written or telephone requests for copies to: </w:t>
      </w:r>
    </w:p>
    <w:p>
      <w:pPr>
        <w:pStyle w:val="TextBody"/>
        <w:spacing w:before="180" w:after="0"/>
        <w:jc w:val="center"/>
        <w:rPr>
          <w:rFonts w:ascii="Times New Roman" w:hAnsi="Times New Roman"/>
          <w:sz w:val="20"/>
        </w:rPr>
      </w:pPr>
      <w:r>
        <w:rPr>
          <w:rFonts w:ascii="Times New Roman" w:hAnsi="Times New Roman"/>
          <w:sz w:val="20"/>
        </w:rPr>
        <w:t xml:space="preserve">Plains All American Pipeline, L.P. </w:t>
      </w:r>
    </w:p>
    <w:p>
      <w:pPr>
        <w:pStyle w:val="TextBody"/>
        <w:spacing w:before="0" w:after="0"/>
        <w:jc w:val="center"/>
        <w:rPr>
          <w:rFonts w:ascii="Times New Roman" w:hAnsi="Times New Roman"/>
          <w:sz w:val="20"/>
        </w:rPr>
      </w:pPr>
      <w:r>
        <w:rPr>
          <w:rFonts w:ascii="Times New Roman" w:hAnsi="Times New Roman"/>
          <w:sz w:val="20"/>
        </w:rPr>
        <w:t xml:space="preserve">333 Clay Street, Suite 1600 </w:t>
      </w:r>
    </w:p>
    <w:p>
      <w:pPr>
        <w:pStyle w:val="TextBody"/>
        <w:spacing w:before="0" w:after="0"/>
        <w:jc w:val="center"/>
        <w:rPr>
          <w:rFonts w:ascii="Times New Roman" w:hAnsi="Times New Roman"/>
          <w:sz w:val="20"/>
        </w:rPr>
      </w:pPr>
      <w:r>
        <w:rPr>
          <w:rFonts w:ascii="Times New Roman" w:hAnsi="Times New Roman"/>
          <w:sz w:val="20"/>
        </w:rPr>
        <w:t xml:space="preserve">Houston, Texas 77002 </w:t>
      </w:r>
    </w:p>
    <w:p>
      <w:pPr>
        <w:pStyle w:val="TextBody"/>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spacing w:before="0" w:after="0"/>
        <w:jc w:val="center"/>
        <w:rPr>
          <w:rFonts w:ascii="Times New Roman" w:hAnsi="Times New Roman"/>
          <w:sz w:val="20"/>
        </w:rPr>
      </w:pPr>
      <w:r>
        <w:rPr>
          <w:rFonts w:ascii="Times New Roman" w:hAnsi="Times New Roman"/>
          <w:sz w:val="20"/>
        </w:rPr>
        <w:t xml:space="preserve">Telephone: (713) 646-4100 </w:t>
      </w:r>
    </w:p>
    <w:p>
      <w:pPr>
        <w:pStyle w:val="TextBody"/>
        <w:spacing w:before="180" w:after="0"/>
        <w:rPr>
          <w:rFonts w:ascii="Times New Roman" w:hAnsi="Times New Roman"/>
          <w:sz w:val="20"/>
        </w:rPr>
      </w:pPr>
      <w:r>
        <w:rPr>
          <w:rFonts w:ascii="Times New Roman" w:hAnsi="Times New Roman"/>
          <w:sz w:val="20"/>
        </w:rPr>
        <w:t xml:space="preserve">Additionally, you may read and copy any materials that we have filed with the SEC at the SECs Public Reference Room at 100 F Street, N.E., Room 1580, Washington, D.C. 20549. You may obtain information on the operation of the Public Reference Room by calling the SEC at 1-800-SEC-0330. The SEC maintains an internet site that contains reports, proxy and information statements, and other information regarding us. The SECs website address is </w:t>
      </w:r>
      <w:r>
        <w:rPr>
          <w:rFonts w:ascii="Times New Roman" w:hAnsi="Times New Roman"/>
          <w:i/>
          <w:sz w:val="20"/>
        </w:rPr>
        <w:t>www.sec.gov</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You should rely only on the information incorporated by reference or provided in this prospectus supplement. We have not, and the underwriters have not, authorized anyone else to provide you with any information. You should not assume that the information incorporated by reference or provided in this prospectus supplement or the accompanying prospectus is accurate as of any date other than its date.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sz w:val="24"/>
        </w:rPr>
      </w:pPr>
      <w:r>
        <w:rPr>
          <w:rFonts w:ascii="arial" w:hAnsi="arial"/>
          <w:sz w:val="24"/>
        </w:rPr>
        <w:t xml:space="preserve">PROSPECTUS </w:t>
      </w:r>
    </w:p>
    <w:p>
      <w:pPr>
        <w:pStyle w:val="TextBody"/>
        <w:spacing w:before="180" w:after="0"/>
        <w:jc w:val="center"/>
        <w:rPr>
          <w:rFonts w:ascii="arial" w:hAnsi="arial"/>
          <w:b/>
          <w:sz w:val="36"/>
        </w:rPr>
      </w:pPr>
      <w:r>
        <w:rPr>
          <w:rFonts w:ascii="arial" w:hAnsi="arial"/>
          <w:b/>
          <w:sz w:val="36"/>
        </w:rPr>
        <w:t xml:space="preserve">Plains All American Pipeline, L.P. </w:t>
      </w:r>
    </w:p>
    <w:p>
      <w:pPr>
        <w:pStyle w:val="TextBody"/>
        <w:spacing w:before="0" w:after="0"/>
        <w:jc w:val="center"/>
        <w:rPr>
          <w:rFonts w:ascii="arial" w:hAnsi="arial"/>
          <w:b/>
          <w:sz w:val="36"/>
        </w:rPr>
      </w:pPr>
      <w:r>
        <w:rPr>
          <w:rFonts w:ascii="arial" w:hAnsi="arial"/>
          <w:b/>
          <w:sz w:val="36"/>
        </w:rPr>
        <w:t xml:space="preserve">PAA Finance Corp.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arial" w:hAnsi="arial"/>
          <w:sz w:val="36"/>
        </w:rPr>
      </w:pPr>
      <w:r>
        <w:rPr>
          <w:rFonts w:ascii="arial" w:hAnsi="arial"/>
          <w:sz w:val="36"/>
        </w:rPr>
        <w:t xml:space="preserve">Common Units </w:t>
      </w:r>
    </w:p>
    <w:p>
      <w:pPr>
        <w:pStyle w:val="TextBody"/>
        <w:spacing w:before="0" w:after="0"/>
        <w:jc w:val="center"/>
        <w:rPr>
          <w:rFonts w:ascii="arial" w:hAnsi="arial"/>
          <w:sz w:val="36"/>
        </w:rPr>
      </w:pPr>
      <w:r>
        <w:rPr>
          <w:rFonts w:ascii="arial" w:hAnsi="arial"/>
          <w:sz w:val="36"/>
        </w:rPr>
        <w:t xml:space="preserve">Debt Securities </w:t>
      </w:r>
    </w:p>
    <w:p>
      <w:pPr>
        <w:pStyle w:val="TextBody"/>
        <w:spacing w:before="180" w:after="0"/>
        <w:rPr>
          <w:rFonts w:ascii="arial" w:hAnsi="arial"/>
          <w:sz w:val="24"/>
        </w:rPr>
      </w:pPr>
      <w:r>
        <w:rPr>
          <w:rFonts w:ascii="arial" w:hAnsi="arial"/>
          <w:sz w:val="24"/>
        </w:rPr>
        <w:t xml:space="preserve">We may offer and sell the common units, representing limited partner interests of Plains All American Pipeline, L.P., and, together with PAA Finance Corp., debt securities described in this prospectus from time to time in one or more classes or series and in amounts, at prices and on terms to be determined by market conditions at the time of our offerings. PAA Finance Corp. may act as co-issuer of the debt securities, and other subsidiaries of Plains All American Pipeline, L.P. may guarantee the debt securities. </w:t>
      </w:r>
    </w:p>
    <w:p>
      <w:pPr>
        <w:pStyle w:val="TextBody"/>
        <w:spacing w:before="180" w:after="0"/>
        <w:rPr>
          <w:rFonts w:ascii="arial" w:hAnsi="arial"/>
          <w:sz w:val="24"/>
        </w:rPr>
      </w:pPr>
      <w:r>
        <w:rPr>
          <w:rFonts w:ascii="arial" w:hAnsi="arial"/>
          <w:sz w:val="24"/>
        </w:rPr>
        <w:t xml:space="preserve">We may offer and sell these securities to or through one or more underwriters, dealers and agents, or directly to purchasers, on a continuous or delayed basis. This prospectus describes the general terms of these common units and debt securities and the general manner in which we will offer the common units and debt securities. The specific terms of any common units and debt securities we offer will be included in a supplement to this prospectus. The prospectus supplement will also describe the specific manner in which we will offer the common units and debt securities. </w:t>
      </w:r>
    </w:p>
    <w:p>
      <w:pPr>
        <w:pStyle w:val="TextBody"/>
        <w:spacing w:before="180" w:after="0"/>
        <w:rPr>
          <w:rFonts w:ascii="arial" w:hAnsi="arial"/>
          <w:i/>
          <w:sz w:val="28"/>
        </w:rPr>
      </w:pPr>
      <w:r>
        <w:rPr>
          <w:rFonts w:ascii="arial" w:hAnsi="arial"/>
          <w:i/>
          <w:sz w:val="28"/>
        </w:rPr>
        <w:t xml:space="preserve">Investing in our common units and the debt securities involves risks. Limited partnerships are inherently different from corporations. You should carefully consider the risk factors described under Risk Factors beginning on page 6 of this prospectus before you make an investment in our securities. </w:t>
      </w:r>
    </w:p>
    <w:p>
      <w:pPr>
        <w:pStyle w:val="TextBody"/>
        <w:spacing w:before="180" w:after="0"/>
        <w:rPr>
          <w:rFonts w:ascii="arial" w:hAnsi="arial"/>
          <w:sz w:val="24"/>
        </w:rPr>
      </w:pPr>
      <w:r>
        <w:rPr>
          <w:rFonts w:ascii="arial" w:hAnsi="arial"/>
          <w:sz w:val="24"/>
        </w:rPr>
        <w:t xml:space="preserve">Our common units are traded on the New York Stock Exchange under the symbol PAA. We will provide information in the prospectus supplement for the trading market, if any, for any debt securities we may offer. </w:t>
      </w:r>
    </w:p>
    <w:p>
      <w:pPr>
        <w:pStyle w:val="TextBody"/>
        <w:spacing w:before="180" w:after="0"/>
        <w:rPr>
          <w:rFonts w:ascii="arial" w:hAnsi="arial"/>
          <w:sz w:val="24"/>
        </w:rPr>
      </w:pPr>
      <w:r>
        <w:rPr>
          <w:rFonts w:ascii="arial" w:hAnsi="arial"/>
          <w:sz w:val="24"/>
        </w:rPr>
        <w:t xml:space="preserve">Neither the Securities and Exchange Commission nor any state securities commission has approved or disapproved these securities or determined if this prospectus is truthful or complete. Any representation to the contrary is a criminal offense. </w:t>
      </w:r>
    </w:p>
    <w:p>
      <w:pPr>
        <w:pStyle w:val="TextBody"/>
        <w:spacing w:before="1800" w:after="0"/>
        <w:jc w:val="center"/>
        <w:rPr>
          <w:rFonts w:ascii="arial" w:hAnsi="arial"/>
          <w:sz w:val="24"/>
        </w:rPr>
      </w:pPr>
      <w:r>
        <w:rPr>
          <w:rFonts w:ascii="arial" w:hAnsi="arial"/>
          <w:sz w:val="24"/>
        </w:rPr>
        <w:t xml:space="preserve">The date of this prospectus is October 14, 2009. </w:t>
      </w:r>
    </w:p>
    <w:p>
      <w:pPr>
        <w:pStyle w:val="TextBody"/>
        <w:spacing w:before="0" w:after="0"/>
        <w:rPr/>
      </w:pPr>
      <w:r>
        <w:rPr/>
        <w:t> </w:t>
      </w:r>
    </w:p>
    <w:p>
      <w:pPr>
        <w:pStyle w:val="TextBody"/>
        <w:pBdr>
          <w:bottom w:val="single" w:sz="8" w:space="1" w:color="000000"/>
        </w:pBdr>
        <w:spacing w:lineRule="atLeast" w:line="141" w:before="0" w:after="30"/>
        <w:jc w:val="center"/>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6" w:name="index"/>
      <w:bookmarkEnd w:id="16"/>
      <w:r>
        <w:rPr>
          <w:rFonts w:ascii="Times New Roman" w:hAnsi="Times New Roman"/>
          <w:b/>
          <w:sz w:val="20"/>
        </w:rPr>
        <w:t xml:space="preserve">TABLE OF CONTENTS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539"/>
        <w:gridCol w:w="250"/>
        <w:gridCol w:w="60"/>
        <w:gridCol w:w="234"/>
        <w:gridCol w:w="122"/>
      </w:tblGrid>
      <w:tr>
        <w:trPr/>
        <w:tc>
          <w:tcPr>
            <w:tcW w:w="953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r>
      <w:tr>
        <w:trPr/>
        <w:tc>
          <w:tcPr>
            <w:tcW w:w="9539" w:type="dxa"/>
            <w:tcBorders/>
            <w:shd w:fill="CCEEFF" w:val="clear"/>
          </w:tcPr>
          <w:p>
            <w:pPr>
              <w:pStyle w:val="TableContents"/>
              <w:spacing w:before="0" w:after="283"/>
              <w:rPr/>
            </w:pPr>
            <w:hyperlink w:anchor="rom308566_111">
              <w:r>
                <w:rPr>
                  <w:rStyle w:val="InternetLink"/>
                  <w:rFonts w:ascii="Times New Roman" w:hAnsi="Times New Roman"/>
                  <w:sz w:val="20"/>
                </w:rPr>
                <w:t>ABOUT THIS PROSPECTUS</w:t>
              </w:r>
            </w:hyperlink>
          </w:p>
        </w:tc>
        <w:tc>
          <w:tcPr>
            <w:tcW w:w="2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i</w:t>
            </w:r>
          </w:p>
        </w:tc>
        <w:tc>
          <w:tcPr>
            <w:tcW w:w="122" w:type="dxa"/>
            <w:tcBorders/>
            <w:shd w:fill="CCEEFF" w:val="clear"/>
            <w:vAlign w:val="bottom"/>
          </w:tcPr>
          <w:p>
            <w:pPr>
              <w:pStyle w:val="TableContents"/>
              <w:spacing w:before="0" w:after="283"/>
              <w:rPr/>
            </w:pPr>
            <w:r>
              <w:rPr/>
              <w:t>  </w:t>
            </w:r>
          </w:p>
        </w:tc>
      </w:tr>
      <w:tr>
        <w:trPr/>
        <w:tc>
          <w:tcPr>
            <w:tcW w:w="9539" w:type="dxa"/>
            <w:tcBorders/>
            <w:shd w:fill="auto" w:val="clear"/>
          </w:tcPr>
          <w:p>
            <w:pPr>
              <w:pStyle w:val="TableContents"/>
              <w:spacing w:before="0" w:after="283"/>
              <w:rPr/>
            </w:pPr>
            <w:hyperlink w:anchor="rom308566_112">
              <w:r>
                <w:rPr>
                  <w:rStyle w:val="InternetLink"/>
                  <w:rFonts w:ascii="Times New Roman" w:hAnsi="Times New Roman"/>
                  <w:sz w:val="20"/>
                </w:rPr>
                <w:t>WHERE YOU CAN FIND MORE INFORMATION</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2" w:type="dxa"/>
            <w:tcBorders/>
            <w:shd w:fill="auto" w:val="clear"/>
            <w:vAlign w:val="bottom"/>
          </w:tcPr>
          <w:p>
            <w:pPr>
              <w:pStyle w:val="TableContents"/>
              <w:spacing w:before="0" w:after="283"/>
              <w:rPr/>
            </w:pPr>
            <w:r>
              <w:rPr/>
              <w:t>  </w:t>
            </w:r>
          </w:p>
        </w:tc>
      </w:tr>
      <w:tr>
        <w:trPr/>
        <w:tc>
          <w:tcPr>
            <w:tcW w:w="9539" w:type="dxa"/>
            <w:tcBorders/>
            <w:shd w:fill="CCEEFF" w:val="clear"/>
          </w:tcPr>
          <w:p>
            <w:pPr>
              <w:pStyle w:val="TableContents"/>
              <w:spacing w:before="0" w:after="283"/>
              <w:rPr/>
            </w:pPr>
            <w:hyperlink w:anchor="rom308566_113">
              <w:r>
                <w:rPr>
                  <w:rStyle w:val="InternetLink"/>
                  <w:rFonts w:ascii="Times New Roman" w:hAnsi="Times New Roman"/>
                  <w:sz w:val="20"/>
                </w:rPr>
                <w:t>FORWARD-LOOKING STATEMENTS</w:t>
              </w:r>
            </w:hyperlink>
          </w:p>
        </w:tc>
        <w:tc>
          <w:tcPr>
            <w:tcW w:w="2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2" w:type="dxa"/>
            <w:tcBorders/>
            <w:shd w:fill="CCEEFF" w:val="clear"/>
            <w:vAlign w:val="bottom"/>
          </w:tcPr>
          <w:p>
            <w:pPr>
              <w:pStyle w:val="TableContents"/>
              <w:spacing w:before="0" w:after="283"/>
              <w:rPr/>
            </w:pPr>
            <w:r>
              <w:rPr/>
              <w:t>  </w:t>
            </w:r>
          </w:p>
        </w:tc>
      </w:tr>
      <w:tr>
        <w:trPr/>
        <w:tc>
          <w:tcPr>
            <w:tcW w:w="9539" w:type="dxa"/>
            <w:tcBorders/>
            <w:shd w:fill="auto" w:val="clear"/>
          </w:tcPr>
          <w:p>
            <w:pPr>
              <w:pStyle w:val="TableContents"/>
              <w:spacing w:before="0" w:after="283"/>
              <w:rPr/>
            </w:pPr>
            <w:hyperlink w:anchor="rom308566_114">
              <w:r>
                <w:rPr>
                  <w:rStyle w:val="InternetLink"/>
                  <w:rFonts w:ascii="Times New Roman" w:hAnsi="Times New Roman"/>
                  <w:sz w:val="20"/>
                </w:rPr>
                <w:t>WHO WE ARE</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2" w:type="dxa"/>
            <w:tcBorders/>
            <w:shd w:fill="auto" w:val="clear"/>
            <w:vAlign w:val="bottom"/>
          </w:tcPr>
          <w:p>
            <w:pPr>
              <w:pStyle w:val="TableContents"/>
              <w:spacing w:before="0" w:after="283"/>
              <w:rPr/>
            </w:pPr>
            <w:r>
              <w:rPr/>
              <w:t>  </w:t>
            </w:r>
          </w:p>
        </w:tc>
      </w:tr>
      <w:tr>
        <w:trPr/>
        <w:tc>
          <w:tcPr>
            <w:tcW w:w="9539" w:type="dxa"/>
            <w:tcBorders/>
            <w:shd w:fill="CCEEFF" w:val="clear"/>
          </w:tcPr>
          <w:p>
            <w:pPr>
              <w:pStyle w:val="TableContents"/>
              <w:spacing w:before="0" w:after="283"/>
              <w:rPr/>
            </w:pPr>
            <w:hyperlink w:anchor="rom308566_115">
              <w:r>
                <w:rPr>
                  <w:rStyle w:val="InternetLink"/>
                  <w:rFonts w:ascii="Times New Roman" w:hAnsi="Times New Roman"/>
                  <w:sz w:val="20"/>
                </w:rPr>
                <w:t>RISK FACTORS</w:t>
              </w:r>
            </w:hyperlink>
          </w:p>
        </w:tc>
        <w:tc>
          <w:tcPr>
            <w:tcW w:w="2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122" w:type="dxa"/>
            <w:tcBorders/>
            <w:shd w:fill="CCEEFF" w:val="clear"/>
            <w:vAlign w:val="bottom"/>
          </w:tcPr>
          <w:p>
            <w:pPr>
              <w:pStyle w:val="TableContents"/>
              <w:spacing w:before="0" w:after="283"/>
              <w:rPr/>
            </w:pPr>
            <w:r>
              <w:rPr/>
              <w:t>  </w:t>
            </w:r>
          </w:p>
        </w:tc>
      </w:tr>
      <w:tr>
        <w:trPr/>
        <w:tc>
          <w:tcPr>
            <w:tcW w:w="9539" w:type="dxa"/>
            <w:tcBorders/>
            <w:shd w:fill="auto" w:val="clear"/>
          </w:tcPr>
          <w:p>
            <w:pPr>
              <w:pStyle w:val="TableContents"/>
              <w:spacing w:before="0" w:after="283"/>
              <w:rPr/>
            </w:pPr>
            <w:hyperlink w:anchor="rom308566_116">
              <w:r>
                <w:rPr>
                  <w:rStyle w:val="InternetLink"/>
                  <w:rFonts w:ascii="Times New Roman" w:hAnsi="Times New Roman"/>
                  <w:sz w:val="20"/>
                </w:rPr>
                <w:t>USE OF PROCEEDS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2" w:type="dxa"/>
            <w:tcBorders/>
            <w:shd w:fill="auto" w:val="clear"/>
            <w:vAlign w:val="bottom"/>
          </w:tcPr>
          <w:p>
            <w:pPr>
              <w:pStyle w:val="TableContents"/>
              <w:spacing w:before="0" w:after="283"/>
              <w:rPr/>
            </w:pPr>
            <w:r>
              <w:rPr/>
              <w:t>  </w:t>
            </w:r>
          </w:p>
        </w:tc>
      </w:tr>
      <w:tr>
        <w:trPr/>
        <w:tc>
          <w:tcPr>
            <w:tcW w:w="9539" w:type="dxa"/>
            <w:tcBorders/>
            <w:shd w:fill="CCEEFF" w:val="clear"/>
          </w:tcPr>
          <w:p>
            <w:pPr>
              <w:pStyle w:val="TableContents"/>
              <w:spacing w:before="0" w:after="283"/>
              <w:rPr/>
            </w:pPr>
            <w:hyperlink w:anchor="rom308566_117">
              <w:r>
                <w:rPr>
                  <w:rStyle w:val="InternetLink"/>
                  <w:rFonts w:ascii="Times New Roman" w:hAnsi="Times New Roman"/>
                  <w:sz w:val="20"/>
                </w:rPr>
                <w:t>RATIO OF EARNINGS TO FIXED CHARGES</w:t>
              </w:r>
            </w:hyperlink>
          </w:p>
        </w:tc>
        <w:tc>
          <w:tcPr>
            <w:tcW w:w="2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2" w:type="dxa"/>
            <w:tcBorders/>
            <w:shd w:fill="CCEEFF" w:val="clear"/>
            <w:vAlign w:val="bottom"/>
          </w:tcPr>
          <w:p>
            <w:pPr>
              <w:pStyle w:val="TableContents"/>
              <w:spacing w:before="0" w:after="283"/>
              <w:rPr/>
            </w:pPr>
            <w:r>
              <w:rPr/>
              <w:t>  </w:t>
            </w:r>
          </w:p>
        </w:tc>
      </w:tr>
      <w:tr>
        <w:trPr/>
        <w:tc>
          <w:tcPr>
            <w:tcW w:w="9539" w:type="dxa"/>
            <w:tcBorders/>
            <w:shd w:fill="auto" w:val="clear"/>
          </w:tcPr>
          <w:p>
            <w:pPr>
              <w:pStyle w:val="TableContents"/>
              <w:spacing w:before="0" w:after="283"/>
              <w:rPr/>
            </w:pPr>
            <w:hyperlink w:anchor="rom308566_118">
              <w:r>
                <w:rPr>
                  <w:rStyle w:val="InternetLink"/>
                  <w:rFonts w:ascii="Times New Roman" w:hAnsi="Times New Roman"/>
                  <w:sz w:val="20"/>
                </w:rPr>
                <w:t>DESCRIPTION OF OUR DEBT SECURITIES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2" w:type="dxa"/>
            <w:tcBorders/>
            <w:shd w:fill="auto" w:val="clear"/>
            <w:vAlign w:val="bottom"/>
          </w:tcPr>
          <w:p>
            <w:pPr>
              <w:pStyle w:val="TableContents"/>
              <w:spacing w:before="0" w:after="283"/>
              <w:rPr/>
            </w:pPr>
            <w:r>
              <w:rPr/>
              <w:t>  </w:t>
            </w:r>
          </w:p>
        </w:tc>
      </w:tr>
      <w:tr>
        <w:trPr/>
        <w:tc>
          <w:tcPr>
            <w:tcW w:w="9539" w:type="dxa"/>
            <w:tcBorders/>
            <w:shd w:fill="CCEEFF" w:val="clear"/>
          </w:tcPr>
          <w:p>
            <w:pPr>
              <w:pStyle w:val="TableContents"/>
              <w:spacing w:before="0" w:after="283"/>
              <w:rPr/>
            </w:pPr>
            <w:hyperlink w:anchor="rom308566_119">
              <w:r>
                <w:rPr>
                  <w:rStyle w:val="InternetLink"/>
                  <w:rFonts w:ascii="Times New Roman" w:hAnsi="Times New Roman"/>
                  <w:sz w:val="20"/>
                </w:rPr>
                <w:t>DESCRIPTION OF OUR COMMON UNITS</w:t>
              </w:r>
            </w:hyperlink>
          </w:p>
        </w:tc>
        <w:tc>
          <w:tcPr>
            <w:tcW w:w="2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22" w:type="dxa"/>
            <w:tcBorders/>
            <w:shd w:fill="CCEEFF" w:val="clear"/>
            <w:vAlign w:val="bottom"/>
          </w:tcPr>
          <w:p>
            <w:pPr>
              <w:pStyle w:val="TableContents"/>
              <w:spacing w:before="0" w:after="283"/>
              <w:rPr/>
            </w:pPr>
            <w:r>
              <w:rPr/>
              <w:t>  </w:t>
            </w:r>
          </w:p>
        </w:tc>
      </w:tr>
      <w:tr>
        <w:trPr/>
        <w:tc>
          <w:tcPr>
            <w:tcW w:w="9539" w:type="dxa"/>
            <w:tcBorders/>
            <w:shd w:fill="auto" w:val="clear"/>
          </w:tcPr>
          <w:p>
            <w:pPr>
              <w:pStyle w:val="TableContents"/>
              <w:spacing w:before="0" w:after="283"/>
              <w:rPr/>
            </w:pPr>
            <w:hyperlink w:anchor="rom308566_120">
              <w:r>
                <w:rPr>
                  <w:rStyle w:val="InternetLink"/>
                  <w:rFonts w:ascii="Times New Roman" w:hAnsi="Times New Roman"/>
                  <w:sz w:val="20"/>
                </w:rPr>
                <w:t>CASH DISTRIBUTION POLICY</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2" w:type="dxa"/>
            <w:tcBorders/>
            <w:shd w:fill="auto" w:val="clear"/>
            <w:vAlign w:val="bottom"/>
          </w:tcPr>
          <w:p>
            <w:pPr>
              <w:pStyle w:val="TableContents"/>
              <w:spacing w:before="0" w:after="283"/>
              <w:rPr/>
            </w:pPr>
            <w:r>
              <w:rPr/>
              <w:t>  </w:t>
            </w:r>
          </w:p>
        </w:tc>
      </w:tr>
      <w:tr>
        <w:trPr/>
        <w:tc>
          <w:tcPr>
            <w:tcW w:w="9539" w:type="dxa"/>
            <w:tcBorders/>
            <w:shd w:fill="CCEEFF" w:val="clear"/>
          </w:tcPr>
          <w:p>
            <w:pPr>
              <w:pStyle w:val="TableContents"/>
              <w:spacing w:before="0" w:after="283"/>
              <w:rPr/>
            </w:pPr>
            <w:hyperlink w:anchor="rom308566_121">
              <w:r>
                <w:rPr>
                  <w:rStyle w:val="InternetLink"/>
                  <w:rFonts w:ascii="Times New Roman" w:hAnsi="Times New Roman"/>
                  <w:sz w:val="20"/>
                </w:rPr>
                <w:t>DESCRIPTION OF OUR PARTNERSHIP AGREEMENT</w:t>
              </w:r>
            </w:hyperlink>
          </w:p>
        </w:tc>
        <w:tc>
          <w:tcPr>
            <w:tcW w:w="2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w:t>
            </w:r>
          </w:p>
        </w:tc>
        <w:tc>
          <w:tcPr>
            <w:tcW w:w="122" w:type="dxa"/>
            <w:tcBorders/>
            <w:shd w:fill="CCEEFF" w:val="clear"/>
            <w:vAlign w:val="bottom"/>
          </w:tcPr>
          <w:p>
            <w:pPr>
              <w:pStyle w:val="TableContents"/>
              <w:spacing w:before="0" w:after="283"/>
              <w:rPr/>
            </w:pPr>
            <w:r>
              <w:rPr/>
              <w:t>  </w:t>
            </w:r>
          </w:p>
        </w:tc>
      </w:tr>
      <w:tr>
        <w:trPr/>
        <w:tc>
          <w:tcPr>
            <w:tcW w:w="9539" w:type="dxa"/>
            <w:tcBorders/>
            <w:shd w:fill="auto" w:val="clear"/>
          </w:tcPr>
          <w:p>
            <w:pPr>
              <w:pStyle w:val="TableContents"/>
              <w:spacing w:before="0" w:after="283"/>
              <w:rPr/>
            </w:pPr>
            <w:hyperlink w:anchor="rom308566_122">
              <w:r>
                <w:rPr>
                  <w:rStyle w:val="InternetLink"/>
                  <w:rFonts w:ascii="Times New Roman" w:hAnsi="Times New Roman"/>
                  <w:sz w:val="20"/>
                </w:rPr>
                <w:t>MATERIAL INCOME TAX CONSIDERATIONS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w:t>
            </w:r>
          </w:p>
        </w:tc>
        <w:tc>
          <w:tcPr>
            <w:tcW w:w="122" w:type="dxa"/>
            <w:tcBorders/>
            <w:shd w:fill="auto" w:val="clear"/>
            <w:vAlign w:val="bottom"/>
          </w:tcPr>
          <w:p>
            <w:pPr>
              <w:pStyle w:val="TableContents"/>
              <w:spacing w:before="0" w:after="283"/>
              <w:rPr/>
            </w:pPr>
            <w:r>
              <w:rPr/>
              <w:t>  </w:t>
            </w:r>
          </w:p>
        </w:tc>
      </w:tr>
      <w:tr>
        <w:trPr/>
        <w:tc>
          <w:tcPr>
            <w:tcW w:w="9539" w:type="dxa"/>
            <w:tcBorders/>
            <w:shd w:fill="CCEEFF" w:val="clear"/>
          </w:tcPr>
          <w:p>
            <w:pPr>
              <w:pStyle w:val="TableContents"/>
              <w:spacing w:before="0" w:after="283"/>
              <w:rPr/>
            </w:pPr>
            <w:hyperlink w:anchor="rom308566_123">
              <w:r>
                <w:rPr>
                  <w:rStyle w:val="InternetLink"/>
                  <w:rFonts w:ascii="Times New Roman" w:hAnsi="Times New Roman"/>
                  <w:sz w:val="20"/>
                </w:rPr>
                <w:t>LEGAL MATTERS</w:t>
              </w:r>
            </w:hyperlink>
          </w:p>
        </w:tc>
        <w:tc>
          <w:tcPr>
            <w:tcW w:w="2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w:t>
            </w:r>
          </w:p>
        </w:tc>
        <w:tc>
          <w:tcPr>
            <w:tcW w:w="122" w:type="dxa"/>
            <w:tcBorders/>
            <w:shd w:fill="CCEEFF" w:val="clear"/>
            <w:vAlign w:val="bottom"/>
          </w:tcPr>
          <w:p>
            <w:pPr>
              <w:pStyle w:val="TableContents"/>
              <w:spacing w:before="0" w:after="283"/>
              <w:rPr/>
            </w:pPr>
            <w:r>
              <w:rPr/>
              <w:t>  </w:t>
            </w:r>
          </w:p>
        </w:tc>
      </w:tr>
      <w:tr>
        <w:trPr/>
        <w:tc>
          <w:tcPr>
            <w:tcW w:w="9539" w:type="dxa"/>
            <w:tcBorders/>
            <w:shd w:fill="auto" w:val="clear"/>
          </w:tcPr>
          <w:p>
            <w:pPr>
              <w:pStyle w:val="TableContents"/>
              <w:spacing w:before="0" w:after="283"/>
              <w:rPr/>
            </w:pPr>
            <w:hyperlink w:anchor="rom308566_124">
              <w:r>
                <w:rPr>
                  <w:rStyle w:val="InternetLink"/>
                  <w:rFonts w:ascii="Times New Roman" w:hAnsi="Times New Roman"/>
                  <w:sz w:val="20"/>
                </w:rPr>
                <w:t>EXPERTS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w:t>
            </w:r>
          </w:p>
        </w:tc>
        <w:tc>
          <w:tcPr>
            <w:tcW w:w="122" w:type="dxa"/>
            <w:tcBorders/>
            <w:shd w:fill="auto" w:val="clear"/>
            <w:vAlign w:val="bottom"/>
          </w:tcPr>
          <w:p>
            <w:pPr>
              <w:pStyle w:val="TableContents"/>
              <w:spacing w:before="0" w:after="283"/>
              <w:rPr/>
            </w:pPr>
            <w:r>
              <w:rPr/>
              <w:t>  </w:t>
            </w:r>
          </w:p>
        </w:tc>
      </w:tr>
    </w:tbl>
    <w:p>
      <w:pPr>
        <w:pStyle w:val="TextBody"/>
        <w:spacing w:before="180" w:after="0"/>
        <w:rPr>
          <w:rFonts w:ascii="Times New Roman" w:hAnsi="Times New Roman"/>
          <w:b/>
          <w:sz w:val="20"/>
        </w:rPr>
      </w:pPr>
      <w:r>
        <w:rPr>
          <w:rFonts w:ascii="Times New Roman" w:hAnsi="Times New Roman"/>
          <w:b/>
          <w:sz w:val="20"/>
        </w:rPr>
        <w:t xml:space="preserve">In making your investment decision, you should rely only on the information contained or incorporated by reference in this prospectus. We have not authorized anyone to provide you with any other information. If anyone provides you with different or inconsistent information, you should not rely on it. </w:t>
      </w:r>
    </w:p>
    <w:p>
      <w:pPr>
        <w:pStyle w:val="TextBody"/>
        <w:spacing w:before="180" w:after="0"/>
        <w:rPr>
          <w:rFonts w:ascii="Times New Roman" w:hAnsi="Times New Roman"/>
          <w:b/>
          <w:sz w:val="20"/>
        </w:rPr>
      </w:pPr>
      <w:r>
        <w:rPr>
          <w:rFonts w:ascii="Times New Roman" w:hAnsi="Times New Roman"/>
          <w:b/>
          <w:sz w:val="20"/>
        </w:rPr>
        <w:t xml:space="preserve">You should not assume that the information contained in this prospectus is accurate as of any date other than the date on the front cover of this prospectus. You should not assume that the information contained in the documents incorporated by reference in this prospectus is accurate as of any date other than the respective dates of those documents. Our business, financial condition, results of operations and prospects may have changed since those dates. </w:t>
      </w:r>
    </w:p>
    <w:p>
      <w:pPr>
        <w:pStyle w:val="TextBody"/>
        <w:spacing w:before="270" w:after="0"/>
        <w:jc w:val="center"/>
        <w:rPr>
          <w:rFonts w:ascii="Times New Roman" w:hAnsi="Times New Roman"/>
          <w:b/>
          <w:sz w:val="20"/>
        </w:rPr>
      </w:pPr>
      <w:bookmarkStart w:id="17" w:name="rom308566_111"/>
      <w:bookmarkStart w:id="18" w:name="supprom308566_14"/>
      <w:bookmarkEnd w:id="17"/>
      <w:bookmarkEnd w:id="18"/>
      <w:r>
        <w:rPr>
          <w:rFonts w:ascii="Times New Roman" w:hAnsi="Times New Roman"/>
          <w:b/>
          <w:sz w:val="20"/>
        </w:rPr>
        <w:t xml:space="preserve">ABOUT THIS PROSPECTUS </w:t>
      </w:r>
    </w:p>
    <w:p>
      <w:pPr>
        <w:pStyle w:val="TextBody"/>
        <w:spacing w:before="180" w:after="0"/>
        <w:rPr>
          <w:rFonts w:ascii="Times New Roman" w:hAnsi="Times New Roman"/>
          <w:sz w:val="20"/>
        </w:rPr>
      </w:pPr>
      <w:r>
        <w:rPr>
          <w:rFonts w:ascii="Times New Roman" w:hAnsi="Times New Roman"/>
          <w:sz w:val="20"/>
        </w:rPr>
        <w:t xml:space="preserve">This prospectus is part of a registration statement that we and PAA Finance Corp. have filed with the Securities and Exchange Commission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to, update or change information in this prospectus. Before you invest in our securities, you should carefully read this prospectus and any prospectus supplement and the additional information described under the heading Where You Can Find More Information. To the extent information in this prospectus is inconsistent with information contained in a prospectus supplement, you should rely on the information in the prospectus supplement. You should read both this prospectus and any prospectus supplement, together with additional information described under the heading Where You Can Find More Information, and any additional information you may need to make your investment decision.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9" w:name="rom308566_112"/>
      <w:bookmarkStart w:id="20" w:name="supprom308566_15"/>
      <w:bookmarkEnd w:id="19"/>
      <w:bookmarkEnd w:id="20"/>
      <w:r>
        <w:rPr>
          <w:rFonts w:ascii="Times New Roman" w:hAnsi="Times New Roman"/>
          <w:b/>
          <w:sz w:val="20"/>
        </w:rPr>
        <w:t xml:space="preserve">WHERE YOU CAN FIND MORE INFORMATION </w:t>
      </w:r>
    </w:p>
    <w:p>
      <w:pPr>
        <w:pStyle w:val="TextBody"/>
        <w:spacing w:before="180" w:after="0"/>
        <w:rPr>
          <w:rFonts w:ascii="Times New Roman" w:hAnsi="Times New Roman"/>
          <w:sz w:val="20"/>
        </w:rPr>
      </w:pPr>
      <w:r>
        <w:rPr>
          <w:rFonts w:ascii="Times New Roman" w:hAnsi="Times New Roman"/>
          <w:sz w:val="20"/>
        </w:rPr>
        <w:t xml:space="preserve">We have filed a registration statement with the SEC under the Securities Act of 1933, as amended, that registers the securities offered by this prospectus. The registration statement, including the attached exhibits, contains additional relevant information about us. The rules and regulations of the SEC allow us to omit some information included in the registration statement from this prospectus. </w:t>
      </w:r>
    </w:p>
    <w:p>
      <w:pPr>
        <w:pStyle w:val="TextBody"/>
        <w:spacing w:before="180" w:after="0"/>
        <w:rPr>
          <w:rFonts w:ascii="Times New Roman" w:hAnsi="Times New Roman"/>
          <w:sz w:val="20"/>
        </w:rPr>
      </w:pPr>
      <w:r>
        <w:rPr>
          <w:rFonts w:ascii="Times New Roman" w:hAnsi="Times New Roman"/>
          <w:sz w:val="20"/>
        </w:rPr>
        <w:t xml:space="preserve">In addition, we file annual, quarterly and other reports and other information with the SEC. You may read and copy any document we file at the SECs public reference room at 100 F Street, N.E., Washington, D.C. 20549. Please call the SEC at 1-800-732-0330 for further information on the operation of the SECs public reference room. Our SEC filings are available on the SECs web site at http://www.sec.gov. We also make available free of charge on our website, at http://www.paalp.com, all materials that we file electronically with the SEC, including our annual report on Form 10-K, quarterly reports on Form 10-Q, current reports on Form 8-K, Section 16 reports and amendments to these reports as soon as reasonably practicable after such materials are electronically filed with, or furnished to, the SEC. </w:t>
      </w:r>
    </w:p>
    <w:p>
      <w:pPr>
        <w:pStyle w:val="TextBody"/>
        <w:spacing w:before="180" w:after="0"/>
        <w:rPr>
          <w:rFonts w:ascii="Times New Roman" w:hAnsi="Times New Roman"/>
          <w:sz w:val="20"/>
        </w:rPr>
      </w:pPr>
      <w:r>
        <w:rPr>
          <w:rFonts w:ascii="Times New Roman" w:hAnsi="Times New Roman"/>
          <w:sz w:val="20"/>
        </w:rPr>
        <w:t xml:space="preserve">The SEC allows us to incorporate by reference the information we have filed with the SEC. This means that we can disclose important information to you without actually including the specific information in this prospectus by referring you to other documents filed separately with the SEC. These other documents contain important information about us, our financial condition and results of operations. The information incorporated by reference is an important part of this prospectus. Information that we file later with the SEC will automatically update and may replace information in this prospectus and information previously filed with the SEC. We incorporate by reference the documents listed below and any future filings made by Plains All American Pipeline, L.P. with the SEC under Sections 13(a), 13(c), 14 or 15(d) of the Securities Exchange Act of 1934 (excluding any information furnished and not filed with the SEC) until all offerings under this shelf registration statement are completed or after the date on which the registration statement that includes this prospectus was initially filed with the SEC and before the effectiveness of such registration statement: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3"/>
        <w:gridCol w:w="101"/>
        <w:gridCol w:w="9493"/>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Annual Report on Form 10-K for the year ended December 31, 2008;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Quarterly Reports on Form 10-Q for the quarters ended March 31, 2009 and June 30, 2009;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February 25, 2009 (compensation arrangements for certain of our executive officers);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3"/>
        <w:gridCol w:w="101"/>
        <w:gridCol w:w="9493"/>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March 12, 2009 (audited balance sheet of PAA GP LLC as of December 31, 2008);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(other than Item 7.01, which was furnished) with the SEC on March 18, 2009 (documentation related to equity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April 20, 2009 (documentation related to debt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(other than Items 7.01 and 9.01, which were furnished) with the SEC on May 22, 2009 (election of Christopher M. Temple to the board of directors of Plains All American GP LLC);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2"/>
        <w:gridCol w:w="9493"/>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July 7, 2009 (unaudited balance sheet of PAA GP LLC as of March 31, 2009);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July 23, 2009 (documentation related to debt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(other than Items 7.01 and 9.01, which were furnished) with the SEC on August 28, 2009 (unregistered sale of equity securities);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8"/>
        <w:gridCol w:w="204"/>
        <w:gridCol w:w="102"/>
        <w:gridCol w:w="9491"/>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September 3, 2009 (amendment of the Limited Partnership Agreement of Plains All American Pipeline, L.P.);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September 4, 2009 (documentation related to debt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(other than Item 7.01, which was furnished) with the SEC on September 11, 2009 (documentation related to equity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September 28, 2009 (audited balance sheet of PAA GP LLC as of June 30, 2009);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description of our common units contained in our Form 8-A/A dated November 3, 1998 and any subsequent amendment thereto filed for the purpose of updating such description. </w:t>
            </w:r>
          </w:p>
        </w:tc>
      </w:tr>
    </w:tbl>
    <w:p>
      <w:pPr>
        <w:pStyle w:val="TextBody"/>
        <w:spacing w:before="180" w:after="0"/>
        <w:rPr>
          <w:rFonts w:ascii="Times New Roman" w:hAnsi="Times New Roman"/>
          <w:sz w:val="20"/>
        </w:rPr>
      </w:pPr>
      <w:r>
        <w:rPr>
          <w:rFonts w:ascii="Times New Roman" w:hAnsi="Times New Roman"/>
          <w:sz w:val="20"/>
        </w:rPr>
        <w:t xml:space="preserve">You may obtain any of the documents incorporated by reference in this prospectus from the SEC through the SECs website at the address provided above. You also may request a copy of any document incorporated by reference in this prospectus (including exhibits to those documents specifically incorporated by reference in this document), at no cost, by visiting our internet website at www.paalp.com, or by writing or calling us at the following address: </w:t>
      </w:r>
    </w:p>
    <w:p>
      <w:pPr>
        <w:pStyle w:val="TextBody"/>
        <w:spacing w:before="180" w:after="0"/>
        <w:jc w:val="center"/>
        <w:rPr>
          <w:rFonts w:ascii="Times New Roman" w:hAnsi="Times New Roman"/>
          <w:sz w:val="20"/>
        </w:rPr>
      </w:pPr>
      <w:r>
        <w:rPr>
          <w:rFonts w:ascii="Times New Roman" w:hAnsi="Times New Roman"/>
          <w:sz w:val="20"/>
        </w:rPr>
        <w:t xml:space="preserve">Plains All American Pipeline, L.P. </w:t>
      </w:r>
    </w:p>
    <w:p>
      <w:pPr>
        <w:pStyle w:val="TextBody"/>
        <w:spacing w:before="0" w:after="0"/>
        <w:jc w:val="center"/>
        <w:rPr>
          <w:rFonts w:ascii="Times New Roman" w:hAnsi="Times New Roman"/>
          <w:sz w:val="20"/>
        </w:rPr>
      </w:pPr>
      <w:r>
        <w:rPr>
          <w:rFonts w:ascii="Times New Roman" w:hAnsi="Times New Roman"/>
          <w:sz w:val="20"/>
        </w:rPr>
        <w:t xml:space="preserve">333 Clay Street, Suite 1600 </w:t>
      </w:r>
    </w:p>
    <w:p>
      <w:pPr>
        <w:pStyle w:val="TextBody"/>
        <w:spacing w:before="0" w:after="0"/>
        <w:jc w:val="center"/>
        <w:rPr>
          <w:rFonts w:ascii="Times New Roman" w:hAnsi="Times New Roman"/>
          <w:sz w:val="20"/>
        </w:rPr>
      </w:pPr>
      <w:r>
        <w:rPr>
          <w:rFonts w:ascii="Times New Roman" w:hAnsi="Times New Roman"/>
          <w:sz w:val="20"/>
        </w:rPr>
        <w:t xml:space="preserve">Houston, Texas 77002 </w:t>
      </w:r>
    </w:p>
    <w:p>
      <w:pPr>
        <w:pStyle w:val="TextBody"/>
        <w:spacing w:before="0" w:after="0"/>
        <w:jc w:val="center"/>
        <w:rPr>
          <w:rFonts w:ascii="Times New Roman" w:hAnsi="Times New Roman"/>
          <w:sz w:val="20"/>
        </w:rPr>
      </w:pPr>
      <w:r>
        <w:rPr>
          <w:rFonts w:ascii="Times New Roman" w:hAnsi="Times New Roman"/>
          <w:sz w:val="20"/>
        </w:rPr>
        <w:t xml:space="preserve">Attention: Tim Moore </w:t>
      </w:r>
    </w:p>
    <w:p>
      <w:pPr>
        <w:pStyle w:val="TextBody"/>
        <w:spacing w:before="0" w:after="0"/>
        <w:jc w:val="center"/>
        <w:rPr>
          <w:rFonts w:ascii="Times New Roman" w:hAnsi="Times New Roman"/>
          <w:sz w:val="20"/>
        </w:rPr>
      </w:pPr>
      <w:r>
        <w:rPr>
          <w:rFonts w:ascii="Times New Roman" w:hAnsi="Times New Roman"/>
          <w:sz w:val="20"/>
        </w:rPr>
        <w:t xml:space="preserve">Telephone: (713) 646-4100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1" w:name="rom308566_113"/>
      <w:bookmarkStart w:id="22" w:name="supprom308566_16"/>
      <w:bookmarkEnd w:id="21"/>
      <w:bookmarkEnd w:id="22"/>
      <w:r>
        <w:rPr>
          <w:rFonts w:ascii="Times New Roman" w:hAnsi="Times New Roman"/>
          <w:b/>
          <w:sz w:val="20"/>
        </w:rPr>
        <w:t xml:space="preserve">FORWARD-LOOKING STATEMENTS </w:t>
      </w:r>
    </w:p>
    <w:p>
      <w:pPr>
        <w:pStyle w:val="TextBody"/>
        <w:spacing w:before="180" w:after="0"/>
        <w:rPr>
          <w:rFonts w:ascii="Times New Roman" w:hAnsi="Times New Roman"/>
          <w:sz w:val="20"/>
        </w:rPr>
      </w:pPr>
      <w:r>
        <w:rPr>
          <w:rFonts w:ascii="Times New Roman" w:hAnsi="Times New Roman"/>
          <w:sz w:val="20"/>
        </w:rPr>
        <w:t xml:space="preserve">All statements included or incorporated by reference in this prospectus or the accompanying prospectus supplement, other than statements of historical fact, are forward-looking statements, including but not limited to statements identified by the words anticipate, believe, estimate, expect, plan, intend and forecast, as well as similar expressions and statements regarding our business strategy, plans and objectives of our management for future operations. The absence of these words, however, does not mean that the statements are not forward-looking.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3"/>
        <w:gridCol w:w="101"/>
        <w:gridCol w:w="9493"/>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implement or capitalize on planned internal growth projects;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maintenance of our credit rating and ability to receive open credit from our suppliers and trade counterparties;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continued creditworthiness of, and performance by, our counterparties, including financial institutions and trading companies with which we do business;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success of our risk management activities;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environmental liabilities or events that are not covered by an indemnity, insurance or existing reserves;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4"/>
        <w:gridCol w:w="102"/>
        <w:gridCol w:w="9491"/>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abrupt or severe declines or interruptions in outer continental shelf production located offshore California and transported on our pipeline systems;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shortages or cost increases of power supplies, materials or labor;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fluctuations in refinery capacity in areas supplied by our mainlines and other factors affecting demand for various grades of crude oil, refined products and natural gas and resulting changes in pricing conditions or transportation throughput requirements;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availability of, and our ability to consummate, acquisition or combination opportunities;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ability to obtain debt or equity financing on satisfactory terms to fund additional acquisitions, expansion projects, working capital requirements and the repayment or refinancing of indebtedness;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successful integration and future performance of acquired assets or businesses and the risks associated with operating in lines of business that are distinct and separate from our historical operations;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unanticipated changes in crude oil market structure and volatility (or lack thereof);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impact of current and future laws, rulings, governmental regulations, accounting standards and statements and related interpretations;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effects of competition;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4"/>
        <w:gridCol w:w="102"/>
        <w:gridCol w:w="9491"/>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interruptions in service and fluctuations in tariffs or volumes on third-party pipelines;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increased costs or lack of availability of insurance;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fluctuations in the debt and equity markets, including the price of our units at the time of vesting under our long-term incentive plans;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currency exchange rate of the Canadian dollar;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weather interference with business operations or project construction;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risks related to the development and operation of natural gas storage facilities;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future developments and circumstances at the time distributions are declared;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general economic, market or business conditions and the amplification of other risks caused by deteriorated financial markets, capital constraints and pervasive liquidity concerns;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other factors and uncertainties inherent in the transportation, storage, terminalling and marketing of crude oil, refined products and liquefied petroleum gas and other natural gas related petroleum products. </w:t>
            </w:r>
          </w:p>
        </w:tc>
      </w:tr>
    </w:tbl>
    <w:p>
      <w:pPr>
        <w:pStyle w:val="TextBody"/>
        <w:spacing w:before="180" w:after="0"/>
        <w:rPr>
          <w:rFonts w:ascii="Times New Roman" w:hAnsi="Times New Roman"/>
          <w:sz w:val="20"/>
        </w:rPr>
      </w:pPr>
      <w:r>
        <w:rPr>
          <w:rFonts w:ascii="Times New Roman" w:hAnsi="Times New Roman"/>
          <w:sz w:val="20"/>
        </w:rPr>
        <w:t xml:space="preserve">Other factors described herein or incorporated by reference, or factors that are unknown or unpredictable, could also have a material adverse effect on future results. Please read Risk Factors beginning on page 6 of this prospectus and in Item 1A. Risk Factors in our Annual Report on Form 10-K for the year ended December 31, 2008. Except as required by applicable securities laws, we do not intend to update these forward-looking statements and information.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3" w:name="rom308566_114"/>
      <w:bookmarkStart w:id="24" w:name="supprom308566_17"/>
      <w:bookmarkEnd w:id="23"/>
      <w:bookmarkEnd w:id="24"/>
      <w:r>
        <w:rPr>
          <w:rFonts w:ascii="Times New Roman" w:hAnsi="Times New Roman"/>
          <w:b/>
          <w:sz w:val="20"/>
        </w:rPr>
        <w:t xml:space="preserve">WHO WE ARE </w:t>
      </w:r>
    </w:p>
    <w:p>
      <w:pPr>
        <w:pStyle w:val="TextBody"/>
        <w:spacing w:before="180" w:after="0"/>
        <w:rPr>
          <w:rFonts w:ascii="Times New Roman" w:hAnsi="Times New Roman"/>
          <w:sz w:val="20"/>
        </w:rPr>
      </w:pPr>
      <w:r>
        <w:rPr>
          <w:rFonts w:ascii="Times New Roman" w:hAnsi="Times New Roman"/>
          <w:sz w:val="20"/>
        </w:rPr>
        <w:t xml:space="preserve">We are a Delaware limited partnership formed in September 1998. Our operations are conducted directly and indirectly through our primary operating subsidiaries. We are engaged in the transportation, storage, terminalling and marketing of crude oil, refined products and liquefied petroleum gas and other natural gas-related petroleum products. We have an extensive network of pipeline transportation, terminalling, storage and gathering assets in key oil-producing basins and transportation corridors, and at major market hubs in the United States and Canada. We are also engaged in the development and operation of natural gas storage facilities. </w:t>
      </w:r>
    </w:p>
    <w:p>
      <w:pPr>
        <w:pStyle w:val="TextBody"/>
        <w:spacing w:before="180" w:after="0"/>
        <w:rPr>
          <w:rFonts w:ascii="Times New Roman" w:hAnsi="Times New Roman"/>
          <w:sz w:val="20"/>
        </w:rPr>
      </w:pPr>
      <w:r>
        <w:rPr>
          <w:rFonts w:ascii="Times New Roman" w:hAnsi="Times New Roman"/>
          <w:sz w:val="20"/>
        </w:rPr>
        <w:t xml:space="preserve">PAA Finance Corp. was incorporated under the laws of the State of Delaware in May 2004, is wholly owned by Plains All American Pipeline, and has no material assets or any liabilities other than as a co-issuer of debt securities. Its activities are limited to co-issuing debt securities and engaging in other activities incidental thereto. </w:t>
      </w:r>
    </w:p>
    <w:p>
      <w:pPr>
        <w:pStyle w:val="TextBody"/>
        <w:spacing w:before="180" w:after="0"/>
        <w:rPr>
          <w:rFonts w:ascii="Times New Roman" w:hAnsi="Times New Roman"/>
          <w:sz w:val="20"/>
        </w:rPr>
      </w:pPr>
      <w:r>
        <w:rPr>
          <w:rFonts w:ascii="Times New Roman" w:hAnsi="Times New Roman"/>
          <w:sz w:val="20"/>
        </w:rPr>
        <w:t xml:space="preserve">For purposes of this prospectus, unless the context clearly indicates otherwise, we, us, our and the Partnership refer to Plains All American Pipeline, L.P. and its subsidiaries. References to our general partner, as the context requires, include any or all of PAA GP LLC, Plains AAP, L.P. and Plains All American GP LLC. </w:t>
      </w:r>
    </w:p>
    <w:p>
      <w:pPr>
        <w:pStyle w:val="TextBody"/>
        <w:spacing w:before="180" w:after="0"/>
        <w:rPr>
          <w:rFonts w:ascii="Times New Roman" w:hAnsi="Times New Roman"/>
          <w:sz w:val="20"/>
        </w:rPr>
      </w:pPr>
      <w:r>
        <w:rPr>
          <w:rFonts w:ascii="Times New Roman" w:hAnsi="Times New Roman"/>
          <w:sz w:val="20"/>
        </w:rPr>
        <w:t xml:space="preserve">Our executive offices are located at 333 Clay Street, Suite 1600, Houston, Texas 77002 and our telephone number is (713) 646-4100. </w:t>
      </w:r>
    </w:p>
    <w:p>
      <w:pPr>
        <w:pStyle w:val="TextBody"/>
        <w:spacing w:before="180" w:after="0"/>
        <w:rPr>
          <w:rFonts w:ascii="Times New Roman" w:hAnsi="Times New Roman"/>
          <w:sz w:val="20"/>
        </w:rPr>
      </w:pPr>
      <w:r>
        <w:rPr>
          <w:rFonts w:ascii="Times New Roman" w:hAnsi="Times New Roman"/>
          <w:sz w:val="20"/>
        </w:rPr>
        <w:t xml:space="preserve">For additional information as to our business, properties and financial condition please refer to the documents cited in Where You Can Find More Information.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5" w:name="rom308566_115"/>
      <w:bookmarkStart w:id="26" w:name="supprom308566_18"/>
      <w:bookmarkEnd w:id="25"/>
      <w:bookmarkEnd w:id="26"/>
      <w:r>
        <w:rPr>
          <w:rFonts w:ascii="Times New Roman" w:hAnsi="Times New Roman"/>
          <w:b/>
          <w:sz w:val="20"/>
        </w:rPr>
        <w:t xml:space="preserve">RISK FACTORS </w:t>
      </w:r>
    </w:p>
    <w:p>
      <w:pPr>
        <w:pStyle w:val="TextBody"/>
        <w:spacing w:before="180" w:after="0"/>
        <w:rPr>
          <w:rFonts w:ascii="Times New Roman" w:hAnsi="Times New Roman"/>
          <w:sz w:val="20"/>
        </w:rPr>
      </w:pPr>
      <w:r>
        <w:rPr>
          <w:rFonts w:ascii="Times New Roman" w:hAnsi="Times New Roman"/>
          <w:sz w:val="20"/>
        </w:rPr>
        <w:t xml:space="preserve">An investment in our securities involves a high degree of risk. You should carefully consider the risk factors and all of the other information included in, or incorporated by reference into, this prospectus, including those in Item 1A. Risk Factors in our Annual Report on Form 10-K for the year ended December 31, 2008, in evaluating an investment in our securities. If any of these risks were to occur, our business, financial condition or results of operations could be adversely affected. In that case, the trading price of our common units or value of our debt securities could decline and you could lose all or part of your investment. When we offer and sell any securities pursuant to a prospectus supplement, we may include additional risk factors relevant to such securities in the prospectus supplement.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7" w:name="rom308566_116"/>
      <w:bookmarkStart w:id="28" w:name="supprom308566_19"/>
      <w:bookmarkEnd w:id="27"/>
      <w:bookmarkEnd w:id="28"/>
      <w:r>
        <w:rPr>
          <w:rFonts w:ascii="Times New Roman" w:hAnsi="Times New Roman"/>
          <w:b/>
          <w:sz w:val="20"/>
        </w:rPr>
        <w:t xml:space="preserve">USE OF PROCEEDS </w:t>
      </w:r>
    </w:p>
    <w:p>
      <w:pPr>
        <w:pStyle w:val="TextBody"/>
        <w:spacing w:before="180" w:after="0"/>
        <w:rPr>
          <w:rFonts w:ascii="Times New Roman" w:hAnsi="Times New Roman"/>
          <w:sz w:val="20"/>
        </w:rPr>
      </w:pPr>
      <w:r>
        <w:rPr>
          <w:rFonts w:ascii="Times New Roman" w:hAnsi="Times New Roman"/>
          <w:sz w:val="20"/>
        </w:rPr>
        <w:t xml:space="preserve">Unless otherwise indicated to the contrary in an accompanying prospectus supplement, we will use the net proceeds from the sale of securities covered by this prospectus for general partnership purposes, which may include repayment of indebtedness, the acquisition of businesses and other capital expenditures and additions to working capital. </w:t>
      </w:r>
    </w:p>
    <w:p>
      <w:pPr>
        <w:pStyle w:val="TextBody"/>
        <w:spacing w:before="180" w:after="0"/>
        <w:rPr>
          <w:rFonts w:ascii="Times New Roman" w:hAnsi="Times New Roman"/>
          <w:sz w:val="20"/>
        </w:rPr>
      </w:pPr>
      <w:r>
        <w:rPr>
          <w:rFonts w:ascii="Times New Roman" w:hAnsi="Times New Roman"/>
          <w:sz w:val="20"/>
        </w:rPr>
        <w:t xml:space="preserve">Any specific allocation of the net proceeds of an offering of securities to a specific purpose will be determined at the time of the offering and will be described in a prospectus supplement.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9" w:name="rom308566_117"/>
      <w:bookmarkStart w:id="30" w:name="supprom308566_20"/>
      <w:bookmarkEnd w:id="29"/>
      <w:bookmarkEnd w:id="30"/>
      <w:r>
        <w:rPr>
          <w:rFonts w:ascii="Times New Roman" w:hAnsi="Times New Roman"/>
          <w:b/>
          <w:sz w:val="20"/>
        </w:rPr>
        <w:t xml:space="preserve">RATIO OF EARNINGS TO FIXED CHARGES </w:t>
      </w:r>
    </w:p>
    <w:p>
      <w:pPr>
        <w:pStyle w:val="TextBody"/>
        <w:spacing w:before="180" w:after="0"/>
        <w:rPr>
          <w:rFonts w:ascii="Times New Roman" w:hAnsi="Times New Roman"/>
          <w:sz w:val="20"/>
        </w:rPr>
      </w:pPr>
      <w:r>
        <w:rPr>
          <w:rFonts w:ascii="Times New Roman" w:hAnsi="Times New Roman"/>
          <w:sz w:val="20"/>
        </w:rPr>
        <w:t xml:space="preserve">The following table sets forth our historical consolidated ratio of earnings to fixed charges for the periods indicated. For purposes of computing the ratio of earnings to fixed charges,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that portion of rental expense on operating leases deemed to be the equivalent of interest.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321"/>
        <w:gridCol w:w="222"/>
        <w:gridCol w:w="60"/>
        <w:gridCol w:w="555"/>
        <w:gridCol w:w="120"/>
        <w:gridCol w:w="222"/>
        <w:gridCol w:w="60"/>
        <w:gridCol w:w="487"/>
        <w:gridCol w:w="120"/>
        <w:gridCol w:w="222"/>
        <w:gridCol w:w="60"/>
        <w:gridCol w:w="487"/>
        <w:gridCol w:w="120"/>
        <w:gridCol w:w="221"/>
        <w:gridCol w:w="60"/>
        <w:gridCol w:w="487"/>
        <w:gridCol w:w="120"/>
        <w:gridCol w:w="222"/>
        <w:gridCol w:w="60"/>
        <w:gridCol w:w="487"/>
        <w:gridCol w:w="222"/>
        <w:gridCol w:w="357"/>
        <w:gridCol w:w="60"/>
        <w:gridCol w:w="487"/>
        <w:gridCol w:w="366"/>
      </w:tblGrid>
      <w:tr>
        <w:trPr/>
        <w:tc>
          <w:tcPr>
            <w:tcW w:w="4321"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35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sz w:val="4"/>
                <w:szCs w:val="4"/>
              </w:rPr>
            </w:pPr>
            <w:r>
              <w:rPr>
                <w:sz w:val="4"/>
                <w:szCs w:val="4"/>
              </w:rPr>
            </w:r>
          </w:p>
        </w:tc>
      </w:tr>
      <w:tr>
        <w:trPr/>
        <w:tc>
          <w:tcPr>
            <w:tcW w:w="4321" w:type="dxa"/>
            <w:vMerge w:val="restart"/>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615" w:type="dxa"/>
            <w:gridSpan w:val="2"/>
            <w:vMerge w:val="restart"/>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Six  Months</w:t>
            </w:r>
            <w:r>
              <w:rPr/>
              <w:br/>
            </w:r>
            <w:r>
              <w:rPr>
                <w:rFonts w:ascii="Times New Roman" w:hAnsi="Times New Roman"/>
                <w:b/>
                <w:sz w:val="14"/>
              </w:rPr>
              <w:t>Ended</w:t>
            </w:r>
            <w:r>
              <w:rPr/>
              <w:br/>
            </w:r>
            <w:r>
              <w:rPr>
                <w:rFonts w:ascii="Times New Roman" w:hAnsi="Times New Roman"/>
                <w:b/>
                <w:sz w:val="14"/>
              </w:rPr>
              <w:t>June  30,</w:t>
            </w:r>
            <w:r>
              <w:rPr/>
              <w:br/>
            </w:r>
            <w:r>
              <w:rPr>
                <w:rFonts w:ascii="Times New Roman" w:hAnsi="Times New Roman"/>
                <w:b/>
                <w:sz w:val="14"/>
              </w:rPr>
              <w:t>2009</w:t>
            </w:r>
          </w:p>
        </w:tc>
        <w:tc>
          <w:tcPr>
            <w:tcW w:w="120" w:type="dxa"/>
            <w:vMerge w:val="restart"/>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4339"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Year Ended December 31,</w:t>
            </w:r>
          </w:p>
        </w:tc>
        <w:tc>
          <w:tcPr>
            <w:tcW w:w="366" w:type="dxa"/>
            <w:tcBorders/>
            <w:shd w:fill="auto" w:val="clear"/>
            <w:vAlign w:val="bottom"/>
          </w:tcPr>
          <w:p>
            <w:pPr>
              <w:pStyle w:val="TableContents"/>
              <w:spacing w:before="0" w:after="283"/>
              <w:rPr/>
            </w:pPr>
            <w:r>
              <w:rPr/>
              <w:t> </w:t>
            </w:r>
          </w:p>
        </w:tc>
      </w:tr>
      <w:tr>
        <w:trPr/>
        <w:tc>
          <w:tcPr>
            <w:tcW w:w="4321" w:type="dxa"/>
            <w:vMerge w:val="continue"/>
            <w:tcBorders/>
            <w:shd w:fill="auto" w:val="clear"/>
            <w:vAlign w:val="bottom"/>
          </w:tcPr>
          <w:p>
            <w:pPr>
              <w:pStyle w:val="Normal"/>
              <w:rPr/>
            </w:pPr>
            <w:r>
              <w:rPr/>
            </w:r>
          </w:p>
        </w:tc>
        <w:tc>
          <w:tcPr>
            <w:tcW w:w="222" w:type="dxa"/>
            <w:tcBorders/>
            <w:shd w:fill="auto" w:val="clear"/>
            <w:vAlign w:val="bottom"/>
          </w:tcPr>
          <w:p>
            <w:pPr>
              <w:pStyle w:val="TableContents"/>
              <w:spacing w:before="0" w:after="283"/>
              <w:rPr/>
            </w:pPr>
            <w:r>
              <w:rPr/>
              <w:t>  </w:t>
            </w:r>
          </w:p>
        </w:tc>
        <w:tc>
          <w:tcPr>
            <w:tcW w:w="615" w:type="dxa"/>
            <w:gridSpan w:val="2"/>
            <w:vMerge w:val="continue"/>
            <w:tcBorders>
              <w:bottom w:val="single" w:sz="2" w:space="0" w:color="000000"/>
            </w:tcBorders>
            <w:shd w:fill="auto" w:val="clear"/>
            <w:tcMar>
              <w:bottom w:w="28" w:type="dxa"/>
            </w:tcMar>
            <w:vAlign w:val="bottom"/>
          </w:tcPr>
          <w:p>
            <w:pPr>
              <w:pStyle w:val="Normal"/>
              <w:rPr/>
            </w:pPr>
            <w:r>
              <w:rPr/>
            </w:r>
          </w:p>
        </w:tc>
        <w:tc>
          <w:tcPr>
            <w:tcW w:w="120" w:type="dxa"/>
            <w:vMerge w:val="continue"/>
            <w:tcBorders/>
            <w:shd w:fill="auto" w:val="clear"/>
            <w:vAlign w:val="bottom"/>
          </w:tcPr>
          <w:p>
            <w:pPr>
              <w:pStyle w:val="Normal"/>
              <w:rPr/>
            </w:pPr>
            <w:r>
              <w:rPr/>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2007</w:t>
            </w:r>
          </w:p>
        </w:tc>
        <w:tc>
          <w:tcPr>
            <w:tcW w:w="12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222"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2004</w:t>
            </w:r>
          </w:p>
        </w:tc>
        <w:tc>
          <w:tcPr>
            <w:tcW w:w="366" w:type="dxa"/>
            <w:tcBorders/>
            <w:shd w:fill="auto" w:val="clear"/>
            <w:vAlign w:val="bottom"/>
          </w:tcPr>
          <w:p>
            <w:pPr>
              <w:pStyle w:val="TableContents"/>
              <w:spacing w:before="0" w:after="283"/>
              <w:rPr/>
            </w:pPr>
            <w:r>
              <w:rPr/>
              <w:t> </w:t>
            </w:r>
          </w:p>
        </w:tc>
      </w:tr>
      <w:tr>
        <w:trPr/>
        <w:tc>
          <w:tcPr>
            <w:tcW w:w="4321" w:type="dxa"/>
            <w:tcBorders/>
            <w:shd w:fill="CCEEFF" w:val="clear"/>
          </w:tcPr>
          <w:p>
            <w:pPr>
              <w:pStyle w:val="TableContents"/>
              <w:spacing w:before="0" w:after="283"/>
              <w:rPr/>
            </w:pPr>
            <w:r>
              <w:rPr>
                <w:rFonts w:ascii="Times New Roman" w:hAnsi="Times New Roman"/>
                <w:sz w:val="20"/>
              </w:rPr>
              <w:t>Ratio of Earnings to Fixed Charges</w:t>
            </w:r>
            <w:r>
              <w:rPr>
                <w:rFonts w:ascii="Times New Roman" w:hAnsi="Times New Roman"/>
                <w:sz w:val="14"/>
              </w:rPr>
              <w:t>(1)</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3.55x</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2.60x</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2.45x</w:t>
            </w:r>
          </w:p>
        </w:tc>
        <w:tc>
          <w:tcPr>
            <w:tcW w:w="12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2.83x</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3.34x</w:t>
            </w:r>
          </w:p>
        </w:tc>
        <w:tc>
          <w:tcPr>
            <w:tcW w:w="222" w:type="dxa"/>
            <w:tcBorders/>
            <w:shd w:fill="CCEEFF" w:val="clear"/>
            <w:vAlign w:val="bottom"/>
          </w:tcPr>
          <w:p>
            <w:pPr>
              <w:pStyle w:val="TableContents"/>
              <w:spacing w:before="0" w:after="283"/>
              <w:rPr/>
            </w:pPr>
            <w:r>
              <w:rPr/>
              <w:t>  </w:t>
            </w:r>
          </w:p>
        </w:tc>
        <w:tc>
          <w:tcPr>
            <w:tcW w:w="35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3.37x</w:t>
            </w:r>
          </w:p>
        </w:tc>
        <w:tc>
          <w:tcPr>
            <w:tcW w:w="366" w:type="dxa"/>
            <w:tcBorders/>
            <w:shd w:fill="CCEEFF" w:val="clear"/>
            <w:vAlign w:val="bottom"/>
          </w:tcPr>
          <w:p>
            <w:pPr>
              <w:pStyle w:val="TableContents"/>
              <w:spacing w:before="0" w:after="283"/>
              <w:rPr/>
            </w:pPr>
            <w:r>
              <w:rPr/>
              <w:t>  </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(1) </w:t>
            </w:r>
          </w:p>
        </w:tc>
        <w:tc>
          <w:tcPr>
            <w:tcW w:w="9900"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 xml:space="preserve">Includes interest costs attributable to borrowings for inventory stored in a contango market of $5 million, $21 million, $44 million, $49 million, $24 million and $2 million for the six months ended June 30, 2009 and each of the years ended December 31, 2008, 2007, 2006, 2005 and 2004, respectively.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1" w:name="rom308566_118"/>
      <w:bookmarkStart w:id="32" w:name="supprom308566_21"/>
      <w:bookmarkEnd w:id="31"/>
      <w:bookmarkEnd w:id="32"/>
      <w:r>
        <w:rPr>
          <w:rFonts w:ascii="Times New Roman" w:hAnsi="Times New Roman"/>
          <w:b/>
          <w:sz w:val="20"/>
        </w:rPr>
        <w:t xml:space="preserve">DESCRIPTION OF OUR DEBT SECURITIES </w:t>
      </w:r>
    </w:p>
    <w:p>
      <w:pPr>
        <w:pStyle w:val="TextBody"/>
        <w:spacing w:before="180" w:after="0"/>
        <w:rPr>
          <w:rFonts w:ascii="Times New Roman" w:hAnsi="Times New Roman"/>
          <w:b/>
          <w:sz w:val="20"/>
        </w:rPr>
      </w:pPr>
      <w:r>
        <w:rPr>
          <w:rFonts w:ascii="Times New Roman" w:hAnsi="Times New Roman"/>
          <w:b/>
          <w:sz w:val="20"/>
        </w:rPr>
        <w:t xml:space="preserve">General </w:t>
      </w:r>
    </w:p>
    <w:p>
      <w:pPr>
        <w:pStyle w:val="TextBody"/>
        <w:spacing w:before="90" w:after="0"/>
        <w:rPr>
          <w:rFonts w:ascii="Times New Roman" w:hAnsi="Times New Roman"/>
          <w:sz w:val="20"/>
        </w:rPr>
      </w:pPr>
      <w:r>
        <w:rPr>
          <w:rFonts w:ascii="Times New Roman" w:hAnsi="Times New Roman"/>
          <w:sz w:val="20"/>
        </w:rPr>
        <w:t xml:space="preserve">The debt securities will be: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direct general obligations;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either senior debt securities or subordinated debt securities;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issued under separate indentures (which may be existing indentures) among us, the guarantors and U.S. Bank National Association, as Trustee. </w:t>
            </w:r>
          </w:p>
        </w:tc>
      </w:tr>
    </w:tbl>
    <w:p>
      <w:pPr>
        <w:pStyle w:val="TextBody"/>
        <w:spacing w:before="180" w:after="0"/>
        <w:rPr>
          <w:rFonts w:ascii="Times New Roman" w:hAnsi="Times New Roman"/>
          <w:sz w:val="20"/>
        </w:rPr>
      </w:pPr>
      <w:r>
        <w:rPr>
          <w:rFonts w:ascii="Times New Roman" w:hAnsi="Times New Roman"/>
          <w:sz w:val="20"/>
        </w:rPr>
        <w:t xml:space="preserve">Plains All American Pipeline may issue debt securities in one or more series, and PAA Finance may be a co-issuer of one or more series of debt securities. PAA Finance was incorporated under the laws of the State of Delaware in May 2004, is wholly-owned by Plains All American Pipeline, and has no material assets or any liabilities other than as a co-issuer of debt securities. Its activities are limited to co-issuing debt securities and engaging in other activities incidental thereto. When used in this section Description of the Debt Securities, the terms we, us, our and issuers refer jointly to Plains All American Pipeline and PAA Finance, and the terms Plains All American Pipeline and PAA Finance refer strictly to Plains All American Pipeline, L.P. and PAA Finance Corp., respectively. </w:t>
      </w:r>
    </w:p>
    <w:p>
      <w:pPr>
        <w:pStyle w:val="TextBody"/>
        <w:spacing w:before="180" w:after="0"/>
        <w:rPr>
          <w:rFonts w:ascii="Times New Roman" w:hAnsi="Times New Roman"/>
          <w:sz w:val="20"/>
        </w:rPr>
      </w:pPr>
      <w:r>
        <w:rPr>
          <w:rFonts w:ascii="Times New Roman" w:hAnsi="Times New Roman"/>
          <w:sz w:val="20"/>
        </w:rPr>
        <w:t xml:space="preserve">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the summary have the meanings specified in the indentures. </w:t>
      </w:r>
    </w:p>
    <w:p>
      <w:pPr>
        <w:pStyle w:val="TextBody"/>
        <w:spacing w:before="270" w:after="0"/>
        <w:rPr>
          <w:rFonts w:ascii="Times New Roman" w:hAnsi="Times New Roman"/>
          <w:b/>
          <w:sz w:val="20"/>
        </w:rPr>
      </w:pPr>
      <w:r>
        <w:rPr>
          <w:rFonts w:ascii="Times New Roman" w:hAnsi="Times New Roman"/>
          <w:b/>
          <w:sz w:val="20"/>
        </w:rPr>
        <w:t xml:space="preserve">Specific Terms of Each Series of Debt Securities in the Prospectus Supplement </w:t>
      </w:r>
    </w:p>
    <w:p>
      <w:pPr>
        <w:pStyle w:val="TextBody"/>
        <w:spacing w:before="90" w:after="0"/>
        <w:rPr>
          <w:rFonts w:ascii="Times New Roman" w:hAnsi="Times New Roman"/>
          <w:sz w:val="20"/>
        </w:rPr>
      </w:pPr>
      <w:r>
        <w:rPr>
          <w:rFonts w:ascii="Times New Roman" w:hAnsi="Times New Roman"/>
          <w:sz w:val="20"/>
        </w:rPr>
        <w:t xml:space="preserve">A prospectus supplement and a supplemental indenture or authorizing resolutions relating to any series of debt securities being offered will include specific terms relating to the offering. These terms will include some or all of the following: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PAA Finance will be a co-issuer of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guarantors of the debt securities, if 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the debt securities are senior or subordinated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title of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total principal amount of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assets, if any, that are pledged as security for the payment of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2"/>
        <w:gridCol w:w="9493"/>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we will issue the debt securities in individual certificates to each holder in registered form, or in the form of temporary or permanent global securities held by a depository on behalf of holders;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prices at which we will issue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4"/>
        <w:gridCol w:w="101"/>
        <w:gridCol w:w="9492"/>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portion of the principal amount that will be payable if the maturity of the debt securities is accelerated;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currency or currency unit in which the debt securities will be payable, if not U.S. dollars;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dates on which the principal of the debt securities will be payable;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interest rate that the debt securities will bear and the interest payment dates for the debt securities;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conversion or exchange provisions;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optional redemption provisions;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3"/>
        <w:gridCol w:w="101"/>
        <w:gridCol w:w="9493"/>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sinking fund or other provisions that would obligate us to repurchase or otherwise redeem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changes to or additional events of default or covenants;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terms of the debt securities. </w:t>
            </w:r>
          </w:p>
        </w:tc>
      </w:tr>
    </w:tbl>
    <w:p>
      <w:pPr>
        <w:pStyle w:val="TextBody"/>
        <w:spacing w:before="180" w:after="0"/>
        <w:rPr>
          <w:rFonts w:ascii="Times New Roman" w:hAnsi="Times New Roman"/>
          <w:sz w:val="20"/>
        </w:rPr>
      </w:pPr>
      <w:r>
        <w:rPr>
          <w:rFonts w:ascii="Times New Roman" w:hAnsi="Times New Roman"/>
          <w:sz w:val="20"/>
        </w:rPr>
        <w:t xml:space="preserve">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 </w:t>
      </w:r>
    </w:p>
    <w:p>
      <w:pPr>
        <w:pStyle w:val="TextBody"/>
        <w:spacing w:before="270" w:after="0"/>
        <w:rPr>
          <w:rFonts w:ascii="Times New Roman" w:hAnsi="Times New Roman"/>
          <w:b/>
          <w:sz w:val="20"/>
        </w:rPr>
      </w:pPr>
      <w:r>
        <w:rPr>
          <w:rFonts w:ascii="Times New Roman" w:hAnsi="Times New Roman"/>
          <w:b/>
          <w:sz w:val="20"/>
        </w:rPr>
        <w:t xml:space="preserve">Guarantees </w:t>
      </w:r>
    </w:p>
    <w:p>
      <w:pPr>
        <w:pStyle w:val="TextBody"/>
        <w:spacing w:before="90" w:after="0"/>
        <w:rPr>
          <w:rFonts w:ascii="Times New Roman" w:hAnsi="Times New Roman"/>
          <w:sz w:val="20"/>
        </w:rPr>
      </w:pPr>
      <w:r>
        <w:rPr>
          <w:rFonts w:ascii="Times New Roman" w:hAnsi="Times New Roman"/>
          <w:sz w:val="20"/>
        </w:rPr>
        <w:t xml:space="preserve">If specified in the prospectus supplement respecting a series of debt securities, the subsidiaries of Plains All American Pipeline specified in the prospectus supplement will unconditionally guarantee to each holder and the Trustee, on a joint and several basis, the full and prompt payment of principal of, premium, if any, and interest on the debt securities of that series when and as the same become due and payable, whether at maturity, upon redemption or repurchase, by declaration of acceleration or otherwise. If a series of debt securities is guaranteed, such series will be guaranteed by all of the subsidiaries of Plains All American Pipeline, L.P. other than the non-guarantor subsidiaries. The prospectus supplement will describe any limitation on the maximum amount of any particular guarantee and the conditions under which guarantees may be released. </w:t>
      </w:r>
    </w:p>
    <w:p>
      <w:pPr>
        <w:pStyle w:val="TextBody"/>
        <w:spacing w:before="180" w:after="0"/>
        <w:rPr>
          <w:rFonts w:ascii="Times New Roman" w:hAnsi="Times New Roman"/>
          <w:sz w:val="20"/>
        </w:rPr>
      </w:pPr>
      <w:r>
        <w:rPr>
          <w:rFonts w:ascii="Times New Roman" w:hAnsi="Times New Roman"/>
          <w:sz w:val="20"/>
        </w:rPr>
        <w:t xml:space="preserve">The guarantees will be general obligations of the guarantors. Guarantees of subordinated debt securities will be subordinated to the Senior Indebtedness of the guarantors on the same basis as the subordinated debt securities are subordinated to the Senior Indebtedness of Plains All American Pipeline. </w:t>
      </w:r>
    </w:p>
    <w:p>
      <w:pPr>
        <w:pStyle w:val="TextBody"/>
        <w:spacing w:before="270" w:after="0"/>
        <w:rPr>
          <w:rFonts w:ascii="Times New Roman" w:hAnsi="Times New Roman"/>
          <w:b/>
          <w:sz w:val="20"/>
        </w:rPr>
      </w:pPr>
      <w:r>
        <w:rPr>
          <w:rFonts w:ascii="Times New Roman" w:hAnsi="Times New Roman"/>
          <w:b/>
          <w:sz w:val="20"/>
        </w:rPr>
        <w:t xml:space="preserve">Consolidation, Merger or Asset Sale </w:t>
      </w:r>
    </w:p>
    <w:p>
      <w:pPr>
        <w:pStyle w:val="TextBody"/>
        <w:spacing w:before="90" w:after="0"/>
        <w:rPr>
          <w:rFonts w:ascii="Times New Roman" w:hAnsi="Times New Roman"/>
          <w:sz w:val="20"/>
        </w:rPr>
      </w:pPr>
      <w:r>
        <w:rPr>
          <w:rFonts w:ascii="Times New Roman" w:hAnsi="Times New Roman"/>
          <w:sz w:val="20"/>
        </w:rPr>
        <w:t xml:space="preserve">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 </w:t>
      </w:r>
    </w:p>
    <w:p>
      <w:pPr>
        <w:pStyle w:val="TextBody"/>
        <w:spacing w:before="180" w:after="0"/>
        <w:rPr>
          <w:rFonts w:ascii="Times New Roman" w:hAnsi="Times New Roman"/>
          <w:sz w:val="20"/>
        </w:rPr>
      </w:pPr>
      <w:r>
        <w:rPr>
          <w:rFonts w:ascii="Times New Roman" w:hAnsi="Times New Roman"/>
          <w:sz w:val="20"/>
        </w:rPr>
        <w:t xml:space="preserve">However, each indenture will impose certain requirements with respect to any consolidation or merger with or into an entity, or any sale, lease, transfer or other disposition of all or substantially all of an issuers assets, including: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remaining or acquiring entity must assume the issuers obligations under the indenture;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immediately after giving effect to the transaction, no Default or Event of Default (as defined under Events of Default and Remedies below) may exist.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remaining or acquiring entity will be substituted for the issuer in the indenture with the same effect as if it had been an original party to the indenture, and the issuer will be relieved from any further obligations under the indenture. </w:t>
      </w:r>
    </w:p>
    <w:p>
      <w:pPr>
        <w:pStyle w:val="TextBody"/>
        <w:spacing w:before="270" w:after="0"/>
        <w:rPr>
          <w:rFonts w:ascii="Times New Roman" w:hAnsi="Times New Roman"/>
          <w:b/>
          <w:sz w:val="20"/>
        </w:rPr>
      </w:pPr>
      <w:r>
        <w:rPr>
          <w:rFonts w:ascii="Times New Roman" w:hAnsi="Times New Roman"/>
          <w:b/>
          <w:sz w:val="20"/>
        </w:rPr>
        <w:t xml:space="preserve">No Protection in the Event of a Change of Control </w:t>
      </w:r>
    </w:p>
    <w:p>
      <w:pPr>
        <w:pStyle w:val="TextBody"/>
        <w:spacing w:before="90" w:after="0"/>
        <w:rPr>
          <w:rFonts w:ascii="Times New Roman" w:hAnsi="Times New Roman"/>
          <w:sz w:val="20"/>
        </w:rPr>
      </w:pPr>
      <w:r>
        <w:rPr>
          <w:rFonts w:ascii="Times New Roman" w:hAnsi="Times New Roman"/>
          <w:sz w:val="20"/>
        </w:rPr>
        <w:t xml:space="preserve">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 </w:t>
      </w:r>
    </w:p>
    <w:p>
      <w:pPr>
        <w:pStyle w:val="TextBody"/>
        <w:spacing w:before="270" w:after="0"/>
        <w:rPr>
          <w:rFonts w:ascii="Times New Roman" w:hAnsi="Times New Roman"/>
          <w:b/>
          <w:sz w:val="20"/>
        </w:rPr>
      </w:pPr>
      <w:r>
        <w:rPr>
          <w:rFonts w:ascii="Times New Roman" w:hAnsi="Times New Roman"/>
          <w:b/>
          <w:sz w:val="20"/>
        </w:rPr>
        <w:t xml:space="preserve">Modification of Indentures </w:t>
      </w:r>
    </w:p>
    <w:p>
      <w:pPr>
        <w:pStyle w:val="TextBody"/>
        <w:spacing w:before="90" w:after="0"/>
        <w:rPr>
          <w:rFonts w:ascii="Times New Roman" w:hAnsi="Times New Roman"/>
          <w:sz w:val="20"/>
        </w:rPr>
      </w:pPr>
      <w:r>
        <w:rPr>
          <w:rFonts w:ascii="Times New Roman" w:hAnsi="Times New Roman"/>
          <w:sz w:val="20"/>
        </w:rPr>
        <w:t xml:space="preserve">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the principal amount of debt securities whose holders must consent to an amendment, supplement or waiver;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the principal of or change the fixed maturity of any debt security;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or waive the premium payable upon redemption or alter or waive the provisions with respect to the redemption of the debt securities (except as may be permitted in the case of a particular series of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3"/>
        <w:gridCol w:w="102"/>
        <w:gridCol w:w="9492"/>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the rate of or change the time for payment of interest on any debt security;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except as otherwise permitted under the indenture, release any security that may have been granted with respect to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make any debt security payable in currency other than that stated in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the case of any subordinated debt security, make any change in the subordination provisions that adversely affects the rights of any holder under those provisions;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make any change in the provisions of the indenture relating to waivers of past Defaults or the rights of holders of debt securities to receive payments of principal of or premium, if any, or interest on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waive a redemption payment with respect to any debt security (except as may be permitted in the case of a particular series of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except as otherwise permitted in the indenture, release any guarantor from its obligations under its guarantee or the indenture or change any guarantee in any manner that would adversely affect the rights of holders;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make any change in the preceding amendment, supplement and waiver provisions (except to increase any percentage set forth therein).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We may supplement or amend an indenture without the consent of any holders of the debt securities in certain circumstances, including: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establish the form of terms of any series of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cure any ambiguity, defect or inconsistency;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provide for uncertificated notes in addition to or in place of certified notes;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provide for the assumption of an issuers or guarantors obligations to holders of debt securities in the case of a merger or consolidation or disposition of all or substantially all of such issuers or guarantors assets;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the case of any subordinated debt security, to make any change in the subordination provisions that limits or terminates the benefits applicable to any holder of Senior Indebtedness of Plains All American Pipeline;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add or release guarantors pursuant to the terms of the indenture;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make any changes that would provide any additional rights or benefits to the holders of debt securities or that do not, taken as a whole, adversely affect the rights under the indenture of any holder of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2"/>
        <w:gridCol w:w="9493"/>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comply with requirements of the SEC in order to effect or maintain the qualification of the Indenture under the Trust Indenture Act;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evidence or provide for the acceptance of appointment under the indenture of a successor Trustee;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3"/>
        <w:gridCol w:w="101"/>
        <w:gridCol w:w="9493"/>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add any additional Events of Default;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4"/>
        <w:gridCol w:w="101"/>
        <w:gridCol w:w="9492"/>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secure the debt securities and/or the guarantees. </w:t>
            </w:r>
          </w:p>
        </w:tc>
      </w:tr>
    </w:tbl>
    <w:p>
      <w:pPr>
        <w:pStyle w:val="TextBody"/>
        <w:spacing w:before="270" w:after="0"/>
        <w:rPr>
          <w:rFonts w:ascii="Times New Roman" w:hAnsi="Times New Roman"/>
          <w:b/>
          <w:sz w:val="20"/>
        </w:rPr>
      </w:pPr>
      <w:r>
        <w:rPr>
          <w:rFonts w:ascii="Times New Roman" w:hAnsi="Times New Roman"/>
          <w:b/>
          <w:sz w:val="20"/>
        </w:rPr>
        <w:t xml:space="preserve">Events of Default and Remedies </w:t>
      </w:r>
    </w:p>
    <w:p>
      <w:pPr>
        <w:pStyle w:val="TextBody"/>
        <w:spacing w:before="90" w:after="0"/>
        <w:rPr>
          <w:rFonts w:ascii="Times New Roman" w:hAnsi="Times New Roman"/>
          <w:sz w:val="20"/>
        </w:rPr>
      </w:pPr>
      <w:r>
        <w:rPr>
          <w:rFonts w:ascii="Times New Roman" w:hAnsi="Times New Roman"/>
          <w:sz w:val="20"/>
        </w:rPr>
        <w:t xml:space="preserve">Event of Default, when used in an indenture, will mean any of the following with respect to the debt securities of any series: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pay when due the principal of or any premium on any debt security of that series;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pay, within 60 days of the due date, interest on any debt security of that series;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pay when due any sinking fund payment with respect to any debt securities of that series;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on the part of the issuers to comply with the covenant described under Consolidation, Merger or Asset Sale;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4"/>
        <w:gridCol w:w="102"/>
        <w:gridCol w:w="9491"/>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perform any other covenant in the indenture that continues for 30 days after written notice is given to the issuers;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certain events of bankruptcy, insolvency or reorganization of an issuer;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Event of Default provided under the terms of the debt securities of that series. </w:t>
            </w:r>
          </w:p>
        </w:tc>
      </w:tr>
    </w:tbl>
    <w:p>
      <w:pPr>
        <w:pStyle w:val="TextBody"/>
        <w:spacing w:before="180" w:after="0"/>
        <w:rPr>
          <w:rFonts w:ascii="Times New Roman" w:hAnsi="Times New Roman"/>
          <w:sz w:val="20"/>
        </w:rPr>
      </w:pPr>
      <w:r>
        <w:rPr>
          <w:rFonts w:ascii="Times New Roman" w:hAnsi="Times New Roman"/>
          <w:sz w:val="20"/>
        </w:rPr>
        <w:t xml:space="preserve">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 </w:t>
      </w:r>
    </w:p>
    <w:p>
      <w:pPr>
        <w:pStyle w:val="TextBody"/>
        <w:spacing w:before="180" w:after="0"/>
        <w:rPr>
          <w:rFonts w:ascii="Times New Roman" w:hAnsi="Times New Roman"/>
          <w:sz w:val="20"/>
        </w:rPr>
      </w:pPr>
      <w:r>
        <w:rPr>
          <w:rFonts w:ascii="Times New Roman" w:hAnsi="Times New Roman"/>
          <w:sz w:val="20"/>
        </w:rPr>
        <w:t xml:space="preserve">If an Event of Default for any series of debt securities occurs and continues, the Trustee or the holders of at least 25% in aggregate principal amount of the debt securities of the series may declare the entire principal 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and accrued interest on, all the debt securities of that series to be due and payable immediately. If this happens, subject to certain conditions, the holders of a majority in the aggregate principal amount of the debt securities of that series can rescind the declaration. </w:t>
      </w:r>
    </w:p>
    <w:p>
      <w:pPr>
        <w:pStyle w:val="TextBody"/>
        <w:spacing w:before="180" w:after="0"/>
        <w:rPr>
          <w:rFonts w:ascii="Times New Roman" w:hAnsi="Times New Roman"/>
          <w:sz w:val="20"/>
        </w:rPr>
      </w:pPr>
      <w:r>
        <w:rPr>
          <w:rFonts w:ascii="Times New Roman" w:hAnsi="Times New Roman"/>
          <w:sz w:val="20"/>
        </w:rPr>
        <w:t xml:space="preserve">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 </w:t>
      </w:r>
    </w:p>
    <w:p>
      <w:pPr>
        <w:pStyle w:val="TextBody"/>
        <w:spacing w:before="270" w:after="0"/>
        <w:rPr>
          <w:rFonts w:ascii="Times New Roman" w:hAnsi="Times New Roman"/>
          <w:b/>
          <w:sz w:val="20"/>
        </w:rPr>
      </w:pPr>
      <w:r>
        <w:rPr>
          <w:rFonts w:ascii="Times New Roman" w:hAnsi="Times New Roman"/>
          <w:b/>
          <w:sz w:val="20"/>
        </w:rPr>
        <w:t xml:space="preserve">No Limit on Amount of Debt Securities </w:t>
      </w:r>
    </w:p>
    <w:p>
      <w:pPr>
        <w:pStyle w:val="TextBody"/>
        <w:spacing w:before="90" w:after="0"/>
        <w:rPr>
          <w:rFonts w:ascii="Times New Roman" w:hAnsi="Times New Roman"/>
          <w:sz w:val="20"/>
        </w:rPr>
      </w:pPr>
      <w:r>
        <w:rPr>
          <w:rFonts w:ascii="Times New Roman" w:hAnsi="Times New Roman"/>
          <w:sz w:val="20"/>
        </w:rPr>
        <w:t xml:space="preserve">Neither indenture will limit the amount of debt securities that we may issue, unless we indicate otherwise in a prospectus supplement. Each indenture will allow us to issue debt securities of any series up to the aggregate principal amount that we authorize. </w:t>
      </w:r>
    </w:p>
    <w:p>
      <w:pPr>
        <w:pStyle w:val="TextBody"/>
        <w:spacing w:before="270" w:after="0"/>
        <w:rPr>
          <w:rFonts w:ascii="Times New Roman" w:hAnsi="Times New Roman"/>
          <w:b/>
          <w:sz w:val="20"/>
        </w:rPr>
      </w:pPr>
      <w:r>
        <w:rPr>
          <w:rFonts w:ascii="Times New Roman" w:hAnsi="Times New Roman"/>
          <w:b/>
          <w:sz w:val="20"/>
        </w:rPr>
        <w:t xml:space="preserve">Registration of Notes </w:t>
      </w:r>
    </w:p>
    <w:p>
      <w:pPr>
        <w:pStyle w:val="TextBody"/>
        <w:spacing w:before="90" w:after="0"/>
        <w:rPr>
          <w:rFonts w:ascii="Times New Roman" w:hAnsi="Times New Roman"/>
          <w:sz w:val="20"/>
        </w:rPr>
      </w:pPr>
      <w:r>
        <w:rPr>
          <w:rFonts w:ascii="Times New Roman" w:hAnsi="Times New Roman"/>
          <w:sz w:val="20"/>
        </w:rPr>
        <w:t xml:space="preserve">We will issue debt securities of a series only in registered form, without coupons, unless otherwise indicated in the prospectus supplement. </w:t>
      </w:r>
    </w:p>
    <w:p>
      <w:pPr>
        <w:pStyle w:val="TextBody"/>
        <w:spacing w:before="270" w:after="0"/>
        <w:rPr>
          <w:rFonts w:ascii="Times New Roman" w:hAnsi="Times New Roman"/>
          <w:b/>
          <w:sz w:val="20"/>
        </w:rPr>
      </w:pPr>
      <w:r>
        <w:rPr>
          <w:rFonts w:ascii="Times New Roman" w:hAnsi="Times New Roman"/>
          <w:b/>
          <w:sz w:val="20"/>
        </w:rPr>
        <w:t xml:space="preserve">Minimum Denominations </w:t>
      </w:r>
    </w:p>
    <w:p>
      <w:pPr>
        <w:pStyle w:val="TextBody"/>
        <w:spacing w:before="90" w:after="0"/>
        <w:rPr>
          <w:rFonts w:ascii="Times New Roman" w:hAnsi="Times New Roman"/>
          <w:sz w:val="20"/>
        </w:rPr>
      </w:pPr>
      <w:r>
        <w:rPr>
          <w:rFonts w:ascii="Times New Roman" w:hAnsi="Times New Roman"/>
          <w:sz w:val="20"/>
        </w:rPr>
        <w:t xml:space="preserve">Unless the prospectus supplement states otherwise, the debt securities will be issued only in principal amounts of $1,000 each or integral multiples of $1,000. </w:t>
      </w:r>
    </w:p>
    <w:p>
      <w:pPr>
        <w:pStyle w:val="TextBody"/>
        <w:spacing w:before="270" w:after="0"/>
        <w:rPr>
          <w:rFonts w:ascii="Times New Roman" w:hAnsi="Times New Roman"/>
          <w:b/>
          <w:sz w:val="20"/>
        </w:rPr>
      </w:pPr>
      <w:r>
        <w:rPr>
          <w:rFonts w:ascii="Times New Roman" w:hAnsi="Times New Roman"/>
          <w:b/>
          <w:sz w:val="20"/>
        </w:rPr>
        <w:t xml:space="preserve">No Personal Liability </w:t>
      </w:r>
    </w:p>
    <w:p>
      <w:pPr>
        <w:pStyle w:val="TextBody"/>
        <w:spacing w:before="90" w:after="0"/>
        <w:rPr>
          <w:rFonts w:ascii="Times New Roman" w:hAnsi="Times New Roman"/>
          <w:sz w:val="20"/>
        </w:rPr>
      </w:pPr>
      <w:r>
        <w:rPr>
          <w:rFonts w:ascii="Times New Roman" w:hAnsi="Times New Roman"/>
          <w:sz w:val="20"/>
        </w:rPr>
        <w:t xml:space="preserve">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 </w:t>
      </w:r>
    </w:p>
    <w:p>
      <w:pPr>
        <w:pStyle w:val="TextBody"/>
        <w:spacing w:before="270" w:after="0"/>
        <w:rPr>
          <w:rFonts w:ascii="Times New Roman" w:hAnsi="Times New Roman"/>
          <w:b/>
          <w:sz w:val="20"/>
        </w:rPr>
      </w:pPr>
      <w:r>
        <w:rPr>
          <w:rFonts w:ascii="Times New Roman" w:hAnsi="Times New Roman"/>
          <w:b/>
          <w:sz w:val="20"/>
        </w:rPr>
        <w:t xml:space="preserve">Payment and Transfer </w:t>
      </w:r>
    </w:p>
    <w:p>
      <w:pPr>
        <w:pStyle w:val="TextBody"/>
        <w:spacing w:before="90" w:after="0"/>
        <w:rPr>
          <w:rFonts w:ascii="Times New Roman" w:hAnsi="Times New Roman"/>
          <w:sz w:val="20"/>
        </w:rPr>
      </w:pPr>
      <w:r>
        <w:rPr>
          <w:rFonts w:ascii="Times New Roman" w:hAnsi="Times New Roman"/>
          <w:sz w:val="20"/>
        </w:rPr>
        <w:t xml:space="preserve">The Trustee will initially act as paying agent and registrar under each indenture. The issuers may change the paying agent or registrar without prior notice to the holders of debt securities, and the issuers or any of their subsidiaries may act as paying agent or registrar. </w:t>
      </w:r>
    </w:p>
    <w:p>
      <w:pPr>
        <w:pStyle w:val="TextBody"/>
        <w:spacing w:before="180" w:after="0"/>
        <w:rPr>
          <w:rFonts w:ascii="Times New Roman" w:hAnsi="Times New Roman"/>
          <w:sz w:val="20"/>
        </w:rPr>
      </w:pPr>
      <w:r>
        <w:rPr>
          <w:rFonts w:ascii="Times New Roman" w:hAnsi="Times New Roman"/>
          <w:sz w:val="20"/>
        </w:rPr>
        <w:t xml:space="preserve">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 </w:t>
      </w:r>
    </w:p>
    <w:p>
      <w:pPr>
        <w:pStyle w:val="TextBody"/>
        <w:spacing w:before="180" w:after="0"/>
        <w:rPr>
          <w:rFonts w:ascii="Times New Roman" w:hAnsi="Times New Roman"/>
          <w:sz w:val="20"/>
        </w:rPr>
      </w:pPr>
      <w:r>
        <w:rPr>
          <w:rFonts w:ascii="Times New Roman" w:hAnsi="Times New Roman"/>
          <w:sz w:val="20"/>
        </w:rPr>
        <w:t xml:space="preserve">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Exchange, Registration and Transfer </w:t>
      </w:r>
    </w:p>
    <w:p>
      <w:pPr>
        <w:pStyle w:val="TextBody"/>
        <w:spacing w:before="90" w:after="0"/>
        <w:rPr>
          <w:rFonts w:ascii="Times New Roman" w:hAnsi="Times New Roman"/>
          <w:sz w:val="20"/>
        </w:rPr>
      </w:pPr>
      <w:r>
        <w:rPr>
          <w:rFonts w:ascii="Times New Roman" w:hAnsi="Times New Roman"/>
          <w:sz w:val="20"/>
        </w:rPr>
        <w:t xml:space="preserve">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 </w:t>
      </w:r>
    </w:p>
    <w:p>
      <w:pPr>
        <w:pStyle w:val="TextBody"/>
        <w:spacing w:before="180" w:after="0"/>
        <w:rPr>
          <w:rFonts w:ascii="Times New Roman" w:hAnsi="Times New Roman"/>
          <w:sz w:val="20"/>
        </w:rPr>
      </w:pPr>
      <w:r>
        <w:rPr>
          <w:rFonts w:ascii="Times New Roman" w:hAnsi="Times New Roman"/>
          <w:sz w:val="20"/>
        </w:rPr>
        <w:t xml:space="preserve">We will not be required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4"/>
        <w:gridCol w:w="102"/>
        <w:gridCol w:w="9491"/>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register the transfer of or exchange any debt security called for redemption or repurchase, except the unredeemed portion of any debt security we are redeeming or repurchasing in part. </w:t>
            </w:r>
          </w:p>
        </w:tc>
      </w:tr>
    </w:tbl>
    <w:p>
      <w:pPr>
        <w:pStyle w:val="TextBody"/>
        <w:spacing w:before="270" w:after="0"/>
        <w:rPr>
          <w:rFonts w:ascii="Times New Roman" w:hAnsi="Times New Roman"/>
          <w:b/>
          <w:sz w:val="20"/>
        </w:rPr>
      </w:pPr>
      <w:r>
        <w:rPr>
          <w:rFonts w:ascii="Times New Roman" w:hAnsi="Times New Roman"/>
          <w:b/>
          <w:sz w:val="20"/>
        </w:rPr>
        <w:t xml:space="preserve">Provisions Relating only to the Senior Debt Securities </w:t>
      </w:r>
    </w:p>
    <w:p>
      <w:pPr>
        <w:pStyle w:val="TextBody"/>
        <w:spacing w:before="90" w:after="0"/>
        <w:rPr>
          <w:rFonts w:ascii="Times New Roman" w:hAnsi="Times New Roman"/>
          <w:sz w:val="20"/>
        </w:rPr>
      </w:pPr>
      <w:r>
        <w:rPr>
          <w:rFonts w:ascii="Times New Roman" w:hAnsi="Times New Roman"/>
          <w:sz w:val="20"/>
        </w:rPr>
        <w:t xml:space="preserve">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 </w:t>
      </w:r>
    </w:p>
    <w:p>
      <w:pPr>
        <w:pStyle w:val="TextBody"/>
        <w:spacing w:before="270" w:after="0"/>
        <w:rPr>
          <w:rFonts w:ascii="Times New Roman" w:hAnsi="Times New Roman"/>
          <w:b/>
          <w:sz w:val="20"/>
        </w:rPr>
      </w:pPr>
      <w:r>
        <w:rPr>
          <w:rFonts w:ascii="Times New Roman" w:hAnsi="Times New Roman"/>
          <w:b/>
          <w:sz w:val="20"/>
        </w:rPr>
        <w:t xml:space="preserve">Provisions Relating only to the Subordinated Debt Securities </w:t>
      </w:r>
    </w:p>
    <w:p>
      <w:pPr>
        <w:pStyle w:val="TextBody"/>
        <w:spacing w:before="90" w:after="0"/>
        <w:rPr>
          <w:rFonts w:ascii="Times New Roman" w:hAnsi="Times New Roman"/>
          <w:i/>
          <w:sz w:val="20"/>
        </w:rPr>
      </w:pPr>
      <w:r>
        <w:rPr>
          <w:rFonts w:ascii="Times New Roman" w:hAnsi="Times New Roman"/>
          <w:i/>
          <w:sz w:val="20"/>
        </w:rPr>
        <w:t xml:space="preserve">Subordinated Debt Securities Subordinated to Senior Indebtedness </w:t>
      </w:r>
    </w:p>
    <w:p>
      <w:pPr>
        <w:pStyle w:val="TextBody"/>
        <w:spacing w:before="90" w:after="0"/>
        <w:rPr>
          <w:rFonts w:ascii="Times New Roman" w:hAnsi="Times New Roman"/>
          <w:sz w:val="20"/>
        </w:rPr>
      </w:pPr>
      <w:r>
        <w:rPr>
          <w:rFonts w:ascii="Times New Roman" w:hAnsi="Times New Roman"/>
          <w:sz w:val="20"/>
        </w:rPr>
        <w:t xml:space="preserve">The subordinated debt securities will rank junior in right of payment to all of the Senior Indebtedness of Plains All American Pipeline. Senior Indebtedness will be defined in a supplemental indenture or authorizing resolutions respecting any issuance of a series of subordinated debt securities, and the definition will be set forth in the prospectus supplement. </w:t>
      </w:r>
    </w:p>
    <w:p>
      <w:pPr>
        <w:pStyle w:val="TextBody"/>
        <w:spacing w:before="270" w:after="0"/>
        <w:rPr>
          <w:rFonts w:ascii="Times New Roman" w:hAnsi="Times New Roman"/>
          <w:i/>
          <w:sz w:val="20"/>
        </w:rPr>
      </w:pPr>
      <w:r>
        <w:rPr>
          <w:rFonts w:ascii="Times New Roman" w:hAnsi="Times New Roman"/>
          <w:i/>
          <w:sz w:val="20"/>
        </w:rPr>
        <w:t xml:space="preserve">Payment Blockages </w:t>
      </w:r>
    </w:p>
    <w:p>
      <w:pPr>
        <w:pStyle w:val="TextBody"/>
        <w:spacing w:before="90" w:after="0"/>
        <w:rPr>
          <w:rFonts w:ascii="Times New Roman" w:hAnsi="Times New Roman"/>
          <w:sz w:val="20"/>
        </w:rPr>
      </w:pPr>
      <w:r>
        <w:rPr>
          <w:rFonts w:ascii="Times New Roman" w:hAnsi="Times New Roman"/>
          <w:sz w:val="20"/>
        </w:rPr>
        <w:t xml:space="preserve">The subordinated indenture will provide that no payment of principal, interest and any premium on the subordinated debt securities may be made in the event: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or our property is involved in any voluntary or involuntary liquidation or bankruptcy;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default on any Senior Indebtedness of Plains All American Pipeline occurs that permits immediate acceleration of its maturity, in which case a payment blockage on the subordinated debt securities will be imposed for a maximum of 179 days at any one time. </w:t>
            </w:r>
          </w:p>
        </w:tc>
      </w:tr>
    </w:tbl>
    <w:p>
      <w:pPr>
        <w:pStyle w:val="TextBody"/>
        <w:spacing w:before="270" w:after="0"/>
        <w:rPr>
          <w:rFonts w:ascii="Times New Roman" w:hAnsi="Times New Roman"/>
          <w:i/>
          <w:sz w:val="20"/>
        </w:rPr>
      </w:pPr>
      <w:r>
        <w:rPr>
          <w:rFonts w:ascii="Times New Roman" w:hAnsi="Times New Roman"/>
          <w:i/>
          <w:sz w:val="20"/>
        </w:rPr>
        <w:t xml:space="preserve">No Limitation on Amount of Senior Debt </w:t>
      </w:r>
    </w:p>
    <w:p>
      <w:pPr>
        <w:pStyle w:val="TextBody"/>
        <w:spacing w:before="90" w:after="0"/>
        <w:rPr>
          <w:rFonts w:ascii="Times New Roman" w:hAnsi="Times New Roman"/>
          <w:sz w:val="20"/>
        </w:rPr>
      </w:pPr>
      <w:r>
        <w:rPr>
          <w:rFonts w:ascii="Times New Roman" w:hAnsi="Times New Roman"/>
          <w:sz w:val="20"/>
        </w:rPr>
        <w:t xml:space="preserve">The subordinated indenture will not limit the amount of Senior Indebtedness that Plains All American Pipeline may incur, unless otherwise indicated in the prospectus supplement.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Book Entry, Delivery and Form </w:t>
      </w:r>
    </w:p>
    <w:p>
      <w:pPr>
        <w:pStyle w:val="TextBody"/>
        <w:spacing w:before="90" w:after="0"/>
        <w:rPr>
          <w:rFonts w:ascii="Times New Roman" w:hAnsi="Times New Roman"/>
          <w:sz w:val="20"/>
        </w:rPr>
      </w:pPr>
      <w:r>
        <w:rPr>
          <w:rFonts w:ascii="Times New Roman" w:hAnsi="Times New Roman"/>
          <w:sz w:val="20"/>
        </w:rPr>
        <w:t xml:space="preserve">The debt securities of a particular series may be issued in whole or in part in the form of one or more global certificates that will be deposited with the Trustee as custodian for The Depository Trust Company, New York, 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 </w:t>
      </w:r>
    </w:p>
    <w:p>
      <w:pPr>
        <w:pStyle w:val="TextBody"/>
        <w:spacing w:before="180" w:after="0"/>
        <w:rPr>
          <w:rFonts w:ascii="Times New Roman" w:hAnsi="Times New Roman"/>
          <w:sz w:val="20"/>
        </w:rPr>
      </w:pPr>
      <w:r>
        <w:rPr>
          <w:rFonts w:ascii="Times New Roman" w:hAnsi="Times New Roman"/>
          <w:sz w:val="20"/>
        </w:rPr>
        <w:t xml:space="preserve">Beneficial interests in global debt securities will be shown on, and transfers of global debt securities will be made only through, records maintained by DTC and its participants. </w:t>
      </w:r>
    </w:p>
    <w:p>
      <w:pPr>
        <w:pStyle w:val="TextBody"/>
        <w:spacing w:before="180" w:after="0"/>
        <w:rPr>
          <w:rFonts w:ascii="Times New Roman" w:hAnsi="Times New Roman"/>
          <w:sz w:val="20"/>
        </w:rPr>
      </w:pPr>
      <w:r>
        <w:rPr>
          <w:rFonts w:ascii="Times New Roman" w:hAnsi="Times New Roman"/>
          <w:sz w:val="20"/>
        </w:rPr>
        <w:t xml:space="preserve">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Securities Exchange Act of 1934.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 </w:t>
      </w:r>
    </w:p>
    <w:p>
      <w:pPr>
        <w:pStyle w:val="TextBody"/>
        <w:spacing w:before="180" w:after="0"/>
        <w:rPr>
          <w:rFonts w:ascii="Times New Roman" w:hAnsi="Times New Roman"/>
          <w:sz w:val="20"/>
        </w:rPr>
      </w:pPr>
      <w:r>
        <w:rPr>
          <w:rFonts w:ascii="Times New Roman" w:hAnsi="Times New Roman"/>
          <w:sz w:val="20"/>
        </w:rPr>
        <w:t xml:space="preserve">DTCs book-entry system is also used by other organizations such as securities brokers and dealers, banks and trust companies that work through a Direct Participant. The rules that apply to DTC and its participants are on file with the SEC. </w:t>
      </w:r>
    </w:p>
    <w:p>
      <w:pPr>
        <w:pStyle w:val="TextBody"/>
        <w:spacing w:before="180" w:after="0"/>
        <w:rPr>
          <w:rFonts w:ascii="Times New Roman" w:hAnsi="Times New Roman"/>
          <w:sz w:val="20"/>
        </w:rPr>
      </w:pPr>
      <w:r>
        <w:rPr>
          <w:rFonts w:ascii="Times New Roman" w:hAnsi="Times New Roman"/>
          <w:sz w:val="20"/>
        </w:rPr>
        <w:t xml:space="preserve">DTC is owned by a number of its Direct Participants and by the New York Stock Exchange, Inc., The American Stock Exchange, Inc. and the Financial Industry Regulatory Authority. </w:t>
      </w:r>
    </w:p>
    <w:p>
      <w:pPr>
        <w:pStyle w:val="TextBody"/>
        <w:spacing w:before="180" w:after="0"/>
        <w:rPr>
          <w:rFonts w:ascii="Times New Roman" w:hAnsi="Times New Roman"/>
          <w:sz w:val="20"/>
        </w:rPr>
      </w:pPr>
      <w:r>
        <w:rPr>
          <w:rFonts w:ascii="Times New Roman" w:hAnsi="Times New Roman"/>
          <w:sz w:val="20"/>
        </w:rPr>
        <w:t xml:space="preserve">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 </w:t>
      </w:r>
    </w:p>
    <w:p>
      <w:pPr>
        <w:pStyle w:val="TextBody"/>
        <w:spacing w:before="180" w:after="0"/>
        <w:rPr>
          <w:rFonts w:ascii="Times New Roman" w:hAnsi="Times New Roman"/>
          <w:sz w:val="20"/>
        </w:rPr>
      </w:pPr>
      <w:r>
        <w:rPr>
          <w:rFonts w:ascii="Times New Roman" w:hAnsi="Times New Roman"/>
          <w:sz w:val="20"/>
        </w:rPr>
        <w:t xml:space="preserve">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 </w:t>
      </w:r>
    </w:p>
    <w:p>
      <w:pPr>
        <w:pStyle w:val="TextBody"/>
        <w:spacing w:before="180" w:after="0"/>
        <w:rPr>
          <w:rFonts w:ascii="Times New Roman" w:hAnsi="Times New Roman"/>
          <w:sz w:val="20"/>
        </w:rPr>
      </w:pPr>
      <w:r>
        <w:rPr>
          <w:rFonts w:ascii="Times New Roman" w:hAnsi="Times New Roman"/>
          <w:sz w:val="20"/>
        </w:rPr>
        <w:t xml:space="preserve">Debt securities represented by a global debt security will be exchangeable for certificated debt securities with the same terms in authorized denominations only if: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DTC notifies us that it is unwilling or unable to continue as depositary or if DTC ceases to be a clearing agency registered under applicable law and in either event a successor depositary is not appointed by us within 90 days; or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determine not to require all of the debt securities of a series to be represented by a global debt security. </w:t>
            </w:r>
          </w:p>
        </w:tc>
      </w:tr>
    </w:tbl>
    <w:p>
      <w:pPr>
        <w:pStyle w:val="TextBody"/>
        <w:spacing w:before="270" w:after="0"/>
        <w:rPr>
          <w:rFonts w:ascii="Times New Roman" w:hAnsi="Times New Roman"/>
          <w:b/>
          <w:sz w:val="20"/>
        </w:rPr>
      </w:pPr>
      <w:r>
        <w:rPr>
          <w:rFonts w:ascii="Times New Roman" w:hAnsi="Times New Roman"/>
          <w:b/>
          <w:sz w:val="20"/>
        </w:rPr>
        <w:t xml:space="preserve">Satisfaction and Discharge; Defeasance </w:t>
      </w:r>
    </w:p>
    <w:p>
      <w:pPr>
        <w:pStyle w:val="TextBody"/>
        <w:spacing w:before="90" w:after="0"/>
        <w:rPr>
          <w:rFonts w:ascii="Times New Roman" w:hAnsi="Times New Roman"/>
          <w:sz w:val="20"/>
        </w:rPr>
      </w:pPr>
      <w:r>
        <w:rPr>
          <w:rFonts w:ascii="Times New Roman" w:hAnsi="Times New Roman"/>
          <w:sz w:val="20"/>
        </w:rPr>
        <w:t xml:space="preserve">Each indenture will be discharged and will cease to be of further effect as to all outstanding debt securities of any series issued thereunder, when: </w:t>
      </w:r>
    </w:p>
    <w:p>
      <w:pPr>
        <w:pStyle w:val="TextBody"/>
        <w:spacing w:before="180" w:after="0"/>
        <w:rPr>
          <w:rFonts w:ascii="Times New Roman" w:hAnsi="Times New Roman"/>
          <w:sz w:val="20"/>
        </w:rPr>
      </w:pPr>
      <w:r>
        <w:rPr>
          <w:rFonts w:ascii="Times New Roman" w:hAnsi="Times New Roman"/>
          <w:sz w:val="20"/>
        </w:rPr>
        <w:t xml:space="preserve">(a) either: </w:t>
      </w:r>
    </w:p>
    <w:p>
      <w:pPr>
        <w:pStyle w:val="TextBody"/>
        <w:spacing w:before="90" w:after="0"/>
        <w:rPr>
          <w:rFonts w:ascii="Times New Roman" w:hAnsi="Times New Roman"/>
          <w:sz w:val="20"/>
        </w:rPr>
      </w:pPr>
      <w:r>
        <w:rPr>
          <w:rFonts w:ascii="Times New Roman" w:hAnsi="Times New Roman"/>
          <w:sz w:val="20"/>
        </w:rPr>
        <w:t xml:space="preserve">(1) 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 </w:t>
      </w:r>
    </w:p>
    <w:p>
      <w:pPr>
        <w:pStyle w:val="TextBody"/>
        <w:spacing w:before="90" w:after="0"/>
        <w:rPr>
          <w:rFonts w:ascii="Times New Roman" w:hAnsi="Times New Roman"/>
          <w:sz w:val="20"/>
        </w:rPr>
      </w:pPr>
      <w:r>
        <w:rPr>
          <w:rFonts w:ascii="Times New Roman" w:hAnsi="Times New Roman"/>
          <w:sz w:val="20"/>
        </w:rPr>
        <w:t xml:space="preserve">(2) 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 </w:t>
      </w:r>
    </w:p>
    <w:p>
      <w:pPr>
        <w:pStyle w:val="TextBody"/>
        <w:spacing w:before="90" w:after="0"/>
        <w:rPr>
          <w:rFonts w:ascii="Times New Roman" w:hAnsi="Times New Roman"/>
          <w:sz w:val="20"/>
        </w:rPr>
      </w:pPr>
      <w:r>
        <w:rPr>
          <w:rFonts w:ascii="Times New Roman" w:hAnsi="Times New Roman"/>
          <w:sz w:val="20"/>
        </w:rPr>
        <w:t xml:space="preserve">(b) we have paid or caused to be paid all other sums payable by us under the indenture; and </w:t>
      </w:r>
    </w:p>
    <w:p>
      <w:pPr>
        <w:pStyle w:val="TextBody"/>
        <w:spacing w:before="90" w:after="0"/>
        <w:rPr>
          <w:rFonts w:ascii="Times New Roman" w:hAnsi="Times New Roman"/>
          <w:sz w:val="20"/>
        </w:rPr>
      </w:pPr>
      <w:r>
        <w:rPr>
          <w:rFonts w:ascii="Times New Roman" w:hAnsi="Times New Roman"/>
          <w:sz w:val="20"/>
        </w:rPr>
        <w:t xml:space="preserve">(c) we have delivered an officers certificate and an opinion of counsel to the Trustee stating that all conditions precedent to satisfaction and discharge have been satisfied. </w:t>
      </w:r>
    </w:p>
    <w:p>
      <w:pPr>
        <w:pStyle w:val="TextBody"/>
        <w:spacing w:before="180" w:after="0"/>
        <w:rPr>
          <w:rFonts w:ascii="Times New Roman" w:hAnsi="Times New Roman"/>
          <w:sz w:val="20"/>
        </w:rPr>
      </w:pPr>
      <w:r>
        <w:rPr>
          <w:rFonts w:ascii="Times New Roman" w:hAnsi="Times New Roman"/>
          <w:sz w:val="20"/>
        </w:rPr>
        <w:t xml:space="preserve">The debt securities of a particular series will be subject to legal or covenant defeasance to the extent, and upon the terms and conditions, set forth in the prospectus supplement. </w:t>
      </w:r>
    </w:p>
    <w:p>
      <w:pPr>
        <w:pStyle w:val="TextBody"/>
        <w:spacing w:before="270" w:after="0"/>
        <w:rPr>
          <w:rFonts w:ascii="Times New Roman" w:hAnsi="Times New Roman"/>
          <w:b/>
          <w:sz w:val="20"/>
        </w:rPr>
      </w:pPr>
      <w:r>
        <w:rPr>
          <w:rFonts w:ascii="Times New Roman" w:hAnsi="Times New Roman"/>
          <w:b/>
          <w:sz w:val="20"/>
        </w:rPr>
        <w:t xml:space="preserve">The Trustee </w:t>
      </w:r>
    </w:p>
    <w:p>
      <w:pPr>
        <w:pStyle w:val="TextBody"/>
        <w:spacing w:before="90" w:after="0"/>
        <w:rPr>
          <w:rFonts w:ascii="Times New Roman" w:hAnsi="Times New Roman"/>
          <w:sz w:val="20"/>
        </w:rPr>
      </w:pPr>
      <w:r>
        <w:rPr>
          <w:rFonts w:ascii="Times New Roman" w:hAnsi="Times New Roman"/>
          <w:sz w:val="20"/>
        </w:rPr>
        <w:t xml:space="preserve">U.S. Bank National Association is the Trustee under the senior indenture and will be the initial Trustee under the subordinated indenture. We maintain a banking relationship in the ordinary course of business with U.S. Bank National Association and some of its affiliates. </w:t>
      </w:r>
    </w:p>
    <w:p>
      <w:pPr>
        <w:pStyle w:val="TextBody"/>
        <w:spacing w:before="270" w:after="0"/>
        <w:rPr>
          <w:rFonts w:ascii="Times New Roman" w:hAnsi="Times New Roman"/>
          <w:i/>
          <w:sz w:val="20"/>
        </w:rPr>
      </w:pPr>
      <w:r>
        <w:rPr>
          <w:rFonts w:ascii="Times New Roman" w:hAnsi="Times New Roman"/>
          <w:i/>
          <w:sz w:val="20"/>
        </w:rPr>
        <w:t xml:space="preserve">Resignation or Removal of Trustee </w:t>
      </w:r>
    </w:p>
    <w:p>
      <w:pPr>
        <w:pStyle w:val="TextBody"/>
        <w:spacing w:before="90" w:after="0"/>
        <w:rPr>
          <w:rFonts w:ascii="Times New Roman" w:hAnsi="Times New Roman"/>
          <w:sz w:val="20"/>
        </w:rPr>
      </w:pPr>
      <w:r>
        <w:rPr>
          <w:rFonts w:ascii="Times New Roman" w:hAnsi="Times New Roman"/>
          <w:sz w:val="20"/>
        </w:rPr>
        <w:t xml:space="preserve">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 Any resignation will require the appointment of a successor trustee under the applicable indenture in accordance with the terms and conditions of such indenture. </w:t>
      </w:r>
    </w:p>
    <w:p>
      <w:pPr>
        <w:pStyle w:val="TextBody"/>
        <w:spacing w:before="180" w:after="0"/>
        <w:rPr>
          <w:rFonts w:ascii="Times New Roman" w:hAnsi="Times New Roman"/>
          <w:sz w:val="20"/>
        </w:rPr>
      </w:pPr>
      <w:r>
        <w:rPr>
          <w:rFonts w:ascii="Times New Roman" w:hAnsi="Times New Roman"/>
          <w:sz w:val="20"/>
        </w:rPr>
        <w:t xml:space="preserve">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i/>
          <w:sz w:val="20"/>
        </w:rPr>
      </w:pPr>
      <w:r>
        <w:rPr>
          <w:rFonts w:ascii="Times New Roman" w:hAnsi="Times New Roman"/>
          <w:i/>
          <w:sz w:val="20"/>
        </w:rPr>
        <w:t xml:space="preserve">Limitations on Trustee if it is a Creditor </w:t>
      </w:r>
    </w:p>
    <w:p>
      <w:pPr>
        <w:pStyle w:val="TextBody"/>
        <w:spacing w:before="90" w:after="0"/>
        <w:rPr>
          <w:rFonts w:ascii="Times New Roman" w:hAnsi="Times New Roman"/>
          <w:sz w:val="20"/>
        </w:rPr>
      </w:pPr>
      <w:r>
        <w:rPr>
          <w:rFonts w:ascii="Times New Roman" w:hAnsi="Times New Roman"/>
          <w:sz w:val="20"/>
        </w:rPr>
        <w:t xml:space="preserve">Each indenture will limit the right of the Trustee thereunder, in the event that it becomes a creditor of an issuer or guarantor, to obtain payment of claims in certain cases, or to realize on certain property received in respect of any such claim as security or otherwise. </w:t>
      </w:r>
    </w:p>
    <w:p>
      <w:pPr>
        <w:pStyle w:val="TextBody"/>
        <w:spacing w:before="270" w:after="0"/>
        <w:rPr>
          <w:rFonts w:ascii="Times New Roman" w:hAnsi="Times New Roman"/>
          <w:i/>
          <w:sz w:val="20"/>
        </w:rPr>
      </w:pPr>
      <w:r>
        <w:rPr>
          <w:rFonts w:ascii="Times New Roman" w:hAnsi="Times New Roman"/>
          <w:i/>
          <w:sz w:val="20"/>
        </w:rPr>
        <w:t xml:space="preserve">Certificates and Opinions to be Furnished to Trustee </w:t>
      </w:r>
    </w:p>
    <w:p>
      <w:pPr>
        <w:pStyle w:val="TextBody"/>
        <w:spacing w:before="90" w:after="0"/>
        <w:rPr>
          <w:rFonts w:ascii="Times New Roman" w:hAnsi="Times New Roman"/>
          <w:sz w:val="20"/>
        </w:rPr>
      </w:pPr>
      <w:r>
        <w:rPr>
          <w:rFonts w:ascii="Times New Roman" w:hAnsi="Times New Roman"/>
          <w:sz w:val="20"/>
        </w:rPr>
        <w:t xml:space="preserve">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 </w:t>
      </w:r>
    </w:p>
    <w:p>
      <w:pPr>
        <w:pStyle w:val="TextBody"/>
        <w:spacing w:before="270" w:after="0"/>
        <w:rPr>
          <w:rFonts w:ascii="Times New Roman" w:hAnsi="Times New Roman"/>
          <w:b/>
          <w:sz w:val="20"/>
        </w:rPr>
      </w:pPr>
      <w:r>
        <w:rPr>
          <w:rFonts w:ascii="Times New Roman" w:hAnsi="Times New Roman"/>
          <w:b/>
          <w:sz w:val="20"/>
        </w:rPr>
        <w:t xml:space="preserve">Governing Law </w:t>
      </w:r>
    </w:p>
    <w:p>
      <w:pPr>
        <w:pStyle w:val="TextBody"/>
        <w:spacing w:before="90" w:after="0"/>
        <w:rPr>
          <w:rFonts w:ascii="Times New Roman" w:hAnsi="Times New Roman"/>
          <w:sz w:val="20"/>
        </w:rPr>
      </w:pPr>
      <w:r>
        <w:rPr>
          <w:rFonts w:ascii="Times New Roman" w:hAnsi="Times New Roman"/>
          <w:sz w:val="20"/>
        </w:rPr>
        <w:t xml:space="preserve">Each indenture and all of the debt securities will be governed by the laws of the State of New York.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3" w:name="rom308566_119"/>
      <w:bookmarkStart w:id="34" w:name="supprom308566_22"/>
      <w:bookmarkEnd w:id="33"/>
      <w:bookmarkEnd w:id="34"/>
      <w:r>
        <w:rPr>
          <w:rFonts w:ascii="Times New Roman" w:hAnsi="Times New Roman"/>
          <w:b/>
          <w:sz w:val="20"/>
        </w:rPr>
        <w:t xml:space="preserve">DESCRIPTION OF OUR COMMON UNITS </w:t>
      </w:r>
    </w:p>
    <w:p>
      <w:pPr>
        <w:pStyle w:val="TextBody"/>
        <w:spacing w:before="180" w:after="0"/>
        <w:rPr>
          <w:rFonts w:ascii="Times New Roman" w:hAnsi="Times New Roman"/>
          <w:sz w:val="20"/>
        </w:rPr>
      </w:pPr>
      <w:r>
        <w:rPr>
          <w:rFonts w:ascii="Times New Roman" w:hAnsi="Times New Roman"/>
          <w:sz w:val="20"/>
        </w:rPr>
        <w:t xml:space="preserve">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and our general partner in and to cash distributions. See Cash Distribution Policy. </w:t>
      </w:r>
    </w:p>
    <w:p>
      <w:pPr>
        <w:pStyle w:val="TextBody"/>
        <w:spacing w:before="180" w:after="0"/>
        <w:rPr>
          <w:rFonts w:ascii="Times New Roman" w:hAnsi="Times New Roman"/>
          <w:sz w:val="20"/>
        </w:rPr>
      </w:pPr>
      <w:r>
        <w:rPr>
          <w:rFonts w:ascii="Times New Roman" w:hAnsi="Times New Roman"/>
          <w:sz w:val="20"/>
        </w:rPr>
        <w:t xml:space="preserve">Our outstanding common units are listed on the NYSE under the symbol PAA. Any additional common units we issue will also be listed on the NYSE. </w:t>
      </w:r>
    </w:p>
    <w:p>
      <w:pPr>
        <w:pStyle w:val="TextBody"/>
        <w:spacing w:before="180" w:after="0"/>
        <w:rPr>
          <w:rFonts w:ascii="Times New Roman" w:hAnsi="Times New Roman"/>
          <w:sz w:val="20"/>
        </w:rPr>
      </w:pPr>
      <w:r>
        <w:rPr>
          <w:rFonts w:ascii="Times New Roman" w:hAnsi="Times New Roman"/>
          <w:sz w:val="20"/>
        </w:rPr>
        <w:t xml:space="preserve">The transfer agent and registrar for our common units is American Stock Transfer &amp; Trust Company. </w:t>
      </w:r>
    </w:p>
    <w:p>
      <w:pPr>
        <w:pStyle w:val="TextBody"/>
        <w:spacing w:before="270" w:after="0"/>
        <w:rPr>
          <w:rFonts w:ascii="Times New Roman" w:hAnsi="Times New Roman"/>
          <w:b/>
          <w:sz w:val="20"/>
        </w:rPr>
      </w:pPr>
      <w:r>
        <w:rPr>
          <w:rFonts w:ascii="Times New Roman" w:hAnsi="Times New Roman"/>
          <w:b/>
          <w:sz w:val="20"/>
        </w:rPr>
        <w:t xml:space="preserve">Meetings/Voting </w:t>
      </w:r>
    </w:p>
    <w:p>
      <w:pPr>
        <w:pStyle w:val="TextBody"/>
        <w:spacing w:before="90" w:after="0"/>
        <w:rPr>
          <w:rFonts w:ascii="Times New Roman" w:hAnsi="Times New Roman"/>
          <w:sz w:val="20"/>
        </w:rPr>
      </w:pPr>
      <w:r>
        <w:rPr>
          <w:rFonts w:ascii="Times New Roman" w:hAnsi="Times New Roman"/>
          <w:sz w:val="20"/>
        </w:rPr>
        <w:t xml:space="preserve">Each holder of common units is entitled to one vote for each common unit on all matters submitted to a vote of the unitholders. </w:t>
      </w:r>
    </w:p>
    <w:p>
      <w:pPr>
        <w:pStyle w:val="TextBody"/>
        <w:spacing w:before="270" w:after="0"/>
        <w:rPr>
          <w:rFonts w:ascii="Times New Roman" w:hAnsi="Times New Roman"/>
          <w:b/>
          <w:sz w:val="20"/>
        </w:rPr>
      </w:pPr>
      <w:r>
        <w:rPr>
          <w:rFonts w:ascii="Times New Roman" w:hAnsi="Times New Roman"/>
          <w:b/>
          <w:sz w:val="20"/>
        </w:rPr>
        <w:t xml:space="preserve">Status as Limited Partner or Assignee </w:t>
      </w:r>
    </w:p>
    <w:p>
      <w:pPr>
        <w:pStyle w:val="TextBody"/>
        <w:spacing w:before="90" w:after="0"/>
        <w:rPr>
          <w:rFonts w:ascii="Times New Roman" w:hAnsi="Times New Roman"/>
          <w:sz w:val="20"/>
        </w:rPr>
      </w:pPr>
      <w:r>
        <w:rPr>
          <w:rFonts w:ascii="Times New Roman" w:hAnsi="Times New Roman"/>
          <w:sz w:val="20"/>
        </w:rPr>
        <w:t xml:space="preserve">Except as described below under Limited Liability, the common units will be fully paid, and unitholders will not be required to make additional capital contributions to us. </w:t>
      </w:r>
    </w:p>
    <w:p>
      <w:pPr>
        <w:pStyle w:val="TextBody"/>
        <w:spacing w:before="180" w:after="0"/>
        <w:rPr>
          <w:rFonts w:ascii="Times New Roman" w:hAnsi="Times New Roman"/>
          <w:sz w:val="20"/>
        </w:rPr>
      </w:pPr>
      <w:r>
        <w:rPr>
          <w:rFonts w:ascii="Times New Roman" w:hAnsi="Times New Roman"/>
          <w:sz w:val="20"/>
        </w:rPr>
        <w:t xml:space="preserve">Each purchaser of common units offered by this prospectus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 </w:t>
      </w:r>
    </w:p>
    <w:p>
      <w:pPr>
        <w:pStyle w:val="TextBody"/>
        <w:spacing w:before="180" w:after="0"/>
        <w:rPr>
          <w:rFonts w:ascii="Times New Roman" w:hAnsi="Times New Roman"/>
          <w:sz w:val="20"/>
        </w:rPr>
      </w:pPr>
      <w:r>
        <w:rPr>
          <w:rFonts w:ascii="Times New Roman" w:hAnsi="Times New Roman"/>
          <w:sz w:val="20"/>
        </w:rPr>
        <w:t xml:space="preserve">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 </w:t>
      </w:r>
    </w:p>
    <w:p>
      <w:pPr>
        <w:pStyle w:val="TextBody"/>
        <w:spacing w:before="270" w:after="0"/>
        <w:rPr>
          <w:rFonts w:ascii="Times New Roman" w:hAnsi="Times New Roman"/>
          <w:b/>
          <w:sz w:val="20"/>
        </w:rPr>
      </w:pPr>
      <w:r>
        <w:rPr>
          <w:rFonts w:ascii="Times New Roman" w:hAnsi="Times New Roman"/>
          <w:b/>
          <w:sz w:val="20"/>
        </w:rPr>
        <w:t xml:space="preserve">Limited Liability </w:t>
      </w:r>
    </w:p>
    <w:p>
      <w:pPr>
        <w:pStyle w:val="TextBody"/>
        <w:spacing w:before="90" w:after="0"/>
        <w:rPr>
          <w:rFonts w:ascii="Times New Roman" w:hAnsi="Times New Roman"/>
          <w:sz w:val="20"/>
        </w:rPr>
      </w:pPr>
      <w:r>
        <w:rPr>
          <w:rFonts w:ascii="Times New Roman" w:hAnsi="Times New Roman"/>
          <w:sz w:val="20"/>
        </w:rPr>
        <w:t xml:space="preserve">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 </w:t>
      </w:r>
    </w:p>
    <w:p>
      <w:pPr>
        <w:pStyle w:val="TextBody"/>
        <w:spacing w:before="180" w:after="0"/>
        <w:rPr>
          <w:rFonts w:ascii="Times New Roman" w:hAnsi="Times New Roman"/>
          <w:sz w:val="20"/>
        </w:rPr>
      </w:pPr>
      <w:r>
        <w:rPr>
          <w:rFonts w:ascii="Times New Roman" w:hAnsi="Times New Roman"/>
          <w:sz w:val="20"/>
        </w:rPr>
        <w:t xml:space="preserve">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Reports and Records </w:t>
      </w:r>
    </w:p>
    <w:p>
      <w:pPr>
        <w:pStyle w:val="TextBody"/>
        <w:spacing w:before="90" w:after="0"/>
        <w:rPr>
          <w:rFonts w:ascii="Times New Roman" w:hAnsi="Times New Roman"/>
          <w:sz w:val="20"/>
        </w:rPr>
      </w:pPr>
      <w:r>
        <w:rPr>
          <w:rFonts w:ascii="Times New Roman" w:hAnsi="Times New Roman"/>
          <w:sz w:val="20"/>
        </w:rPr>
        <w:t xml:space="preserve">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 </w:t>
      </w:r>
    </w:p>
    <w:p>
      <w:pPr>
        <w:pStyle w:val="TextBody"/>
        <w:spacing w:before="180" w:after="0"/>
        <w:rPr>
          <w:rFonts w:ascii="Times New Roman" w:hAnsi="Times New Roman"/>
          <w:sz w:val="20"/>
        </w:rPr>
      </w:pPr>
      <w:r>
        <w:rPr>
          <w:rFonts w:ascii="Times New Roman" w:hAnsi="Times New Roman"/>
          <w:sz w:val="20"/>
        </w:rPr>
        <w:t xml:space="preserve">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and Canadian federal and provincial tax liability and filing his U.S. federal and state and Canadian federal and provincial income tax returns. </w:t>
      </w:r>
    </w:p>
    <w:p>
      <w:pPr>
        <w:pStyle w:val="TextBody"/>
        <w:spacing w:before="180" w:after="0"/>
        <w:rPr>
          <w:rFonts w:ascii="Times New Roman" w:hAnsi="Times New Roman"/>
          <w:sz w:val="20"/>
        </w:rPr>
      </w:pPr>
      <w:r>
        <w:rPr>
          <w:rFonts w:ascii="Times New Roman" w:hAnsi="Times New Roman"/>
          <w:sz w:val="20"/>
        </w:rPr>
        <w:t xml:space="preserve">A limited partner can, for a purpose reasonably related to the limited partners interest as a limited partner, upon reasonable demand and at his own expense, have furnished to him: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4"/>
        <w:gridCol w:w="102"/>
        <w:gridCol w:w="9491"/>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current list of the name and last known address of each partner;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4"/>
        <w:gridCol w:w="101"/>
        <w:gridCol w:w="9492"/>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copy of our tax returns;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information as to the amount of cash and a description and statement of the agreed value of any other property or services, contributed or to be contributed by each partner and the date on which each became a partner;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copies of our partnership agreement, our certificate of limited partnership, amendments to either of them and powers of attorney which have been executed under our partnership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information regarding the status of our business and financial condition;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information regarding our affairs as is just and reasonable. </w:t>
            </w:r>
          </w:p>
        </w:tc>
      </w:tr>
    </w:tbl>
    <w:p>
      <w:pPr>
        <w:pStyle w:val="TextBody"/>
        <w:spacing w:before="180" w:after="0"/>
        <w:rPr>
          <w:rFonts w:ascii="Times New Roman" w:hAnsi="Times New Roman"/>
          <w:sz w:val="20"/>
        </w:rPr>
      </w:pPr>
      <w:r>
        <w:rPr>
          <w:rFonts w:ascii="Times New Roman" w:hAnsi="Times New Roman"/>
          <w:sz w:val="20"/>
        </w:rPr>
        <w:t xml:space="preserve">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5" w:name="rom308566_120"/>
      <w:bookmarkStart w:id="36" w:name="supprom308566_23"/>
      <w:bookmarkEnd w:id="35"/>
      <w:bookmarkEnd w:id="36"/>
      <w:r>
        <w:rPr>
          <w:rFonts w:ascii="Times New Roman" w:hAnsi="Times New Roman"/>
          <w:b/>
          <w:sz w:val="20"/>
        </w:rPr>
        <w:t xml:space="preserve">CASH DISTRIBUTION POLICY </w:t>
      </w:r>
    </w:p>
    <w:p>
      <w:pPr>
        <w:pStyle w:val="TextBody"/>
        <w:spacing w:before="180" w:after="0"/>
        <w:rPr>
          <w:rFonts w:ascii="Times New Roman" w:hAnsi="Times New Roman"/>
          <w:b/>
          <w:sz w:val="20"/>
        </w:rPr>
      </w:pPr>
      <w:r>
        <w:rPr>
          <w:rFonts w:ascii="Times New Roman" w:hAnsi="Times New Roman"/>
          <w:b/>
          <w:sz w:val="20"/>
        </w:rPr>
        <w:t xml:space="preserve">Distributions of Available Cash </w:t>
      </w:r>
    </w:p>
    <w:p>
      <w:pPr>
        <w:pStyle w:val="TextBody"/>
        <w:spacing w:before="90" w:after="0"/>
        <w:rPr>
          <w:rFonts w:ascii="Times New Roman" w:hAnsi="Times New Roman"/>
          <w:sz w:val="20"/>
        </w:rPr>
      </w:pPr>
      <w:r>
        <w:rPr>
          <w:rFonts w:ascii="Times New Roman" w:hAnsi="Times New Roman"/>
          <w:i/>
          <w:sz w:val="20"/>
        </w:rPr>
        <w:t>General.</w:t>
      </w:r>
      <w:r>
        <w:rPr>
          <w:rFonts w:ascii="Times New Roman" w:hAnsi="Times New Roman"/>
          <w:sz w:val="20"/>
        </w:rPr>
        <w:t xml:space="preserve"> We will distribute to our unitholders, on a quarterly basis, all of our available cash in the manner described below. </w:t>
      </w:r>
    </w:p>
    <w:p>
      <w:pPr>
        <w:pStyle w:val="TextBody"/>
        <w:spacing w:before="180" w:after="0"/>
        <w:rPr>
          <w:rFonts w:ascii="Times New Roman" w:hAnsi="Times New Roman"/>
          <w:sz w:val="20"/>
        </w:rPr>
      </w:pPr>
      <w:r>
        <w:rPr>
          <w:rFonts w:ascii="Times New Roman" w:hAnsi="Times New Roman"/>
          <w:i/>
          <w:sz w:val="20"/>
        </w:rPr>
        <w:t>Definition of Available Cash.</w:t>
      </w:r>
      <w:r>
        <w:rPr>
          <w:rFonts w:ascii="Times New Roman" w:hAnsi="Times New Roman"/>
          <w:sz w:val="20"/>
        </w:rPr>
        <w:t xml:space="preserve"> Available cash generally means, for any quarter ending prior to liquidation, all cash on hand at the end of that quarter less the amount of cash reserves that are necessary or appropriate in the reasonable discretion of the general partner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provide for the proper conduct of our business;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3"/>
        <w:gridCol w:w="101"/>
        <w:gridCol w:w="9493"/>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comply with applicable law or any partnership debt instrument or other agreement;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provide funds for distributions to unitholders and the general partner in respect of any one or more of the next four quarters. </w:t>
            </w:r>
          </w:p>
        </w:tc>
      </w:tr>
    </w:tbl>
    <w:p>
      <w:pPr>
        <w:pStyle w:val="TextBody"/>
        <w:spacing w:before="270" w:after="0"/>
        <w:rPr>
          <w:rFonts w:ascii="Times New Roman" w:hAnsi="Times New Roman"/>
          <w:b/>
          <w:sz w:val="20"/>
        </w:rPr>
      </w:pPr>
      <w:r>
        <w:rPr>
          <w:rFonts w:ascii="Times New Roman" w:hAnsi="Times New Roman"/>
          <w:b/>
          <w:sz w:val="20"/>
        </w:rPr>
        <w:t xml:space="preserve">Operating Surplus and Capital Surplus </w:t>
      </w:r>
    </w:p>
    <w:p>
      <w:pPr>
        <w:pStyle w:val="TextBody"/>
        <w:spacing w:before="90" w:after="0"/>
        <w:rPr>
          <w:rFonts w:ascii="Times New Roman" w:hAnsi="Times New Roman"/>
          <w:sz w:val="20"/>
        </w:rPr>
      </w:pPr>
      <w:r>
        <w:rPr>
          <w:rFonts w:ascii="Times New Roman" w:hAnsi="Times New Roman"/>
          <w:i/>
          <w:sz w:val="20"/>
        </w:rPr>
        <w:t>General.</w:t>
      </w:r>
      <w:r>
        <w:rPr>
          <w:rFonts w:ascii="Times New Roman" w:hAnsi="Times New Roman"/>
          <w:sz w:val="20"/>
        </w:rPr>
        <w:t xml:space="preserve"> Cash distributions to our unitholders will be characterized as either operating surplus or capital surplus. We distribute available cash from operating surplus differently than available cash from capital surplus. See  Quarterly Distributions of Available Cash. </w:t>
      </w:r>
    </w:p>
    <w:p>
      <w:pPr>
        <w:pStyle w:val="TextBody"/>
        <w:spacing w:before="180" w:after="0"/>
        <w:rPr>
          <w:rFonts w:ascii="Times New Roman" w:hAnsi="Times New Roman"/>
          <w:sz w:val="20"/>
        </w:rPr>
      </w:pPr>
      <w:r>
        <w:rPr>
          <w:rFonts w:ascii="Times New Roman" w:hAnsi="Times New Roman"/>
          <w:i/>
          <w:sz w:val="20"/>
        </w:rPr>
        <w:t>Definition of Operating Surplus.</w:t>
      </w:r>
      <w:r>
        <w:rPr>
          <w:rFonts w:ascii="Times New Roman" w:hAnsi="Times New Roman"/>
          <w:sz w:val="20"/>
        </w:rPr>
        <w:t xml:space="preserve"> Operating surplus refers generally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3"/>
        <w:gridCol w:w="102"/>
        <w:gridCol w:w="9492"/>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cash balances on the closing date of our initial public offering; plus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$25 million; plus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of our cash receipts from operations, excluding cash that is capital surplus; less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of our operating expenses, debt service payments (but not including payments required with the sale of assets or any refinancing with the proceeds of new indebtedness or an equity offering), maintenance capital expenditures and reserves established for future operations. </w:t>
            </w:r>
          </w:p>
        </w:tc>
      </w:tr>
    </w:tbl>
    <w:p>
      <w:pPr>
        <w:pStyle w:val="TextBody"/>
        <w:spacing w:before="180" w:after="0"/>
        <w:rPr>
          <w:rFonts w:ascii="Times New Roman" w:hAnsi="Times New Roman"/>
          <w:sz w:val="20"/>
        </w:rPr>
      </w:pPr>
      <w:r>
        <w:rPr>
          <w:rFonts w:ascii="Times New Roman" w:hAnsi="Times New Roman"/>
          <w:i/>
          <w:sz w:val="20"/>
        </w:rPr>
        <w:t>Definition of Capital Surplus.</w:t>
      </w:r>
      <w:r>
        <w:rPr>
          <w:rFonts w:ascii="Times New Roman" w:hAnsi="Times New Roman"/>
          <w:sz w:val="20"/>
        </w:rPr>
        <w:t xml:space="preserve"> Capital surplus will generally be generated only by: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4"/>
        <w:gridCol w:w="101"/>
        <w:gridCol w:w="9492"/>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borrowings other than working capital borrowings;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sales of debt and equity securities;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sales or other dispositions of assets for cash, other than inventory, accounts receivable and other assets in the ordinary course of business. </w:t>
            </w:r>
          </w:p>
        </w:tc>
      </w:tr>
    </w:tbl>
    <w:p>
      <w:pPr>
        <w:pStyle w:val="TextBody"/>
        <w:spacing w:before="180" w:after="0"/>
        <w:rPr>
          <w:rFonts w:ascii="Times New Roman" w:hAnsi="Times New Roman"/>
          <w:sz w:val="20"/>
        </w:rPr>
      </w:pPr>
      <w:r>
        <w:rPr>
          <w:rFonts w:ascii="Times New Roman" w:hAnsi="Times New Roman"/>
          <w:sz w:val="20"/>
        </w:rPr>
        <w:t xml:space="preserve">We will treat all available cash distributed as coming from operating surplus until the sum of all available cash distributed since we began equals the operating surplus as of the end of the quarter prior to the distribution. Any available cash in excess of operating surplus, regardless of its source, will be treated as capital surplus. </w:t>
      </w:r>
    </w:p>
    <w:p>
      <w:pPr>
        <w:pStyle w:val="TextBody"/>
        <w:spacing w:before="180" w:after="0"/>
        <w:rPr>
          <w:rFonts w:ascii="Times New Roman" w:hAnsi="Times New Roman"/>
          <w:sz w:val="20"/>
        </w:rPr>
      </w:pPr>
      <w:r>
        <w:rPr>
          <w:rFonts w:ascii="Times New Roman" w:hAnsi="Times New Roman"/>
          <w:sz w:val="20"/>
        </w:rPr>
        <w:t xml:space="preserve">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 </w:t>
      </w:r>
    </w:p>
    <w:p>
      <w:pPr>
        <w:pStyle w:val="TextBody"/>
        <w:spacing w:before="270" w:after="0"/>
        <w:rPr>
          <w:rFonts w:ascii="Times New Roman" w:hAnsi="Times New Roman"/>
          <w:b/>
          <w:sz w:val="20"/>
        </w:rPr>
      </w:pPr>
      <w:r>
        <w:rPr>
          <w:rFonts w:ascii="Times New Roman" w:hAnsi="Times New Roman"/>
          <w:b/>
          <w:sz w:val="20"/>
        </w:rPr>
        <w:t xml:space="preserve">Incentive Distribution Rights </w:t>
      </w:r>
    </w:p>
    <w:p>
      <w:pPr>
        <w:pStyle w:val="TextBody"/>
        <w:spacing w:before="90" w:after="0"/>
        <w:rPr>
          <w:rFonts w:ascii="Times New Roman" w:hAnsi="Times New Roman"/>
          <w:sz w:val="20"/>
        </w:rPr>
      </w:pPr>
      <w:r>
        <w:rPr>
          <w:rFonts w:ascii="Times New Roman" w:hAnsi="Times New Roman"/>
          <w:sz w:val="20"/>
        </w:rPr>
        <w:t xml:space="preserve">The incentive distribution rights represent the right to receive an increasing percentage of quarterly distributions of available cash from operating surplus after the minimum quarterly distribution and the target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distribution levels have been achieved. The target distribution levels are based on the amounts of available cash from operating surplus distributed above the payments made under the minimum quarterly distribution, if any, and the related 2% distribution to the general partner. </w:t>
      </w:r>
    </w:p>
    <w:p>
      <w:pPr>
        <w:pStyle w:val="TextBody"/>
        <w:spacing w:before="270" w:after="0"/>
        <w:rPr>
          <w:rFonts w:ascii="Times New Roman" w:hAnsi="Times New Roman"/>
          <w:b/>
          <w:sz w:val="20"/>
        </w:rPr>
      </w:pPr>
      <w:r>
        <w:rPr>
          <w:rFonts w:ascii="Times New Roman" w:hAnsi="Times New Roman"/>
          <w:b/>
          <w:sz w:val="20"/>
        </w:rPr>
        <w:t xml:space="preserve">Effect of Issuance of Additional Units </w:t>
      </w:r>
    </w:p>
    <w:p>
      <w:pPr>
        <w:pStyle w:val="TextBody"/>
        <w:spacing w:before="90" w:after="0"/>
        <w:rPr>
          <w:rFonts w:ascii="Times New Roman" w:hAnsi="Times New Roman"/>
          <w:sz w:val="20"/>
        </w:rPr>
      </w:pPr>
      <w:r>
        <w:rPr>
          <w:rFonts w:ascii="Times New Roman" w:hAnsi="Times New Roman"/>
          <w:sz w:val="20"/>
        </w:rPr>
        <w:t xml:space="preserve">We can issue additional common units or other equity securities for consideration and under terms and conditions approved by our general partner in its sole discretion and without the approval of our unitholders. We may fund acquisitions through the issuance of additional common units or other equity securities. </w:t>
      </w:r>
    </w:p>
    <w:p>
      <w:pPr>
        <w:pStyle w:val="TextBody"/>
        <w:spacing w:before="180" w:after="0"/>
        <w:rPr>
          <w:rFonts w:ascii="Times New Roman" w:hAnsi="Times New Roman"/>
          <w:sz w:val="20"/>
        </w:rPr>
      </w:pPr>
      <w:r>
        <w:rPr>
          <w:rFonts w:ascii="Times New Roman" w:hAnsi="Times New Roman"/>
          <w:sz w:val="20"/>
        </w:rPr>
        <w:t xml:space="preserve">Holders of any additional common units that we issue will be entitled to share equally with our then-existing unitholders in distributions of available cash. In addition, the issuance of additional interests may dilute the value of the interests of the then-existing unitholders. If we issue additional partnership interests, our general partner will be required to make an additional capital contribution to us. </w:t>
      </w:r>
    </w:p>
    <w:p>
      <w:pPr>
        <w:pStyle w:val="TextBody"/>
        <w:spacing w:before="270" w:after="0"/>
        <w:rPr>
          <w:rFonts w:ascii="Times New Roman" w:hAnsi="Times New Roman"/>
          <w:b/>
          <w:sz w:val="20"/>
        </w:rPr>
      </w:pPr>
      <w:r>
        <w:rPr>
          <w:rFonts w:ascii="Times New Roman" w:hAnsi="Times New Roman"/>
          <w:b/>
          <w:sz w:val="20"/>
        </w:rPr>
        <w:t xml:space="preserve">Quarterly Distributions of Available Cash </w:t>
      </w:r>
    </w:p>
    <w:p>
      <w:pPr>
        <w:pStyle w:val="TextBody"/>
        <w:spacing w:before="90" w:after="0"/>
        <w:rPr>
          <w:rFonts w:ascii="Times New Roman" w:hAnsi="Times New Roman"/>
          <w:sz w:val="20"/>
        </w:rPr>
      </w:pPr>
      <w:r>
        <w:rPr>
          <w:rFonts w:ascii="Times New Roman" w:hAnsi="Times New Roman"/>
          <w:sz w:val="20"/>
        </w:rPr>
        <w:t xml:space="preserve">We will make quarterly distributions to our partners prior to our liquidation in an amount equal to 100% of our available cash for that quarter. We expect to make distributions of all available cash within approximately 45 days after the end of each quarter to holders of record on the applicable record date. The minimum quarterly distribution and the target distribution levels are also subject to certain other adjustments as described below under  Distributions from Capital Surplus and  Adjustment to the Minimum Quarterly Distribution and Target Distribution Levels. </w:t>
      </w:r>
    </w:p>
    <w:p>
      <w:pPr>
        <w:pStyle w:val="TextBody"/>
        <w:spacing w:before="270" w:after="0"/>
        <w:rPr>
          <w:rFonts w:ascii="Times New Roman" w:hAnsi="Times New Roman"/>
          <w:b/>
          <w:sz w:val="20"/>
        </w:rPr>
      </w:pPr>
      <w:r>
        <w:rPr>
          <w:rFonts w:ascii="Times New Roman" w:hAnsi="Times New Roman"/>
          <w:b/>
          <w:sz w:val="20"/>
        </w:rPr>
        <w:t xml:space="preserve">Distributions From Operating Surplus </w:t>
      </w:r>
    </w:p>
    <w:p>
      <w:pPr>
        <w:pStyle w:val="TextBody"/>
        <w:spacing w:before="90" w:after="0"/>
        <w:rPr>
          <w:rFonts w:ascii="Times New Roman" w:hAnsi="Times New Roman"/>
          <w:sz w:val="20"/>
        </w:rPr>
      </w:pPr>
      <w:r>
        <w:rPr>
          <w:rFonts w:ascii="Times New Roman" w:hAnsi="Times New Roman"/>
          <w:sz w:val="20"/>
        </w:rPr>
        <w:t xml:space="preserve">We will make distributions of available cash from operating surplus in the following manner: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First, 98% to all unitholders, pro rata, and 2% to the general partner, until we distribute for each unit an amount equal to the minimum quarterly distribution for that quarter;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3"/>
        <w:gridCol w:w="101"/>
        <w:gridCol w:w="9493"/>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Thereafter, in the manner described in  Incentive Distribution Rights below. </w:t>
            </w:r>
          </w:p>
        </w:tc>
      </w:tr>
    </w:tbl>
    <w:p>
      <w:pPr>
        <w:pStyle w:val="TextBody"/>
        <w:spacing w:before="270" w:after="0"/>
        <w:rPr>
          <w:rFonts w:ascii="Times New Roman" w:hAnsi="Times New Roman"/>
          <w:b/>
          <w:sz w:val="20"/>
        </w:rPr>
      </w:pPr>
      <w:r>
        <w:rPr>
          <w:rFonts w:ascii="Times New Roman" w:hAnsi="Times New Roman"/>
          <w:b/>
          <w:sz w:val="20"/>
        </w:rPr>
        <w:t xml:space="preserve">Incentive Distribution Rights </w:t>
      </w:r>
    </w:p>
    <w:p>
      <w:pPr>
        <w:pStyle w:val="TextBody"/>
        <w:spacing w:before="90" w:after="0"/>
        <w:rPr>
          <w:rFonts w:ascii="Times New Roman" w:hAnsi="Times New Roman"/>
          <w:sz w:val="20"/>
        </w:rPr>
      </w:pPr>
      <w:r>
        <w:rPr>
          <w:rFonts w:ascii="Times New Roman" w:hAnsi="Times New Roman"/>
          <w:sz w:val="20"/>
        </w:rPr>
        <w:t xml:space="preserve">For any quarter that we distribute available cash from operating surplus to the common unitholders in an amount equal to the minimum quarterly distribution on all units, then we will distribute any additional available cash from operating surplus in that quarter among the unitholders and the general partner in the following manner: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First, 85% to all unitholders, pro rata, and 15% to the general partner, until each unitholder receives a total of $0.495 for that quarter for each outstanding unit (the first target distribution);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3"/>
        <w:gridCol w:w="101"/>
        <w:gridCol w:w="9493"/>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Second, 75% to all unitholders, pro rata, and 25% to the general partner, until each unitholder receives a total of $0.675 for that quarter for each outstanding unit (the second target distribution);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Thereafter, 50% to all unitholders, pro rata, and 50% to the general partner. </w:t>
            </w:r>
          </w:p>
        </w:tc>
      </w:tr>
    </w:tbl>
    <w:p>
      <w:pPr>
        <w:pStyle w:val="TextBody"/>
        <w:spacing w:before="180" w:after="0"/>
        <w:rPr>
          <w:rFonts w:ascii="Times New Roman" w:hAnsi="Times New Roman"/>
          <w:sz w:val="20"/>
        </w:rPr>
      </w:pPr>
      <w:r>
        <w:rPr>
          <w:rFonts w:ascii="Times New Roman" w:hAnsi="Times New Roman"/>
          <w:sz w:val="20"/>
        </w:rPr>
        <w:t xml:space="preserve">Our distributions to the general partner above, other than in its capacity as holders of units, that are in excess of its aggregate 2% general partner interest represent the incentive distribution rights. The right to receive incentive distribution rights is not part of its general partner interest and may be transferred separately from that interest, subject to certain restrictions. </w:t>
      </w:r>
    </w:p>
    <w:p>
      <w:pPr>
        <w:pStyle w:val="TextBody"/>
        <w:spacing w:before="270" w:after="0"/>
        <w:rPr>
          <w:rFonts w:ascii="Times New Roman" w:hAnsi="Times New Roman"/>
          <w:b/>
          <w:sz w:val="20"/>
        </w:rPr>
      </w:pPr>
      <w:r>
        <w:rPr>
          <w:rFonts w:ascii="Times New Roman" w:hAnsi="Times New Roman"/>
          <w:b/>
          <w:sz w:val="20"/>
        </w:rPr>
        <w:t xml:space="preserve">Adjustments to Incentive Distribution Rights </w:t>
      </w:r>
    </w:p>
    <w:p>
      <w:pPr>
        <w:pStyle w:val="TextBody"/>
        <w:spacing w:before="90" w:after="0"/>
        <w:rPr>
          <w:rFonts w:ascii="Times New Roman" w:hAnsi="Times New Roman"/>
          <w:sz w:val="20"/>
        </w:rPr>
      </w:pPr>
      <w:r>
        <w:rPr>
          <w:rFonts w:ascii="Times New Roman" w:hAnsi="Times New Roman"/>
          <w:sz w:val="20"/>
        </w:rPr>
        <w:t xml:space="preserve">In connection with acquisitions or similar transactions, we have and may in the future modify the incentive distribution rights to, among other reasons, accelerate the accretion or other benefits of the transaction to limited partners.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Upon closing of the Pacific and Rainbow acquisitions, our general partner agreed to reduce the amounts due it as incentive distributions. The total reduction in incentive distributions related to these acquisitions will be $75 million. Following our distribution in August 2009, the remaining incentive distribution reductions related to Pacific and Rainbow totaled approximately $21.25 million. </w:t>
      </w:r>
    </w:p>
    <w:p>
      <w:pPr>
        <w:pStyle w:val="TextBody"/>
        <w:spacing w:before="180" w:after="0"/>
        <w:rPr>
          <w:rFonts w:ascii="Times New Roman" w:hAnsi="Times New Roman"/>
          <w:sz w:val="20"/>
        </w:rPr>
      </w:pPr>
      <w:r>
        <w:rPr>
          <w:rFonts w:ascii="Times New Roman" w:hAnsi="Times New Roman"/>
          <w:sz w:val="20"/>
        </w:rPr>
        <w:t xml:space="preserve">In connection with our acquisition of the remaining 50% indirect member interest in PAA Natural Gas Storage LLC in September 2009, our general partner agreed to further reduce the amounts due it as incentive distributions by an aggregate of $8 million over the next two years. This reduction will be effective upon our payment of a quarterly distribution of $0.92 per unit. </w:t>
      </w:r>
    </w:p>
    <w:p>
      <w:pPr>
        <w:pStyle w:val="TextBody"/>
        <w:spacing w:before="270" w:after="0"/>
        <w:rPr>
          <w:rFonts w:ascii="Times New Roman" w:hAnsi="Times New Roman"/>
          <w:b/>
          <w:sz w:val="20"/>
        </w:rPr>
      </w:pPr>
      <w:r>
        <w:rPr>
          <w:rFonts w:ascii="Times New Roman" w:hAnsi="Times New Roman"/>
          <w:b/>
          <w:sz w:val="20"/>
        </w:rPr>
        <w:t xml:space="preserve">Distributions from Capital Surplus </w:t>
      </w:r>
    </w:p>
    <w:p>
      <w:pPr>
        <w:pStyle w:val="TextBody"/>
        <w:spacing w:before="90" w:after="0"/>
        <w:rPr>
          <w:rFonts w:ascii="Times New Roman" w:hAnsi="Times New Roman"/>
          <w:sz w:val="20"/>
        </w:rPr>
      </w:pPr>
      <w:r>
        <w:rPr>
          <w:rFonts w:ascii="Times New Roman" w:hAnsi="Times New Roman"/>
          <w:i/>
          <w:sz w:val="20"/>
        </w:rPr>
        <w:t>How Distributions from Capital Surplus Will Be Made.</w:t>
      </w:r>
      <w:r>
        <w:rPr>
          <w:rFonts w:ascii="Times New Roman" w:hAnsi="Times New Roman"/>
          <w:sz w:val="20"/>
        </w:rPr>
        <w:t xml:space="preserve"> We will make distributions of available cash from capital surplus in the following manner: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First, 98% to all unitholders, pro rata, and 2% to the general partner, until we distribute, for each common unit issued in this offering, available cash from capital surplus in an aggregate amount per common unit equal to the initial public offering price;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Thereafter, we will make all distributions of available cash from capital surplus as if they were from operating surplus. </w:t>
            </w:r>
          </w:p>
        </w:tc>
      </w:tr>
    </w:tbl>
    <w:p>
      <w:pPr>
        <w:pStyle w:val="TextBody"/>
        <w:spacing w:before="180" w:after="0"/>
        <w:rPr>
          <w:rFonts w:ascii="Times New Roman" w:hAnsi="Times New Roman"/>
          <w:sz w:val="20"/>
        </w:rPr>
      </w:pPr>
      <w:r>
        <w:rPr>
          <w:rFonts w:ascii="Times New Roman" w:hAnsi="Times New Roman"/>
          <w:i/>
          <w:sz w:val="20"/>
        </w:rPr>
        <w:t>Effect of a Distribution from Capital Surplus.</w:t>
      </w:r>
      <w:r>
        <w:rPr>
          <w:rFonts w:ascii="Times New Roman" w:hAnsi="Times New Roman"/>
          <w:sz w:val="20"/>
        </w:rPr>
        <w:t xml:space="preserve"> Our partnership agreement treats a distribution of available cash from capital surplus as the repayment of the initial unit price. To show that repayment, the minimum quarterly distribution and the target distribution levels will be reduced by multiplying each amount by a fraction, the numerator of which is the unrecovered capital of the common units immediately after giving effect to that repayment and the denominator of which is the unrecovered capital of the common units immediately prior to that repayment. </w:t>
      </w:r>
    </w:p>
    <w:p>
      <w:pPr>
        <w:pStyle w:val="TextBody"/>
        <w:spacing w:before="180" w:after="0"/>
        <w:rPr>
          <w:rFonts w:ascii="Times New Roman" w:hAnsi="Times New Roman"/>
          <w:sz w:val="20"/>
        </w:rPr>
      </w:pPr>
      <w:r>
        <w:rPr>
          <w:rFonts w:ascii="Times New Roman" w:hAnsi="Times New Roman"/>
          <w:i/>
          <w:sz w:val="20"/>
        </w:rPr>
        <w:t>When Payback Occurs.</w:t>
      </w:r>
      <w:r>
        <w:rPr>
          <w:rFonts w:ascii="Times New Roman" w:hAnsi="Times New Roman"/>
          <w:sz w:val="20"/>
        </w:rPr>
        <w:t xml:space="preserve"> When payback of the reduced initial unit price has occurred, i.e., when the unrecovered capital of the common units is zero, then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minimum quarterly distribution and the target distribution levels will be reduced to zero for subsequent quarters;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distributions of available cash will be treated as operating surplus;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general partner will be entitled to receive 50% of distributions of available cash in its capacities as general partner and as holder of the incentive distribution rights. </w:t>
            </w:r>
          </w:p>
        </w:tc>
      </w:tr>
    </w:tbl>
    <w:p>
      <w:pPr>
        <w:pStyle w:val="TextBody"/>
        <w:spacing w:before="180" w:after="0"/>
        <w:rPr>
          <w:rFonts w:ascii="Times New Roman" w:hAnsi="Times New Roman"/>
          <w:sz w:val="20"/>
        </w:rPr>
      </w:pPr>
      <w:r>
        <w:rPr>
          <w:rFonts w:ascii="Times New Roman" w:hAnsi="Times New Roman"/>
          <w:sz w:val="20"/>
        </w:rPr>
        <w:t xml:space="preserve">Distributions of available cash from capital surplus will not reduce the minimum quarterly distribution or target distribution levels for the quarter in which they are distributed. </w:t>
      </w:r>
    </w:p>
    <w:p>
      <w:pPr>
        <w:pStyle w:val="TextBody"/>
        <w:spacing w:before="270" w:after="0"/>
        <w:rPr>
          <w:rFonts w:ascii="Times New Roman" w:hAnsi="Times New Roman"/>
          <w:b/>
          <w:sz w:val="20"/>
        </w:rPr>
      </w:pPr>
      <w:r>
        <w:rPr>
          <w:rFonts w:ascii="Times New Roman" w:hAnsi="Times New Roman"/>
          <w:b/>
          <w:sz w:val="20"/>
        </w:rPr>
        <w:t xml:space="preserve">Adjustment to the Minimum Quarterly Distribution and Target Distribution Levels </w:t>
      </w:r>
    </w:p>
    <w:p>
      <w:pPr>
        <w:pStyle w:val="TextBody"/>
        <w:spacing w:before="90" w:after="0"/>
        <w:rPr>
          <w:rFonts w:ascii="Times New Roman" w:hAnsi="Times New Roman"/>
          <w:sz w:val="20"/>
        </w:rPr>
      </w:pPr>
      <w:r>
        <w:rPr>
          <w:rFonts w:ascii="Times New Roman" w:hAnsi="Times New Roman"/>
          <w:i/>
          <w:sz w:val="20"/>
        </w:rPr>
        <w:t>How We Adjust the Minimum Quarterly Distribution and Target Distribution Levels.</w:t>
      </w:r>
      <w:r>
        <w:rPr>
          <w:rFonts w:ascii="Times New Roman" w:hAnsi="Times New Roman"/>
          <w:sz w:val="20"/>
        </w:rPr>
        <w:t xml:space="preserve"> In addition to adjusting the minimum quarterly distribution and target distribution levels to reflect a distribution of capital surplus, if we combine our units into fewer units or subdivide our units into a greater number of units (but not if we issue additional common units for cash or property), we will proportionately adjust: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minimum quarterly distribution;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target distribution levels;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unrecovered capital; and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other amounts calculated on a per unit basis. </w:t>
            </w:r>
          </w:p>
        </w:tc>
      </w:tr>
    </w:tbl>
    <w:p>
      <w:pPr>
        <w:pStyle w:val="TextBody"/>
        <w:spacing w:before="180" w:after="0"/>
        <w:rPr>
          <w:rFonts w:ascii="Times New Roman" w:hAnsi="Times New Roman"/>
          <w:sz w:val="20"/>
        </w:rPr>
      </w:pPr>
      <w:r>
        <w:rPr>
          <w:rFonts w:ascii="Times New Roman" w:hAnsi="Times New Roman"/>
          <w:sz w:val="20"/>
        </w:rPr>
        <w:t xml:space="preserve">For example, in the event of a two-for-one split of the common units (assuming no prior adjustments), the minimum quarterly distribution, each of the target distribution levels and the unrecovered capital of the common units would each be reduced to 50% of its initial level. </w:t>
      </w:r>
    </w:p>
    <w:p>
      <w:pPr>
        <w:pStyle w:val="TextBody"/>
        <w:spacing w:before="180" w:after="0"/>
        <w:rPr>
          <w:rFonts w:ascii="Times New Roman" w:hAnsi="Times New Roman"/>
          <w:sz w:val="20"/>
        </w:rPr>
      </w:pPr>
      <w:r>
        <w:rPr>
          <w:rFonts w:ascii="Times New Roman" w:hAnsi="Times New Roman"/>
          <w:i/>
          <w:sz w:val="20"/>
        </w:rPr>
        <w:t>If We Became Subject to Taxation.</w:t>
      </w:r>
      <w:r>
        <w:rPr>
          <w:rFonts w:ascii="Times New Roman" w:hAnsi="Times New Roman"/>
          <w:sz w:val="20"/>
        </w:rPr>
        <w:t xml:space="preserve"> If legislation is enacted or if existing law is modified or interpreted by the relevant governmental authority so that we become taxable as a corporation or otherwise subject to taxation as an entity for federal, state or local income tax purposes, we will adjust the minimum quarterly distribution and each of the target distribution levels, respectively, to equal the product obtained by multiplying the amount thereof by: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one minus the sum of (x) the maximum effective federal income tax rate to which we as an entity were subject plus (y) any increase in state and local income taxes to which we are subject for the taxable year of the event, after adjusting for any allowable deductions for federal income tax purposes for the payment of state and local income taxes. </w:t>
            </w:r>
          </w:p>
        </w:tc>
      </w:tr>
    </w:tbl>
    <w:p>
      <w:pPr>
        <w:pStyle w:val="TextBody"/>
        <w:spacing w:before="180" w:after="0"/>
        <w:rPr>
          <w:rFonts w:ascii="Times New Roman" w:hAnsi="Times New Roman"/>
          <w:sz w:val="20"/>
        </w:rPr>
      </w:pPr>
      <w:r>
        <w:rPr>
          <w:rFonts w:ascii="Times New Roman" w:hAnsi="Times New Roman"/>
          <w:sz w:val="20"/>
        </w:rPr>
        <w:t xml:space="preserve">For example, assuming we were not previously subject to state and local income tax, if we become taxable as an entity for federal income tax purposes and became subject to a maximum marginal federal, and effective state and local, income tax rate of 38%, then the minimum quarterly distribution and the target distribution levels would each be reduced to 62% of the amount immediately prior to that adjustment. </w:t>
      </w:r>
    </w:p>
    <w:p>
      <w:pPr>
        <w:pStyle w:val="TextBody"/>
        <w:spacing w:before="270" w:after="0"/>
        <w:rPr>
          <w:rFonts w:ascii="Times New Roman" w:hAnsi="Times New Roman"/>
          <w:b/>
          <w:sz w:val="20"/>
        </w:rPr>
      </w:pPr>
      <w:r>
        <w:rPr>
          <w:rFonts w:ascii="Times New Roman" w:hAnsi="Times New Roman"/>
          <w:b/>
          <w:sz w:val="20"/>
        </w:rPr>
        <w:t xml:space="preserve">Distribution of Cash Upon Liquidation </w:t>
      </w:r>
    </w:p>
    <w:p>
      <w:pPr>
        <w:pStyle w:val="TextBody"/>
        <w:spacing w:before="90" w:after="0"/>
        <w:rPr>
          <w:rFonts w:ascii="Times New Roman" w:hAnsi="Times New Roman"/>
          <w:sz w:val="20"/>
        </w:rPr>
      </w:pPr>
      <w:r>
        <w:rPr>
          <w:rFonts w:ascii="Times New Roman" w:hAnsi="Times New Roman"/>
          <w:i/>
          <w:sz w:val="20"/>
        </w:rPr>
        <w:t>General.</w:t>
      </w:r>
      <w:r>
        <w:rPr>
          <w:rFonts w:ascii="Times New Roman" w:hAnsi="Times New Roman"/>
          <w:sz w:val="20"/>
        </w:rPr>
        <w:t xml:space="preserve"> If we dissolve and liquidate, we will sell our assets or otherwise dispose of our assets and we will adjust the partners capital account balances to show any resulting gain or loss. We will first apply the proceeds of liquidation to the payment of our creditors in the order of priority provided in our partnership agreement and by law and, thereafter, distribute to the unitholders and the general partner in accordance with their adjusted capital account balances. </w:t>
      </w:r>
    </w:p>
    <w:p>
      <w:pPr>
        <w:pStyle w:val="TextBody"/>
        <w:spacing w:before="180" w:after="0"/>
        <w:rPr>
          <w:rFonts w:ascii="Times New Roman" w:hAnsi="Times New Roman"/>
          <w:sz w:val="20"/>
        </w:rPr>
      </w:pPr>
      <w:r>
        <w:rPr>
          <w:rFonts w:ascii="Times New Roman" w:hAnsi="Times New Roman"/>
          <w:i/>
          <w:sz w:val="20"/>
        </w:rPr>
        <w:t>Manner of Adjustment.</w:t>
      </w:r>
      <w:r>
        <w:rPr>
          <w:rFonts w:ascii="Times New Roman" w:hAnsi="Times New Roman"/>
          <w:sz w:val="20"/>
        </w:rPr>
        <w:t xml:space="preserve"> If we liquidate, we would allocate any loss to the general partner and each unitholder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First, 98% to the holders of common units who have positive balances in their capital accounts in proportion to those positive balances and 2% to the general partner, until the capital accounts of the common unitholders have been reduced to zero;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3"/>
        <w:gridCol w:w="101"/>
        <w:gridCol w:w="9493"/>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Thereafter, 100% to the general partner. </w:t>
            </w:r>
          </w:p>
        </w:tc>
      </w:tr>
    </w:tbl>
    <w:p>
      <w:pPr>
        <w:pStyle w:val="TextBody"/>
        <w:spacing w:before="180" w:after="0"/>
        <w:rPr>
          <w:rFonts w:ascii="Times New Roman" w:hAnsi="Times New Roman"/>
          <w:sz w:val="20"/>
        </w:rPr>
      </w:pPr>
      <w:r>
        <w:rPr>
          <w:rFonts w:ascii="Times New Roman" w:hAnsi="Times New Roman"/>
          <w:i/>
          <w:sz w:val="20"/>
        </w:rPr>
        <w:t>Interim Adjustments to Capital Accounts.</w:t>
      </w:r>
      <w:r>
        <w:rPr>
          <w:rFonts w:ascii="Times New Roman" w:hAnsi="Times New Roman"/>
          <w:sz w:val="20"/>
        </w:rPr>
        <w:t xml:space="preserve"> If we issued additional security interests or made distributions of property, interim adjustments to capital accounts would also be made. These adjustments would be based on the fair market value of the interests or the property distributed and any gain or loss would be allocated to the unitholders and the general partner in the same way that a gain or loss is allocated upon liquidation. If positive interim adjustments are made to the capital accounts, any subsequent negative adjustments to the capital accounts resulting from our issuance of additional interests, distributions of property, or upon our liquidation, would be allocated in a way that, to the extent possible, in the capital account balances of the general partner equaling the amount which would have been the general partners capital account balances if no prior positive adjustments to the capital accounts had been made.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7" w:name="rom308566_121"/>
      <w:bookmarkStart w:id="38" w:name="supprom308566_24"/>
      <w:bookmarkEnd w:id="37"/>
      <w:bookmarkEnd w:id="38"/>
      <w:r>
        <w:rPr>
          <w:rFonts w:ascii="Times New Roman" w:hAnsi="Times New Roman"/>
          <w:b/>
          <w:sz w:val="20"/>
        </w:rPr>
        <w:t xml:space="preserve">DESCRIPTION OF OUR PARTNERSHIP AGREEMENT </w:t>
      </w:r>
    </w:p>
    <w:p>
      <w:pPr>
        <w:pStyle w:val="TextBody"/>
        <w:spacing w:before="180" w:after="0"/>
        <w:rPr>
          <w:rFonts w:ascii="Times New Roman" w:hAnsi="Times New Roman"/>
          <w:sz w:val="20"/>
        </w:rPr>
      </w:pPr>
      <w:r>
        <w:rPr>
          <w:rFonts w:ascii="Times New Roman" w:hAnsi="Times New Roman"/>
          <w:sz w:val="20"/>
        </w:rPr>
        <w:t xml:space="preserve">The following is a summary of the material provisions of our partnership agreement. The following provisions of our partnership agreement are summarized elsewhere in this prospectus: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distributions of our available cash are described under Cash Distribution Policy;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allocations of taxable income and other tax matters are described under Material Income Tax Considerations;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rights of holders of common units are described under Description of Our Common Units. </w:t>
            </w:r>
          </w:p>
        </w:tc>
      </w:tr>
    </w:tbl>
    <w:p>
      <w:pPr>
        <w:pStyle w:val="TextBody"/>
        <w:spacing w:before="270" w:after="0"/>
        <w:rPr>
          <w:rFonts w:ascii="Times New Roman" w:hAnsi="Times New Roman"/>
          <w:b/>
          <w:sz w:val="20"/>
        </w:rPr>
      </w:pPr>
      <w:r>
        <w:rPr>
          <w:rFonts w:ascii="Times New Roman" w:hAnsi="Times New Roman"/>
          <w:b/>
          <w:sz w:val="20"/>
        </w:rPr>
        <w:t xml:space="preserve">Purpose </w:t>
      </w:r>
    </w:p>
    <w:p>
      <w:pPr>
        <w:pStyle w:val="TextBody"/>
        <w:spacing w:before="90" w:after="0"/>
        <w:rPr>
          <w:rFonts w:ascii="Times New Roman" w:hAnsi="Times New Roman"/>
          <w:sz w:val="20"/>
        </w:rPr>
      </w:pPr>
      <w:r>
        <w:rPr>
          <w:rFonts w:ascii="Times New Roman" w:hAnsi="Times New Roman"/>
          <w:sz w:val="20"/>
        </w:rPr>
        <w:t xml:space="preserve">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 </w:t>
      </w:r>
    </w:p>
    <w:p>
      <w:pPr>
        <w:pStyle w:val="TextBody"/>
        <w:spacing w:before="270" w:after="0"/>
        <w:rPr>
          <w:rFonts w:ascii="Times New Roman" w:hAnsi="Times New Roman"/>
          <w:b/>
          <w:sz w:val="20"/>
        </w:rPr>
      </w:pPr>
      <w:r>
        <w:rPr>
          <w:rFonts w:ascii="Times New Roman" w:hAnsi="Times New Roman"/>
          <w:b/>
          <w:sz w:val="20"/>
        </w:rPr>
        <w:t xml:space="preserve">Power of Attorney </w:t>
      </w:r>
    </w:p>
    <w:p>
      <w:pPr>
        <w:pStyle w:val="TextBody"/>
        <w:spacing w:before="90" w:after="0"/>
        <w:rPr>
          <w:rFonts w:ascii="Times New Roman" w:hAnsi="Times New Roman"/>
          <w:sz w:val="20"/>
        </w:rPr>
      </w:pPr>
      <w:r>
        <w:rPr>
          <w:rFonts w:ascii="Times New Roman" w:hAnsi="Times New Roman"/>
          <w:sz w:val="20"/>
        </w:rPr>
        <w:t xml:space="preserve">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 </w:t>
      </w:r>
    </w:p>
    <w:p>
      <w:pPr>
        <w:pStyle w:val="TextBody"/>
        <w:spacing w:before="270" w:after="0"/>
        <w:rPr>
          <w:rFonts w:ascii="Times New Roman" w:hAnsi="Times New Roman"/>
          <w:b/>
          <w:sz w:val="20"/>
        </w:rPr>
      </w:pPr>
      <w:r>
        <w:rPr>
          <w:rFonts w:ascii="Times New Roman" w:hAnsi="Times New Roman"/>
          <w:b/>
          <w:sz w:val="20"/>
        </w:rPr>
        <w:t xml:space="preserve">Reimbursements of Our General Partner </w:t>
      </w:r>
    </w:p>
    <w:p>
      <w:pPr>
        <w:pStyle w:val="TextBody"/>
        <w:spacing w:before="90" w:after="0"/>
        <w:rPr>
          <w:rFonts w:ascii="Times New Roman" w:hAnsi="Times New Roman"/>
          <w:sz w:val="20"/>
        </w:rPr>
      </w:pPr>
      <w:r>
        <w:rPr>
          <w:rFonts w:ascii="Times New Roman" w:hAnsi="Times New Roman"/>
          <w:sz w:val="20"/>
        </w:rPr>
        <w:t xml:space="preserve">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 </w:t>
      </w:r>
    </w:p>
    <w:p>
      <w:pPr>
        <w:pStyle w:val="TextBody"/>
        <w:spacing w:before="270" w:after="0"/>
        <w:rPr>
          <w:rFonts w:ascii="Times New Roman" w:hAnsi="Times New Roman"/>
          <w:b/>
          <w:sz w:val="20"/>
        </w:rPr>
      </w:pPr>
      <w:r>
        <w:rPr>
          <w:rFonts w:ascii="Times New Roman" w:hAnsi="Times New Roman"/>
          <w:b/>
          <w:sz w:val="20"/>
        </w:rPr>
        <w:t xml:space="preserve">Issuance of Additional Securities </w:t>
      </w:r>
    </w:p>
    <w:p>
      <w:pPr>
        <w:pStyle w:val="TextBody"/>
        <w:spacing w:before="90" w:after="0"/>
        <w:rPr>
          <w:rFonts w:ascii="Times New Roman" w:hAnsi="Times New Roman"/>
          <w:sz w:val="20"/>
        </w:rPr>
      </w:pPr>
      <w:r>
        <w:rPr>
          <w:rFonts w:ascii="Times New Roman" w:hAnsi="Times New Roman"/>
          <w:sz w:val="20"/>
        </w:rPr>
        <w:t xml:space="preserve">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 </w:t>
      </w:r>
    </w:p>
    <w:p>
      <w:pPr>
        <w:pStyle w:val="TextBody"/>
        <w:spacing w:before="180" w:after="0"/>
        <w:rPr>
          <w:rFonts w:ascii="Times New Roman" w:hAnsi="Times New Roman"/>
          <w:sz w:val="20"/>
        </w:rPr>
      </w:pPr>
      <w:r>
        <w:rPr>
          <w:rFonts w:ascii="Times New Roman" w:hAnsi="Times New Roman"/>
          <w:sz w:val="20"/>
        </w:rPr>
        <w:t xml:space="preserve">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 </w:t>
      </w:r>
    </w:p>
    <w:p>
      <w:pPr>
        <w:pStyle w:val="TextBody"/>
        <w:spacing w:before="180" w:after="0"/>
        <w:rPr>
          <w:rFonts w:ascii="Times New Roman" w:hAnsi="Times New Roman"/>
          <w:sz w:val="20"/>
        </w:rPr>
      </w:pPr>
      <w:r>
        <w:rPr>
          <w:rFonts w:ascii="Times New Roman" w:hAnsi="Times New Roman"/>
          <w:sz w:val="20"/>
        </w:rPr>
        <w:t xml:space="preserve">In accordance with Delaware law and the provisions of our partnership agreement, we may also issue additional partnership interests that, in the sole discretion of our general partner, may have special voting rights to which common units are not entitled. </w:t>
      </w:r>
    </w:p>
    <w:p>
      <w:pPr>
        <w:pStyle w:val="TextBody"/>
        <w:spacing w:before="180" w:after="0"/>
        <w:rPr>
          <w:rFonts w:ascii="Times New Roman" w:hAnsi="Times New Roman"/>
          <w:sz w:val="20"/>
        </w:rPr>
      </w:pPr>
      <w:r>
        <w:rPr>
          <w:rFonts w:ascii="Times New Roman" w:hAnsi="Times New Roman"/>
          <w:sz w:val="20"/>
        </w:rPr>
        <w:t xml:space="preserve">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their percentage interests in us that existed immediately prior to the issuance. The holders of common units will not have preemptive rights to acquire additional common units or other partnership interests in us. </w:t>
      </w:r>
    </w:p>
    <w:p>
      <w:pPr>
        <w:pStyle w:val="TextBody"/>
        <w:spacing w:before="270" w:after="0"/>
        <w:rPr>
          <w:rFonts w:ascii="Times New Roman" w:hAnsi="Times New Roman"/>
          <w:b/>
          <w:sz w:val="20"/>
        </w:rPr>
      </w:pPr>
      <w:r>
        <w:rPr>
          <w:rFonts w:ascii="Times New Roman" w:hAnsi="Times New Roman"/>
          <w:b/>
          <w:sz w:val="20"/>
        </w:rPr>
        <w:t xml:space="preserve">Amendments to Our Partnership Agreement </w:t>
      </w:r>
    </w:p>
    <w:p>
      <w:pPr>
        <w:pStyle w:val="TextBody"/>
        <w:spacing w:before="90" w:after="0"/>
        <w:rPr>
          <w:rFonts w:ascii="Times New Roman" w:hAnsi="Times New Roman"/>
          <w:sz w:val="20"/>
        </w:rPr>
      </w:pPr>
      <w:r>
        <w:rPr>
          <w:rFonts w:ascii="Times New Roman" w:hAnsi="Times New Roman"/>
          <w:sz w:val="20"/>
        </w:rPr>
        <w:t xml:space="preserve">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 </w:t>
      </w:r>
    </w:p>
    <w:p>
      <w:pPr>
        <w:pStyle w:val="TextBody"/>
        <w:spacing w:before="270" w:after="0"/>
        <w:rPr>
          <w:rFonts w:ascii="Times New Roman" w:hAnsi="Times New Roman"/>
          <w:b/>
          <w:sz w:val="20"/>
        </w:rPr>
      </w:pPr>
      <w:r>
        <w:rPr>
          <w:rFonts w:ascii="Times New Roman" w:hAnsi="Times New Roman"/>
          <w:b/>
          <w:sz w:val="20"/>
        </w:rPr>
        <w:t xml:space="preserve">Withdrawal or Removal of Our General Partner </w:t>
      </w:r>
    </w:p>
    <w:p>
      <w:pPr>
        <w:pStyle w:val="TextBody"/>
        <w:spacing w:before="90" w:after="0"/>
        <w:rPr>
          <w:rFonts w:ascii="Times New Roman" w:hAnsi="Times New Roman"/>
          <w:sz w:val="20"/>
        </w:rPr>
      </w:pPr>
      <w:r>
        <w:rPr>
          <w:rFonts w:ascii="Times New Roman" w:hAnsi="Times New Roman"/>
          <w:sz w:val="20"/>
        </w:rPr>
        <w:t xml:space="preserve">Our general partner has agreed not to withdraw voluntarily as our general partner prior to December 31, 2008 without obtaining the approval of the holders of a majority of our outstanding common units, excluding those held by our general partner and its affiliates, and furnishing an opinion of counsel regarding limited liability and tax matters. On or after December 31, 2008, our general partner may withdraw as general partner without first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 </w:t>
      </w:r>
    </w:p>
    <w:p>
      <w:pPr>
        <w:pStyle w:val="TextBody"/>
        <w:spacing w:before="180" w:after="0"/>
        <w:rPr>
          <w:rFonts w:ascii="Times New Roman" w:hAnsi="Times New Roman"/>
          <w:sz w:val="20"/>
        </w:rPr>
      </w:pPr>
      <w:r>
        <w:rPr>
          <w:rFonts w:ascii="Times New Roman" w:hAnsi="Times New Roman"/>
          <w:sz w:val="20"/>
        </w:rPr>
        <w:t xml:space="preserve">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 </w:t>
      </w:r>
    </w:p>
    <w:p>
      <w:pPr>
        <w:pStyle w:val="TextBody"/>
        <w:spacing w:before="180" w:after="0"/>
        <w:rPr>
          <w:rFonts w:ascii="Times New Roman" w:hAnsi="Times New Roman"/>
          <w:sz w:val="20"/>
        </w:rPr>
      </w:pPr>
      <w:r>
        <w:rPr>
          <w:rFonts w:ascii="Times New Roman" w:hAnsi="Times New Roman"/>
          <w:sz w:val="20"/>
        </w:rPr>
        <w:t xml:space="preserve">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 </w:t>
      </w:r>
    </w:p>
    <w:p>
      <w:pPr>
        <w:pStyle w:val="TextBody"/>
        <w:spacing w:before="180" w:after="0"/>
        <w:rPr>
          <w:rFonts w:ascii="Times New Roman" w:hAnsi="Times New Roman"/>
          <w:sz w:val="20"/>
        </w:rPr>
      </w:pPr>
      <w:r>
        <w:rPr>
          <w:rFonts w:ascii="Times New Roman" w:hAnsi="Times New Roman"/>
          <w:sz w:val="20"/>
        </w:rPr>
        <w:t xml:space="preserve">While our partnership agreement limits the ability of our general partner to withdraw, it allows the general partner interest and incentive distribution rights to be transferred to an affiliate or to a third party in conjunction with a merger or sale of all or substantially all of the assets of our general partner. </w:t>
      </w:r>
    </w:p>
    <w:p>
      <w:pPr>
        <w:pStyle w:val="TextBody"/>
        <w:spacing w:before="180" w:after="0"/>
        <w:rPr>
          <w:rFonts w:ascii="Times New Roman" w:hAnsi="Times New Roman"/>
          <w:sz w:val="20"/>
        </w:rPr>
      </w:pPr>
      <w:r>
        <w:rPr>
          <w:rFonts w:ascii="Times New Roman" w:hAnsi="Times New Roman"/>
          <w:sz w:val="20"/>
        </w:rPr>
        <w:t xml:space="preserve">In addition, our partnership agreement expressly permits the sale, in whole or in part, of the ownership of our general partner. Our general partner may also transfer, in whole or in part, the common units it owns. </w:t>
      </w:r>
    </w:p>
    <w:p>
      <w:pPr>
        <w:pStyle w:val="TextBody"/>
        <w:spacing w:before="270" w:after="0"/>
        <w:rPr>
          <w:rFonts w:ascii="Times New Roman" w:hAnsi="Times New Roman"/>
          <w:b/>
          <w:sz w:val="20"/>
        </w:rPr>
      </w:pPr>
      <w:r>
        <w:rPr>
          <w:rFonts w:ascii="Times New Roman" w:hAnsi="Times New Roman"/>
          <w:b/>
          <w:sz w:val="20"/>
        </w:rPr>
        <w:t xml:space="preserve">Liquidation and Distribution of Proceeds </w:t>
      </w:r>
    </w:p>
    <w:p>
      <w:pPr>
        <w:pStyle w:val="TextBody"/>
        <w:spacing w:before="90" w:after="0"/>
        <w:rPr>
          <w:rFonts w:ascii="Times New Roman" w:hAnsi="Times New Roman"/>
          <w:sz w:val="20"/>
        </w:rPr>
      </w:pPr>
      <w:r>
        <w:rPr>
          <w:rFonts w:ascii="Times New Roman" w:hAnsi="Times New Roman"/>
          <w:sz w:val="20"/>
        </w:rPr>
        <w:t xml:space="preserve">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first, towards the payment of all of our creditors and the creation of a reserve for contingent liabilities; and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8"/>
        <w:gridCol w:w="204"/>
        <w:gridCol w:w="101"/>
        <w:gridCol w:w="9492"/>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then, to all partners in accordance with the positive balance in the respective capital accounts. </w:t>
            </w:r>
          </w:p>
        </w:tc>
      </w:tr>
    </w:tbl>
    <w:p>
      <w:pPr>
        <w:pStyle w:val="TextBody"/>
        <w:spacing w:before="180" w:after="0"/>
        <w:rPr>
          <w:rFonts w:ascii="Times New Roman" w:hAnsi="Times New Roman"/>
          <w:sz w:val="20"/>
        </w:rPr>
      </w:pPr>
      <w:r>
        <w:rPr>
          <w:rFonts w:ascii="Times New Roman" w:hAnsi="Times New Roman"/>
          <w:sz w:val="20"/>
        </w:rPr>
        <w:t xml:space="preserve">Under some circumstances and subject to some limitations, the liquidator may defer liquidation or distribution of our assets for a reasonable period of time. If the liquidator determines that a sale would be impractical or would cause a loss to our partners, our general partner may distribute assets in kind to our partners. </w:t>
      </w:r>
    </w:p>
    <w:p>
      <w:pPr>
        <w:pStyle w:val="TextBody"/>
        <w:spacing w:before="270" w:after="0"/>
        <w:rPr>
          <w:rFonts w:ascii="Times New Roman" w:hAnsi="Times New Roman"/>
          <w:b/>
          <w:sz w:val="20"/>
        </w:rPr>
      </w:pPr>
      <w:r>
        <w:rPr>
          <w:rFonts w:ascii="Times New Roman" w:hAnsi="Times New Roman"/>
          <w:b/>
          <w:sz w:val="20"/>
        </w:rPr>
        <w:t xml:space="preserve">Change of Management Provisions </w:t>
      </w:r>
    </w:p>
    <w:p>
      <w:pPr>
        <w:pStyle w:val="TextBody"/>
        <w:spacing w:before="90" w:after="0"/>
        <w:rPr>
          <w:rFonts w:ascii="Times New Roman" w:hAnsi="Times New Roman"/>
          <w:sz w:val="20"/>
        </w:rPr>
      </w:pPr>
      <w:r>
        <w:rPr>
          <w:rFonts w:ascii="Times New Roman" w:hAnsi="Times New Roman"/>
          <w:sz w:val="20"/>
        </w:rPr>
        <w:t xml:space="preserve">Our partnership agreement contains the following specific provisions that are intended to discourage a person or group from attempting to remove our general partner or otherwise change management: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generally, if a person acquires 20% or more of any class of units then outstanding other than from our general partner or its affiliates, the units owned by such person cannot be voted on any matter;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provisions limiting the ability of unitholders to call meetings or to acquire information about our operations, as well as other provisions limiting the unitholders ability to influence the manner or direction of management. </w:t>
            </w:r>
          </w:p>
        </w:tc>
      </w:tr>
    </w:tbl>
    <w:p>
      <w:pPr>
        <w:pStyle w:val="TextBody"/>
        <w:spacing w:before="270" w:after="0"/>
        <w:rPr>
          <w:rFonts w:ascii="Times New Roman" w:hAnsi="Times New Roman"/>
          <w:b/>
          <w:sz w:val="20"/>
        </w:rPr>
      </w:pPr>
      <w:r>
        <w:rPr>
          <w:rFonts w:ascii="Times New Roman" w:hAnsi="Times New Roman"/>
          <w:b/>
          <w:sz w:val="20"/>
        </w:rPr>
        <w:t xml:space="preserve">Limited Call Right </w:t>
      </w:r>
    </w:p>
    <w:p>
      <w:pPr>
        <w:pStyle w:val="TextBody"/>
        <w:spacing w:before="90" w:after="0"/>
        <w:rPr>
          <w:rFonts w:ascii="Times New Roman" w:hAnsi="Times New Roman"/>
          <w:sz w:val="20"/>
        </w:rPr>
      </w:pPr>
      <w:r>
        <w:rPr>
          <w:rFonts w:ascii="Times New Roman" w:hAnsi="Times New Roman"/>
          <w:sz w:val="20"/>
        </w:rPr>
        <w:t xml:space="preserve">If at any time our general partner and its affiliates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 (2) the highest cash price paid by our general partner or any of its affiliates for any limited partner interest of the class purchased within the 90 days preceding the date our general partner mails notice of its election to purchase the units. </w:t>
      </w:r>
    </w:p>
    <w:p>
      <w:pPr>
        <w:pStyle w:val="TextBody"/>
        <w:spacing w:before="270" w:after="0"/>
        <w:rPr>
          <w:rFonts w:ascii="Times New Roman" w:hAnsi="Times New Roman"/>
          <w:b/>
          <w:sz w:val="20"/>
        </w:rPr>
      </w:pPr>
      <w:r>
        <w:rPr>
          <w:rFonts w:ascii="Times New Roman" w:hAnsi="Times New Roman"/>
          <w:b/>
          <w:sz w:val="20"/>
        </w:rPr>
        <w:t xml:space="preserve">Indemnification </w:t>
      </w:r>
    </w:p>
    <w:p>
      <w:pPr>
        <w:pStyle w:val="TextBody"/>
        <w:spacing w:before="90" w:after="0"/>
        <w:rPr>
          <w:rFonts w:ascii="Times New Roman" w:hAnsi="Times New Roman"/>
          <w:sz w:val="20"/>
        </w:rPr>
      </w:pPr>
      <w:r>
        <w:rPr>
          <w:rFonts w:ascii="Times New Roman" w:hAnsi="Times New Roman"/>
          <w:sz w:val="20"/>
        </w:rPr>
        <w:t xml:space="preserve">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 </w:t>
      </w:r>
    </w:p>
    <w:p>
      <w:pPr>
        <w:pStyle w:val="TextBody"/>
        <w:spacing w:before="180" w:after="0"/>
        <w:rPr>
          <w:rFonts w:ascii="Times New Roman" w:hAnsi="Times New Roman"/>
          <w:sz w:val="20"/>
        </w:rPr>
      </w:pPr>
      <w:r>
        <w:rPr>
          <w:rFonts w:ascii="Times New Roman" w:hAnsi="Times New Roman"/>
          <w:sz w:val="20"/>
        </w:rPr>
        <w:t xml:space="preserve">We are authorized to purchase insurance against liabilities asserted against and expenses incurred by persons for our activities, regardless of whether we would have the power to indemnify the person against liabilities under our partnership agreement. </w:t>
      </w:r>
    </w:p>
    <w:p>
      <w:pPr>
        <w:pStyle w:val="TextBody"/>
        <w:spacing w:before="270" w:after="0"/>
        <w:rPr>
          <w:rFonts w:ascii="Times New Roman" w:hAnsi="Times New Roman"/>
          <w:b/>
          <w:sz w:val="20"/>
        </w:rPr>
      </w:pPr>
      <w:r>
        <w:rPr>
          <w:rFonts w:ascii="Times New Roman" w:hAnsi="Times New Roman"/>
          <w:b/>
          <w:sz w:val="20"/>
        </w:rPr>
        <w:t xml:space="preserve">Registration Rights </w:t>
      </w:r>
    </w:p>
    <w:p>
      <w:pPr>
        <w:pStyle w:val="TextBody"/>
        <w:spacing w:before="90" w:after="0"/>
        <w:rPr>
          <w:rFonts w:ascii="Times New Roman" w:hAnsi="Times New Roman"/>
          <w:sz w:val="20"/>
        </w:rPr>
      </w:pPr>
      <w:r>
        <w:rPr>
          <w:rFonts w:ascii="Times New Roman" w:hAnsi="Times New Roman"/>
          <w:sz w:val="20"/>
        </w:rPr>
        <w:t xml:space="preserve">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9" w:name="rom308566_122"/>
      <w:bookmarkStart w:id="40" w:name="supprom308566_25"/>
      <w:bookmarkEnd w:id="39"/>
      <w:bookmarkEnd w:id="40"/>
      <w:r>
        <w:rPr>
          <w:rFonts w:ascii="Times New Roman" w:hAnsi="Times New Roman"/>
          <w:b/>
          <w:sz w:val="20"/>
        </w:rPr>
        <w:t xml:space="preserve">MATERIAL INCOME TAX CONSIDERATIONS </w:t>
      </w:r>
    </w:p>
    <w:p>
      <w:pPr>
        <w:pStyle w:val="TextBody"/>
        <w:spacing w:before="180" w:after="0"/>
        <w:rPr>
          <w:rFonts w:ascii="Times New Roman" w:hAnsi="Times New Roman"/>
          <w:sz w:val="20"/>
        </w:rPr>
      </w:pPr>
      <w:r>
        <w:rPr>
          <w:rFonts w:ascii="Times New Roman" w:hAnsi="Times New Roman"/>
          <w:sz w:val="20"/>
        </w:rPr>
        <w:t xml:space="preserve">This section is a discussion of the material tax considerations that may be relevant to prospective unitholders who are individual citizens or residents of the United States and, unless otherwise noted in the following discussion, is the opinion of Vinson &amp; Elkins L.L.P., counsel to our general partner and us, insofar as it relates to legal conclusions with respect to matters of United States federal income tax law. This section is based upon current provisions of the Internal Revenue Code of 1986, as amended (the Internal Revenue Code), existing and proposed regulations promulgated under the Internal Revenue Code (the Treasury Regulations), current administrative rulings and court decisions, all of which are subject to change. Later changes in these authorities may cause the tax consequences to vary substantially from the consequences described below. Unless the context otherwise requires, references in this section to us or we are references to Plains All American Pipeline, L.P. </w:t>
      </w:r>
    </w:p>
    <w:p>
      <w:pPr>
        <w:pStyle w:val="TextBody"/>
        <w:spacing w:before="180" w:after="0"/>
        <w:rPr>
          <w:rFonts w:ascii="Times New Roman" w:hAnsi="Times New Roman"/>
          <w:sz w:val="20"/>
        </w:rPr>
      </w:pPr>
      <w:r>
        <w:rPr>
          <w:rFonts w:ascii="Times New Roman" w:hAnsi="Times New Roman"/>
          <w:sz w:val="20"/>
        </w:rPr>
        <w:t xml:space="preserve">The following discussion does not comment on all federal income tax matters affecting us or the unitholders. Moreover, the discussion focuses on unitholders who are individual citizens or residents of the United States and has only limited application to corporations, estates, trusts, nonresident aliens or other unitholders subject to specialized tax treatment, such as tax-exempt institutions, foreign persons, individual retirement accounts (IRAs), real estate investment trusts (REITs) or mutual funds. Accordingly, we urge each prospective unitholder to consult, and depend on, his own tax advisor in analyzing the federal, state, local and foreign tax consequences particular to him of the ownership or disposition of common units. </w:t>
      </w:r>
    </w:p>
    <w:p>
      <w:pPr>
        <w:pStyle w:val="TextBody"/>
        <w:spacing w:before="180" w:after="0"/>
        <w:rPr>
          <w:rFonts w:ascii="Times New Roman" w:hAnsi="Times New Roman"/>
          <w:sz w:val="20"/>
        </w:rPr>
      </w:pPr>
      <w:r>
        <w:rPr>
          <w:rFonts w:ascii="Times New Roman" w:hAnsi="Times New Roman"/>
          <w:sz w:val="20"/>
        </w:rPr>
        <w:t xml:space="preserve">All statements as to matters of law and legal conclusions, but not as to factual matters, contained in this section, unless otherwise noted, are the opinion of Vinson &amp; Elkins L.L.P. and are based on the accuracy of the representations made by us. </w:t>
      </w:r>
    </w:p>
    <w:p>
      <w:pPr>
        <w:pStyle w:val="TextBody"/>
        <w:spacing w:before="180" w:after="0"/>
        <w:rPr>
          <w:rFonts w:ascii="Times New Roman" w:hAnsi="Times New Roman"/>
          <w:sz w:val="20"/>
        </w:rPr>
      </w:pPr>
      <w:r>
        <w:rPr>
          <w:rFonts w:ascii="Times New Roman" w:hAnsi="Times New Roman"/>
          <w:sz w:val="20"/>
        </w:rPr>
        <w:t xml:space="preserve">No ruling has been or will be requested from the IRS regarding any matter affecting us or prospective unitholders. Instead, we will rely on opinions of Vinson &amp; Elkins L.L.P. Unlike a ruling, an opinion of counsel represents only that counsels best legal judgment and does not bind the IRS or the courts. Accordingly, the opinions and statements made herein may not be sustained by a court if contested by the IRS. Any contest of this sort with the IRS may materially and adversely impact the market for our common units and the prices at which common units trade. In addition, the costs of any contest with the IRS, principally legal, accounting and related fees, will result in a reduction in cash available for distribution to our unitholders and our general partner and thus will be borne indirectly by our unitholders and our general partner. Furthermore, the tax treatment of us, or of an investment in us, may be significantly modified by future legislative or administrative changes or court decisions. Any modifications may or may not be retroactively applied. </w:t>
      </w:r>
    </w:p>
    <w:p>
      <w:pPr>
        <w:pStyle w:val="TextBody"/>
        <w:spacing w:before="180" w:after="0"/>
        <w:rPr>
          <w:rFonts w:ascii="Times New Roman" w:hAnsi="Times New Roman"/>
          <w:sz w:val="20"/>
        </w:rPr>
      </w:pPr>
      <w:r>
        <w:rPr>
          <w:rFonts w:ascii="Times New Roman" w:hAnsi="Times New Roman"/>
          <w:sz w:val="20"/>
        </w:rPr>
        <w:t xml:space="preserve">For the reasons described below, Vinson &amp; Elkins L.L.P. has not rendered an opinion with respect to the following specific federal income tax issues: (1) the treatment of a unitholder whose common units are loaned to a short seller to cover a short sale of common units (please see Tax Consequences of Unit OwnershipTreatment of Short Sales); (2) whether our monthly convention for allocating taxable income and losses is permitted by existing Treasury Regulations (please see Disposition of Common UnitsAllocations Between Transferors and Transferees); and (3) whether our method for depreciating Section 743 adjustments is sustainable in certain cases (please see Tax Consequences of Unit OwnershipSection 754 Election). </w:t>
      </w:r>
    </w:p>
    <w:p>
      <w:pPr>
        <w:pStyle w:val="TextBody"/>
        <w:spacing w:before="270" w:after="0"/>
        <w:rPr>
          <w:rFonts w:ascii="Times New Roman" w:hAnsi="Times New Roman"/>
          <w:b/>
          <w:sz w:val="20"/>
        </w:rPr>
      </w:pPr>
      <w:r>
        <w:rPr>
          <w:rFonts w:ascii="Times New Roman" w:hAnsi="Times New Roman"/>
          <w:b/>
          <w:sz w:val="20"/>
        </w:rPr>
        <w:t xml:space="preserve">Partnership Status </w:t>
      </w:r>
    </w:p>
    <w:p>
      <w:pPr>
        <w:pStyle w:val="TextBody"/>
        <w:spacing w:before="90" w:after="0"/>
        <w:rPr>
          <w:rFonts w:ascii="Times New Roman" w:hAnsi="Times New Roman"/>
          <w:sz w:val="20"/>
        </w:rPr>
      </w:pPr>
      <w:r>
        <w:rPr>
          <w:rFonts w:ascii="Times New Roman" w:hAnsi="Times New Roman"/>
          <w:sz w:val="20"/>
        </w:rPr>
        <w:t xml:space="preserve">A partnership is not a taxable entity and incurs no federal income tax liability. Instead, each partner of a partnership is required to take into account his share of items of income, gain, loss and deduction of the partnership in computing his federal income tax liability, regardless of whether cash distributions are made to him by the partnership. Distributions by a partnership to a partner are generally not taxable to the partnership or to the partner unless the amount of cash distributed is in excess of the partners adjusted basis in his partnership interest.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Section 7704 of the Internal Revenue Code provides that publicly traded partnerships will, as a general rule, be taxed as corporations. However, an exception, referred to as the Qualifying Income Exception, exists with respect to publicly traded partnerships of which 90% or more of the gross income for every taxable year consists of qualifying income. Qualifying income includes income and gains derived from the transportation, storage, terminalling and marketing of crude oil, natural gas and products thereof. Other types of qualifying income include interest (other than from a financial business), dividends, gains from the sale of real property and gains from the sale or other disposition of capital assets held for the production of income that otherwise constitutes qualifying income. Moreover, recently enacted legislation has modified Section 7704(d)(1)(E) of the Internal Revenue Code to expand the definition of qualifying income to include income from the storage and transportation of certain alternative fuels and, among other things, the transportation and marketing of industrial source carbon dioxide. We estimate that less than 5% of our current gross income is not qualifying income; however, this estimate could change from time to time. Based upon and subject to this estimate, the factual representations made by us and the general partner and a review of the applicable legal authorities, Vinson &amp; Elkins L.L.P. is of the opinion that at least 90% of our current gross income constitutes qualifying income. The portion of our income that is qualifying income may change from time to time. </w:t>
      </w:r>
    </w:p>
    <w:p>
      <w:pPr>
        <w:pStyle w:val="TextBody"/>
        <w:spacing w:before="180" w:after="0"/>
        <w:rPr>
          <w:rFonts w:ascii="Times New Roman" w:hAnsi="Times New Roman"/>
          <w:sz w:val="20"/>
        </w:rPr>
      </w:pPr>
      <w:r>
        <w:rPr>
          <w:rFonts w:ascii="Times New Roman" w:hAnsi="Times New Roman"/>
          <w:sz w:val="20"/>
        </w:rPr>
        <w:t xml:space="preserve">No ruling has been or will be sought from the IRS and the IRS has made no determination as to our status or the status of the operating partnerships for federal income tax purposes or whether our operations generate qualifying income under Section 7704 of the Internal Revenue Code. Instead, we will rely on the opinion of Vinson &amp; Elkins L.L.P. on such matters. It is the opinion of Vinson &amp; Elkins L.L.P. that, based upon the Internal Revenue Code, its regulations, published revenue rulings and court decisions and the representations described below, we will be classified as a partnership and the operating partnerships will be treated as partnerships or disregarded as entities separate from us for federal income tax purposes. </w:t>
      </w:r>
    </w:p>
    <w:p>
      <w:pPr>
        <w:pStyle w:val="TextBody"/>
        <w:spacing w:before="180" w:after="0"/>
        <w:rPr>
          <w:rFonts w:ascii="Times New Roman" w:hAnsi="Times New Roman"/>
          <w:sz w:val="20"/>
        </w:rPr>
      </w:pPr>
      <w:r>
        <w:rPr>
          <w:rFonts w:ascii="Times New Roman" w:hAnsi="Times New Roman"/>
          <w:sz w:val="20"/>
        </w:rPr>
        <w:t xml:space="preserve">In rendering its opinion, Vinson &amp; Elkins L.L.P. has relied on factual representations made by us and our general partner. The representations made by us and our general partner upon which Vinson &amp; Elkins L.L.P. has relied are: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Neither we nor the operating partnerships have elected or will elect to be treated as a corporation;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 each taxable year, more than 90% of our gross income has been and will be income that Vinson &amp; Elkins L.L.P. has opined or will opine is qualifying income within the meaning of Section 7704(d) of the Internal Revenue Code;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Each hedging transaction that we treat as resulting in qualifying income has been and will be appropriately identified as a hedging transaction pursuant to applicable Treasury Regulations, and has been and will be associated with oil, gas, or products thereof that are held or to be held by us in activities that Vinson &amp; Elkins L.L.P. has opined or will opine result in qualifying income. </w:t>
            </w:r>
          </w:p>
        </w:tc>
      </w:tr>
    </w:tbl>
    <w:p>
      <w:pPr>
        <w:pStyle w:val="TextBody"/>
        <w:spacing w:before="180" w:after="0"/>
        <w:rPr>
          <w:rFonts w:ascii="Times New Roman" w:hAnsi="Times New Roman"/>
          <w:sz w:val="20"/>
        </w:rPr>
      </w:pPr>
      <w:r>
        <w:rPr>
          <w:rFonts w:ascii="Times New Roman" w:hAnsi="Times New Roman"/>
          <w:sz w:val="20"/>
        </w:rPr>
        <w:t xml:space="preserve">We believe that these representations have been true in the past and expect that these representations will be true in the future. </w:t>
      </w:r>
    </w:p>
    <w:p>
      <w:pPr>
        <w:pStyle w:val="TextBody"/>
        <w:spacing w:before="180" w:after="0"/>
        <w:rPr>
          <w:rFonts w:ascii="Times New Roman" w:hAnsi="Times New Roman"/>
          <w:sz w:val="20"/>
        </w:rPr>
      </w:pPr>
      <w:r>
        <w:rPr>
          <w:rFonts w:ascii="Times New Roman" w:hAnsi="Times New Roman"/>
          <w:sz w:val="20"/>
        </w:rPr>
        <w:t xml:space="preserve">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if we had transferred all of our assets, subject to liabilities, to a newly formed corporation, on the first day of the year in which we fail to meet the Qualifying Income Exception, in return for stock in that corporation, and then distributed that stock to the unitholders in liquidation of their interests in us. This deemed contribution and liquidation should be tax-free to unitholders and us so long as we, at that time, do not have liabilities in excess of the tax basis of our assets. Thereafter, we would be treated as a corporation for federal income tax purposes. </w:t>
      </w:r>
    </w:p>
    <w:p>
      <w:pPr>
        <w:pStyle w:val="TextBody"/>
        <w:spacing w:before="180" w:after="0"/>
        <w:rPr>
          <w:rFonts w:ascii="Times New Roman" w:hAnsi="Times New Roman"/>
          <w:sz w:val="20"/>
        </w:rPr>
      </w:pPr>
      <w:r>
        <w:rPr>
          <w:rFonts w:ascii="Times New Roman" w:hAnsi="Times New Roman"/>
          <w:sz w:val="20"/>
        </w:rPr>
        <w:t xml:space="preserve">If we were treated as an association taxable as a corporation in any taxable year, either as a result of a failure to meet the Qualifying Income Exception or otherwise, our items of income, gain, loss and deduction would be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reflected only on our tax return rather than being passed through to the unitholders, and our net income would be taxed to us at corporate rates. In addition, any distribution made to a unitholder would be treated as either taxable dividend income, to the extent of our current or accumulated earnings and profits, or, in the absence of earnings and profits, a nontaxable return of capital, to the extent of the unitholders tax basis in his common units, or taxable capital gain, after the unitholders tax basis in his common units is reduced to zero. Accordingly, taxation as a corporation would result in a material reduction in a unitholders cash flow and after-tax return and thus would likely result in a substantial reduction of the value of the units. </w:t>
      </w:r>
    </w:p>
    <w:p>
      <w:pPr>
        <w:pStyle w:val="TextBody"/>
        <w:spacing w:before="180" w:after="0"/>
        <w:rPr>
          <w:rFonts w:ascii="Times New Roman" w:hAnsi="Times New Roman"/>
          <w:sz w:val="20"/>
        </w:rPr>
      </w:pPr>
      <w:r>
        <w:rPr>
          <w:rFonts w:ascii="Times New Roman" w:hAnsi="Times New Roman"/>
          <w:sz w:val="20"/>
        </w:rPr>
        <w:t xml:space="preserve">The discussion below is based on Vinson &amp; Elkins L.L.P.s opinion that we will be classified as a partnership for federal income tax purposes. </w:t>
      </w:r>
    </w:p>
    <w:p>
      <w:pPr>
        <w:pStyle w:val="TextBody"/>
        <w:spacing w:before="270" w:after="0"/>
        <w:rPr>
          <w:rFonts w:ascii="Times New Roman" w:hAnsi="Times New Roman"/>
          <w:b/>
          <w:sz w:val="20"/>
        </w:rPr>
      </w:pPr>
      <w:r>
        <w:rPr>
          <w:rFonts w:ascii="Times New Roman" w:hAnsi="Times New Roman"/>
          <w:b/>
          <w:sz w:val="20"/>
        </w:rPr>
        <w:t xml:space="preserve">Limited Partner Status </w:t>
      </w:r>
    </w:p>
    <w:p>
      <w:pPr>
        <w:pStyle w:val="TextBody"/>
        <w:spacing w:before="90" w:after="0"/>
        <w:rPr>
          <w:rFonts w:ascii="Times New Roman" w:hAnsi="Times New Roman"/>
          <w:sz w:val="20"/>
        </w:rPr>
      </w:pPr>
      <w:r>
        <w:rPr>
          <w:rFonts w:ascii="Times New Roman" w:hAnsi="Times New Roman"/>
          <w:sz w:val="20"/>
        </w:rPr>
        <w:t xml:space="preserve">Unitholders who have become limited partners of Plains All American Pipeline, L.P. will be treated as partners of Plains All American Pipeline, L.P. for federal income tax purposes. Also: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4"/>
        <w:gridCol w:w="102"/>
        <w:gridCol w:w="9491"/>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assignees who have executed and delivered transfer applications, and are awaiting admission as limited partners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unitholders whose common units are held in street name or by a nominee and who have the right to direct the nominee in the exercise of all substantive rights attendant to the ownership of their common units </w:t>
            </w:r>
          </w:p>
        </w:tc>
      </w:tr>
    </w:tbl>
    <w:p>
      <w:pPr>
        <w:pStyle w:val="TextBody"/>
        <w:spacing w:before="180" w:after="0"/>
        <w:rPr>
          <w:rFonts w:ascii="Times New Roman" w:hAnsi="Times New Roman"/>
          <w:sz w:val="20"/>
        </w:rPr>
      </w:pPr>
      <w:r>
        <w:rPr>
          <w:rFonts w:ascii="Times New Roman" w:hAnsi="Times New Roman"/>
          <w:sz w:val="20"/>
        </w:rPr>
        <w:t xml:space="preserve">will be treated as partners of Plains All American Pipeline, L.P. for federal income tax purposes. As there is no direct or indirect controlling authority addressing assignees of common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common units who does not execute and deliver a transfer application may not receive some federal income tax information or reports furnished to record holders of common units unless the common units are held in a nominee or street name account and the nominee or broker has executed and delivered a transfer application for those common units. </w:t>
      </w:r>
    </w:p>
    <w:p>
      <w:pPr>
        <w:pStyle w:val="TextBody"/>
        <w:spacing w:before="180" w:after="0"/>
        <w:rPr>
          <w:rFonts w:ascii="Times New Roman" w:hAnsi="Times New Roman"/>
          <w:sz w:val="20"/>
        </w:rPr>
      </w:pPr>
      <w:r>
        <w:rPr>
          <w:rFonts w:ascii="Times New Roman" w:hAnsi="Times New Roman"/>
          <w:sz w:val="20"/>
        </w:rPr>
        <w:t xml:space="preserve">A beneficial owner of common units whose units have been transferred to a short seller to complete a short sale would appear to lose his status as a partner with respect to those units for federal income tax purposes. Please see Tax Consequences of Unit OwnershipTreatment of Short Sales. </w:t>
      </w:r>
    </w:p>
    <w:p>
      <w:pPr>
        <w:pStyle w:val="TextBody"/>
        <w:spacing w:before="180" w:after="0"/>
        <w:rPr>
          <w:rFonts w:ascii="Times New Roman" w:hAnsi="Times New Roman"/>
          <w:sz w:val="20"/>
        </w:rPr>
      </w:pPr>
      <w:r>
        <w:rPr>
          <w:rFonts w:ascii="Times New Roman" w:hAnsi="Times New Roman"/>
          <w:sz w:val="20"/>
        </w:rPr>
        <w:t xml:space="preserve">Income, gain, deductions or losses would not appear to be reportable by a unitholder who is not a partner for federal income tax purposes, and any cash distributions received by a unitholder who is not a partner for federal income tax purposes would therefore appear to be fully taxable as ordinary income. These holders are urged to consult their own tax advisors with respect to their tax consequences of holding common units in Plains All American Pipeline, L.P. </w:t>
      </w:r>
    </w:p>
    <w:p>
      <w:pPr>
        <w:pStyle w:val="TextBody"/>
        <w:spacing w:before="180" w:after="0"/>
        <w:rPr>
          <w:rFonts w:ascii="Times New Roman" w:hAnsi="Times New Roman"/>
          <w:sz w:val="20"/>
        </w:rPr>
      </w:pPr>
      <w:r>
        <w:rPr>
          <w:rFonts w:ascii="Times New Roman" w:hAnsi="Times New Roman"/>
          <w:sz w:val="20"/>
        </w:rPr>
        <w:t xml:space="preserve">The references to unitholders in the discussion that follows are to persons who are treated as partners in Plains All American Pipeline, L.P. for federal income tax purposes. </w:t>
      </w:r>
    </w:p>
    <w:p>
      <w:pPr>
        <w:pStyle w:val="TextBody"/>
        <w:spacing w:before="270" w:after="0"/>
        <w:rPr>
          <w:rFonts w:ascii="Times New Roman" w:hAnsi="Times New Roman"/>
          <w:b/>
          <w:sz w:val="20"/>
        </w:rPr>
      </w:pPr>
      <w:r>
        <w:rPr>
          <w:rFonts w:ascii="Times New Roman" w:hAnsi="Times New Roman"/>
          <w:b/>
          <w:sz w:val="20"/>
        </w:rPr>
        <w:t xml:space="preserve">Tax Consequences of Unit Ownership </w:t>
      </w:r>
    </w:p>
    <w:p>
      <w:pPr>
        <w:pStyle w:val="TextBody"/>
        <w:spacing w:before="90" w:after="0"/>
        <w:rPr>
          <w:rFonts w:ascii="Times New Roman" w:hAnsi="Times New Roman"/>
          <w:sz w:val="20"/>
        </w:rPr>
      </w:pPr>
      <w:r>
        <w:rPr>
          <w:rFonts w:ascii="Times New Roman" w:hAnsi="Times New Roman"/>
          <w:i/>
          <w:sz w:val="20"/>
        </w:rPr>
        <w:t>Flow-Through of Taxable Income.</w:t>
      </w:r>
      <w:r>
        <w:rPr>
          <w:rFonts w:ascii="Times New Roman" w:hAnsi="Times New Roman"/>
          <w:sz w:val="20"/>
        </w:rPr>
        <w:t xml:space="preserve"> We will not pay any federal income tax. Instead, each unitholder will be required to report on his income tax return his share of our income, gains, losses and deductions without regard to whether corresponding cash distributions are received by him. Consequently, we may allocate income to a unitholder even if he has not received a cash distribution. Each unitholder will be required to include in income his allocable share of our income, gains, losses and deductions for our taxable year ending with or within his taxable year. Our taxable year ends on December 31.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i/>
          <w:sz w:val="20"/>
        </w:rPr>
        <w:t>Treatment of Distributions.</w:t>
      </w:r>
      <w:r>
        <w:rPr>
          <w:rFonts w:ascii="Times New Roman" w:hAnsi="Times New Roman"/>
          <w:sz w:val="20"/>
        </w:rPr>
        <w:t xml:space="preserve"> Distributions by us to a unitholder generally will not be taxable to the unitholder for federal income tax purposes, except to the extent the amount of any such cash distribution exceeds his tax basis in his common units immediately before the distribution. Our cash distributions in excess of a unitholders tax basis generally will be considered to be gain from the sale or exchange of our common units, taxable in accordance with the rules described under Disposition of Common Units. Any reduction in a unitholders share of our liabilities for which no partner, including the general partner, bears the economic risk of loss, known as nonrecourse liabilities, will be treated as a distribution of cash to that unitholder. To the extent our distributions cause a unitholders at risk amount to be less than zero at the end of any taxable year, he must recapture any losses deducted in previous years. Please see Limitations on Deductibility of Losses. </w:t>
      </w:r>
    </w:p>
    <w:p>
      <w:pPr>
        <w:pStyle w:val="TextBody"/>
        <w:spacing w:before="180" w:after="0"/>
        <w:rPr>
          <w:rFonts w:ascii="Times New Roman" w:hAnsi="Times New Roman"/>
          <w:sz w:val="20"/>
        </w:rPr>
      </w:pPr>
      <w:r>
        <w:rPr>
          <w:rFonts w:ascii="Times New Roman" w:hAnsi="Times New Roman"/>
          <w:sz w:val="20"/>
        </w:rPr>
        <w:t xml:space="preserve">A decrease in a unitholders percentage interest in us because of our issuance of additional common units will decrease his share of our nonrecourse liabilities, and thus will result in a corresponding deemed distribution of cash. This deemed distribution may constitute a non-pro rata distribution. A non-pro rata distribution of money or property may result in ordinary income to a unitholder, regardless of his tax basis in his common units, if the distribution reduces the unitholders share of our unrealized receivables, including depreciation recapture, and/or substantially appreciated inventory items, both as defined in the Internal Revenue Code, and collectively, Section 751 Assets. To that extent, he will be treated as having been distributed his proportionate share of the Section 751 Assets and then having exchanged those assets with us in return for the non-pro rata portion of the actual distribution made to him. This latter deemed exchange will generally result in the unitholders realization of ordinary income, which will equal the excess of (1) the non-pro rata portion of that distribution over (2) the unitholders tax basis (generally zero) for the share of Section 751 Assets deemed relinquished in the exchange. </w:t>
      </w:r>
    </w:p>
    <w:p>
      <w:pPr>
        <w:pStyle w:val="TextBody"/>
        <w:spacing w:before="180" w:after="0"/>
        <w:rPr>
          <w:rFonts w:ascii="Times New Roman" w:hAnsi="Times New Roman"/>
          <w:sz w:val="20"/>
        </w:rPr>
      </w:pPr>
      <w:r>
        <w:rPr>
          <w:rFonts w:ascii="Times New Roman" w:hAnsi="Times New Roman"/>
          <w:i/>
          <w:sz w:val="20"/>
        </w:rPr>
        <w:t>Basis of Common Units.</w:t>
      </w:r>
      <w:r>
        <w:rPr>
          <w:rFonts w:ascii="Times New Roman" w:hAnsi="Times New Roman"/>
          <w:sz w:val="20"/>
        </w:rPr>
        <w:t xml:space="preserve"> A unitholders initial tax basis for his common units will be the amount he paid for our common units plus his share of our nonrecourse liabilities. That basis will be increased by his share of our income and by any increases in his share of our nonrecourse liabilities. That basis will be decreased, but not below zero, by distributions from us, by the unitholders share of our losses, by any decreases in his share of our nonrecourse liabilities and by his share of our expenditures that are not deductible in computing taxable income and are not required to be capitalized. A unitholder will have no share of our debt that is recourse to our general partner, but will have a share, generally based on his share of profits, of our nonrecourse liabilities. Please see Disposition of Common UnitsRecognition of Gain or Loss. </w:t>
      </w:r>
    </w:p>
    <w:p>
      <w:pPr>
        <w:pStyle w:val="TextBody"/>
        <w:spacing w:before="180" w:after="0"/>
        <w:rPr>
          <w:rFonts w:ascii="Times New Roman" w:hAnsi="Times New Roman"/>
          <w:sz w:val="20"/>
        </w:rPr>
      </w:pPr>
      <w:r>
        <w:rPr>
          <w:rFonts w:ascii="Times New Roman" w:hAnsi="Times New Roman"/>
          <w:i/>
          <w:sz w:val="20"/>
        </w:rPr>
        <w:t>Limitations on Deductibility of Losses.</w:t>
      </w:r>
      <w:r>
        <w:rPr>
          <w:rFonts w:ascii="Times New Roman" w:hAnsi="Times New Roman"/>
          <w:sz w:val="20"/>
        </w:rPr>
        <w:t xml:space="preserve"> The deduction by a unitholder of his share of our losses will be limited to the tax basis in his units and, in the case of an individual unitholder, estate, trust, or corporate unitholder (if more than 50% of the value of the corporate unitholders stock is owned directly or indirectly by or for five or fewer individuals) or some tax-exempt organizations, to the amount for which the unitholder is considered to be at risk with respect to our activities, if that is less than his tax basis. A common unitholder subject to these limitations must recapture losses deducted in previous years to the extent that distributions cause his at-risk amount to be less than zero at the end of any taxable year. Losses disallowed to a unitholder or recaptured as a result of these limitations will carry forward and will be allowable as a deduction to the extent that his at-risk amount is subsequently increased provided such losses do not exceed such common unitholders tax basis in his common units. Upon the taxable disposition of a unit, any gain recognized by a unitholder can be offset by losses that were previously suspended by the at-risk limitation but may not be offset by losses suspended by the basis limitation. Any loss previously suspended by the at-risk limitation in excess of that gain would no longer be utilizable. </w:t>
      </w:r>
    </w:p>
    <w:p>
      <w:pPr>
        <w:pStyle w:val="TextBody"/>
        <w:spacing w:before="180" w:after="0"/>
        <w:rPr>
          <w:rFonts w:ascii="Times New Roman" w:hAnsi="Times New Roman"/>
          <w:sz w:val="20"/>
        </w:rPr>
      </w:pPr>
      <w:r>
        <w:rPr>
          <w:rFonts w:ascii="Times New Roman" w:hAnsi="Times New Roman"/>
          <w:sz w:val="20"/>
        </w:rPr>
        <w:t xml:space="preserve">In general, a unitholder will be at risk to the extent of the tax basis of his units, excluding any portion of that basis attributable to his share of our nonrecourse liabilities, reduced by (i) any portion of that basis representing amounts otherwise protected against loss because of a guarantee, stop loss agreement or other similar arrangement and (ii) any amount of money he borrows to acquire or hold his units, if the lender of those borrowed funds owns an interest in us, is related to the unitholder or can look only to the units for repayment. A unitholders at-risk amount will increase or decrease as the tax basis of the unitholders units increases or decreases, other than tax basis increases or decreases attributable to increases or decreases in his share of our nonrecourse liabilities.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In addition to the basis and at-risk limitations on the deductibility of losses, the passive loss limitations generally provide that individuals, estates, trusts and some closely-held corporations and personal service corporations can deduct losses from passive activities, which are generally trade or business activities in which the taxpayer does not materially participate, only to the extent of the taxpayers income from those passive activities. The passive loss limitations are applied separately with respect to each publicly traded partnership. Consequently, any passive losses we generate will only be available to offset our passive income generated in the future and will not be available to offset income from other passive activities or investments, including our investments or investments in other publicly traded partnerships, or salary or active business income. Passive losses that are not deductible because they exceed a unitholders share of income we generate may be deducted in full when he disposes of his entire investment in us in a fully taxable transaction with an unrelated party. The passive loss limitations are applied after other applicable limitations on deductions, including the at-risk rules and the basis limitation. </w:t>
      </w:r>
    </w:p>
    <w:p>
      <w:pPr>
        <w:pStyle w:val="TextBody"/>
        <w:spacing w:before="180" w:after="0"/>
        <w:rPr>
          <w:rFonts w:ascii="Times New Roman" w:hAnsi="Times New Roman"/>
          <w:sz w:val="20"/>
        </w:rPr>
      </w:pPr>
      <w:r>
        <w:rPr>
          <w:rFonts w:ascii="Times New Roman" w:hAnsi="Times New Roman"/>
          <w:sz w:val="20"/>
        </w:rPr>
        <w:t xml:space="preserve">A unitholders share of our net income may be offset by any of our suspended passive losses, but it may not be offset by any other current or carryover losses from other passive activities, including those attributable to other publicly traded partnerships. </w:t>
      </w:r>
    </w:p>
    <w:p>
      <w:pPr>
        <w:pStyle w:val="TextBody"/>
        <w:spacing w:before="180" w:after="0"/>
        <w:rPr>
          <w:rFonts w:ascii="Times New Roman" w:hAnsi="Times New Roman"/>
          <w:sz w:val="20"/>
        </w:rPr>
      </w:pPr>
      <w:r>
        <w:rPr>
          <w:rFonts w:ascii="Times New Roman" w:hAnsi="Times New Roman"/>
          <w:i/>
          <w:sz w:val="20"/>
        </w:rPr>
        <w:t>Limitations on Interest Deductions.</w:t>
      </w:r>
      <w:r>
        <w:rPr>
          <w:rFonts w:ascii="Times New Roman" w:hAnsi="Times New Roman"/>
          <w:sz w:val="20"/>
        </w:rPr>
        <w:t xml:space="preserve"> The deductibility of a non-corporate taxpayers investment interest expense is generally limited to the amount of that taxpayers net investment income. Investment interest expense includes: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interest on indebtedness properly allocable to property held for investment;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interest expense attributed to portfolio income;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portion of interest expense incurred to purchase or carry an interest in a passive activity to the extent attributable to portfolio income. </w:t>
            </w:r>
          </w:p>
        </w:tc>
      </w:tr>
    </w:tbl>
    <w:p>
      <w:pPr>
        <w:pStyle w:val="TextBody"/>
        <w:spacing w:before="180" w:after="0"/>
        <w:rPr>
          <w:rFonts w:ascii="Times New Roman" w:hAnsi="Times New Roman"/>
          <w:sz w:val="20"/>
        </w:rPr>
      </w:pPr>
      <w:r>
        <w:rPr>
          <w:rFonts w:ascii="Times New Roman" w:hAnsi="Times New Roman"/>
          <w:sz w:val="20"/>
        </w:rPr>
        <w:t xml:space="preserve">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but generally does not include gains attributable to the disposition of property held for investment or qualified dividend income. The IRS has indicated that the net passive income earned by a publicly traded partnership will be treated as investment income to its unitholders. In addition, the unitholders share of our portfolio income will be treated as investment income. </w:t>
      </w:r>
    </w:p>
    <w:p>
      <w:pPr>
        <w:pStyle w:val="TextBody"/>
        <w:spacing w:before="180" w:after="0"/>
        <w:rPr>
          <w:rFonts w:ascii="Times New Roman" w:hAnsi="Times New Roman"/>
          <w:sz w:val="20"/>
        </w:rPr>
      </w:pPr>
      <w:r>
        <w:rPr>
          <w:rFonts w:ascii="Times New Roman" w:hAnsi="Times New Roman"/>
          <w:i/>
          <w:sz w:val="20"/>
        </w:rPr>
        <w:t>Entity-Level Collections.</w:t>
      </w:r>
      <w:r>
        <w:rPr>
          <w:rFonts w:ascii="Times New Roman" w:hAnsi="Times New Roman"/>
          <w:sz w:val="20"/>
        </w:rPr>
        <w:t xml:space="preserve"> If we are required or elect under applicable law to pay any federal, state, local or foreign income tax on behalf of any unitholder or our general partner or any former unitholder, we are authorized to pay those taxes from our funds. That payment, if made, will be treated as a distribution of cash to the partner on whose behalf the payment was made. If the payment is made on behalf of a person whose identity cannot be determined, we are authorized to treat the payment as a distribution to all current unitholders. We are authorized to amend our partnership agreement in the manner necessary to maintain uniformity of intrinsic tax characteristics of units and to adjust later distributions, so that after giving effect to these distributions, the priority and characterization of distributions otherwise applicable under our partnership agreement is maintained as nearly as is practicable. Payments by us as described above could give rise to an overpayment of tax on behalf of an individual partner in which event the partner would be required to file a claim in order to obtain a credit or refund. </w:t>
      </w:r>
    </w:p>
    <w:p>
      <w:pPr>
        <w:pStyle w:val="TextBody"/>
        <w:spacing w:before="180" w:after="0"/>
        <w:rPr>
          <w:rFonts w:ascii="Times New Roman" w:hAnsi="Times New Roman"/>
          <w:sz w:val="20"/>
        </w:rPr>
      </w:pPr>
      <w:r>
        <w:rPr>
          <w:rFonts w:ascii="Times New Roman" w:hAnsi="Times New Roman"/>
          <w:i/>
          <w:sz w:val="20"/>
        </w:rPr>
        <w:t>Allocation of Income, Gain, Loss and Deduction.</w:t>
      </w:r>
      <w:r>
        <w:rPr>
          <w:rFonts w:ascii="Times New Roman" w:hAnsi="Times New Roman"/>
          <w:sz w:val="20"/>
        </w:rPr>
        <w:t xml:space="preserve"> In general, if we have a net profit, our items of income, gain, loss and deduction will be allocated among our general partner and the unitholders in accordance with their percentage interests in us. At any time that distributions are made to our common units in excess of distributions to the subordinated units, or incentive distributions are made to our general partner, gross income will be allocated to the recipients to the extent of these distributions. If we have a net loss, that loss will be allocated first to the general partner and the unitholders in accordance with their percentage interests in us to the extent of their positive capital accounts and, second, to the general partner.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Specified items of our income, gain, loss and deduction will be allocated to account for (i) any difference between the tax basis and fair market value of our assets at the time of an offering and (ii) any difference between the tax basis and fair market value of any property contributed to us by the general partner and its affiliates that exists at the time of such contribution, together, referred to in this discussion as Contributed Property. The effect of these allocations, referred to as Section 704(c) Allocations, to a unitholder purchasing common units from us in an offering will be essentially the same as if the tax basis of our assets were equal to their fair market value at the time of such offering. In the event we issue additional common units or engage in certain other transactions in the future reverse Section 704(c) Allocations, similar to the Section 704(c) Allocations described above, will be made to all holders of partnership interests immediately prior to such other transactions to account for the difference between the book basis for purposes of maintaining capital accounts and the fair market value of all property held by us at the time of the future transaction. In addition, items of recapture income will be allocated to the extent possible to the partner who was allocated the deduction giving rise to the treatment of that gain as recapture income in order to minimize the recognition of ordinary income by some unitholders. Finally, although we do not expect that our operations will result in the creation of negative capital accounts, if negative capital accounts nevertheless result, items of our income and gain will be allocated in an amount and manner as is needed to eliminate the negative balance as quickly as possible. </w:t>
      </w:r>
    </w:p>
    <w:p>
      <w:pPr>
        <w:pStyle w:val="TextBody"/>
        <w:spacing w:before="180" w:after="0"/>
        <w:rPr>
          <w:rFonts w:ascii="Times New Roman" w:hAnsi="Times New Roman"/>
          <w:sz w:val="20"/>
        </w:rPr>
      </w:pPr>
      <w:r>
        <w:rPr>
          <w:rFonts w:ascii="Times New Roman" w:hAnsi="Times New Roman"/>
          <w:sz w:val="20"/>
        </w:rPr>
        <w:t xml:space="preserve">An allocation of items of our income, gain, loss or deduction, other than an allocation required by the Internal Revenue Code to eliminate the difference between a partners book capital account, credited with the fair market value of Contributed Property, and tax capital account, credited with the tax basis of Contributed Property, referred to in this discussion as the Book-Tax Disparity, will generally be given effect for federal income tax purposes in determining a partners share of an item of income, gain, loss or deduction only if the allocation has substantial economic effect. In any other case, a partners share of an item will be determined on the basis of his interest in us, which will be determined by taking into account all the facts and circumstances, including: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his relative contributions to us;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interests of all the partners in profits and losses;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interest of all the partners in cash flow;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rights of all the partners to distributions of capital upon liquidation. </w:t>
            </w:r>
          </w:p>
        </w:tc>
      </w:tr>
    </w:tbl>
    <w:p>
      <w:pPr>
        <w:pStyle w:val="TextBody"/>
        <w:spacing w:before="180" w:after="0"/>
        <w:rPr>
          <w:rFonts w:ascii="Times New Roman" w:hAnsi="Times New Roman"/>
          <w:sz w:val="20"/>
        </w:rPr>
      </w:pPr>
      <w:r>
        <w:rPr>
          <w:rFonts w:ascii="Times New Roman" w:hAnsi="Times New Roman"/>
          <w:sz w:val="20"/>
        </w:rPr>
        <w:t xml:space="preserve">Vinson &amp; Elkins L.L.P. is of the opinion that, with the exception of the issues described in Section 754 Election and Disposition of Common UnitsAllocations Between Transferors and Transferees, allocations under our partnership agreement will be given effect for federal income tax purposes in determining a partners share of an item of income, gain, loss or deduction. </w:t>
      </w:r>
    </w:p>
    <w:p>
      <w:pPr>
        <w:pStyle w:val="TextBody"/>
        <w:spacing w:before="180" w:after="0"/>
        <w:rPr>
          <w:rFonts w:ascii="Times New Roman" w:hAnsi="Times New Roman"/>
          <w:sz w:val="20"/>
        </w:rPr>
      </w:pPr>
      <w:r>
        <w:rPr>
          <w:rFonts w:ascii="Times New Roman" w:hAnsi="Times New Roman"/>
          <w:i/>
          <w:sz w:val="20"/>
        </w:rPr>
        <w:t>Treatment of Short Sales.</w:t>
      </w:r>
      <w:r>
        <w:rPr>
          <w:rFonts w:ascii="Times New Roman" w:hAnsi="Times New Roman"/>
          <w:sz w:val="20"/>
        </w:rPr>
        <w:t xml:space="preserve"> A unitholder whose units are loaned to a short seller to cover a short sale of units may be considered as having disposed of those units. If so, he would no longer be treated for tax purposes as a partner with respect to those units during the period of the loan and may recognize gain or loss from the disposition. As a result, during this period: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of our income, gain, loss or deduction with respect to those units would not be reportable by the unitholder;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cash distributions received by the unitholder as to those units would be fully taxable;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of these distributions would appear to be ordinary income. </w:t>
            </w:r>
          </w:p>
        </w:tc>
      </w:tr>
    </w:tbl>
    <w:p>
      <w:pPr>
        <w:pStyle w:val="TextBody"/>
        <w:spacing w:before="180" w:after="0"/>
        <w:rPr>
          <w:rFonts w:ascii="Times New Roman" w:hAnsi="Times New Roman"/>
          <w:sz w:val="20"/>
        </w:rPr>
      </w:pPr>
      <w:r>
        <w:rPr>
          <w:rFonts w:ascii="Times New Roman" w:hAnsi="Times New Roman"/>
          <w:sz w:val="20"/>
        </w:rPr>
        <w:t xml:space="preserve">Vinson &amp; Elkins L.L.P. has not rendered an opinion regarding the treatment of a unitholder where common units are loaned to a short seller to cover a short sale of common units; therefore, unitholders desiring to assure their status as partners and avoid the risk of gain recognition from a loan to a short seller are urged to modify any applicable brokerage account agreements to prohibit their brokers from borrowing their units. The IRS has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announced that it is actively studying issues relating to the tax treatment of short sales of partnership interests. Please also read Disposition of Common UnitsRecognition of Gain or Loss. </w:t>
      </w:r>
    </w:p>
    <w:p>
      <w:pPr>
        <w:pStyle w:val="TextBody"/>
        <w:spacing w:before="180" w:after="0"/>
        <w:rPr>
          <w:rFonts w:ascii="Times New Roman" w:hAnsi="Times New Roman"/>
          <w:sz w:val="20"/>
        </w:rPr>
      </w:pPr>
      <w:r>
        <w:rPr>
          <w:rFonts w:ascii="Times New Roman" w:hAnsi="Times New Roman"/>
          <w:i/>
          <w:sz w:val="20"/>
        </w:rPr>
        <w:t>Alternative Minimum Tax.</w:t>
      </w:r>
      <w:r>
        <w:rPr>
          <w:rFonts w:ascii="Times New Roman" w:hAnsi="Times New Roman"/>
          <w:sz w:val="20"/>
        </w:rPr>
        <w:t xml:space="preserve"> Each unitholder will be required to take into account his distributive share of any items of our income, gain, loss or deduction for purposes of the alternative minimum tax. The current minimum tax rate for noncorporate taxpayers is 26% on the first $175,000 of alternative minimum taxable income in excess of the exemption amount and 28% on any additional alternative minimum taxable income. Prospective unitholders are urged to consult with their tax advisors as to the impact of an investment in units on their liability for the alternative minimum tax. </w:t>
      </w:r>
    </w:p>
    <w:p>
      <w:pPr>
        <w:pStyle w:val="TextBody"/>
        <w:spacing w:before="180" w:after="0"/>
        <w:rPr>
          <w:rFonts w:ascii="Times New Roman" w:hAnsi="Times New Roman"/>
          <w:sz w:val="20"/>
        </w:rPr>
      </w:pPr>
      <w:r>
        <w:rPr>
          <w:rFonts w:ascii="Times New Roman" w:hAnsi="Times New Roman"/>
          <w:i/>
          <w:sz w:val="20"/>
        </w:rPr>
        <w:t>Tax Rates.</w:t>
      </w:r>
      <w:r>
        <w:rPr>
          <w:rFonts w:ascii="Times New Roman" w:hAnsi="Times New Roman"/>
          <w:sz w:val="20"/>
        </w:rPr>
        <w:t xml:space="preserve"> Under current law, the highest marginal U.S. federal income tax rate applicable to ordinary income of individuals is 35% and the highest marginal U.S. federal income tax rate applicable to long-term capital gains (generally, capital gains on certain assets held for more than 12 months) of individuals is 15%. However, absent new legislation extending the current rates, beginning January 1, 2011, the highest marginal U.S. federal income tax rate applicable to ordinary income and long-term capital gains of individuals will increase to 39.6% and 20%, respectively. Moreover, these rates are subject to change by new legislation at any time. </w:t>
      </w:r>
    </w:p>
    <w:p>
      <w:pPr>
        <w:pStyle w:val="TextBody"/>
        <w:spacing w:before="180" w:after="0"/>
        <w:rPr>
          <w:rFonts w:ascii="Times New Roman" w:hAnsi="Times New Roman"/>
          <w:sz w:val="20"/>
        </w:rPr>
      </w:pPr>
      <w:r>
        <w:rPr>
          <w:rFonts w:ascii="Times New Roman" w:hAnsi="Times New Roman"/>
          <w:i/>
          <w:sz w:val="20"/>
        </w:rPr>
        <w:t>Section 754 Election.</w:t>
      </w:r>
      <w:r>
        <w:rPr>
          <w:rFonts w:ascii="Times New Roman" w:hAnsi="Times New Roman"/>
          <w:sz w:val="20"/>
        </w:rPr>
        <w:t xml:space="preserve"> We have made the election permitted by Section 754 of the Internal Revenue Code. That election is irrevocable without the consent of the IRS. The election will generally permit us to adjust a common unit purchasers tax basis in our assets (inside basis) under Section 743(b) of the Internal Revenue Code to reflect his purchase price. This election does not apply to a person who purchases common units directly from us. The Section 743(b) adjustment belongs to the purchaser and not to other unitholders. For purposes of this discussion, a unitholders inside basis in our assets will be considered to have two components: (1) his share of our tax basis in our assets (common basis) and (2) his Section 743(b) adjustment to that basis. </w:t>
      </w:r>
    </w:p>
    <w:p>
      <w:pPr>
        <w:pStyle w:val="TextBody"/>
        <w:spacing w:before="180" w:after="0"/>
        <w:rPr>
          <w:rFonts w:ascii="Times New Roman" w:hAnsi="Times New Roman"/>
          <w:sz w:val="20"/>
        </w:rPr>
      </w:pPr>
      <w:r>
        <w:rPr>
          <w:rFonts w:ascii="Times New Roman" w:hAnsi="Times New Roman"/>
          <w:sz w:val="20"/>
        </w:rPr>
        <w:t xml:space="preserve">Where the remedial allocation method is adopted (which we have generally adopted as to all of our properties), the Treasury Regulations under Section 743 of the Internal Revenue Code require a portion of the Section 743(b) adjustment that is attributable to recovery property subject to depreciation under Section 168 of the Internal Revenue Code whose book basis is in excess of its tax basis to be depreciated over the remaining cost recovery period for the propertys unamortized Book-Tax Disparity. Under Treasury Regulation Section 1.167(c)-1(a)(6), a Section 743(b) adjustment attributable to property subject to depreciation under Section 167 of the Internal Revenue Code, rather than cost recovery deductions under Section 168, is generally required to be depreciated using either the straight-line method or the 150% declining balance method. If we elect a method other than the remedial method, the depreciation and amortization methods and useful lives associated with the Section 743(b) adjustment, therefore, may differ from the methods and useful lives generally used to depreciate the inside basis in such properties. Under our partnership agreement, the general partner is authorized to take a position to preserve the uniformity of units even if that position is not consistent with these and any other Treasury Regulations. If we elect a method other than the remedial method with respect to a goodwill property, the common basis of such property is not amortizable. Please see Uniformity of Units. </w:t>
      </w:r>
    </w:p>
    <w:p>
      <w:pPr>
        <w:pStyle w:val="TextBody"/>
        <w:spacing w:before="180" w:after="0"/>
        <w:rPr>
          <w:rFonts w:ascii="Times New Roman" w:hAnsi="Times New Roman"/>
          <w:sz w:val="20"/>
        </w:rPr>
      </w:pPr>
      <w:r>
        <w:rPr>
          <w:rFonts w:ascii="Times New Roman" w:hAnsi="Times New Roman"/>
          <w:sz w:val="20"/>
        </w:rPr>
        <w:t xml:space="preserve">Although Vinson &amp; Elkins L.L.P. is unable to opine as to the validity of this approach because there is no direct or indirect controlling authority on this issue, we intend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propertys unamortized Book-Tax Disparity, or treat that portion as non-amortizable to the extent attributable to property which is not amortizable. This method is consistent with the methods employed by other publicly traded partnerships but is arguably inconsistent with Treasury Regulation Section 1.167(c)-1(a)(6), which is not expected to directly apply to a material portion of our assets. To the extent this Section 743(b) adjustment is attributable to appreciation in value in excess of the unamortized Book-Tax Disparity, we will apply the rules described in the Treasury Regulations and legislative history. If we determine that this position cannot reasonably be taken, we may take a depreciation or amortization position under which all purchasers acquiring units in the same month would receive depreciation 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amortization, whether attributable to common basis or a Section 743(b) adjustment, based upon the same applicable rate as if they had purchased a direct interest in our assets. This kind of aggregate approach may result in lower annual depreciation or amortization deductions than would otherwise be allowable to some unitholders. Please see Uniformity of Units. A unitholders tax basis for his common units is reduced by his share of our deductions (whether or not such deductions were claimed on an individuals income tax return) so that any position we take that understates deductions will overstate the common unitholders basis in his common units, which may cause the unitholder to understate gain or overstate loss on any sale of such units. Please see Disposition of Common UnitsRecognition of Gain or Loss. The IRS may challenge our position with respect to depreciating or amortizing the Section 743(b) adjustment we take to preserve the uniformity of the units. If such a challenge were sustained, the gain from the sale of units might be increased without the benefit of additional deductions. </w:t>
      </w:r>
    </w:p>
    <w:p>
      <w:pPr>
        <w:pStyle w:val="TextBody"/>
        <w:spacing w:before="180" w:after="0"/>
        <w:rPr>
          <w:rFonts w:ascii="Times New Roman" w:hAnsi="Times New Roman"/>
          <w:sz w:val="20"/>
        </w:rPr>
      </w:pPr>
      <w:r>
        <w:rPr>
          <w:rFonts w:ascii="Times New Roman" w:hAnsi="Times New Roman"/>
          <w:sz w:val="20"/>
        </w:rPr>
        <w:t xml:space="preserve">A Section 754 election is advantageous if the transferees tax basis in his units is higher than the units share of the aggregate tax basis of our assets immediately prior to the transfer. In that case, as a result of the election, the transferee would have, among other items, a greater amount of depreciation deductions and his share of any gain or loss on a sale of our assets would be less. Conversely, a Section 754 election is disadvantageous if the transferees tax basis in his units is lower than those units share of the aggregate tax basis of our assets immediately prior to the transfer. Thus, the fair market value of the units may be affected either favorably or unfavorably by the election. A basis adjustment is required regardless of whether a Section 754 election is made in the case of a transfer of an interest in us if we have a substantial built-in loss immediately after the transfer, or if we distribute property and have a substantial basis reduction. Generally a built-in loss or a basis reduction is substantial if it exceeds $250,000. </w:t>
      </w:r>
    </w:p>
    <w:p>
      <w:pPr>
        <w:pStyle w:val="TextBody"/>
        <w:spacing w:before="180" w:after="0"/>
        <w:rPr>
          <w:rFonts w:ascii="Times New Roman" w:hAnsi="Times New Roman"/>
          <w:sz w:val="20"/>
        </w:rPr>
      </w:pPr>
      <w:r>
        <w:rPr>
          <w:rFonts w:ascii="Times New Roman" w:hAnsi="Times New Roman"/>
          <w:sz w:val="20"/>
        </w:rPr>
        <w:t xml:space="preserve">The calculations involved in the Section 754 election are complex and will be made on the basis of assumptions as to the value of our assets and other matters. For example, the allocation of the Section 743(b) adjustment among our assets must be made in accordance with the Internal Revenue Code. The IRS could seek to reallocate some or all of any Section 743(b) adjustment allocated by us to our tangible assets to goodwill instead. Goodwill, as an intangible asset, is generally nonamortizable or amortizable over a longer period of time or under a less accelerated method than our tangible assets. We cannot assure you that the determinations we make will not be successfully challenged by the IRS and that the deductions resulting from them will not be reduced or disallowed altogether. Should the IRS require a different basis adjustment to be made, and should, in our opinion, the expense of compliance exceed the benefit of the election, we may seek permission from the IRS to revoke our Section 754 election. If permission is granted, a subsequent purchaser of units may be allocated more income than he would have been allocated had the election not been revoked. </w:t>
      </w:r>
    </w:p>
    <w:p>
      <w:pPr>
        <w:pStyle w:val="TextBody"/>
        <w:spacing w:before="270" w:after="0"/>
        <w:rPr>
          <w:rFonts w:ascii="Times New Roman" w:hAnsi="Times New Roman"/>
          <w:b/>
          <w:sz w:val="20"/>
        </w:rPr>
      </w:pPr>
      <w:r>
        <w:rPr>
          <w:rFonts w:ascii="Times New Roman" w:hAnsi="Times New Roman"/>
          <w:b/>
          <w:sz w:val="20"/>
        </w:rPr>
        <w:t xml:space="preserve">Tax Treatment of Operations </w:t>
      </w:r>
    </w:p>
    <w:p>
      <w:pPr>
        <w:pStyle w:val="TextBody"/>
        <w:spacing w:before="90" w:after="0"/>
        <w:rPr>
          <w:rFonts w:ascii="Times New Roman" w:hAnsi="Times New Roman"/>
          <w:sz w:val="20"/>
        </w:rPr>
      </w:pPr>
      <w:r>
        <w:rPr>
          <w:rFonts w:ascii="Times New Roman" w:hAnsi="Times New Roman"/>
          <w:i/>
          <w:sz w:val="20"/>
        </w:rPr>
        <w:t>Accounting Method and Taxable Year.</w:t>
      </w:r>
      <w:r>
        <w:rPr>
          <w:rFonts w:ascii="Times New Roman" w:hAnsi="Times New Roman"/>
          <w:sz w:val="20"/>
        </w:rPr>
        <w:t xml:space="preserve"> We use the year ending December 31 as our taxable year and the accrual method of accounting for federal income tax purposes. Each unitholder will be required to include in income his share of our income, gain, loss and deduction for our taxable year ending within or with his taxable year. In addition, a unitholder who has a taxable year ending on a date other than December 31 and who disposes of all of his units following the close of our taxable year but before the close of his taxable year must include his share of our income, gain, loss and deduction in income for his taxable year, with the result that he will be required to include in income for his taxable year his share of more than one year of our income, gain, loss and deduction. Please see Disposition of Common UnitsAllocations Between Transferors and Transferees. </w:t>
      </w:r>
    </w:p>
    <w:p>
      <w:pPr>
        <w:pStyle w:val="TextBody"/>
        <w:spacing w:before="180" w:after="0"/>
        <w:rPr>
          <w:rFonts w:ascii="Times New Roman" w:hAnsi="Times New Roman"/>
          <w:sz w:val="20"/>
        </w:rPr>
      </w:pPr>
      <w:r>
        <w:rPr>
          <w:rFonts w:ascii="Times New Roman" w:hAnsi="Times New Roman"/>
          <w:i/>
          <w:sz w:val="20"/>
        </w:rPr>
        <w:t>Initial Tax Basis, Depreciation and Amortization.</w:t>
      </w:r>
      <w:r>
        <w:rPr>
          <w:rFonts w:ascii="Times New Roman" w:hAnsi="Times New Roman"/>
          <w:sz w:val="20"/>
        </w:rPr>
        <w:t xml:space="preserve"> The tax basis of our assets will be used for purposes of computing depreciation and cost recovery deductions and, ultimately, gain or loss on the disposition of these assets. The federal income tax burden associated with the difference between the fair market value of our assets and their tax basis immediately prior to an offering will be borne by our unitholders holding interests in us prior to any such offering. Please see Tax Consequences of Unit OwnershipAllocation of Income, Gain, Loss and Deduction.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To the extent allowable, we may elect to use the depreciation and cost recovery methods that will result in the largest deductions being taken in the early years after assets subject to these allowances are placed in service. Because our general partner may determine not to adopt the remedial method of allocation with respect to any difference between the tax basis and the fair market value of goodwill immediately prior to any future offering, we may not be entitled to any amortization deductions with respect to any goodwill conveyed to us on formation or held by us at the time of any future offering. Please see  Uniformity of Units. Property we subsequently acquire or construct may be depreciated using accelerated methods permitted by the Internal Revenue Code. </w:t>
      </w:r>
    </w:p>
    <w:p>
      <w:pPr>
        <w:pStyle w:val="TextBody"/>
        <w:spacing w:before="180" w:after="0"/>
        <w:rPr>
          <w:rFonts w:ascii="Times New Roman" w:hAnsi="Times New Roman"/>
          <w:sz w:val="20"/>
        </w:rPr>
      </w:pPr>
      <w:r>
        <w:rPr>
          <w:rFonts w:ascii="Times New Roman" w:hAnsi="Times New Roman"/>
          <w:sz w:val="20"/>
        </w:rPr>
        <w:t xml:space="preserve">If we dispose of depreciable property by sale, foreclosure or otherwise, all or a portion of any gain, determined by reference to the amount of depreciation previously deducted and the nature of the property,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his interest in us. Please see Tax Consequences of Unit OwnershipAllocation of Income, Gain, Loss and Deduction and Disposition of Common UnitsRecognition of Gain or Loss. </w:t>
      </w:r>
    </w:p>
    <w:p>
      <w:pPr>
        <w:pStyle w:val="TextBody"/>
        <w:spacing w:before="180" w:after="0"/>
        <w:rPr>
          <w:rFonts w:ascii="Times New Roman" w:hAnsi="Times New Roman"/>
          <w:sz w:val="20"/>
        </w:rPr>
      </w:pPr>
      <w:r>
        <w:rPr>
          <w:rFonts w:ascii="Times New Roman" w:hAnsi="Times New Roman"/>
          <w:sz w:val="20"/>
        </w:rPr>
        <w:t xml:space="preserve">The costs we incur in selling our units (called syndication expenses) must be capitalized and cannot be deducted currently, ratably or upon our termination. There are uncertainties regarding the classification of costs as organization expenses, which may be amortized by us, and as syndication expenses, which may not be amortized by us. The underwriting discounts and commissions we incur will be treated as syndication expenses. </w:t>
      </w:r>
    </w:p>
    <w:p>
      <w:pPr>
        <w:pStyle w:val="TextBody"/>
        <w:spacing w:before="180" w:after="0"/>
        <w:rPr>
          <w:rFonts w:ascii="Times New Roman" w:hAnsi="Times New Roman"/>
          <w:sz w:val="20"/>
        </w:rPr>
      </w:pPr>
      <w:r>
        <w:rPr>
          <w:rFonts w:ascii="Times New Roman" w:hAnsi="Times New Roman"/>
          <w:i/>
          <w:sz w:val="20"/>
        </w:rPr>
        <w:t>Valuation and Tax Basis of Our Properties.</w:t>
      </w:r>
      <w:r>
        <w:rPr>
          <w:rFonts w:ascii="Times New Roman" w:hAnsi="Times New Roman"/>
          <w:sz w:val="20"/>
        </w:rPr>
        <w:t xml:space="preserve"> The federal income tax consequences of the ownership and disposition of units will depend in part on our estimates of the relative fair market values, and the initial tax bases, of our assets. Although we may from time to time consult with professional appraisers regarding valuation matters, we will make many of the relative fair market value estimates ourselves. These estimates and determinations of basis are subject to challenge and will not be binding on the IRS or the courts. If the estimates of fair market value or basis are later found to be incorrect, the character and amount of items of income, gain, loss or deductions previously reported by unitholders might change, and unitholders might be required to adjust their tax liability for prior years and incur interest and penalties with respect to those adjustments. </w:t>
      </w:r>
    </w:p>
    <w:p>
      <w:pPr>
        <w:pStyle w:val="TextBody"/>
        <w:spacing w:before="270" w:after="0"/>
        <w:rPr>
          <w:rFonts w:ascii="Times New Roman" w:hAnsi="Times New Roman"/>
          <w:b/>
          <w:sz w:val="20"/>
        </w:rPr>
      </w:pPr>
      <w:r>
        <w:rPr>
          <w:rFonts w:ascii="Times New Roman" w:hAnsi="Times New Roman"/>
          <w:b/>
          <w:sz w:val="20"/>
        </w:rPr>
        <w:t xml:space="preserve">Disposition of Common Units </w:t>
      </w:r>
    </w:p>
    <w:p>
      <w:pPr>
        <w:pStyle w:val="TextBody"/>
        <w:spacing w:before="90" w:after="0"/>
        <w:rPr>
          <w:rFonts w:ascii="Times New Roman" w:hAnsi="Times New Roman"/>
          <w:sz w:val="20"/>
        </w:rPr>
      </w:pPr>
      <w:r>
        <w:rPr>
          <w:rFonts w:ascii="Times New Roman" w:hAnsi="Times New Roman"/>
          <w:i/>
          <w:sz w:val="20"/>
        </w:rPr>
        <w:t>Recognition of Gain or Loss.</w:t>
      </w:r>
      <w:r>
        <w:rPr>
          <w:rFonts w:ascii="Times New Roman" w:hAnsi="Times New Roman"/>
          <w:sz w:val="20"/>
        </w:rPr>
        <w:t xml:space="preserve"> Gain or loss will be recognized on a sale of units equal to the difference between the amount realized and the unitholders tax basis for the units sold. A unitholders amount realized will be measured by the sum of the cash or the fair market value of other property received by him plus his share of our nonrecourse liabilities. Because the amount realized includes a unitholders share of our nonrecourse liabilities, the gain recognized on the sale of units could result in a tax liability in excess of any cash received from the sale. </w:t>
      </w:r>
    </w:p>
    <w:p>
      <w:pPr>
        <w:pStyle w:val="TextBody"/>
        <w:spacing w:before="180" w:after="0"/>
        <w:rPr>
          <w:rFonts w:ascii="Times New Roman" w:hAnsi="Times New Roman"/>
          <w:sz w:val="20"/>
        </w:rPr>
      </w:pPr>
      <w:r>
        <w:rPr>
          <w:rFonts w:ascii="Times New Roman" w:hAnsi="Times New Roman"/>
          <w:sz w:val="20"/>
        </w:rPr>
        <w:t xml:space="preserve">Prior distributions from us in excess of cumulative net taxable income for a common unit that decreased a unitholders tax basis in that common unit will, in effect, become taxable income if the common unit is sold at a price greater than the unitholders tax basis in that common unit, even if the price received is less than his original cost. </w:t>
      </w:r>
    </w:p>
    <w:p>
      <w:pPr>
        <w:pStyle w:val="TextBody"/>
        <w:spacing w:before="180" w:after="0"/>
        <w:rPr>
          <w:rFonts w:ascii="Times New Roman" w:hAnsi="Times New Roman"/>
          <w:sz w:val="20"/>
        </w:rPr>
      </w:pPr>
      <w:r>
        <w:rPr>
          <w:rFonts w:ascii="Times New Roman" w:hAnsi="Times New Roman"/>
          <w:sz w:val="20"/>
        </w:rPr>
        <w:t xml:space="preserve">Except as noted below, gain or loss recognized by a unitholder, other than a dealer in units, on the sale or exchange of a unit held for more than one year will generally be taxable as long term capital gain or loss. Capital gain recognized by an individual on the sale of units held more than twelve months will generally be taxed at a maximum rate of 15% through December 31, 2010 and 20% thereafter (absent new legislation extending or adjusting the current rate). However, a portion of this gain or loss, which will likely be substantial, will be separately computed and taxed as ordinary income or loss under Section 751 of the Internal Revenue Code to the extent attributable to assets giving rise to depreciation recapture or other unrealized receivables or to inventory items we own. The term unrealized receivables includes potential recapture items, including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depreciation recapture. Ordinary income attributable to unrealized receivables, inventory items and depreciation recapture may exceed net taxable gain realized upon the sale of a unit and may be recognized even if there is a net taxable loss realized on the sale of a unit. Thus, a unitholder may recognize both ordinary income and a capital loss upon a sale of units. Net capital losses may offset capital gains and no more than $3,000 of ordinary income, in the case of individuals, and may only be used to offset capital gains in the case of corporations. </w:t>
      </w:r>
    </w:p>
    <w:p>
      <w:pPr>
        <w:pStyle w:val="TextBody"/>
        <w:spacing w:before="180" w:after="0"/>
        <w:rPr>
          <w:rFonts w:ascii="Times New Roman" w:hAnsi="Times New Roman"/>
          <w:sz w:val="20"/>
        </w:rPr>
      </w:pPr>
      <w:r>
        <w:rPr>
          <w:rFonts w:ascii="Times New Roman" w:hAnsi="Times New Roman"/>
          <w:sz w:val="20"/>
        </w:rPr>
        <w:t xml:space="preserve">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his entire interest in the partnership as the value of the interest sold bears to the value of the partners entire interest in the partnership. Treasury Regulations under Section 1223 of the Internal Revenue Code allow a selling unitholder who can identify common units transferred with an ascertainable holding period to elect to use the actual holding period of the common units transferred. Thus, according to the ruling, a common unitholder will be unable to select high or low basis common units to sell as would be the case with corporate stock, but, according to the Treasury Regulations, may designate specific common units sold for purposes of determining the holding period of units transferred. A unitholder electing to use the actual holding period of common units transferred must consistently use that identification method for all subsequent sales or exchanges of common units. A unitholder considering the purchase of additional units or a sale of common units purchased in separate transactions is urged to consult his tax advisor as to the possible consequences of this ruling and application of the Treasury Regulations. </w:t>
      </w:r>
    </w:p>
    <w:p>
      <w:pPr>
        <w:pStyle w:val="TextBody"/>
        <w:spacing w:before="180" w:after="0"/>
        <w:rPr>
          <w:rFonts w:ascii="Times New Roman" w:hAnsi="Times New Roman"/>
          <w:sz w:val="20"/>
        </w:rPr>
      </w:pPr>
      <w:r>
        <w:rPr>
          <w:rFonts w:ascii="Times New Roman" w:hAnsi="Times New Roman"/>
          <w:sz w:val="20"/>
        </w:rPr>
        <w:t xml:space="preserve">Specific provisions of the Internal Revenue Code affect the taxation of some financial products and securities, including partnership interests, by treating a taxpayer as having sold an appreciated partnership interest, one in which gain would be recognized if it were sold, assigned or terminated at its fair market value, if the taxpayer or related persons enter(s) into: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2"/>
        <w:gridCol w:w="9493"/>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short sale;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 offsetting notional principal contract;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4"/>
        <w:gridCol w:w="102"/>
        <w:gridCol w:w="9491"/>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futures or forward contract with respect to the partnership interest or substantially identical property. </w:t>
            </w:r>
          </w:p>
        </w:tc>
      </w:tr>
    </w:tbl>
    <w:p>
      <w:pPr>
        <w:pStyle w:val="TextBody"/>
        <w:spacing w:before="180" w:after="0"/>
        <w:rPr>
          <w:rFonts w:ascii="Times New Roman" w:hAnsi="Times New Roman"/>
          <w:sz w:val="20"/>
        </w:rPr>
      </w:pPr>
      <w:r>
        <w:rPr>
          <w:rFonts w:ascii="Times New Roman" w:hAnsi="Times New Roman"/>
          <w:sz w:val="20"/>
        </w:rPr>
        <w:t xml:space="preserve">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also authorized to issue regulations that treat a taxpayer that enters into transactions or positions that have substantially the same effect as the preceding transactions as having constructively sold the financial position. </w:t>
      </w:r>
    </w:p>
    <w:p>
      <w:pPr>
        <w:pStyle w:val="TextBody"/>
        <w:spacing w:before="180" w:after="0"/>
        <w:rPr>
          <w:rFonts w:ascii="Times New Roman" w:hAnsi="Times New Roman"/>
          <w:sz w:val="20"/>
        </w:rPr>
      </w:pPr>
      <w:r>
        <w:rPr>
          <w:rFonts w:ascii="Times New Roman" w:hAnsi="Times New Roman"/>
          <w:i/>
          <w:sz w:val="20"/>
        </w:rPr>
        <w:t>Allocations Between Transferors and Transferees.</w:t>
      </w:r>
      <w:r>
        <w:rPr>
          <w:rFonts w:ascii="Times New Roman" w:hAnsi="Times New Roman"/>
          <w:sz w:val="20"/>
        </w:rPr>
        <w:t xml:space="preserve"> In general, our taxable income and losses will be determined annually, will be prorated on a monthly basis and will be subsequently apportioned among the unitholders in proportion to the number of units owned by each of them as of the opening of the applicable exchange on the first business day of the month, which we refer to in this prospectus as the Allocation Date. However, gain or loss realized on a sale or other disposition of our assets other than in the ordinary course of business will be allocated among the unitholders on the Allocation Date in the month in which that gain or loss is recognized. As a result, a unitholder transferring units may be allocated income, gain, loss and deduction realized after the date of transfer. </w:t>
      </w:r>
    </w:p>
    <w:p>
      <w:pPr>
        <w:pStyle w:val="TextBody"/>
        <w:spacing w:before="180" w:after="0"/>
        <w:rPr>
          <w:rFonts w:ascii="Times New Roman" w:hAnsi="Times New Roman"/>
          <w:sz w:val="20"/>
        </w:rPr>
      </w:pPr>
      <w:r>
        <w:rPr>
          <w:rFonts w:ascii="Times New Roman" w:hAnsi="Times New Roman"/>
          <w:sz w:val="20"/>
        </w:rPr>
        <w:t xml:space="preserve">Although simplifying conventions are contemplated by the Internal Revenue Code and most publicly traded partnerships use similar simplifying conventions, the use of this method may not be permitted under existing Treasury Regulations. Recently, however, the Department of the Treasury and the IRS issued proposed Treasury Regulations that provide a safe harbor pursuant to which a publicly traded partnership may use a similar monthly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simplifying convention to allocate tax items among transferor and transferee unitholders, although such tax items must be prorated on a daily basis. Existing publicly traded partnerships are entitled to rely on these proposed Treasury Regulations; however, they are not binding on the IRS and are subject to change until final Treasury Regulations are issued. Accordingly, Vinson &amp; Elkins L.L.P. is unable to opine on the validity of this method of allocating income and deductions between transferor and transferee unitholders. If this method is not allowed under the Treasury Regulations, or only applies to transfers of less than all of the unitholders interest, our taxable income or losses might be reallocated among the unitholders. We are authorized to revise our method of allocation between transferor and transferee unitholders, as well as unitholders whose interests vary during a taxable year, to conform to a method permitted under future Treasury Regulations. </w:t>
      </w:r>
    </w:p>
    <w:p>
      <w:pPr>
        <w:pStyle w:val="TextBody"/>
        <w:spacing w:before="180" w:after="0"/>
        <w:rPr>
          <w:rFonts w:ascii="Times New Roman" w:hAnsi="Times New Roman"/>
          <w:sz w:val="20"/>
        </w:rPr>
      </w:pPr>
      <w:r>
        <w:rPr>
          <w:rFonts w:ascii="Times New Roman" w:hAnsi="Times New Roman"/>
          <w:sz w:val="20"/>
        </w:rPr>
        <w:t xml:space="preserve">A unitholder who owns units at any time during a quarter and who disposes of them prior to the record date set for a cash distribution for that quarter will be allocated items of our income, gain, loss and deductions attributable to that quarter but will not be entitled to receive that cash distribution. </w:t>
      </w:r>
    </w:p>
    <w:p>
      <w:pPr>
        <w:pStyle w:val="TextBody"/>
        <w:spacing w:before="180" w:after="0"/>
        <w:rPr>
          <w:rFonts w:ascii="Times New Roman" w:hAnsi="Times New Roman"/>
          <w:sz w:val="20"/>
        </w:rPr>
      </w:pPr>
      <w:r>
        <w:rPr>
          <w:rFonts w:ascii="Times New Roman" w:hAnsi="Times New Roman"/>
          <w:i/>
          <w:sz w:val="20"/>
        </w:rPr>
        <w:t>Notification Requirements.</w:t>
      </w:r>
      <w:r>
        <w:rPr>
          <w:rFonts w:ascii="Times New Roman" w:hAnsi="Times New Roman"/>
          <w:sz w:val="20"/>
        </w:rPr>
        <w:t xml:space="preserve"> A unitholder who sells any of his units is generally required to notify us in writing of that sale within 30 days after the sale (or, if earlier, January 15 of the year following the sale). A purchaser of units who purchases units from another unitholder is also generally required to notify us in writing of that purchase within 30 days after the purchase. Upon receiving such notifications, we are required to notify the IRS of that transaction and to furnish specified information to the transferor and transferee. Failure to notify us of a purchase may, in some cases, lead to the imposition of penalties. However, these reporting requirements do not apply to a sale by an individual who is a citizen of the United States and who effects the sale or exchange through a broker who will satisfy such requirements. </w:t>
      </w:r>
    </w:p>
    <w:p>
      <w:pPr>
        <w:pStyle w:val="TextBody"/>
        <w:spacing w:before="180" w:after="0"/>
        <w:rPr>
          <w:rFonts w:ascii="Times New Roman" w:hAnsi="Times New Roman"/>
          <w:sz w:val="20"/>
        </w:rPr>
      </w:pPr>
      <w:r>
        <w:rPr>
          <w:rFonts w:ascii="Times New Roman" w:hAnsi="Times New Roman"/>
          <w:i/>
          <w:sz w:val="20"/>
        </w:rPr>
        <w:t>Constructive Termination.</w:t>
      </w:r>
      <w:r>
        <w:rPr>
          <w:rFonts w:ascii="Times New Roman" w:hAnsi="Times New Roman"/>
          <w:sz w:val="20"/>
        </w:rPr>
        <w:t xml:space="preserve"> We will be considered to have been terminated for tax purposes if there are sales or exchanges which, in the aggregate, constitute 50% or more of the total interests in our capital and profits within a twelve-month period. For purposes of measuring whether the 50% threshold is reached, multiple sales of the same interest are counted only once. A constructive termination results in the closing of our taxable year for all unitholders. In the case of a unitholder reporting on a taxable year other than a fiscal year ending December 31, the closing of our taxable year may result in more than twelve months of our taxable income or loss being includable in his taxable income for the year of termination. A constructive termination occurring on a date other than December 31 will result in us filing two tax returns (and common unitholders receiving two Schedules K-1) for one fiscal year and the cost of the preparation of these returns will be borne by all common unitholders. We would be required to make new tax elections after a termination, including a new election under Section 754 of the Internal Revenue Code, and a termination would result in a deferral of our deductions for depreciation. A termination could also result in penalties if we were unable to determine that the termination had occurred. Moreover, a termination might either accelerate the application of, or subject us to, any tax legislation enacted before the termination. The IRS has recently announced that it plans to issue guidance regarding the treatment of constructive terminations of publicly traded partnerships such as us. Any such guidance may change the application of the rules discussed above and may affect the tax treatment of a unitholder. </w:t>
      </w:r>
    </w:p>
    <w:p>
      <w:pPr>
        <w:pStyle w:val="TextBody"/>
        <w:spacing w:before="270" w:after="0"/>
        <w:rPr>
          <w:rFonts w:ascii="Times New Roman" w:hAnsi="Times New Roman"/>
          <w:b/>
          <w:sz w:val="20"/>
        </w:rPr>
      </w:pPr>
      <w:r>
        <w:rPr>
          <w:rFonts w:ascii="Times New Roman" w:hAnsi="Times New Roman"/>
          <w:b/>
          <w:sz w:val="20"/>
        </w:rPr>
        <w:t xml:space="preserve">Uniformity of Units </w:t>
      </w:r>
    </w:p>
    <w:p>
      <w:pPr>
        <w:pStyle w:val="TextBody"/>
        <w:spacing w:before="90" w:after="0"/>
        <w:rPr>
          <w:rFonts w:ascii="Times New Roman" w:hAnsi="Times New Roman"/>
          <w:sz w:val="20"/>
        </w:rPr>
      </w:pPr>
      <w:r>
        <w:rPr>
          <w:rFonts w:ascii="Times New Roman" w:hAnsi="Times New Roman"/>
          <w:sz w:val="20"/>
        </w:rPr>
        <w:t xml:space="preserve">Because we cannot match transferors and transferees of units, we must maintain uniformity of the economic and tax characteristics of the units to a purchaser of these units. In the absence of uniformity, we may be unable to completely comply with a number of federal income tax requirements, both statutory and regulatory. A lack of uniformity can result from a literal application of Treasury Regulation Section 1.167(c)-1(a)(6). Any non-uniformity could have a negative impact on the value of the units. Please see Tax Consequences of Unit OwnershipSection 754 Election. </w:t>
      </w:r>
    </w:p>
    <w:p>
      <w:pPr>
        <w:pStyle w:val="TextBody"/>
        <w:spacing w:before="180" w:after="0"/>
        <w:rPr>
          <w:rFonts w:ascii="Times New Roman" w:hAnsi="Times New Roman"/>
          <w:sz w:val="20"/>
        </w:rPr>
      </w:pPr>
      <w:r>
        <w:rPr>
          <w:rFonts w:ascii="Times New Roman" w:hAnsi="Times New Roman"/>
          <w:sz w:val="20"/>
        </w:rPr>
        <w:t xml:space="preserve">We intend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propertys unamortized Book-Tax Disparity, or treat that portion as nonamortizable, to the extent attributable to property the common basis of which is not amortizable, consistent with the regulations under Section 743 of the Internal Revenue Code, even though that position may be inconsistent with Treasury Regulation Section 1.167(c)-1(a)(6), which is not expected to directly apply to a material portion of our assets, and Treasury Regulation Section 1.197-2(g)(3). Please see Tax Consequences of Unit OwnershipSection 754 Election. To the extent that the Section 743(b) adjustment is attributable to appreciation in value in excess of the unamortized Book-Tax Disparity, we will apply the rules described in the Treasury Regulations and legislative history. If we determine that this position cannot reasonably be taken, we may adopt a depreciation and amortization position under which all purchasers acquiring units in the same month would receive depreciation and amortization deductions, whether attributable to a common basis or Section 743(b) adjustment, based upon the same applicable methods and lives as if they had purchased a direct interest in our property. If this position is adopted, it may result in lower annual depreciation and amortization deductions than would otherwise be allowable to some unitholders and risk the loss of depreciation and amortization deductions not taken in the year that these deductions are otherwise allowable. This position will not be adopted if we determine that the loss of depreciation and amortization deductions will have a material adverse effect on the unitholders. If we choose not to utilize this aggregate method, we may use any other reasonable depreciation and amortization method to preserve the uniformity of the intrinsic tax characteristics of any units that would not have a material adverse effect on the unitholders. The IRS may challenge any method of depreciating the Section 743(b) adjustment described in this paragraph. If this challenge were sustained, the uniformity of units might be affected, and the gain from the sale of units might be increased without the benefit of additional deductions. Please see Disposition of Common UnitsRecognition of Gain or Loss. </w:t>
      </w:r>
    </w:p>
    <w:p>
      <w:pPr>
        <w:pStyle w:val="TextBody"/>
        <w:spacing w:before="270" w:after="0"/>
        <w:rPr>
          <w:rFonts w:ascii="Times New Roman" w:hAnsi="Times New Roman"/>
          <w:b/>
          <w:sz w:val="20"/>
        </w:rPr>
      </w:pPr>
      <w:r>
        <w:rPr>
          <w:rFonts w:ascii="Times New Roman" w:hAnsi="Times New Roman"/>
          <w:b/>
          <w:sz w:val="20"/>
        </w:rPr>
        <w:t xml:space="preserve">Tax-Exempt Organizations and Other Investors </w:t>
      </w:r>
    </w:p>
    <w:p>
      <w:pPr>
        <w:pStyle w:val="TextBody"/>
        <w:spacing w:before="90" w:after="0"/>
        <w:rPr>
          <w:rFonts w:ascii="Times New Roman" w:hAnsi="Times New Roman"/>
          <w:sz w:val="20"/>
        </w:rPr>
      </w:pPr>
      <w:r>
        <w:rPr>
          <w:rFonts w:ascii="Times New Roman" w:hAnsi="Times New Roman"/>
          <w:sz w:val="20"/>
        </w:rPr>
        <w:t xml:space="preserve">Ownership of units by employee benefit plans, other tax-exempt organizations, non-resident aliens, foreign corporations and other non-U.S. persons raises issues unique to those investors and, as described below, may have substantially adverse tax consequences to them. If you are a tax-exempt entity or a non-U.S. person, you should consult your tax advisor before investing in our common units. </w:t>
      </w:r>
    </w:p>
    <w:p>
      <w:pPr>
        <w:pStyle w:val="TextBody"/>
        <w:spacing w:before="180" w:after="0"/>
        <w:rPr>
          <w:rFonts w:ascii="Times New Roman" w:hAnsi="Times New Roman"/>
          <w:sz w:val="20"/>
        </w:rPr>
      </w:pPr>
      <w:r>
        <w:rPr>
          <w:rFonts w:ascii="Times New Roman" w:hAnsi="Times New Roman"/>
          <w:sz w:val="20"/>
        </w:rPr>
        <w:t xml:space="preserve">Employee benefit plans and most other organizations exempt from federal income tax, including individual retirement accounts and other retirement plans, are subject to federal income tax on unrelated business taxable income. Virtually all of our income allocated to a unitholder that is a tax-exempt organization will be unrelated business taxable income and will be taxable to it. </w:t>
      </w:r>
    </w:p>
    <w:p>
      <w:pPr>
        <w:pStyle w:val="TextBody"/>
        <w:spacing w:before="180" w:after="0"/>
        <w:rPr>
          <w:rFonts w:ascii="Times New Roman" w:hAnsi="Times New Roman"/>
          <w:sz w:val="20"/>
        </w:rPr>
      </w:pPr>
      <w:r>
        <w:rPr>
          <w:rFonts w:ascii="Times New Roman" w:hAnsi="Times New Roman"/>
          <w:sz w:val="20"/>
        </w:rPr>
        <w:t xml:space="preserve">Non-resident aliens and foreign corporations, trusts or estates that own units will be considered to be engaged in business in the United States because of the ownership of units. As a consequence, they will be required to file federal tax returns to report their share of our income, gain, loss or deduction and pay federal income tax at regular rates on their share of our net income or gain. Moreover, under rules applicable to publicly traded partnerships, we will withhold at the highest applicable effective tax rate from cash distributions made quarterly to non-U.S. unitholders. Each non-U.S. unitholder must obtain a taxpayer identification number from the IRS and submit that number to our transfer agent on a Form W-8BEN or applicable substitute form in order to obtain credit for these withholding taxes. A change in applicable law may require us to change these procedures. </w:t>
      </w:r>
    </w:p>
    <w:p>
      <w:pPr>
        <w:pStyle w:val="TextBody"/>
        <w:spacing w:before="180" w:after="0"/>
        <w:rPr>
          <w:rFonts w:ascii="Times New Roman" w:hAnsi="Times New Roman"/>
          <w:sz w:val="20"/>
        </w:rPr>
      </w:pPr>
      <w:r>
        <w:rPr>
          <w:rFonts w:ascii="Times New Roman" w:hAnsi="Times New Roman"/>
          <w:sz w:val="20"/>
        </w:rPr>
        <w:t xml:space="preserve">In addition, because a foreign corporation that owns units will be treated as engaged in a United States trade or business, that corporation may be subject to the United States branch profits tax at a rate of 30%, in addition to regular federal income tax, on its share of our income and gain, as adjusted for changes in the foreign corporations U.S. net equity, which are effectively connected with the conduct of a United States trade or business.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Internal Revenue Code.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 foreign unitholder who sells or otherwise disposes of a unit will be subject to U.S. federal income tax on gain realized from the sale or disposition of that unit to the extent the gain is effectively connected with a U.S. trade or business of the foreign unitholder. Under a ruling published by the IRS, interpreting the scope of effectively connected income, a foreign unitholder would be considered to be engaged in a trade or business in the U.S. by virtue of the U.S. activities of the partnership, and part or all of that unitholders gain would be effectively connected with that unitholders indirect U.S. trade or business. Moreover, under the Foreign Investment in Real Property Tax Act, a foreign unitholder generally will be subject to U.S. federal income tax upon the sale or disposition of a unit if (i) he owned (directly or constructively applying certain attribution rules) more than 5% of our common units at any time during the five-year period ending on the date of such disposition and (ii) 50% or more of the fair market value of all of our assets consisted of U.S. real property interests at any time during the shorter of the period during which such unitholder held the common units or the 5-year period ending on the date of disposition. Currently, more than 50% of our assets consist of U.S. real property interests and we do not expect that to change in the foreseeable future. Therefore, foreign unitholders may be subject to federal income tax on gain from the sale or disposition of their units. </w:t>
      </w:r>
    </w:p>
    <w:p>
      <w:pPr>
        <w:pStyle w:val="TextBody"/>
        <w:spacing w:before="270" w:after="0"/>
        <w:rPr>
          <w:rFonts w:ascii="Times New Roman" w:hAnsi="Times New Roman"/>
          <w:b/>
          <w:sz w:val="20"/>
        </w:rPr>
      </w:pPr>
      <w:r>
        <w:rPr>
          <w:rFonts w:ascii="Times New Roman" w:hAnsi="Times New Roman"/>
          <w:b/>
          <w:sz w:val="20"/>
        </w:rPr>
        <w:t xml:space="preserve">Administrative Matters </w:t>
      </w:r>
    </w:p>
    <w:p>
      <w:pPr>
        <w:pStyle w:val="TextBody"/>
        <w:spacing w:before="90" w:after="0"/>
        <w:rPr>
          <w:rFonts w:ascii="Times New Roman" w:hAnsi="Times New Roman"/>
          <w:sz w:val="20"/>
        </w:rPr>
      </w:pPr>
      <w:r>
        <w:rPr>
          <w:rFonts w:ascii="Times New Roman" w:hAnsi="Times New Roman"/>
          <w:i/>
          <w:sz w:val="20"/>
        </w:rPr>
        <w:t>Information Returns and Audit Procedures.</w:t>
      </w:r>
      <w:r>
        <w:rPr>
          <w:rFonts w:ascii="Times New Roman" w:hAnsi="Times New Roman"/>
          <w:sz w:val="20"/>
        </w:rPr>
        <w:t xml:space="preserve"> We intend to furnish to each unitholder, within 90 days after the close of each calendar year, specific tax information, including a Schedule K-1, which describes his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you that those positions will in all cases yield a result that conforms to the requirements of the Internal Revenue Code, Treasury Regulations or administrative interpretations of the IRS. Neither we nor Vinson &amp; Elkins L.L.P. can assure prospective unitholders that the IRS will not successfully contend in court that those positions are impermissible. Any challenge by the IRS could negatively affect the value of the units. </w:t>
      </w:r>
    </w:p>
    <w:p>
      <w:pPr>
        <w:pStyle w:val="TextBody"/>
        <w:spacing w:before="180" w:after="0"/>
        <w:rPr>
          <w:rFonts w:ascii="Times New Roman" w:hAnsi="Times New Roman"/>
          <w:sz w:val="20"/>
        </w:rPr>
      </w:pPr>
      <w:r>
        <w:rPr>
          <w:rFonts w:ascii="Times New Roman" w:hAnsi="Times New Roman"/>
          <w:sz w:val="20"/>
        </w:rPr>
        <w:t xml:space="preserve">The IRS may audit our federal income tax information returns. Adjustments resulting from an IRS audit may require each unitholder to adjust a prior years tax liability, and possibly may result in an audit of his return. Any audit of a unitholders return could result in adjustments not related to our returns as well as those related to our returns. </w:t>
      </w:r>
    </w:p>
    <w:p>
      <w:pPr>
        <w:pStyle w:val="TextBody"/>
        <w:spacing w:before="180" w:after="0"/>
        <w:rPr>
          <w:rFonts w:ascii="Times New Roman" w:hAnsi="Times New Roman"/>
          <w:sz w:val="20"/>
        </w:rPr>
      </w:pPr>
      <w:r>
        <w:rPr>
          <w:rFonts w:ascii="Times New Roman" w:hAnsi="Times New Roman"/>
          <w:sz w:val="20"/>
        </w:rPr>
        <w:t xml:space="preserve">Partnerships generally are treated as separate entities for purposes of federal tax audits, judicial review of administrative adjustments by the IRS and tax settlement proceedings. The tax treatment of partnership items of income, gain, loss and deduction are determined in a partnership proceeding rather than in separate proceedings with the partners. The Internal Revenue Code requires that one partner be designated as the Tax Matters Partner for these purposes. Our partnership agreement names our general partner as our Tax Matters Partner. </w:t>
      </w:r>
    </w:p>
    <w:p>
      <w:pPr>
        <w:pStyle w:val="TextBody"/>
        <w:spacing w:before="180" w:after="0"/>
        <w:rPr>
          <w:rFonts w:ascii="Times New Roman" w:hAnsi="Times New Roman"/>
          <w:sz w:val="20"/>
        </w:rPr>
      </w:pPr>
      <w:r>
        <w:rPr>
          <w:rFonts w:ascii="Times New Roman" w:hAnsi="Times New Roman"/>
          <w:sz w:val="20"/>
        </w:rPr>
        <w:t xml:space="preserve">The Tax Matters Partner has made and will make some elections on our behalf and on behalf of unitholders. In addition, 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will go forward, and each unitholder with an interest in the outcome may participate. </w:t>
      </w:r>
    </w:p>
    <w:p>
      <w:pPr>
        <w:pStyle w:val="TextBody"/>
        <w:spacing w:before="180" w:after="0"/>
        <w:rPr>
          <w:rFonts w:ascii="Times New Roman" w:hAnsi="Times New Roman"/>
          <w:sz w:val="20"/>
        </w:rPr>
      </w:pPr>
      <w:r>
        <w:rPr>
          <w:rFonts w:ascii="Times New Roman" w:hAnsi="Times New Roman"/>
          <w:sz w:val="20"/>
        </w:rPr>
        <w:t xml:space="preserve">A unitholder must file a statement with the IRS identifying the treatment of any item on his federal income tax return that is not consistent with the treatment of the item on our return. Intentional or negligent disregard of this consistency requirement may subject a unitholder to substantial penalties. Nominee Reporting. Persons who hold an interest in us as a nominee for another person are required to furnish to us: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3"/>
        <w:gridCol w:w="101"/>
        <w:gridCol w:w="9493"/>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name, address and taxpayer identification number of the beneficial owner and the nominee;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the beneficial owner is: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305"/>
        <w:gridCol w:w="101"/>
        <w:gridCol w:w="8881"/>
      </w:tblGrid>
      <w:tr>
        <w:trPr/>
        <w:tc>
          <w:tcPr>
            <w:tcW w:w="91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person that is not a United States person;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5"/>
        <w:gridCol w:w="102"/>
        <w:gridCol w:w="8881"/>
      </w:tblGrid>
      <w:tr>
        <w:trPr/>
        <w:tc>
          <w:tcPr>
            <w:tcW w:w="91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foreign government, an international organization or any wholly owned agency or instrumentality of either of the foregoing;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305"/>
        <w:gridCol w:w="101"/>
        <w:gridCol w:w="8881"/>
      </w:tblGrid>
      <w:tr>
        <w:trPr/>
        <w:tc>
          <w:tcPr>
            <w:tcW w:w="91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tax-exempt entity;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4"/>
        <w:gridCol w:w="101"/>
        <w:gridCol w:w="9492"/>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amount and description of units held, acquired or transferred for the beneficial owner;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specific information including the dates of acquisitions and transfers, means of acquisitions and transfers, and acquisition cost for purchases, as well as the amount of net proceeds from sales. </w:t>
            </w:r>
          </w:p>
        </w:tc>
      </w:tr>
    </w:tbl>
    <w:p>
      <w:pPr>
        <w:pStyle w:val="TextBody"/>
        <w:spacing w:before="180" w:after="0"/>
        <w:rPr>
          <w:rFonts w:ascii="Times New Roman" w:hAnsi="Times New Roman"/>
          <w:sz w:val="20"/>
        </w:rPr>
      </w:pPr>
      <w:r>
        <w:rPr>
          <w:rFonts w:ascii="Times New Roman" w:hAnsi="Times New Roman"/>
          <w:sz w:val="20"/>
        </w:rPr>
        <w:t xml:space="preserve">Brokers and financial institutions are required to furnish additional information, including whether they are United States persons and specific information on units they acquire, hold or transfer for their own account. A penalty of $50 per failure, up to a maximum of $100,000 per calendar year, is imposed by the Internal Revenue Code for failure to report that information to us. The nominee is required to supply the beneficial owner of the units with the information furnished to us. </w:t>
      </w:r>
    </w:p>
    <w:p>
      <w:pPr>
        <w:pStyle w:val="TextBody"/>
        <w:spacing w:before="180" w:after="0"/>
        <w:rPr>
          <w:rFonts w:ascii="Times New Roman" w:hAnsi="Times New Roman"/>
          <w:sz w:val="20"/>
        </w:rPr>
      </w:pPr>
      <w:r>
        <w:rPr>
          <w:rFonts w:ascii="Times New Roman" w:hAnsi="Times New Roman"/>
          <w:i/>
          <w:sz w:val="20"/>
        </w:rPr>
        <w:t>Accuracy-Related Penalties.</w:t>
      </w:r>
      <w:r>
        <w:rPr>
          <w:rFonts w:ascii="Times New Roman" w:hAnsi="Times New Roman"/>
          <w:sz w:val="20"/>
        </w:rPr>
        <w:t xml:space="preserve"> An additional tax equal to 20% of the amount of any portion of an underpayment of tax that is attributable to one or more specified causes, including negligence or disregard of rules or regulations, substantial understatements of income tax and substantial valuation misstatements, is imposed by the Internal Revenue Code. No penalty will be imposed, however, for any portion of an underpayment if it is shown that there was a reasonable cause for that portion and that the taxpayer acted in good faith regarding that portion. </w:t>
      </w:r>
    </w:p>
    <w:p>
      <w:pPr>
        <w:pStyle w:val="TextBody"/>
        <w:spacing w:before="180" w:after="0"/>
        <w:rPr>
          <w:rFonts w:ascii="Times New Roman" w:hAnsi="Times New Roman"/>
          <w:sz w:val="20"/>
        </w:rPr>
      </w:pPr>
      <w:r>
        <w:rPr>
          <w:rFonts w:ascii="Times New Roman" w:hAnsi="Times New Roman"/>
          <w:sz w:val="20"/>
        </w:rPr>
        <w:t xml:space="preserve">For individuals, a substantial understatement of income tax in any taxable year exists if the amount of the understatement exceeds the greater of 10% of the tax required to be shown on the return for the taxable year or $5,000 ($10,000 for most corporations). The amount of any understatement subject to penalty generally is reduced if any portion is attributable to a position adopted on the return: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 which there is, or was, substantial authority;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3"/>
        <w:gridCol w:w="101"/>
        <w:gridCol w:w="9493"/>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as to which there is a reasonable basis and the pertinent facts of that position are disclosed on the return. </w:t>
            </w:r>
          </w:p>
        </w:tc>
      </w:tr>
    </w:tbl>
    <w:p>
      <w:pPr>
        <w:pStyle w:val="TextBody"/>
        <w:spacing w:before="180" w:after="0"/>
        <w:rPr>
          <w:rFonts w:ascii="Times New Roman" w:hAnsi="Times New Roman"/>
          <w:sz w:val="20"/>
        </w:rPr>
      </w:pPr>
      <w:r>
        <w:rPr>
          <w:rFonts w:ascii="Times New Roman" w:hAnsi="Times New Roman"/>
          <w:sz w:val="20"/>
        </w:rPr>
        <w:t xml:space="preserve">If any item of income, gain, loss or deduction included in the distributive shares of unitholders might result in that kind of an understatement of income for which no substantial authority exists, we must disclose the pertinent facts on our return. In addition, we will make a reasonable effort to furnish sufficient information for unitholders to make adequate disclosure on their returns and to take other actions as may be appropriate to permit unitholders to avoid liability for this penalty. More stringent rules apply to tax shelters, which we do not believe includes us or any of our investments, plans or arrangements. </w:t>
      </w:r>
    </w:p>
    <w:p>
      <w:pPr>
        <w:pStyle w:val="TextBody"/>
        <w:spacing w:before="180" w:after="0"/>
        <w:rPr>
          <w:rFonts w:ascii="Times New Roman" w:hAnsi="Times New Roman"/>
          <w:sz w:val="20"/>
        </w:rPr>
      </w:pPr>
      <w:r>
        <w:rPr>
          <w:rFonts w:ascii="Times New Roman" w:hAnsi="Times New Roman"/>
          <w:sz w:val="20"/>
        </w:rPr>
        <w:t xml:space="preserve">A substantial valuation misstatement exists if (i) the value of any property, or the tax basis of any property, claimed on a tax return is 150% or more of the amount determined to be the correct amount of the valuation or tax basis, (ii) the price for any property or services (or for the use of property) claimed on any such return with respect to any transaction between persons described in Internal Revenue Code Section 482 is 200% or more (or 50% or less) of the amount determined under Internal Revenue Code Section 482 to be the correct amount of such price or (iii) the net Internal Revenue Code Section 482 transfer price adjustment for the taxable year exceeds the lesser of $5 million or 10% of the taxpayers gross receipts. No penalty is imposed unless the portion of the underpayment attributable to a substantial valuation misstatement exceeds $5,000 ($10,000 for a corporation other than an S Corporation or a personal holding company). The penalty is increased to 40% in the event of a gross valuation misstatement. </w:t>
      </w:r>
    </w:p>
    <w:p>
      <w:pPr>
        <w:pStyle w:val="TextBody"/>
        <w:spacing w:before="180" w:after="0"/>
        <w:rPr>
          <w:rFonts w:ascii="Times New Roman" w:hAnsi="Times New Roman"/>
          <w:sz w:val="20"/>
        </w:rPr>
      </w:pPr>
      <w:r>
        <w:rPr>
          <w:rFonts w:ascii="Times New Roman" w:hAnsi="Times New Roman"/>
          <w:i/>
          <w:sz w:val="20"/>
        </w:rPr>
        <w:t>Reportable Transactions.</w:t>
      </w:r>
      <w:r>
        <w:rPr>
          <w:rFonts w:ascii="Times New Roman" w:hAnsi="Times New Roman"/>
          <w:sz w:val="20"/>
        </w:rPr>
        <w:t xml:space="preserve"> If we were to engage in a reportable transaction, we (and possibly you and others) would be required to make a detailed disclosure of the transaction to the IRS. A transaction may be a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reportable transaction based upon any of several factors, including the fact that it is a type of tax avoidance transaction publicly identified by the IRS as a listed transaction or that it produces certain kinds of losses for partnerships, individuals, S corporations, and trusts in excess of $2 million in any single year, or $4 million in any combination of 6 successive tax years. Our participation in a reportable transaction could increase the likelihood that our federal income tax information return (and possibly your tax return) would be audited by the IRS. Please see Information Returns and Audit Procedures. </w:t>
      </w:r>
    </w:p>
    <w:p>
      <w:pPr>
        <w:pStyle w:val="TextBody"/>
        <w:spacing w:before="180" w:after="0"/>
        <w:rPr>
          <w:rFonts w:ascii="Times New Roman" w:hAnsi="Times New Roman"/>
          <w:sz w:val="20"/>
        </w:rPr>
      </w:pPr>
      <w:r>
        <w:rPr>
          <w:rFonts w:ascii="Times New Roman" w:hAnsi="Times New Roman"/>
          <w:sz w:val="20"/>
        </w:rPr>
        <w:t xml:space="preserve">Moreover, if we were to participate in a reportable transaction with a significant purpose to avoid or evade tax, or in any listed transaction, you may be subject to the following provisions of the American Jobs Creation Act of 2004: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accuracy-related penalties with a broader scope, significantly narrower exceptions, and potentially greater amounts than described above at Accuracy-Related Penalties;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 those persons otherwise entitled to deduct interest on federal tax deficiencies, nondeductibility of interest on any resulting tax liability;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the case of a listed transaction, an extended statute of limitations. </w:t>
            </w:r>
          </w:p>
        </w:tc>
      </w:tr>
    </w:tbl>
    <w:p>
      <w:pPr>
        <w:pStyle w:val="TextBody"/>
        <w:spacing w:before="180" w:after="0"/>
        <w:rPr>
          <w:rFonts w:ascii="Times New Roman" w:hAnsi="Times New Roman"/>
          <w:sz w:val="20"/>
        </w:rPr>
      </w:pPr>
      <w:r>
        <w:rPr>
          <w:rFonts w:ascii="Times New Roman" w:hAnsi="Times New Roman"/>
          <w:sz w:val="20"/>
        </w:rPr>
        <w:t xml:space="preserve">We do not expect to engage in any reportable transactions. </w:t>
      </w:r>
    </w:p>
    <w:p>
      <w:pPr>
        <w:pStyle w:val="TextBody"/>
        <w:spacing w:before="270" w:after="0"/>
        <w:rPr>
          <w:rFonts w:ascii="Times New Roman" w:hAnsi="Times New Roman"/>
          <w:b/>
          <w:sz w:val="20"/>
        </w:rPr>
      </w:pPr>
      <w:r>
        <w:rPr>
          <w:rFonts w:ascii="Times New Roman" w:hAnsi="Times New Roman"/>
          <w:b/>
          <w:sz w:val="20"/>
        </w:rPr>
        <w:t xml:space="preserve">State, Local, Foreign and Other Tax Considerations </w:t>
      </w:r>
    </w:p>
    <w:p>
      <w:pPr>
        <w:pStyle w:val="TextBody"/>
        <w:spacing w:before="90" w:after="0"/>
        <w:rPr>
          <w:rFonts w:ascii="Times New Roman" w:hAnsi="Times New Roman"/>
          <w:sz w:val="20"/>
        </w:rPr>
      </w:pPr>
      <w:r>
        <w:rPr>
          <w:rFonts w:ascii="Times New Roman" w:hAnsi="Times New Roman"/>
          <w:sz w:val="20"/>
        </w:rPr>
        <w:t xml:space="preserve">In addition to federal income taxes, you may be subject to other taxes, such as state, local and foreign income taxes, unincorporated business taxes, and estate, inheritance or intangible taxes that may be imposed by the various jurisdictions in which we do business or own property or in which you are a resident. Although an analysis of those various taxes is not presented here, each prospective unitholder should consider their potential impact on his investment in us. We currently own property and do business in Canada and most states of the United States. A unitholder may be required to file Canadian federal income tax returns and pay Canadian federal and provincial income taxes and to file state income tax returns and to pay taxes in various states and may be subject to penalties for failure to comply with those requirements. In some jurisdictions, tax losses may not produce a tax benefit in the year incurred and may not be available to offset income in subsequent taxable years. Some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 Amounts withheld will be treated as if distributed to unitholders for purposes of determining the amounts distributed by us. Please see Tax Consequences of Unit OwnershipEntity-Level Collections. Based on current law and our estimate of our future operations, the general partner anticipates that any amounts required to be withheld will not be material. </w:t>
      </w:r>
    </w:p>
    <w:p>
      <w:pPr>
        <w:pStyle w:val="TextBody"/>
        <w:spacing w:before="270" w:after="0"/>
        <w:rPr>
          <w:rFonts w:ascii="Times New Roman" w:hAnsi="Times New Roman"/>
          <w:b/>
          <w:sz w:val="20"/>
        </w:rPr>
      </w:pPr>
      <w:r>
        <w:rPr>
          <w:rFonts w:ascii="Times New Roman" w:hAnsi="Times New Roman"/>
          <w:b/>
          <w:sz w:val="20"/>
        </w:rPr>
        <w:t xml:space="preserve">Tax Consequences of Ownership of Debt Securities </w:t>
      </w:r>
    </w:p>
    <w:p>
      <w:pPr>
        <w:pStyle w:val="TextBody"/>
        <w:spacing w:before="90" w:after="0"/>
        <w:rPr>
          <w:rFonts w:ascii="Times New Roman" w:hAnsi="Times New Roman"/>
          <w:sz w:val="20"/>
        </w:rPr>
      </w:pPr>
      <w:r>
        <w:rPr>
          <w:rFonts w:ascii="Times New Roman" w:hAnsi="Times New Roman"/>
          <w:sz w:val="20"/>
        </w:rPr>
        <w:t xml:space="preserve">A description of the material federal income tax consequences of the acquisition, ownership and disposition of debt securities will be set forth in the prospectus supplement relating to the offering of debt securities. </w:t>
      </w:r>
    </w:p>
    <w:p>
      <w:pPr>
        <w:pStyle w:val="TextBody"/>
        <w:spacing w:before="180" w:after="0"/>
        <w:rPr>
          <w:rFonts w:ascii="Times New Roman" w:hAnsi="Times New Roman"/>
          <w:b/>
          <w:sz w:val="20"/>
        </w:rPr>
      </w:pPr>
      <w:r>
        <w:rPr>
          <w:rFonts w:ascii="Times New Roman" w:hAnsi="Times New Roman"/>
          <w:b/>
          <w:sz w:val="20"/>
        </w:rPr>
        <w:t xml:space="preserve">It is the responsibility of each unitholder to investigate the legal and tax consequences, under the laws of pertinent jurisdictions, of his investment in us. Accordingly, each prospective unitholder is urged to consult, and depend upon, his tax counsel or other advisor with regard to those matters. Further, it is the responsibility of each unitholder to file all state, local and foreign, as well as United States federal tax returns, that may be required of him. Vinson &amp; Elkins L.L.P. has not rendered an opinion on the state, local or foreign tax consequences of an investment in us.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41" w:name="rom308566_123"/>
      <w:bookmarkStart w:id="42" w:name="supprom308566_26"/>
      <w:bookmarkEnd w:id="41"/>
      <w:bookmarkEnd w:id="42"/>
      <w:r>
        <w:rPr>
          <w:rFonts w:ascii="Times New Roman" w:hAnsi="Times New Roman"/>
          <w:b/>
          <w:sz w:val="20"/>
        </w:rPr>
        <w:t xml:space="preserve">LEGAL MATTERS </w:t>
      </w:r>
    </w:p>
    <w:p>
      <w:pPr>
        <w:pStyle w:val="TextBody"/>
        <w:spacing w:before="180" w:after="0"/>
        <w:rPr>
          <w:rFonts w:ascii="Times New Roman" w:hAnsi="Times New Roman"/>
          <w:sz w:val="20"/>
        </w:rPr>
      </w:pPr>
      <w:r>
        <w:rPr>
          <w:rFonts w:ascii="Times New Roman" w:hAnsi="Times New Roman"/>
          <w:sz w:val="20"/>
        </w:rPr>
        <w:t xml:space="preserve">The validity of the securities offered in this prospectus will be passed upon for us by Vinson &amp; Elkins L.L.P., Houston, Texas. Vinson &amp; Elkins L.L.P. will also render an opinion on the material federal income tax considerations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 </w:t>
      </w:r>
    </w:p>
    <w:p>
      <w:pPr>
        <w:pStyle w:val="TextBody"/>
        <w:spacing w:before="270" w:after="0"/>
        <w:jc w:val="center"/>
        <w:rPr>
          <w:rFonts w:ascii="Times New Roman" w:hAnsi="Times New Roman"/>
          <w:b/>
          <w:sz w:val="20"/>
        </w:rPr>
      </w:pPr>
      <w:bookmarkStart w:id="43" w:name="rom308566_124"/>
      <w:bookmarkStart w:id="44" w:name="supprom308566_27"/>
      <w:bookmarkEnd w:id="43"/>
      <w:bookmarkEnd w:id="44"/>
      <w:r>
        <w:rPr>
          <w:rFonts w:ascii="Times New Roman" w:hAnsi="Times New Roman"/>
          <w:b/>
          <w:sz w:val="20"/>
        </w:rPr>
        <w:t xml:space="preserve">EXPERTS </w:t>
      </w:r>
    </w:p>
    <w:p>
      <w:pPr>
        <w:pStyle w:val="TextBody"/>
        <w:spacing w:before="180" w:after="0"/>
        <w:rPr>
          <w:rFonts w:ascii="Times New Roman" w:hAnsi="Times New Roman"/>
          <w:sz w:val="20"/>
        </w:rPr>
      </w:pPr>
      <w:r>
        <w:rPr>
          <w:rFonts w:ascii="Times New Roman" w:hAnsi="Times New Roman"/>
          <w:sz w:val="20"/>
        </w:rPr>
        <w:t xml:space="preserve">The financial statements of Plains All American Pipeline, L.P. and managements assessment of the effectiveness of internal control over financial reporting (which is included in Managements Report on Internal Control over Financial Reporting) incorporated in this prospectus by reference to the Annual Report on Form 10-K of Plains All American Pipeline, L.P. for the year ended December 31, 2008, have been so incorporated in reliance on the report of PricewaterhouseCoopers LLP, an independent registered public accounting firm, given on the authority of said firm as experts in auditing and accounting. </w:t>
      </w:r>
    </w:p>
    <w:p>
      <w:pPr>
        <w:pStyle w:val="TextBody"/>
        <w:spacing w:before="180" w:after="0"/>
        <w:rPr>
          <w:rFonts w:ascii="Times New Roman" w:hAnsi="Times New Roman"/>
          <w:sz w:val="20"/>
        </w:rPr>
      </w:pPr>
      <w:r>
        <w:rPr>
          <w:rFonts w:ascii="Times New Roman" w:hAnsi="Times New Roman"/>
          <w:sz w:val="20"/>
        </w:rPr>
        <w:t xml:space="preserve">The balance sheet as of December 31, 2008 of PAA GP LLC incorporated in this prospectus by reference to the Current Report on Form 8-K of Plains All American Pipeline, L.P. filed March 12, 2009 has been so incorporated in reliance on the report of PricewaterhouseCoopers LLP, an independent registered public accounting firm, given on the authority of said firm as experts in auditing and accounting.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rPr/>
      </w:pPr>
      <w:r>
        <w:rPr/>
        <w:t> </w:t>
      </w:r>
    </w:p>
    <w:p>
      <w:pPr>
        <w:pStyle w:val="TextBody"/>
        <w:spacing w:before="0" w:after="0"/>
        <w:jc w:val="center"/>
        <w:rPr/>
      </w:pPr>
      <w:r>
        <w:rPr/>
        <w:drawing>
          <wp:inline distT="0" distB="0" distL="0" distR="0">
            <wp:extent cx="1924050" cy="5905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24050" cy="590550"/>
                    </a:xfrm>
                    <a:prstGeom prst="rect">
                      <a:avLst/>
                    </a:prstGeom>
                  </pic:spPr>
                </pic:pic>
              </a:graphicData>
            </a:graphic>
          </wp:inline>
        </w:drawing>
      </w:r>
      <w:r>
        <w:rPr/>
        <w:t xml:space="preserve"> </w:t>
      </w:r>
    </w:p>
    <w:p>
      <w:pPr>
        <w:pStyle w:val="TextBody"/>
        <w:spacing w:before="360" w:after="0"/>
        <w:jc w:val="center"/>
        <w:rPr>
          <w:rFonts w:ascii="arial" w:hAnsi="arial"/>
          <w:b/>
          <w:sz w:val="36"/>
        </w:rPr>
      </w:pPr>
      <w:r>
        <w:rPr>
          <w:rFonts w:ascii="arial" w:hAnsi="arial"/>
          <w:b/>
          <w:sz w:val="36"/>
        </w:rPr>
        <w:t xml:space="preserve">5,000,000 Common Units </w:t>
      </w:r>
    </w:p>
    <w:p>
      <w:pPr>
        <w:pStyle w:val="TextBody"/>
        <w:spacing w:before="0" w:after="0"/>
        <w:rPr/>
      </w:pPr>
      <w:r>
        <w:rPr/>
        <w:t> </w:t>
      </w:r>
    </w:p>
    <w:p>
      <w:pPr>
        <w:pStyle w:val="TextBody"/>
        <w:pBdr>
          <w:bottom w:val="single" w:sz="4" w:space="1" w:color="000000"/>
        </w:pBdr>
        <w:spacing w:before="0" w:after="30"/>
        <w:jc w:val="center"/>
        <w:rPr/>
      </w:pPr>
      <w:r>
        <w:rPr/>
        <w:t> </w:t>
      </w:r>
    </w:p>
    <w:p>
      <w:pPr>
        <w:pStyle w:val="TextBody"/>
        <w:spacing w:before="0" w:after="0"/>
        <w:jc w:val="center"/>
        <w:rPr>
          <w:rFonts w:ascii="arial" w:hAnsi="arial"/>
          <w:sz w:val="24"/>
        </w:rPr>
      </w:pPr>
      <w:r>
        <w:rPr>
          <w:rFonts w:ascii="arial" w:hAnsi="arial"/>
          <w:sz w:val="24"/>
        </w:rPr>
        <w:t xml:space="preserve">Prospectus Supplement </w:t>
      </w:r>
    </w:p>
    <w:p>
      <w:pPr>
        <w:pStyle w:val="TextBody"/>
        <w:spacing w:before="0" w:after="0"/>
        <w:jc w:val="center"/>
        <w:rPr>
          <w:rFonts w:ascii="arial" w:hAnsi="arial"/>
          <w:sz w:val="24"/>
        </w:rPr>
      </w:pPr>
      <w:r>
        <w:rPr>
          <w:rFonts w:ascii="arial" w:hAnsi="arial"/>
          <w:sz w:val="24"/>
        </w:rPr>
        <w:t xml:space="preserve">March    , 2012 </w:t>
      </w:r>
    </w:p>
    <w:p>
      <w:pPr>
        <w:pStyle w:val="TextBody"/>
        <w:pBdr>
          <w:bottom w:val="single" w:sz="4" w:space="1" w:color="000000"/>
        </w:pBdr>
        <w:spacing w:lineRule="atLeast" w:line="195" w:before="0" w:after="30"/>
        <w:jc w:val="center"/>
        <w:rPr/>
      </w:pPr>
      <w:r>
        <w:rPr/>
        <w:t> </w:t>
      </w:r>
    </w:p>
    <w:p>
      <w:pPr>
        <w:pStyle w:val="TextBody"/>
        <w:spacing w:before="1440" w:after="0"/>
        <w:jc w:val="center"/>
        <w:rPr>
          <w:rFonts w:ascii="Times New Roman" w:hAnsi="Times New Roman"/>
          <w:i/>
          <w:sz w:val="24"/>
        </w:rPr>
      </w:pPr>
      <w:r>
        <w:rPr>
          <w:rFonts w:ascii="Times New Roman" w:hAnsi="Times New Roman"/>
          <w:i/>
          <w:sz w:val="24"/>
        </w:rPr>
        <w:t xml:space="preserve">Joint Book-Running Managers </w:t>
      </w:r>
    </w:p>
    <w:p>
      <w:pPr>
        <w:pStyle w:val="TextBody"/>
        <w:spacing w:before="180" w:after="0"/>
        <w:jc w:val="center"/>
        <w:rPr>
          <w:rFonts w:ascii="arial" w:hAnsi="arial"/>
          <w:b/>
          <w:sz w:val="36"/>
        </w:rPr>
      </w:pPr>
      <w:r>
        <w:rPr>
          <w:rFonts w:ascii="arial" w:hAnsi="arial"/>
          <w:b/>
          <w:sz w:val="36"/>
        </w:rPr>
        <w:t xml:space="preserve">Barclays Capital </w:t>
      </w:r>
    </w:p>
    <w:p>
      <w:pPr>
        <w:pStyle w:val="TextBody"/>
        <w:spacing w:before="0" w:after="0"/>
        <w:jc w:val="center"/>
        <w:rPr>
          <w:rFonts w:ascii="arial" w:hAnsi="arial"/>
          <w:b/>
          <w:sz w:val="36"/>
        </w:rPr>
      </w:pPr>
      <w:r>
        <w:rPr>
          <w:rFonts w:ascii="arial" w:hAnsi="arial"/>
          <w:b/>
          <w:sz w:val="36"/>
        </w:rPr>
        <w:t xml:space="preserve">BofA Merrill Lynch </w:t>
      </w:r>
    </w:p>
    <w:p>
      <w:pPr>
        <w:pStyle w:val="TextBody"/>
        <w:spacing w:before="0" w:after="0"/>
        <w:jc w:val="center"/>
        <w:rPr>
          <w:rFonts w:ascii="arial" w:hAnsi="arial"/>
          <w:b/>
          <w:sz w:val="36"/>
        </w:rPr>
      </w:pPr>
      <w:r>
        <w:rPr>
          <w:rFonts w:ascii="arial" w:hAnsi="arial"/>
          <w:b/>
          <w:sz w:val="36"/>
        </w:rPr>
        <w:t xml:space="preserve">Citigroup </w:t>
      </w:r>
    </w:p>
    <w:p>
      <w:pPr>
        <w:pStyle w:val="TextBody"/>
        <w:spacing w:before="0" w:after="0"/>
        <w:jc w:val="center"/>
        <w:rPr>
          <w:rFonts w:ascii="arial" w:hAnsi="arial"/>
          <w:b/>
          <w:sz w:val="36"/>
        </w:rPr>
      </w:pPr>
      <w:r>
        <w:rPr>
          <w:rFonts w:ascii="arial" w:hAnsi="arial"/>
          <w:b/>
          <w:sz w:val="36"/>
        </w:rPr>
        <w:t xml:space="preserve">J.P. Morgan </w:t>
      </w:r>
    </w:p>
    <w:p>
      <w:pPr>
        <w:pStyle w:val="TextBody"/>
        <w:spacing w:before="0" w:after="0"/>
        <w:jc w:val="center"/>
        <w:rPr>
          <w:rFonts w:ascii="arial" w:hAnsi="arial"/>
          <w:b/>
          <w:sz w:val="36"/>
        </w:rPr>
      </w:pPr>
      <w:r>
        <w:rPr>
          <w:rFonts w:ascii="arial" w:hAnsi="arial"/>
          <w:b/>
          <w:sz w:val="36"/>
        </w:rPr>
        <w:t xml:space="preserve">UBS Investment Bank </w:t>
      </w:r>
    </w:p>
    <w:p>
      <w:pPr>
        <w:pStyle w:val="TextBody"/>
        <w:spacing w:before="0" w:after="0"/>
        <w:jc w:val="center"/>
        <w:rPr>
          <w:rFonts w:ascii="arial" w:hAnsi="arial"/>
          <w:b/>
          <w:sz w:val="36"/>
        </w:rPr>
      </w:pPr>
      <w:r>
        <w:rPr>
          <w:rFonts w:ascii="arial" w:hAnsi="arial"/>
          <w:b/>
          <w:sz w:val="36"/>
        </w:rPr>
        <w:t xml:space="preserve">Wells Fargo Securities </w:t>
      </w:r>
    </w:p>
    <w:p>
      <w:pPr>
        <w:pStyle w:val="TextBody"/>
        <w:spacing w:before="360" w:after="0"/>
        <w:jc w:val="center"/>
        <w:rPr>
          <w:rFonts w:ascii="Times New Roman" w:hAnsi="Times New Roman"/>
          <w:i/>
          <w:sz w:val="24"/>
        </w:rPr>
      </w:pPr>
      <w:r>
        <w:rPr>
          <w:rFonts w:ascii="Times New Roman" w:hAnsi="Times New Roman"/>
          <w:i/>
          <w:sz w:val="24"/>
        </w:rPr>
        <w:t xml:space="preserve">Co-Managers </w:t>
      </w:r>
    </w:p>
    <w:p>
      <w:pPr>
        <w:pStyle w:val="TextBody"/>
        <w:spacing w:before="90" w:after="0"/>
        <w:jc w:val="center"/>
        <w:rPr>
          <w:rFonts w:ascii="arial" w:hAnsi="arial"/>
          <w:b/>
          <w:sz w:val="24"/>
        </w:rPr>
      </w:pPr>
      <w:r>
        <w:rPr>
          <w:rFonts w:ascii="arial" w:hAnsi="arial"/>
          <w:b/>
          <w:sz w:val="24"/>
        </w:rPr>
        <w:t xml:space="preserve">Raymond James </w:t>
      </w:r>
    </w:p>
    <w:p>
      <w:pPr>
        <w:pStyle w:val="TextBody"/>
        <w:spacing w:before="0" w:after="0"/>
        <w:jc w:val="center"/>
        <w:rPr>
          <w:rFonts w:ascii="arial" w:hAnsi="arial"/>
          <w:b/>
          <w:sz w:val="24"/>
        </w:rPr>
      </w:pPr>
      <w:r>
        <w:rPr>
          <w:rFonts w:ascii="arial" w:hAnsi="arial"/>
          <w:b/>
          <w:sz w:val="24"/>
        </w:rPr>
        <w:t xml:space="preserve">RBC Capital Markets </w:t>
      </w:r>
    </w:p>
    <w:p>
      <w:pPr>
        <w:pStyle w:val="TextBody"/>
        <w:spacing w:before="0" w:after="0"/>
        <w:jc w:val="center"/>
        <w:rPr>
          <w:rFonts w:ascii="arial" w:hAnsi="arial"/>
          <w:b/>
          <w:sz w:val="24"/>
        </w:rPr>
      </w:pPr>
      <w:r>
        <w:rPr>
          <w:rFonts w:ascii="arial" w:hAnsi="arial"/>
          <w:b/>
          <w:sz w:val="24"/>
        </w:rPr>
        <w:t xml:space="preserve">Baird </w:t>
      </w:r>
    </w:p>
    <w:p>
      <w:pPr>
        <w:pStyle w:val="TextBody"/>
        <w:spacing w:before="0" w:after="0"/>
        <w:jc w:val="center"/>
        <w:rPr>
          <w:rFonts w:ascii="arial" w:hAnsi="arial"/>
          <w:b/>
          <w:sz w:val="24"/>
        </w:rPr>
      </w:pPr>
      <w:r>
        <w:rPr>
          <w:rFonts w:ascii="arial" w:hAnsi="arial"/>
          <w:b/>
          <w:sz w:val="24"/>
        </w:rPr>
        <w:t xml:space="preserve">Global Hunter Securities </w:t>
      </w:r>
    </w:p>
    <w:p>
      <w:pPr>
        <w:pStyle w:val="TextBody"/>
        <w:spacing w:before="0" w:after="0"/>
        <w:jc w:val="center"/>
        <w:rPr>
          <w:rFonts w:ascii="arial" w:hAnsi="arial"/>
          <w:b/>
          <w:sz w:val="24"/>
        </w:rPr>
      </w:pPr>
      <w:r>
        <w:rPr>
          <w:rFonts w:ascii="arial" w:hAnsi="arial"/>
          <w:b/>
          <w:sz w:val="24"/>
        </w:rPr>
        <w:t xml:space="preserve">Oppenheimer &amp; Co. </w:t>
      </w:r>
    </w:p>
    <w:p>
      <w:pPr>
        <w:pStyle w:val="TextBody"/>
        <w:spacing w:before="0" w:after="0"/>
        <w:jc w:val="center"/>
        <w:rPr>
          <w:rFonts w:ascii="arial" w:hAnsi="arial"/>
          <w:b/>
          <w:sz w:val="24"/>
        </w:rPr>
      </w:pPr>
      <w:r>
        <w:rPr>
          <w:rFonts w:ascii="arial" w:hAnsi="arial"/>
          <w:b/>
          <w:sz w:val="24"/>
        </w:rPr>
        <w:t xml:space="preserve">Stifel Nicolaus Weisel </w:t>
      </w:r>
    </w:p>
    <w:p>
      <w:pPr>
        <w:pStyle w:val="TextBody"/>
        <w:spacing w:before="0" w:after="0"/>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ARIAL">
    <w:charset w:val="00"/>
    <w:family w:val="auto"/>
    <w:pitch w:val="default"/>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65</Pages>
  <Words>33742</Words>
  <CharactersWithSpaces>208971</CharactersWithSpaces>
  <Paragraphs>2659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Form 424b2</dc:title>
</cp:coreProperties>
</file>