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333-216194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FEBRUARY 23, 2017</w:t>
      </w:r>
    </w:p>
    <w:p>
      <w:pPr>
        <w:spacing w:after="0" w:line="225"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b w:val="1"/>
          <w:bCs w:val="1"/>
          <w:color w:val="FF4040"/>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2072005</wp:posOffset>
            </wp:positionH>
            <wp:positionV relativeFrom="paragraph">
              <wp:posOffset>144145</wp:posOffset>
            </wp:positionV>
            <wp:extent cx="3112770" cy="694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2770" cy="694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34,000,000 Class A Shares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8" w:lineRule="exact"/>
        <w:rPr>
          <w:sz w:val="24"/>
          <w:szCs w:val="24"/>
          <w:color w:val="auto"/>
        </w:rPr>
      </w:pPr>
    </w:p>
    <w:p>
      <w:pPr>
        <w:ind w:left="5220" w:hanging="858"/>
        <w:spacing w:after="0"/>
        <w:tabs>
          <w:tab w:leader="none" w:pos="5220" w:val="left"/>
        </w:tabs>
        <w:numPr>
          <w:ilvl w:val="0"/>
          <w:numId w:val="1"/>
        </w:numPr>
        <w:rPr>
          <w:rFonts w:ascii="Arial" w:cs="Arial" w:eastAsia="Arial" w:hAnsi="Arial"/>
          <w:sz w:val="24"/>
          <w:szCs w:val="24"/>
          <w:b w:val="1"/>
          <w:bCs w:val="1"/>
          <w:color w:val="auto"/>
        </w:rPr>
      </w:pPr>
      <w:r>
        <w:rPr>
          <w:rFonts w:ascii="Arial" w:cs="Arial" w:eastAsia="Arial" w:hAnsi="Arial"/>
          <w:sz w:val="24"/>
          <w:szCs w:val="24"/>
          <w:b w:val="1"/>
          <w:bCs w:val="1"/>
          <w:color w:val="auto"/>
        </w:rPr>
        <w:t>per Class A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right="360" w:firstLine="348"/>
        <w:spacing w:after="0" w:line="332" w:lineRule="auto"/>
        <w:rPr>
          <w:sz w:val="20"/>
          <w:szCs w:val="20"/>
          <w:color w:val="auto"/>
        </w:rPr>
      </w:pPr>
      <w:r>
        <w:rPr>
          <w:rFonts w:ascii="Arial" w:cs="Arial" w:eastAsia="Arial" w:hAnsi="Arial"/>
          <w:sz w:val="16"/>
          <w:szCs w:val="16"/>
          <w:color w:val="auto"/>
        </w:rPr>
        <w:t>We are selling 34,000,000 of our Class A shares in this offering. Our Class A shares are listed on the New York Stock Exchange (the "NYSE") under the symbol "PAGP." The last reported sale price of our Class A shares on the NYSE on February 22, 2017 was $31.31 per Class A share.</w:t>
      </w:r>
    </w:p>
    <w:p>
      <w:pPr>
        <w:spacing w:after="0" w:line="139" w:lineRule="exact"/>
        <w:rPr>
          <w:sz w:val="24"/>
          <w:szCs w:val="24"/>
          <w:color w:val="auto"/>
        </w:rPr>
      </w:pPr>
    </w:p>
    <w:p>
      <w:pPr>
        <w:ind w:firstLine="348"/>
        <w:spacing w:after="0" w:line="306" w:lineRule="auto"/>
        <w:rPr>
          <w:sz w:val="20"/>
          <w:szCs w:val="20"/>
          <w:color w:val="auto"/>
        </w:rPr>
      </w:pPr>
      <w:r>
        <w:rPr>
          <w:rFonts w:ascii="Arial" w:cs="Arial" w:eastAsia="Arial" w:hAnsi="Arial"/>
          <w:sz w:val="16"/>
          <w:szCs w:val="16"/>
          <w:color w:val="auto"/>
        </w:rPr>
        <w:t>The underwriter has agreed to purchase the Class A shares from us at a price of $ per share, which will result in $ of gross proceeds to us before expenses. The underwriter may offer the Class A shares from time to time for sale in one or more transactions on the NYSE in the over-the-counter market, through negotiated transactions or otherwise at market prices prevailing at the time of sale, at prices related to prevailing market prices or at negotiated prices.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107315</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right="280" w:firstLine="351"/>
        <w:spacing w:after="0" w:line="301" w:lineRule="auto"/>
        <w:rPr>
          <w:sz w:val="20"/>
          <w:szCs w:val="20"/>
          <w:color w:val="auto"/>
        </w:rPr>
      </w:pPr>
      <w:r>
        <w:rPr>
          <w:rFonts w:ascii="Arial" w:cs="Arial" w:eastAsia="Arial" w:hAnsi="Arial"/>
          <w:sz w:val="19"/>
          <w:szCs w:val="19"/>
          <w:b w:val="1"/>
          <w:bCs w:val="1"/>
          <w:color w:val="auto"/>
        </w:rPr>
        <w:t>Investing in our Class A shares involves risks. Limited partnerships are inherently different from corporations. You should carefully consider the risks relating to investing in our Class A shares and each of the risk factors described under "Risk Factors" on page S-6 of this prospectus supplement before you make an investment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95885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5140" w:type="dxa"/>
            <w:vAlign w:val="bottom"/>
          </w:tcPr>
          <w:p>
            <w:pPr>
              <w:spacing w:after="0"/>
              <w:rPr>
                <w:sz w:val="20"/>
                <w:szCs w:val="20"/>
                <w:color w:val="auto"/>
              </w:rPr>
            </w:pPr>
            <w:r>
              <w:rPr>
                <w:rFonts w:ascii="Arial" w:cs="Arial" w:eastAsia="Arial" w:hAnsi="Arial"/>
                <w:sz w:val="18"/>
                <w:szCs w:val="18"/>
                <w:color w:val="auto"/>
                <w:w w:val="96"/>
              </w:rPr>
              <w:t>Delivery of the Class A shares is expected to be made on or about</w:t>
            </w:r>
          </w:p>
        </w:tc>
        <w:tc>
          <w:tcPr>
            <w:tcW w:w="102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10" w:lineRule="exact"/>
        <w:rPr>
          <w:sz w:val="24"/>
          <w:szCs w:val="24"/>
          <w:color w:val="auto"/>
        </w:rPr>
      </w:pPr>
    </w:p>
    <w:p>
      <w:pPr>
        <w:jc w:val="center"/>
        <w:ind w:right="240"/>
        <w:spacing w:after="0" w:line="370" w:lineRule="auto"/>
        <w:rPr>
          <w:sz w:val="20"/>
          <w:szCs w:val="20"/>
          <w:color w:val="auto"/>
        </w:rPr>
      </w:pPr>
      <w:r>
        <w:rPr>
          <w:rFonts w:ascii="Arial" w:cs="Arial" w:eastAsia="Arial" w:hAnsi="Arial"/>
          <w:sz w:val="15"/>
          <w:szCs w:val="15"/>
          <w:color w:val="auto"/>
        </w:rPr>
        <w:t>Neither the Securities and Exchange Commission (the "SEC")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1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We have granted the underwriter a 30-day option to purchase up to 5,100,000 additional Class A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February</w:t>
      </w:r>
      <w:r>
        <w:rPr>
          <w:sz w:val="20"/>
          <w:szCs w:val="20"/>
          <w:color w:val="auto"/>
        </w:rPr>
        <w:tab/>
      </w:r>
      <w:r>
        <w:rPr>
          <w:rFonts w:ascii="Arial" w:cs="Arial" w:eastAsia="Arial" w:hAnsi="Arial"/>
          <w:sz w:val="15"/>
          <w:szCs w:val="15"/>
          <w:b w:val="1"/>
          <w:bCs w:val="1"/>
          <w:color w:val="auto"/>
        </w:rPr>
        <w:t>,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20" w:type="dxa"/>
            <w:vAlign w:val="bottom"/>
            <w:gridSpan w:val="3"/>
            <w:vMerge w:val="restart"/>
          </w:tcPr>
          <w:p>
            <w:pPr>
              <w:jc w:val="center"/>
              <w:ind w:right="3080"/>
              <w:spacing w:after="0"/>
              <w:rPr>
                <w:sz w:val="20"/>
                <w:szCs w:val="20"/>
                <w:color w:val="auto"/>
              </w:rPr>
            </w:pPr>
            <w:r>
              <w:rPr>
                <w:rFonts w:ascii="Arial" w:cs="Arial" w:eastAsia="Arial" w:hAnsi="Arial"/>
                <w:sz w:val="18"/>
                <w:szCs w:val="18"/>
                <w:b w:val="1"/>
                <w:bCs w:val="1"/>
                <w:color w:val="auto"/>
                <w:w w:val="85"/>
              </w:rPr>
              <w:t>Prospectus Supplement</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87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Important Notice About Information in this Prospectus Supplement and the Accompanying Base Prospectus</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3"/>
          </w:tcPr>
          <w:p>
            <w:pPr>
              <w:jc w:val="right"/>
              <w:spacing w:after="0"/>
              <w:rPr>
                <w:rFonts w:ascii="Arial" w:cs="Arial" w:eastAsia="Arial" w:hAnsi="Arial"/>
                <w:sz w:val="11"/>
                <w:szCs w:val="11"/>
                <w:color w:val="0000EE"/>
                <w:w w:val="75"/>
              </w:rPr>
            </w:pPr>
            <w:hyperlink w:anchor="page3">
              <w:r>
                <w:rPr>
                  <w:rFonts w:ascii="Arial" w:cs="Arial" w:eastAsia="Arial" w:hAnsi="Arial"/>
                  <w:sz w:val="11"/>
                  <w:szCs w:val="11"/>
                  <w:color w:val="0000EE"/>
                  <w:w w:val="75"/>
                </w:rPr>
                <w:t>S-ii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Forward-Looking Statements</w:t>
              </w:r>
            </w:hyperlink>
          </w:p>
        </w:tc>
        <w:tc>
          <w:tcPr>
            <w:tcW w:w="5540" w:type="dxa"/>
            <w:vAlign w:val="bottom"/>
            <w:gridSpan w:val="7"/>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196"/>
        </w:trPr>
        <w:tc>
          <w:tcPr>
            <w:tcW w:w="2380" w:type="dxa"/>
            <w:vAlign w:val="bottom"/>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64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6">
              <w:r>
                <w:rPr>
                  <w:rFonts w:ascii="Arial" w:cs="Arial" w:eastAsia="Arial" w:hAnsi="Arial"/>
                  <w:sz w:val="10"/>
                  <w:szCs w:val="10"/>
                  <w:color w:val="0000EE"/>
                  <w:w w:val="76"/>
                </w:rPr>
                <w:t>S-1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1480" w:type="dxa"/>
            <w:vAlign w:val="bottom"/>
            <w:gridSpan w:val="10"/>
          </w:tcPr>
          <w:p>
            <w:pPr>
              <w:spacing w:after="0"/>
              <w:rPr>
                <w:sz w:val="17"/>
                <w:szCs w:val="17"/>
                <w:color w:val="auto"/>
              </w:rPr>
            </w:pPr>
          </w:p>
        </w:tc>
        <w:tc>
          <w:tcPr>
            <w:tcW w:w="640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11">
              <w:r>
                <w:rPr>
                  <w:rFonts w:ascii="Arial" w:cs="Arial" w:eastAsia="Arial" w:hAnsi="Arial"/>
                  <w:sz w:val="10"/>
                  <w:szCs w:val="10"/>
                  <w:color w:val="0000EE"/>
                  <w:w w:val="76"/>
                </w:rPr>
                <w:t>S-6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762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12">
              <w:r>
                <w:rPr>
                  <w:rFonts w:ascii="Arial" w:cs="Arial" w:eastAsia="Arial" w:hAnsi="Arial"/>
                  <w:sz w:val="10"/>
                  <w:szCs w:val="10"/>
                  <w:color w:val="0000EE"/>
                  <w:w w:val="76"/>
                </w:rPr>
                <w:t>S-7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Price Range of Class A Shares and Distributions</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13">
              <w:r>
                <w:rPr>
                  <w:rFonts w:ascii="Arial" w:cs="Arial" w:eastAsia="Arial" w:hAnsi="Arial"/>
                  <w:sz w:val="10"/>
                  <w:szCs w:val="10"/>
                  <w:color w:val="0000EE"/>
                  <w:w w:val="76"/>
                </w:rPr>
                <w:t>S-8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4"/>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Capitalization</w:t>
              </w:r>
            </w:hyperlink>
          </w:p>
        </w:tc>
        <w:tc>
          <w:tcPr>
            <w:tcW w:w="2400" w:type="dxa"/>
            <w:vAlign w:val="bottom"/>
            <w:gridSpan w:val="10"/>
          </w:tcPr>
          <w:p>
            <w:pPr>
              <w:spacing w:after="0"/>
              <w:rPr>
                <w:sz w:val="17"/>
                <w:szCs w:val="17"/>
                <w:color w:val="auto"/>
              </w:rPr>
            </w:pPr>
          </w:p>
        </w:tc>
        <w:tc>
          <w:tcPr>
            <w:tcW w:w="538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rPr>
                <w:rFonts w:ascii="Arial" w:cs="Arial" w:eastAsia="Arial" w:hAnsi="Arial"/>
                <w:sz w:val="10"/>
                <w:szCs w:val="10"/>
                <w:color w:val="0000EE"/>
                <w:w w:val="76"/>
              </w:rPr>
            </w:pPr>
            <w:hyperlink w:anchor="page14">
              <w:r>
                <w:rPr>
                  <w:rFonts w:ascii="Arial" w:cs="Arial" w:eastAsia="Arial" w:hAnsi="Arial"/>
                  <w:sz w:val="10"/>
                  <w:szCs w:val="10"/>
                  <w:color w:val="0000EE"/>
                  <w:w w:val="76"/>
                </w:rPr>
                <w:t>S-9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right w:val="single" w:sz="8" w:color="0000EE"/>
            </w:tcBorders>
            <w:gridSpan w:val="2"/>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Underwriting</w:t>
              </w:r>
            </w:hyperlink>
          </w:p>
        </w:tc>
        <w:tc>
          <w:tcPr>
            <w:tcW w:w="40" w:type="dxa"/>
            <w:vAlign w:val="bottom"/>
          </w:tcPr>
          <w:p>
            <w:pPr>
              <w:spacing w:after="0"/>
              <w:rPr>
                <w:sz w:val="17"/>
                <w:szCs w:val="17"/>
                <w:color w:val="auto"/>
              </w:rPr>
            </w:pPr>
          </w:p>
        </w:tc>
        <w:tc>
          <w:tcPr>
            <w:tcW w:w="77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78"/>
              </w:rPr>
            </w:pPr>
            <w:hyperlink w:anchor="page16">
              <w:r>
                <w:rPr>
                  <w:rFonts w:ascii="Arial" w:cs="Arial" w:eastAsia="Arial" w:hAnsi="Arial"/>
                  <w:sz w:val="18"/>
                  <w:szCs w:val="18"/>
                  <w:color w:val="0000EE"/>
                  <w:w w:val="78"/>
                </w:rPr>
                <w:t>S-11</w:t>
              </w:r>
            </w:hyperlink>
          </w:p>
        </w:tc>
        <w:tc>
          <w:tcPr>
            <w:tcW w:w="0" w:type="dxa"/>
            <w:vAlign w:val="bottom"/>
          </w:tcPr>
          <w:p>
            <w:pPr>
              <w:spacing w:after="0"/>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360" w:type="dxa"/>
            <w:vAlign w:val="bottom"/>
            <w:gridSpan w:val="7"/>
          </w:tcPr>
          <w:p>
            <w:pPr>
              <w:jc w:val="right"/>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778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S-14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360" w:type="dxa"/>
            <w:vAlign w:val="bottom"/>
            <w:gridSpan w:val="7"/>
          </w:tcPr>
          <w:p>
            <w:pPr>
              <w:jc w:val="right"/>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S-14</w:t>
              </w:r>
            </w:hyperlink>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20" w:type="dxa"/>
            <w:vAlign w:val="bottom"/>
            <w:gridSpan w:val="3"/>
          </w:tcPr>
          <w:p>
            <w:pPr>
              <w:jc w:val="center"/>
              <w:ind w:right="3100"/>
              <w:spacing w:after="0"/>
              <w:rPr>
                <w:sz w:val="20"/>
                <w:szCs w:val="20"/>
                <w:color w:val="auto"/>
              </w:rPr>
            </w:pPr>
            <w:r>
              <w:rPr>
                <w:rFonts w:ascii="Arial" w:cs="Arial" w:eastAsia="Arial" w:hAnsi="Arial"/>
                <w:sz w:val="18"/>
                <w:szCs w:val="18"/>
                <w:b w:val="1"/>
                <w:bCs w:val="1"/>
                <w:color w:val="auto"/>
                <w:w w:val="83"/>
              </w:rPr>
              <w:t>Prospectus</w:t>
            </w: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78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About This Prospectus</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Where You Can Find More Information</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3"/>
          </w:tcPr>
          <w:p>
            <w:pPr>
              <w:jc w:val="right"/>
              <w:spacing w:after="0" w:line="19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iii</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10"/>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Forward-Looking Statements</w:t>
              </w:r>
            </w:hyperlink>
          </w:p>
        </w:tc>
        <w:tc>
          <w:tcPr>
            <w:tcW w:w="740" w:type="dxa"/>
            <w:vAlign w:val="bottom"/>
            <w:tcBorders>
              <w:top w:val="single" w:sz="8" w:color="0000EE"/>
            </w:tcBorders>
            <w:gridSpan w:val="3"/>
          </w:tcPr>
          <w:p>
            <w:pPr>
              <w:spacing w:after="0"/>
              <w:rPr>
                <w:sz w:val="17"/>
                <w:szCs w:val="17"/>
                <w:color w:val="auto"/>
              </w:rPr>
            </w:pPr>
          </w:p>
        </w:tc>
        <w:tc>
          <w:tcPr>
            <w:tcW w:w="598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gridSpan w:val="11"/>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About Plains GP Holdings, L.P.</w:t>
              </w:r>
            </w:hyperlink>
          </w:p>
        </w:tc>
        <w:tc>
          <w:tcPr>
            <w:tcW w:w="6500" w:type="dxa"/>
            <w:vAlign w:val="bottom"/>
            <w:gridSpan w:val="7"/>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1380" w:type="dxa"/>
            <w:vAlign w:val="bottom"/>
            <w:gridSpan w:val="9"/>
          </w:tcPr>
          <w:p>
            <w:pPr>
              <w:spacing w:after="0"/>
              <w:rPr>
                <w:sz w:val="17"/>
                <w:szCs w:val="17"/>
                <w:color w:val="auto"/>
              </w:rPr>
            </w:pPr>
          </w:p>
        </w:tc>
        <w:tc>
          <w:tcPr>
            <w:tcW w:w="6500" w:type="dxa"/>
            <w:vAlign w:val="bottom"/>
            <w:gridSpan w:val="7"/>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7620" w:type="dxa"/>
            <w:vAlign w:val="bottom"/>
            <w:gridSpan w:val="13"/>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Our Cash Distribution Policy</w:t>
              </w:r>
            </w:hyperlink>
          </w:p>
        </w:tc>
        <w:tc>
          <w:tcPr>
            <w:tcW w:w="360" w:type="dxa"/>
            <w:vAlign w:val="bottom"/>
            <w:gridSpan w:val="7"/>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10"/>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The Partnership Agreement</w:t>
              </w:r>
            </w:hyperlink>
          </w:p>
        </w:tc>
        <w:tc>
          <w:tcPr>
            <w:tcW w:w="6720" w:type="dxa"/>
            <w:vAlign w:val="bottom"/>
            <w:gridSpan w:val="8"/>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9"/>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Description of Our Shares</w:t>
              </w:r>
            </w:hyperlink>
          </w:p>
        </w:tc>
        <w:tc>
          <w:tcPr>
            <w:tcW w:w="6840" w:type="dxa"/>
            <w:vAlign w:val="bottom"/>
            <w:gridSpan w:val="9"/>
          </w:tcPr>
          <w:p>
            <w:pPr>
              <w:spacing w:after="0"/>
              <w:rPr>
                <w:sz w:val="17"/>
                <w:szCs w:val="17"/>
                <w:color w:val="auto"/>
              </w:rPr>
            </w:pPr>
          </w:p>
        </w:tc>
        <w:tc>
          <w:tcPr>
            <w:tcW w:w="360" w:type="dxa"/>
            <w:vAlign w:val="bottom"/>
            <w:gridSpan w:val="7"/>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14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Material U.S. Federal Income Tax Consequences</w:t>
              </w:r>
            </w:hyperlink>
          </w:p>
        </w:tc>
        <w:tc>
          <w:tcPr>
            <w:tcW w:w="5320" w:type="dxa"/>
            <w:vAlign w:val="bottom"/>
            <w:gridSpan w:val="3"/>
          </w:tcPr>
          <w:p>
            <w:pPr>
              <w:spacing w:after="0"/>
              <w:rPr>
                <w:sz w:val="17"/>
                <w:szCs w:val="17"/>
                <w:color w:val="auto"/>
              </w:rPr>
            </w:pPr>
          </w:p>
        </w:tc>
        <w:tc>
          <w:tcPr>
            <w:tcW w:w="220" w:type="dxa"/>
            <w:vAlign w:val="bottom"/>
            <w:gridSpan w:val="4"/>
          </w:tcPr>
          <w:p>
            <w:pPr>
              <w:spacing w:after="0"/>
              <w:rPr>
                <w:sz w:val="17"/>
                <w:szCs w:val="17"/>
                <w:color w:val="auto"/>
              </w:rPr>
            </w:pPr>
          </w:p>
        </w:tc>
        <w:tc>
          <w:tcPr>
            <w:tcW w:w="140" w:type="dxa"/>
            <w:vAlign w:val="bottom"/>
            <w:tcBorders>
              <w:bottom w:val="single" w:sz="8" w:color="0000EE"/>
            </w:tcBorders>
            <w:gridSpan w:val="3"/>
          </w:tcPr>
          <w:p>
            <w:pPr>
              <w:jc w:val="right"/>
              <w:spacing w:after="0"/>
              <w:rPr>
                <w:rFonts w:ascii="Arial" w:cs="Arial" w:eastAsia="Arial" w:hAnsi="Arial"/>
                <w:sz w:val="15"/>
                <w:szCs w:val="15"/>
                <w:color w:val="0000EE"/>
                <w:w w:val="71"/>
              </w:rPr>
            </w:pPr>
            <w:hyperlink w:anchor="page46">
              <w:r>
                <w:rPr>
                  <w:rFonts w:ascii="Arial" w:cs="Arial" w:eastAsia="Arial" w:hAnsi="Arial"/>
                  <w:sz w:val="15"/>
                  <w:szCs w:val="15"/>
                  <w:color w:val="0000EE"/>
                  <w:w w:val="71"/>
                </w:rPr>
                <w:t>21</w:t>
              </w:r>
            </w:hyperlink>
          </w:p>
        </w:tc>
        <w:tc>
          <w:tcPr>
            <w:tcW w:w="0" w:type="dxa"/>
            <w:vAlign w:val="bottom"/>
          </w:tcPr>
          <w:p>
            <w:pPr>
              <w:spacing w:after="0"/>
              <w:rPr>
                <w:sz w:val="1"/>
                <w:szCs w:val="1"/>
                <w:color w:val="auto"/>
              </w:rPr>
            </w:pPr>
          </w:p>
        </w:tc>
      </w:tr>
      <w:tr>
        <w:trPr>
          <w:trHeight w:val="196"/>
        </w:trPr>
        <w:tc>
          <w:tcPr>
            <w:tcW w:w="8780" w:type="dxa"/>
            <w:vAlign w:val="bottom"/>
            <w:gridSpan w:val="1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Investment in Plains GP Holdings, L.P. by Employee Benefit Plans</w:t>
              </w:r>
            </w:hyperlink>
          </w:p>
        </w:tc>
        <w:tc>
          <w:tcPr>
            <w:tcW w:w="360" w:type="dxa"/>
            <w:vAlign w:val="bottom"/>
            <w:gridSpan w:val="7"/>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4060" w:type="dxa"/>
            <w:vAlign w:val="bottom"/>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140" w:type="dxa"/>
            <w:vAlign w:val="bottom"/>
            <w:tcBorders>
              <w:top w:val="single" w:sz="8" w:color="0000EE"/>
            </w:tcBorders>
            <w:gridSpan w:val="3"/>
          </w:tcPr>
          <w:p>
            <w:pPr>
              <w:jc w:val="right"/>
              <w:spacing w:after="0"/>
              <w:rPr>
                <w:rFonts w:ascii="Arial" w:cs="Arial" w:eastAsia="Arial" w:hAnsi="Arial"/>
                <w:sz w:val="15"/>
                <w:szCs w:val="15"/>
                <w:color w:val="0000EE"/>
                <w:w w:val="71"/>
              </w:rPr>
            </w:pPr>
            <w:hyperlink w:anchor="page54">
              <w:r>
                <w:rPr>
                  <w:rFonts w:ascii="Arial" w:cs="Arial" w:eastAsia="Arial" w:hAnsi="Arial"/>
                  <w:sz w:val="15"/>
                  <w:szCs w:val="15"/>
                  <w:color w:val="0000EE"/>
                  <w:w w:val="71"/>
                </w:rPr>
                <w:t>29</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7380" w:type="dxa"/>
            <w:vAlign w:val="bottom"/>
            <w:gridSpan w:val="12"/>
          </w:tcPr>
          <w:p>
            <w:pPr>
              <w:spacing w:after="0"/>
              <w:rPr>
                <w:sz w:val="17"/>
                <w:szCs w:val="17"/>
                <w:color w:val="auto"/>
              </w:rPr>
            </w:pPr>
          </w:p>
        </w:tc>
        <w:tc>
          <w:tcPr>
            <w:tcW w:w="220" w:type="dxa"/>
            <w:vAlign w:val="bottom"/>
            <w:gridSpan w:val="4"/>
          </w:tcPr>
          <w:p>
            <w:pPr>
              <w:spacing w:after="0"/>
              <w:rPr>
                <w:sz w:val="17"/>
                <w:szCs w:val="17"/>
                <w:color w:val="auto"/>
              </w:rPr>
            </w:pPr>
          </w:p>
        </w:tc>
        <w:tc>
          <w:tcPr>
            <w:tcW w:w="140" w:type="dxa"/>
            <w:vAlign w:val="bottom"/>
            <w:tcBorders>
              <w:top w:val="single" w:sz="8" w:color="0000EE"/>
            </w:tcBorders>
            <w:gridSpan w:val="3"/>
          </w:tcPr>
          <w:p>
            <w:pPr>
              <w:jc w:val="right"/>
              <w:spacing w:after="0"/>
              <w:rPr>
                <w:rFonts w:ascii="Arial" w:cs="Arial" w:eastAsia="Arial" w:hAnsi="Arial"/>
                <w:sz w:val="15"/>
                <w:szCs w:val="15"/>
                <w:color w:val="0000EE"/>
                <w:w w:val="71"/>
              </w:rPr>
            </w:pPr>
            <w:hyperlink w:anchor="page55">
              <w:r>
                <w:rPr>
                  <w:rFonts w:ascii="Arial" w:cs="Arial" w:eastAsia="Arial" w:hAnsi="Arial"/>
                  <w:sz w:val="15"/>
                  <w:szCs w:val="15"/>
                  <w:color w:val="0000EE"/>
                  <w:w w:val="71"/>
                </w:rPr>
                <w:t>30</w:t>
              </w:r>
            </w:hyperlink>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7780" w:type="dxa"/>
            <w:vAlign w:val="bottom"/>
            <w:gridSpan w:val="14"/>
          </w:tcPr>
          <w:p>
            <w:pPr>
              <w:spacing w:after="0"/>
              <w:rPr>
                <w:sz w:val="17"/>
                <w:szCs w:val="17"/>
                <w:color w:val="auto"/>
              </w:rPr>
            </w:pPr>
          </w:p>
        </w:tc>
        <w:tc>
          <w:tcPr>
            <w:tcW w:w="220" w:type="dxa"/>
            <w:vAlign w:val="bottom"/>
            <w:gridSpan w:val="4"/>
          </w:tcPr>
          <w:p>
            <w:pPr>
              <w:spacing w:after="0"/>
              <w:rPr>
                <w:sz w:val="17"/>
                <w:szCs w:val="17"/>
                <w:color w:val="auto"/>
              </w:rPr>
            </w:pPr>
          </w:p>
        </w:tc>
        <w:tc>
          <w:tcPr>
            <w:tcW w:w="140" w:type="dxa"/>
            <w:vAlign w:val="bottom"/>
            <w:tcBorders>
              <w:top w:val="single" w:sz="8" w:color="0000EE"/>
            </w:tcBorders>
            <w:gridSpan w:val="3"/>
          </w:tcPr>
          <w:p>
            <w:pPr>
              <w:jc w:val="right"/>
              <w:spacing w:after="0"/>
              <w:rPr>
                <w:rFonts w:ascii="Arial" w:cs="Arial" w:eastAsia="Arial" w:hAnsi="Arial"/>
                <w:sz w:val="15"/>
                <w:szCs w:val="15"/>
                <w:color w:val="0000EE"/>
                <w:w w:val="71"/>
              </w:rPr>
            </w:pPr>
            <w:hyperlink w:anchor="page55">
              <w:r>
                <w:rPr>
                  <w:rFonts w:ascii="Arial" w:cs="Arial" w:eastAsia="Arial" w:hAnsi="Arial"/>
                  <w:sz w:val="15"/>
                  <w:szCs w:val="15"/>
                  <w:color w:val="0000EE"/>
                  <w:w w:val="71"/>
                </w:rPr>
                <w:t>30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ABOUT INFORMATION IN THIS PROSPECTUS SUPPLEMENT AND THE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ACCOMPANYING BASE PROSPECTUS</w:t>
      </w:r>
    </w:p>
    <w:p>
      <w:pPr>
        <w:spacing w:after="0" w:line="219"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are providing information to you about this offering of our Class A shares in two separate documents that are bound together: (1) this prospectus supplement, which describes the specific terms of this offering, and (2) the accompanying base prospectus, which provides general information, some of which may not apply to this offering. This prospectus supplement may also add to, update or change information contained in the accompanying base prospectus. If information in this prospectus supplement is inconsistent with the accompanying base prospectus, you should rely on this prospectus supplement. Generally, when we refer to this "prospectus," we are referring to both documents combined.</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This prospectus supplement and the accompanying base prospectus contain and incorporate by reference information that you should consider when making your investment decision. Neither we nor the underwriter or its affiliates and agents have authorized anyone to provide you with additional or different information. You should not assume that the information contained in this prospectus supplement or the accompanying base prospectus is accurate as of any date other than the date on the front of those documents or that any information we have incorporated by reference is accurate as of any date other than the date of the document incorporated by reference. Our business, financial condition, results of operations and prospects may have changed since those dates.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an offer to sell our Class A shares in any jurisdiction where the offer is not permitted.</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carefully read this prospectus supplement and the accompanying base prospectus, including the information incorporated by reference herein and therein, before you invest, as these documents contain information you should consider when making your investment decision.</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None of Plains GP Holdings, L.P., the underwriter or any of their respective representatives is making any representation to you regarding the legality of an investment in our Class A shares by you under applicable laws. You should consult with your own advisors as to legal, tax, business, financial and related aspects of an investment in the Class A shares.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prospectus supplement and the accompanying base prospectus, unless the context clearly indicates otherwise:</w:t>
      </w:r>
    </w:p>
    <w:p>
      <w:pPr>
        <w:spacing w:after="0" w:line="239" w:lineRule="exact"/>
        <w:rPr>
          <w:sz w:val="20"/>
          <w:szCs w:val="20"/>
          <w:color w:val="auto"/>
        </w:rPr>
      </w:pPr>
    </w:p>
    <w:p>
      <w:pPr>
        <w:ind w:left="1080" w:right="220" w:hanging="532"/>
        <w:spacing w:after="0" w:line="298"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"ours," "we," "us," "the Partnership," "Plains GP Holdings, L.P." or "PAGP" refers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refers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"PAA GP" refers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"AAP" refers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"GP LLC" refers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"general partner" refers to PAA GP Holdings LLC;</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40"/>
        <w:spacing w:after="0" w:line="268" w:lineRule="auto"/>
        <w:rPr>
          <w:sz w:val="20"/>
          <w:szCs w:val="20"/>
          <w:color w:val="auto"/>
        </w:rPr>
      </w:pPr>
      <w:r>
        <w:rPr>
          <w:rFonts w:ascii="Arial" w:cs="Arial" w:eastAsia="Arial" w:hAnsi="Arial"/>
          <w:sz w:val="18"/>
          <w:szCs w:val="18"/>
          <w:color w:val="auto"/>
        </w:rPr>
        <w:t>agreed to, among other things, the permanent elimination of PAA's incentive distribution rights and the economic rights associated with its 2% general partner interest; and</w:t>
      </w:r>
    </w:p>
    <w:p>
      <w:pPr>
        <w:spacing w:after="0" w:line="199" w:lineRule="exact"/>
        <w:rPr>
          <w:sz w:val="20"/>
          <w:szCs w:val="20"/>
          <w:color w:val="auto"/>
        </w:rPr>
      </w:pPr>
    </w:p>
    <w:p>
      <w:pPr>
        <w:ind w:left="1080" w:right="60" w:hanging="532"/>
        <w:spacing w:after="0" w:line="254"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"Omnibus Agreement" refers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2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 (as defined below);</w:t>
      </w:r>
    </w:p>
    <w:p>
      <w:pPr>
        <w:spacing w:after="0" w:line="238"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66"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212"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NGLs.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on page S-6 of this prospectus supplement and as discussed in Item 1A. "Risk Factors" in our Annual Report on Form 10-K for the fiscal year ended December 31, 2016 (File No. 001-36132),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341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341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20" w:firstLine="351"/>
        <w:spacing w:after="0" w:line="254" w:lineRule="auto"/>
        <w:rPr>
          <w:sz w:val="20"/>
          <w:szCs w:val="20"/>
          <w:color w:val="auto"/>
        </w:rPr>
      </w:pPr>
      <w:r>
        <w:rPr>
          <w:rFonts w:ascii="Arial" w:cs="Arial" w:eastAsia="Arial" w:hAnsi="Arial"/>
          <w:sz w:val="18"/>
          <w:szCs w:val="18"/>
          <w:i w:val="1"/>
          <w:iCs w:val="1"/>
          <w:color w:val="auto"/>
        </w:rPr>
        <w:t>This summary highlights information included or incorporated by reference in this prospectus supplement.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Class A shares. Please read "Risk Factors" on page S-6 of this prospectus supplement and in our Annual Report on Form 10-K for the fiscal year ended December 31, 2016, which is incorporated by reference herein, for information regarding risks you should consider before investing in our Class A shares.</w:t>
      </w:r>
    </w:p>
    <w:p>
      <w:pPr>
        <w:spacing w:after="0" w:line="200" w:lineRule="exact"/>
        <w:rPr>
          <w:sz w:val="20"/>
          <w:szCs w:val="20"/>
          <w:color w:val="auto"/>
        </w:rPr>
      </w:pP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p>
      <w:pPr>
        <w:ind w:left="240" w:right="140" w:firstLine="348"/>
        <w:spacing w:after="0" w:line="254" w:lineRule="auto"/>
        <w:rPr>
          <w:sz w:val="20"/>
          <w:szCs w:val="20"/>
          <w:color w:val="auto"/>
        </w:rPr>
      </w:pPr>
      <w:r>
        <w:rPr>
          <w:rFonts w:ascii="Arial" w:cs="Arial" w:eastAsia="Arial" w:hAnsi="Arial"/>
          <w:sz w:val="18"/>
          <w:szCs w:val="18"/>
          <w:color w:val="auto"/>
        </w:rPr>
        <w:t>We are a Delaware limited partnership formed in July 2013 that has elected to be treated as a corporation for United States federal income tax purposes. We do not directly own any operating assets; our principal sources of cash flow are derived from our indirect investment in PAA. As of February 22, 2017, we directly and indirectly owned 103,277,067 Class A Units of AAP, which we refer to as AAP Class A units, which represented a 42.8% limited partner interest in AAP. AAP owns a non-economic general partner interest in PAA and, as of February 22, 2017, owned 243,391,545 common units of PAA. Our general partner, PAA GP Holdings LLC, has responsibility for managing the business and affairs of PAA, in addition to AAP and PAGP.</w:t>
      </w:r>
    </w:p>
    <w:p>
      <w:pPr>
        <w:spacing w:after="0" w:line="198"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PAA is a publicly traded Delaware limited partnership formed in 1998. PAA's operations are conducted directly and indirectly through its primary operating subsidiaries. 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3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left="240" w:right="40" w:firstLine="351"/>
        <w:spacing w:after="0" w:line="307" w:lineRule="auto"/>
        <w:rPr>
          <w:sz w:val="20"/>
          <w:szCs w:val="20"/>
          <w:color w:val="auto"/>
        </w:rPr>
      </w:pPr>
      <w:r>
        <w:rPr>
          <w:rFonts w:ascii="Arial" w:cs="Arial" w:eastAsia="Arial" w:hAnsi="Arial"/>
          <w:sz w:val="15"/>
          <w:szCs w:val="15"/>
          <w:color w:val="auto"/>
        </w:rPr>
        <w:t>Consistent with our business strategy, we are continuously engaged in the evaluation of potential acquisitions, joint ventures and capital projects. In addition, we continue to evaluate our asset portfolio to determine whether additional sales of non-core assets would further optimize our portfolio and strengthen our balance sheet. As a part of these efforts, we often engage in discussions with potential third parties regarding the possible purchase of or investment in assets and operations that are strategic and complementary to our existing operations, or the potential sale of assets that we believe might have more value to a third-party buyer. In addition, in the past we have evaluated and pursued, and intend in the future to evaluate and pursue, the acquisition of or investment in other energy-related assets that have characteristics and provide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With respect to a potential divestiture, we may also conduct an auction process or may negotiate a transaction with one or a limited number of potential buyers. These acquisition and investment efforts often involve assets which, if acquired, constructed or sold, as applicable, could have a material effect on our financial condition and results of operations.</w:t>
      </w:r>
    </w:p>
    <w:p>
      <w:pPr>
        <w:spacing w:after="0" w:line="166" w:lineRule="exact"/>
        <w:rPr>
          <w:sz w:val="20"/>
          <w:szCs w:val="20"/>
          <w:color w:val="auto"/>
        </w:rPr>
      </w:pPr>
    </w:p>
    <w:p>
      <w:pPr>
        <w:ind w:left="240" w:right="140" w:firstLine="348"/>
        <w:spacing w:after="0" w:line="306"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0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color w:val="auto"/>
        </w:rPr>
        <w:t>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divestiture or investment efforts will be successful. Although we expect the acquisitions and investment we make to be accretive in the long term, we can provide no assurance that our expectations will ultimately be realized.</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Alpha Crude Connector Acquisition</w:t>
      </w:r>
    </w:p>
    <w:p>
      <w:pPr>
        <w:spacing w:after="0" w:line="225" w:lineRule="exact"/>
        <w:rPr>
          <w:sz w:val="20"/>
          <w:szCs w:val="20"/>
          <w:color w:val="auto"/>
        </w:rPr>
      </w:pPr>
    </w:p>
    <w:p>
      <w:pPr>
        <w:ind w:left="240" w:right="40" w:firstLine="351"/>
        <w:spacing w:after="0" w:line="289" w:lineRule="auto"/>
        <w:rPr>
          <w:sz w:val="20"/>
          <w:szCs w:val="20"/>
          <w:color w:val="auto"/>
        </w:rPr>
      </w:pPr>
      <w:r>
        <w:rPr>
          <w:rFonts w:ascii="Arial" w:cs="Arial" w:eastAsia="Arial" w:hAnsi="Arial"/>
          <w:sz w:val="16"/>
          <w:szCs w:val="16"/>
          <w:color w:val="auto"/>
        </w:rPr>
        <w:t>On February 14, 2017, pursuant to (1) that certain Securities Purchase Agreement dated as of January 19, 2017, by and between Plains Pipeline, L.P. ("PPLP"), a wholly owned subsidiary of PAA and COG Operating LLC, a wholly owned subsidiary of Concho Resources Inc. (the "Class A Agreement"), and (2) that certain Securities Purchase Agreement, dated as of January 19, 2017, by and between PPLP and Frontier Midstream Solutions, LLC (together, with the Class A Agreement, the "Agreements"), a wholly owned subsidiary of PPLP acquired all of the issued and outstanding membership interests in Alpha Holding Company, LLC (collectively, the "ACC Acquisition") for approximately $1.215 billion, subject to certain adjustments provided under the Agreements. The ACC Acquisition was funded with borrowings under PAA's senior unsecured revolving credit facility. Prior to the closing of the ACC Acquisition, PPLP assigned all of its right, title and interest in and to the Agreements to its wholly owned subsidiary, Plains ACC Holdings LLC ("Plains ACC").</w:t>
      </w:r>
    </w:p>
    <w:p>
      <w:pPr>
        <w:spacing w:after="0" w:line="172" w:lineRule="exact"/>
        <w:rPr>
          <w:sz w:val="20"/>
          <w:szCs w:val="20"/>
          <w:color w:val="auto"/>
        </w:rPr>
      </w:pPr>
    </w:p>
    <w:p>
      <w:pPr>
        <w:ind w:left="240" w:firstLine="342"/>
        <w:spacing w:after="0" w:line="290" w:lineRule="auto"/>
        <w:rPr>
          <w:sz w:val="20"/>
          <w:szCs w:val="20"/>
          <w:color w:val="auto"/>
        </w:rPr>
      </w:pPr>
      <w:r>
        <w:rPr>
          <w:rFonts w:ascii="Arial" w:cs="Arial" w:eastAsia="Arial" w:hAnsi="Arial"/>
          <w:sz w:val="16"/>
          <w:szCs w:val="16"/>
          <w:color w:val="auto"/>
        </w:rPr>
        <w:t>As a result of the ACC Acquisition, Plains ACC is the indirect owner of the FERC-regulated crude oil gathering system known as "Alpha Crude Connector" (the "System") located in Eddy and Lea Counties, New Mexico and Culberson, Loving and Winkler Counties, Texas. The System is comprised of 515 miles of gathering and transmission lines and five market interconnects, including PAA's Basin Pipeline system at Wink. Following closing of the ACC Acquisition, PAA intends to make three additional interconnects to PAA's existing Northern Delaware Basin system as well as additional enhancements intended to increase the system capacity to approximately 350,000 barrels per day, depending on the level of volume at each delivery point. The System is supported by acreage dedications covering approximately 315,000 gross acres, the majority of which have 10-year terms, and include a significant acreage dedication from Concho Resources, Inc., one of the largest Permian Basin producers.</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Advantage Pipeline Joint Venture</w:t>
      </w:r>
    </w:p>
    <w:p>
      <w:pPr>
        <w:spacing w:after="0" w:line="225" w:lineRule="exact"/>
        <w:rPr>
          <w:sz w:val="20"/>
          <w:szCs w:val="20"/>
          <w:color w:val="auto"/>
        </w:rPr>
      </w:pPr>
    </w:p>
    <w:p>
      <w:pPr>
        <w:ind w:left="240" w:right="120" w:firstLine="351"/>
        <w:spacing w:after="0" w:line="255" w:lineRule="auto"/>
        <w:rPr>
          <w:sz w:val="20"/>
          <w:szCs w:val="20"/>
          <w:color w:val="auto"/>
        </w:rPr>
      </w:pPr>
      <w:r>
        <w:rPr>
          <w:rFonts w:ascii="Arial" w:cs="Arial" w:eastAsia="Arial" w:hAnsi="Arial"/>
          <w:sz w:val="18"/>
          <w:szCs w:val="18"/>
          <w:color w:val="auto"/>
        </w:rPr>
        <w:t>On February 13, 2017, PAA and Noble Midstream Partners LP ("Noble") entered into definitive agreements to form a 50/50 joint venture (the "Joint Venture") to acquire Advantage Pipeline, LLC ("Advantage"), which owns a 70-mile, 16-inch crude oil pipeline located in the southern Delaware Basin (the "Advantage Pipeline"). The Joint Venture will acquire Advantage for $133 million. The majority of PAA's 50% share is expected to be paid in PAA common units issued to certain of the sellers at closing. The acquisition is subject to customary closing conditions, including the receipt of regulatory approvals.</w:t>
      </w:r>
    </w:p>
    <w:p>
      <w:pPr>
        <w:spacing w:after="0" w:line="197" w:lineRule="exact"/>
        <w:rPr>
          <w:sz w:val="20"/>
          <w:szCs w:val="20"/>
          <w:color w:val="auto"/>
        </w:rPr>
      </w:pPr>
    </w:p>
    <w:p>
      <w:pPr>
        <w:ind w:left="240" w:right="20" w:firstLine="351"/>
        <w:spacing w:after="0" w:line="298" w:lineRule="auto"/>
        <w:rPr>
          <w:sz w:val="20"/>
          <w:szCs w:val="20"/>
          <w:color w:val="auto"/>
        </w:rPr>
      </w:pPr>
      <w:r>
        <w:rPr>
          <w:rFonts w:ascii="Arial" w:cs="Arial" w:eastAsia="Arial" w:hAnsi="Arial"/>
          <w:sz w:val="16"/>
          <w:szCs w:val="16"/>
          <w:color w:val="auto"/>
        </w:rPr>
        <w:t>Noble will serve as operator and will construct a 15-mile pipeline to deliver crude oil to the Advantage Pipeline from its central gathering facility in the southern Delaware Basin. PAA will construct a pipeline to connect its Wolfbone Ranch facility to the Advantage Pipeline near Highway 285. The connections are estimated to be completed in the second quarter of 2017. The Advantage Pipeline will be contractually supported by an acreage dedication from Noble Energy, Inc. and a volume commitment from Plains Marketing, L.P., our wholly-owned subsidiary ("Plains Marketing").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380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Continuous Offering Programs</w:t>
      </w:r>
    </w:p>
    <w:p>
      <w:pPr>
        <w:spacing w:after="0" w:line="225" w:lineRule="exact"/>
        <w:rPr>
          <w:sz w:val="20"/>
          <w:szCs w:val="20"/>
          <w:color w:val="auto"/>
        </w:rPr>
      </w:pPr>
    </w:p>
    <w:p>
      <w:pPr>
        <w:ind w:left="240" w:right="120" w:firstLine="351"/>
        <w:spacing w:after="0" w:line="291" w:lineRule="auto"/>
        <w:rPr>
          <w:sz w:val="20"/>
          <w:szCs w:val="20"/>
          <w:color w:val="auto"/>
        </w:rPr>
      </w:pPr>
      <w:r>
        <w:rPr>
          <w:rFonts w:ascii="Arial" w:cs="Arial" w:eastAsia="Arial" w:hAnsi="Arial"/>
          <w:sz w:val="16"/>
          <w:szCs w:val="16"/>
          <w:color w:val="auto"/>
        </w:rPr>
        <w:t>On December 27, 2016, we entered into an equity distribution agreement pursuant to which we may, from time to time through sales agents, sell Class A shares representing limited partnership interests having an aggregate offering price of up to $500 million (the "PAGP Continuous Offering Program"). We did not issue any Class A shares prior to December 31, 2016. Subsequent to December 31, 2016, we issued approximately 1.8 million Class A shares, generating proceeds of approximately $60 million, net of $1 million of commissions to sales agents. Pursuant to the Omnibus Agreement, we used the net proceeds from the sale of these Class A shares to purchase an equal number of AAP units from AAP, and AAP in turn used the net proceeds from the sale of such AAP units to purchase an equal number of common units from PAA.</w:t>
      </w:r>
    </w:p>
    <w:p>
      <w:pPr>
        <w:spacing w:after="0" w:line="174" w:lineRule="exact"/>
        <w:rPr>
          <w:sz w:val="20"/>
          <w:szCs w:val="20"/>
          <w:color w:val="auto"/>
        </w:rPr>
      </w:pPr>
    </w:p>
    <w:p>
      <w:pPr>
        <w:ind w:left="240" w:firstLine="351"/>
        <w:spacing w:after="0" w:line="256" w:lineRule="auto"/>
        <w:rPr>
          <w:sz w:val="20"/>
          <w:szCs w:val="20"/>
          <w:color w:val="auto"/>
        </w:rPr>
      </w:pPr>
      <w:r>
        <w:rPr>
          <w:rFonts w:ascii="Arial" w:cs="Arial" w:eastAsia="Arial" w:hAnsi="Arial"/>
          <w:sz w:val="18"/>
          <w:szCs w:val="18"/>
          <w:color w:val="auto"/>
        </w:rPr>
        <w:t>On November 30, 2016, PAA entered into an equity distribution agreement pursuant to which it may, from time to time through sales agents, sell PAA common units with an aggregate offering price of up to $750 million (the "PAA Continuous Offering Program"). Subsequent to December 31, 2016, PAA has issued approximately 4.0 million PAA common units under the PAA Continuous Offering Program, generating proceeds of approximately $129 million, net of $1 million of commissions to sales agents.</w:t>
      </w:r>
    </w:p>
    <w:p>
      <w:pPr>
        <w:spacing w:after="0" w:line="19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Other Activity</w:t>
      </w:r>
    </w:p>
    <w:p>
      <w:pPr>
        <w:spacing w:after="0" w:line="225" w:lineRule="exact"/>
        <w:rPr>
          <w:sz w:val="20"/>
          <w:szCs w:val="20"/>
          <w:color w:val="auto"/>
        </w:rPr>
      </w:pPr>
    </w:p>
    <w:p>
      <w:pPr>
        <w:ind w:left="240" w:right="60" w:firstLine="351"/>
        <w:spacing w:after="0" w:line="298" w:lineRule="auto"/>
        <w:rPr>
          <w:sz w:val="20"/>
          <w:szCs w:val="20"/>
          <w:color w:val="auto"/>
        </w:rPr>
      </w:pPr>
      <w:r>
        <w:rPr>
          <w:rFonts w:ascii="Arial" w:cs="Arial" w:eastAsia="Arial" w:hAnsi="Arial"/>
          <w:sz w:val="16"/>
          <w:szCs w:val="16"/>
          <w:color w:val="auto"/>
        </w:rPr>
        <w:t>During the first quarter of 2017, we completed the sale of an undivided interest in a segment of our Red River Pipeline for proceeds of approximately $70 million. In addition, we entered into definitive agreements to sell two non-core assets for aggregate proceeds of approximately $310 million. These remaining sales transactions include a natural gas storage facility and a non-core pipeline segment. We expect the remaining sales transactions to close during the first half of 2017, subject to customary closing conditions, including receipt of regulatory approvals.</w:t>
      </w: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left="240" w:firstLine="351"/>
        <w:spacing w:after="0" w:line="323" w:lineRule="auto"/>
        <w:rPr>
          <w:sz w:val="20"/>
          <w:szCs w:val="20"/>
          <w:color w:val="auto"/>
        </w:rPr>
      </w:pPr>
      <w:r>
        <w:rPr>
          <w:rFonts w:ascii="Arial" w:cs="Arial" w:eastAsia="Arial" w:hAnsi="Arial"/>
          <w:sz w:val="15"/>
          <w:szCs w:val="15"/>
          <w:color w:val="auto"/>
        </w:rPr>
        <w:t xml:space="preserve">Our principal executive offices are located at 333 Clay Street, Suite 1600, Houston, TX 77002 and our telephone number is (713) 646-4100. Our website is located at </w:t>
      </w:r>
      <w:r>
        <w:rPr>
          <w:rFonts w:ascii="Arial" w:cs="Arial" w:eastAsia="Arial" w:hAnsi="Arial"/>
          <w:sz w:val="15"/>
          <w:szCs w:val="15"/>
          <w:i w:val="1"/>
          <w:iCs w:val="1"/>
          <w:color w:val="auto"/>
        </w:rPr>
        <w:t>ir.pagp.com</w:t>
      </w:r>
      <w:r>
        <w:rPr>
          <w:rFonts w:ascii="Arial" w:cs="Arial" w:eastAsia="Arial" w:hAnsi="Arial"/>
          <w:sz w:val="15"/>
          <w:szCs w:val="15"/>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right="200" w:firstLine="351"/>
        <w:spacing w:after="0" w:line="259"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2016,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146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14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60"/>
          </w:cols>
          <w:pgMar w:left="240" w:top="131" w:right="499" w:bottom="1440" w:gutter="0" w:footer="0" w:header="0"/>
        </w:sectPr>
      </w:pPr>
    </w:p>
    <w:p>
      <w:pPr>
        <w:spacing w:after="0" w:line="25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Class A Shares Offered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34,000,000 Class A shares; (39,100,000 Class A shares if the underwriter exercises in full its option to purchase additional Class A shares).</w:t>
      </w:r>
    </w:p>
    <w:p>
      <w:pPr>
        <w:spacing w:after="0" w:line="186" w:lineRule="exact"/>
        <w:rPr>
          <w:sz w:val="20"/>
          <w:szCs w:val="20"/>
          <w:color w:val="auto"/>
        </w:rPr>
      </w:pPr>
    </w:p>
    <w:p>
      <w:pPr>
        <w:sectPr>
          <w:pgSz w:w="11900" w:h="16838" w:orient="portrait"/>
          <w:cols w:equalWidth="0" w:num="2">
            <w:col w:w="2640" w:space="720"/>
            <w:col w:w="7800"/>
          </w:cols>
          <w:pgMar w:left="240" w:top="131" w:right="49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Class A Shares Outstanding After</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Offering</w:t>
      </w:r>
    </w:p>
    <w:p>
      <w:pPr>
        <w:spacing w:after="0" w:line="20" w:lineRule="exact"/>
        <w:rPr>
          <w:sz w:val="20"/>
          <w:szCs w:val="20"/>
          <w:color w:val="auto"/>
        </w:rPr>
      </w:pPr>
      <w:r>
        <w:rPr>
          <w:sz w:val="20"/>
          <w:szCs w:val="20"/>
          <w:color w:val="auto"/>
        </w:rPr>
        <w:br w:type="column"/>
      </w:r>
    </w:p>
    <w:p>
      <w:pPr>
        <w:ind w:right="500"/>
        <w:spacing w:after="0" w:line="268" w:lineRule="auto"/>
        <w:rPr>
          <w:sz w:val="20"/>
          <w:szCs w:val="20"/>
          <w:color w:val="auto"/>
        </w:rPr>
      </w:pPr>
      <w:r>
        <w:rPr>
          <w:rFonts w:ascii="Arial" w:cs="Arial" w:eastAsia="Arial" w:hAnsi="Arial"/>
          <w:sz w:val="18"/>
          <w:szCs w:val="18"/>
          <w:color w:val="auto"/>
        </w:rPr>
        <w:t>137,277,067 Class A shares (142,377,067 Class A shares if the underwriter exercises in full its option to purchase additional Class A shares).</w:t>
      </w:r>
    </w:p>
    <w:p>
      <w:pPr>
        <w:spacing w:after="0" w:line="186" w:lineRule="exact"/>
        <w:rPr>
          <w:sz w:val="20"/>
          <w:szCs w:val="20"/>
          <w:color w:val="auto"/>
        </w:rPr>
      </w:pPr>
    </w:p>
    <w:p>
      <w:pPr>
        <w:sectPr>
          <w:pgSz w:w="11900" w:h="16838" w:orient="portrait"/>
          <w:cols w:equalWidth="0" w:num="2">
            <w:col w:w="2640" w:space="720"/>
            <w:col w:w="7800"/>
          </w:cols>
          <w:pgMar w:left="240" w:top="131" w:right="49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tabs>
          <w:tab w:leader="none" w:pos="5040" w:val="left"/>
        </w:tabs>
        <w:rPr>
          <w:sz w:val="20"/>
          <w:szCs w:val="20"/>
          <w:color w:val="auto"/>
        </w:rPr>
      </w:pPr>
      <w:r>
        <w:rPr>
          <w:rFonts w:ascii="Arial" w:cs="Arial" w:eastAsia="Arial" w:hAnsi="Arial"/>
          <w:sz w:val="18"/>
          <w:szCs w:val="18"/>
          <w:color w:val="auto"/>
        </w:rPr>
        <w:t>We expect the net proceeds of this offering will be approximately $</w:t>
      </w:r>
      <w:r>
        <w:rPr>
          <w:sz w:val="20"/>
          <w:szCs w:val="20"/>
          <w:color w:val="auto"/>
        </w:rPr>
        <w:tab/>
      </w:r>
      <w:r>
        <w:rPr>
          <w:rFonts w:ascii="Arial" w:cs="Arial" w:eastAsia="Arial" w:hAnsi="Arial"/>
          <w:sz w:val="16"/>
          <w:szCs w:val="16"/>
          <w:color w:val="auto"/>
        </w:rPr>
        <w:t>million, after deducting the</w:t>
      </w:r>
    </w:p>
    <w:p>
      <w:pPr>
        <w:spacing w:after="0" w:line="15" w:lineRule="exact"/>
        <w:rPr>
          <w:sz w:val="20"/>
          <w:szCs w:val="20"/>
          <w:color w:val="auto"/>
        </w:rPr>
      </w:pPr>
    </w:p>
    <w:p>
      <w:pPr>
        <w:sectPr>
          <w:pgSz w:w="11900" w:h="16838" w:orient="portrait"/>
          <w:cols w:equalWidth="0" w:num="2">
            <w:col w:w="2640" w:space="720"/>
            <w:col w:w="7800"/>
          </w:cols>
          <w:pgMar w:left="240" w:top="131" w:right="499" w:bottom="1440" w:gutter="0" w:footer="0" w:header="0"/>
          <w:type w:val="continuous"/>
        </w:sectPr>
      </w:pPr>
    </w:p>
    <w:p>
      <w:pPr>
        <w:ind w:left="3360" w:right="60"/>
        <w:spacing w:after="0" w:line="288" w:lineRule="auto"/>
        <w:rPr>
          <w:sz w:val="20"/>
          <w:szCs w:val="20"/>
          <w:color w:val="auto"/>
        </w:rPr>
      </w:pPr>
      <w:r>
        <w:rPr>
          <w:rFonts w:ascii="Arial" w:cs="Arial" w:eastAsia="Arial" w:hAnsi="Arial"/>
          <w:sz w:val="16"/>
          <w:szCs w:val="16"/>
          <w:color w:val="auto"/>
        </w:rPr>
        <w:t>underwriter's discounts and commissions and estimated offering expenses. Pursuant to the Omnibus Agreement, we have agreed to use the net proceeds, after deducting the sales agents commissions and offering expenses, from any public or private offering and sale of Class A shares, including this offering,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us to purchase from PAA an equivalent number of PAA common units.</w:t>
      </w:r>
    </w:p>
    <w:p>
      <w:pPr>
        <w:spacing w:after="0" w:line="177" w:lineRule="exact"/>
        <w:rPr>
          <w:sz w:val="20"/>
          <w:szCs w:val="20"/>
          <w:color w:val="auto"/>
        </w:rPr>
      </w:pPr>
    </w:p>
    <w:p>
      <w:pPr>
        <w:ind w:left="3360" w:right="500"/>
        <w:spacing w:after="0" w:line="256" w:lineRule="auto"/>
        <w:rPr>
          <w:sz w:val="20"/>
          <w:szCs w:val="20"/>
          <w:color w:val="auto"/>
        </w:rPr>
      </w:pPr>
      <w:r>
        <w:rPr>
          <w:rFonts w:ascii="Arial" w:cs="Arial" w:eastAsia="Arial" w:hAnsi="Arial"/>
          <w:sz w:val="18"/>
          <w:szCs w:val="18"/>
          <w:color w:val="auto"/>
        </w:rPr>
        <w:t>PAA is expected to use the net proceeds it receives from the sale of such common units to AAP to repay outstanding borrowings under its senior unsecured revolving credit facility and for general partnership purposes, which may include, among other things, repayment of indebtedness, acquisitions, capital expenditures and additions to working capital.</w:t>
      </w:r>
    </w:p>
    <w:p>
      <w:pPr>
        <w:spacing w:after="0" w:line="197" w:lineRule="exact"/>
        <w:rPr>
          <w:sz w:val="20"/>
          <w:szCs w:val="20"/>
          <w:color w:val="auto"/>
        </w:rPr>
      </w:pPr>
    </w:p>
    <w:p>
      <w:pPr>
        <w:jc w:val="both"/>
        <w:ind w:left="3360"/>
        <w:spacing w:after="0" w:line="306" w:lineRule="auto"/>
        <w:rPr>
          <w:sz w:val="20"/>
          <w:szCs w:val="20"/>
          <w:color w:val="auto"/>
        </w:rPr>
      </w:pPr>
      <w:r>
        <w:rPr>
          <w:rFonts w:ascii="Arial" w:cs="Arial" w:eastAsia="Arial" w:hAnsi="Arial"/>
          <w:sz w:val="16"/>
          <w:szCs w:val="16"/>
          <w:color w:val="auto"/>
        </w:rPr>
        <w:t>Amounts repaid under PAA's senior unsecured revolving credit facility may be reborrowed to fund its ongoing expansion capital program, future acquisitions and investments or for general partnership purposes. Please read "Use of Proceeds" in this prospectus supplement for further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right"/>
        <w:ind w:right="1071"/>
        <w:spacing w:after="0"/>
        <w:rPr>
          <w:sz w:val="20"/>
          <w:szCs w:val="20"/>
          <w:color w:val="auto"/>
        </w:rPr>
      </w:pPr>
      <w:r>
        <w:rPr>
          <w:rFonts w:ascii="Arial" w:cs="Arial" w:eastAsia="Arial" w:hAnsi="Arial"/>
          <w:sz w:val="18"/>
          <w:szCs w:val="18"/>
          <w:color w:val="auto"/>
        </w:rPr>
        <w:t>Cash 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 w:right="100"/>
        <w:spacing w:after="0" w:line="301" w:lineRule="auto"/>
        <w:rPr>
          <w:sz w:val="20"/>
          <w:szCs w:val="20"/>
          <w:color w:val="auto"/>
        </w:rPr>
      </w:pPr>
      <w:r>
        <w:rPr>
          <w:rFonts w:ascii="Arial" w:cs="Arial" w:eastAsia="Arial" w:hAnsi="Arial"/>
          <w:sz w:val="15"/>
          <w:szCs w:val="15"/>
          <w:color w:val="auto"/>
        </w:rPr>
        <w:t>Our partnership agreement requires that within 55 days following the end of each quarter, we distribute all of our available cash to Class A shareholders of record upon the applicable record date. 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 (i) comply with applicable law or any agreement binding upon us or our subsidiaries (exclusive of PAA and its subsidiaries), (ii) provide funds for future distributions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-1103630</wp:posOffset>
            </wp:positionV>
            <wp:extent cx="7250430" cy="3871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1595"/>
                    </a:xfrm>
                    <a:prstGeom prst="rect">
                      <a:avLst/>
                    </a:prstGeom>
                    <a:noFill/>
                  </pic:spPr>
                </pic:pic>
              </a:graphicData>
            </a:graphic>
          </wp:anchor>
        </w:drawing>
      </w:r>
    </w:p>
    <w:p>
      <w:pPr>
        <w:ind w:left="9" w:right="40" w:hanging="9"/>
        <w:spacing w:after="0" w:line="292" w:lineRule="auto"/>
        <w:tabs>
          <w:tab w:leader="none" w:pos="317"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for future capital expenditures, debt service and other credit needs as well as any federal, state, provincial or other income tax that may affect the Partnership in the future or (iv) provide for the proper conduct of our business, including with respect to the matters described under "The Partnership Agreement" of the accompanying base prospectus. For a description of our cash distribution policy, please read "Cash Distribution Policy" in the accompanying base prospectus.</w:t>
      </w:r>
    </w:p>
    <w:p>
      <w:pPr>
        <w:spacing w:after="0" w:line="171" w:lineRule="exact"/>
        <w:rPr>
          <w:sz w:val="20"/>
          <w:szCs w:val="20"/>
          <w:color w:val="auto"/>
        </w:rPr>
      </w:pPr>
    </w:p>
    <w:p>
      <w:pPr>
        <w:ind w:left="9" w:right="80"/>
        <w:spacing w:after="0" w:line="254" w:lineRule="auto"/>
        <w:rPr>
          <w:sz w:val="20"/>
          <w:szCs w:val="20"/>
          <w:color w:val="auto"/>
        </w:rPr>
      </w:pPr>
      <w:r>
        <w:rPr>
          <w:rFonts w:ascii="Arial" w:cs="Arial" w:eastAsia="Arial" w:hAnsi="Arial"/>
          <w:sz w:val="18"/>
          <w:szCs w:val="18"/>
          <w:color w:val="auto"/>
        </w:rPr>
        <w:t>On February 14, 2017, we paid a quarterly cash distribution of $0.55 per unit ($2.20 per unit on an annualized basis) to holders of record of such Class A shares at the close of business on January 31, 2017. This distribution represented a year-over-year distribution decrease of approximately 11% over the quarterly distribution of $0.615 per Class A share ($2.46 per Class A share on an annualized basis) we paid in February 2016 and no increase over the quarterly distribution per Class A share we paid in November 2016 on a reverse split adjusted basis.</w:t>
      </w:r>
    </w:p>
    <w:p>
      <w:pPr>
        <w:spacing w:after="0" w:line="198" w:lineRule="exact"/>
        <w:rPr>
          <w:sz w:val="20"/>
          <w:szCs w:val="20"/>
          <w:color w:val="auto"/>
        </w:rPr>
      </w:pPr>
    </w:p>
    <w:p>
      <w:pPr>
        <w:ind w:left="9"/>
        <w:spacing w:after="0" w:line="256" w:lineRule="auto"/>
        <w:rPr>
          <w:sz w:val="20"/>
          <w:szCs w:val="20"/>
          <w:color w:val="auto"/>
        </w:rPr>
      </w:pPr>
      <w:r>
        <w:rPr>
          <w:rFonts w:ascii="Arial" w:cs="Arial" w:eastAsia="Arial" w:hAnsi="Arial"/>
          <w:sz w:val="18"/>
          <w:szCs w:val="18"/>
          <w:color w:val="auto"/>
        </w:rPr>
        <w:t>Cash distributions in respect of the first quarter of 2017 have not been declared or paid. Because this offering is expected to close before the record date for the first quarter of 2017 distribution, purchasers in this offering will be entitled to receive the first quarter of 2017 distribution so long as they are holders of record on the record date for such distribution.</w:t>
      </w:r>
    </w:p>
    <w:p>
      <w:pPr>
        <w:spacing w:after="0" w:line="197" w:lineRule="exact"/>
        <w:rPr>
          <w:sz w:val="20"/>
          <w:szCs w:val="20"/>
          <w:color w:val="auto"/>
        </w:rPr>
      </w:pPr>
    </w:p>
    <w:p>
      <w:pPr>
        <w:sectPr>
          <w:pgSz w:w="11900" w:h="16838" w:orient="portrait"/>
          <w:cols w:equalWidth="0" w:num="2">
            <w:col w:w="2631" w:space="720"/>
            <w:col w:w="7829"/>
          </w:cols>
          <w:pgMar w:left="240" w:top="131" w:right="479" w:bottom="1440" w:gutter="0" w:footer="0" w:header="0"/>
        </w:sectPr>
      </w:pPr>
    </w:p>
    <w:p>
      <w:pPr>
        <w:ind w:left="240"/>
        <w:spacing w:after="0"/>
        <w:tabs>
          <w:tab w:leader="none" w:pos="3340" w:val="left"/>
        </w:tabs>
        <w:rPr>
          <w:sz w:val="20"/>
          <w:szCs w:val="20"/>
          <w:color w:val="auto"/>
        </w:rPr>
      </w:pPr>
      <w:r>
        <w:rPr>
          <w:rFonts w:ascii="Arial" w:cs="Arial" w:eastAsia="Arial" w:hAnsi="Arial"/>
          <w:sz w:val="18"/>
          <w:szCs w:val="18"/>
          <w:color w:val="auto"/>
        </w:rPr>
        <w:t>Exchange Listing</w:t>
      </w:r>
      <w:r>
        <w:rPr>
          <w:sz w:val="20"/>
          <w:szCs w:val="20"/>
          <w:color w:val="auto"/>
        </w:rPr>
        <w:tab/>
      </w:r>
      <w:r>
        <w:rPr>
          <w:rFonts w:ascii="Arial" w:cs="Arial" w:eastAsia="Arial" w:hAnsi="Arial"/>
          <w:sz w:val="15"/>
          <w:szCs w:val="15"/>
          <w:color w:val="auto"/>
        </w:rPr>
        <w:t>Our Class A shares are traded on the NYSE under the symbol "PAGP."</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Before making an investment in the Class A shares offered hereby, you should carefully consider the risk factors included in Item 1A. "Risk Factors" of our Annual Report on Form 10-K for the fiscal year ended December 31, 2016 (File No. 001-36132), which is incorporated by reference herein, together with all of the other information included in, or incorporated by reference into, this prospectus supplement and the accompanying base prospectus. If any of these risks were to occur, our business, financial condition or results of operations could be materially adversely affected. In such case, the trading price of our Class A shares could decline, and you could lose all or part of your investment.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expect the net proceeds of this offering will be approximately $ million, after deducting the underwriting discounts and commissions and estimated offering expenses. Pursuant to the Omnibus Agreement, we have agreed to use the net proceeds from any public or private offering and sale of Class A shares to purchase from AAP a number of AAP Class A units equal to the number of Class A shares sold in such offering at a price equal to the net proceeds from such offering. The Omnibus Agreement also provides that immediately following such purchase and sale, AAP will use the net proceeds it receives from such sale of AAP Class A units to us to purchase from PAA an equivalent number of common units of PAA.</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PAA is expected to use the net proceeds it receives from the sale of such common units to AAP to repay outstanding borrowings under its senior unsecured revolving credit facility and for general partnership purposes, including acquisitions, joint venture investments and other expansion capital expenditures. Amounts repaid under PAA's unsecured revolving credit facility may be reborrowed to fund its ongoing expansion capital program, future acquisitions and investments or for general partnership purposes.</w:t>
      </w:r>
    </w:p>
    <w:p>
      <w:pPr>
        <w:spacing w:after="0" w:line="197"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 affiliate of the underwriter is a lender under PAA's senior unsecured revolving credit facility. In accordance with PAA's expected use of proceeds from the sale of common units to AAP as a result of concurrent sales of Class A shares pursuant to this offering (as provided in the Omnibus Agreement) to repay indebtedness under its senior unsecured revolving credit facility, such affiliate may receive a portion of the net proceeds from this offering. Please read "Underwriting" in this prospectus supplement for further information.</w:t>
      </w:r>
    </w:p>
    <w:p>
      <w:pPr>
        <w:spacing w:after="0" w:line="19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As of February 22, 2017, PAA had approximately $1.0 billion of borrowings outstanding under its senior unsecured revolving credit facility with a weighted average interest rate of 1.99%. PAA's senior unsecured revolving credit facility matures in August 2021. Borrowings under PAA's senior unsecured revolving credit facility were used to finance the ACC Acquisition.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RANGE OF CLASS A SHARES AND DISTRIBUTIONS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Class A shares are listed and traded on the NYSE under the symbol "PAGP." As of February 22, 2017, the closing market price for our Class A shares was $31.31 per share and there were approximately 38,000 record holders and beneficial owners (held in street name). As of February 22, 2017, there were 103,277,067 Class A shares outstanding.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high and low sales prices for our Class A shares and the cash distributions declared per Class A share for the periods indicated.</w:t>
      </w:r>
    </w:p>
    <w:p>
      <w:pPr>
        <w:spacing w:after="0" w:line="36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right"/>
              <w:ind w:right="234"/>
              <w:spacing w:after="0"/>
              <w:rPr>
                <w:sz w:val="20"/>
                <w:szCs w:val="20"/>
                <w:color w:val="auto"/>
              </w:rPr>
            </w:pPr>
            <w:r>
              <w:rPr>
                <w:rFonts w:ascii="Arial" w:cs="Arial" w:eastAsia="Arial" w:hAnsi="Arial"/>
                <w:sz w:val="14"/>
                <w:szCs w:val="14"/>
                <w:b w:val="1"/>
                <w:bCs w:val="1"/>
                <w:color w:val="auto"/>
              </w:rPr>
              <w:t>Class A share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1"/>
              </w:rPr>
              <w:t>Cash</w:t>
            </w: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Range</w:t>
            </w: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1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4"/>
            <w:vMerge w:val="continue"/>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62"/>
        </w:trPr>
        <w:tc>
          <w:tcPr>
            <w:tcW w:w="21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per Share(1)(2)</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3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1st Quarter (through February 22, 2017)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35.58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4th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36.59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2nd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30.70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3rd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70.94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22"/>
        </w:trPr>
        <w:tc>
          <w:tcPr>
            <w:tcW w:w="5180" w:type="dxa"/>
            <w:vAlign w:val="bottom"/>
            <w:gridSpan w:val="2"/>
          </w:tcPr>
          <w:p>
            <w:pPr>
              <w:ind w:left="180"/>
              <w:spacing w:after="0"/>
              <w:rPr>
                <w:sz w:val="20"/>
                <w:szCs w:val="20"/>
                <w:color w:val="auto"/>
              </w:rPr>
            </w:pPr>
            <w:r>
              <w:rPr>
                <w:rFonts w:ascii="Arial" w:cs="Arial" w:eastAsia="Arial" w:hAnsi="Arial"/>
                <w:sz w:val="18"/>
                <w:szCs w:val="18"/>
                <w:color w:val="auto"/>
              </w:rPr>
              <w:t>1st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77.12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102"/>
        </w:trPr>
        <w:tc>
          <w:tcPr>
            <w:tcW w:w="2120" w:type="dxa"/>
            <w:vAlign w:val="bottom"/>
            <w:tcBorders>
              <w:bottom w:val="single" w:sz="8" w:color="auto"/>
            </w:tcBorders>
          </w:tcPr>
          <w:p>
            <w:pPr>
              <w:spacing w:after="0"/>
              <w:rPr>
                <w:sz w:val="8"/>
                <w:szCs w:val="8"/>
                <w:color w:val="auto"/>
              </w:rPr>
            </w:pPr>
          </w:p>
        </w:tc>
        <w:tc>
          <w:tcPr>
            <w:tcW w:w="3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300" w:hanging="540"/>
        <w:spacing w:after="0" w:line="268" w:lineRule="auto"/>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distributions associated with the quarter presented. These distributions were declared and paid in the following calendar quarter.</w:t>
      </w:r>
    </w:p>
    <w:p>
      <w:pPr>
        <w:spacing w:after="0" w:line="212" w:lineRule="exact"/>
        <w:rPr>
          <w:rFonts w:ascii="Arial" w:cs="Arial" w:eastAsia="Arial" w:hAnsi="Arial"/>
          <w:sz w:val="18"/>
          <w:szCs w:val="18"/>
          <w:color w:val="auto"/>
        </w:rPr>
      </w:pPr>
    </w:p>
    <w:p>
      <w:pPr>
        <w:ind w:left="2260" w:right="200" w:hanging="540"/>
        <w:spacing w:after="0" w:line="268" w:lineRule="auto"/>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historical distributions have been adjusted to give effect to the 1:2.663 reverse split that occurred on November 15, 2016 in connection with the closing of the Simplification Agreement.</w:t>
      </w:r>
    </w:p>
    <w:p>
      <w:pPr>
        <w:spacing w:after="0" w:line="199" w:lineRule="exact"/>
        <w:rPr>
          <w:rFonts w:ascii="Arial" w:cs="Arial" w:eastAsia="Arial" w:hAnsi="Arial"/>
          <w:sz w:val="18"/>
          <w:szCs w:val="18"/>
          <w:color w:val="auto"/>
        </w:rPr>
      </w:pPr>
    </w:p>
    <w:p>
      <w:pPr>
        <w:ind w:left="2260" w:right="40" w:hanging="540"/>
        <w:spacing w:after="0" w:line="306" w:lineRule="auto"/>
        <w:tabs>
          <w:tab w:leader="none" w:pos="2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distributions in respect of the first quarter of 2017 have not been declared or paid. Because this offering is expected to close before the record date for the first quarter of 2017 distribution, purchasers in this offering will be entitled to receive the first quarter of 2017 distribution so long as they are holders of record on the record date for such distribution.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December 31, 2016:</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 historical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adjusted basis to give effect to: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ACC Acquisition; and</w:t>
      </w:r>
    </w:p>
    <w:p>
      <w:pPr>
        <w:spacing w:after="0" w:line="238" w:lineRule="exact"/>
        <w:rPr>
          <w:rFonts w:ascii="Arial" w:cs="Arial" w:eastAsia="Arial" w:hAnsi="Arial"/>
          <w:sz w:val="18"/>
          <w:szCs w:val="18"/>
          <w:color w:val="auto"/>
        </w:rPr>
      </w:pPr>
    </w:p>
    <w:p>
      <w:pPr>
        <w:ind w:left="1620" w:hanging="532"/>
        <w:spacing w:after="0" w:line="256"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sale of (i) 1.8 million of Class A shares under the PAGP Continuous Offering Program, plus the corresponding issuance of 1.8 million PAA common units pursuant to the Omnibus Agreements, and (ii) 4.0 million of PAA common units under PAA's Continuous Offering Program, each after December 31, 2016, generating aggregate proceeds of approximately $190 million, net of commissions to our sales agents; and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an as further adjusted basis to give effect to the sale of the Class A shares offered hereby and the application of the net proceeds therefrom as described under "Use of Proceeds" in this prospectus supplement, net of offering expenses.</w:t>
      </w:r>
    </w:p>
    <w:p>
      <w:pPr>
        <w:spacing w:after="0" w:line="18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As further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Historical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adjusted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SHORT-TERM DEBT(1)(2)(3)</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PAA commercial paper notes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PAA senior secured hedged inventory facility</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PAA senior notes:</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6.13% senior notes due June 2017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Total short-term debt</w:t>
            </w: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DEBT(3)</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w w:val="96"/>
              </w:rPr>
              <w:t>PAA Senior notes, net of unamortized discounts and debt issuance cost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9,874</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PAA commercial paper notes(1)(2)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PAA senior unsecured revolving credit facility</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Total long-term debt</w:t>
            </w: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PARTNERS' CAPITAL</w:t>
            </w: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160"/>
              <w:spacing w:after="0"/>
              <w:rPr>
                <w:sz w:val="20"/>
                <w:szCs w:val="20"/>
                <w:color w:val="auto"/>
              </w:rPr>
            </w:pPr>
            <w:r>
              <w:rPr>
                <w:rFonts w:ascii="Arial" w:cs="Arial" w:eastAsia="Arial" w:hAnsi="Arial"/>
                <w:sz w:val="18"/>
                <w:szCs w:val="18"/>
                <w:color w:val="auto"/>
              </w:rPr>
              <w:t>Class A shareholders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1,763</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5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Total partners' capital</w:t>
            </w: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2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capitalization</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20,831</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22,046</w:t>
            </w:r>
          </w:p>
        </w:tc>
        <w:tc>
          <w:tcPr>
            <w:tcW w:w="14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 w:hanging="531"/>
        <w:spacing w:after="0" w:line="335" w:lineRule="auto"/>
        <w:tabs>
          <w:tab w:leader="none" w:pos="16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PAA commercial paper notes are backstopped by the PAA senior unsecured revolving credit facility and the PAA senior secured hedged inventory facility, which mature in August 2021 and August 2019, respectively; as such, any borrowings under the PAA commercial paper program reduce the available capacity under these facilities. As of December 31, 2016, we classified $563 million of the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40"/>
        <w:spacing w:after="0" w:line="323" w:lineRule="auto"/>
        <w:rPr>
          <w:sz w:val="20"/>
          <w:szCs w:val="20"/>
          <w:color w:val="auto"/>
        </w:rPr>
      </w:pPr>
      <w:r>
        <w:rPr>
          <w:rFonts w:ascii="Arial" w:cs="Arial" w:eastAsia="Arial" w:hAnsi="Arial"/>
          <w:sz w:val="15"/>
          <w:szCs w:val="15"/>
          <w:color w:val="auto"/>
        </w:rPr>
        <w:t>borrowings under PAA's commercial paper program as short-term debt, as these borrowings were primarily designated as working capital borrowings, were required to be repaid within one year and were primarily for hedged NGL and crude oil inventory and NYMEX and ICE margin deposits. As of December 31, 2016, we classified $247 million of the borrowings under PAA's commercial paper program as long-term based on PAA's ability and intent to refinance these commercial paper notes on a long-term basis under its credit facilities.</w:t>
      </w:r>
    </w:p>
    <w:p>
      <w:pPr>
        <w:spacing w:after="0" w:line="165" w:lineRule="exact"/>
        <w:rPr>
          <w:sz w:val="20"/>
          <w:szCs w:val="20"/>
          <w:color w:val="auto"/>
        </w:rPr>
      </w:pPr>
    </w:p>
    <w:p>
      <w:pPr>
        <w:ind w:left="1680" w:right="20" w:hanging="531"/>
        <w:spacing w:after="0" w:line="253"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Canadian subsidiary, Plains Midstream Canada ULC ("PMCULC"), is an obligor of PAA's commercial paper program and PAA's senior secured hedged inventory facility. On a historical, as adjusted and as further adjusted basis as of December 31, 2016, $247 million was outstanding for PMCULC under PAA's commercial paper program and $600 million was outstanding for PMCULC under PAA's senior secured hedged inventory facility. As of February 22, 2017, PAA had approximately $962 million of borrowings outstanding under its commercial paper program, $1.125 billion of borrowings outstanding under its senior secured hedged inventory facility, $1.0 billion of borrowings outstanding under its senior unsecured revolving credit facility and no borrowings under its senior unsecured 364-day revolving credit facility.</w:t>
      </w:r>
    </w:p>
    <w:p>
      <w:pPr>
        <w:spacing w:after="0" w:line="228" w:lineRule="exact"/>
        <w:rPr>
          <w:rFonts w:ascii="Arial" w:cs="Arial" w:eastAsia="Arial" w:hAnsi="Arial"/>
          <w:sz w:val="18"/>
          <w:szCs w:val="18"/>
          <w:color w:val="auto"/>
        </w:rPr>
      </w:pPr>
    </w:p>
    <w:p>
      <w:pPr>
        <w:ind w:left="1680" w:hanging="531"/>
        <w:spacing w:after="0" w:line="290"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PAA's fixed-rate senior notes (including current maturities) had a face value of approximately $10.3 billion as of December 31, 2016. We estimated the aggregate fair value of these notes as of December 31, 2016 to be approximately $10.4 billion. PAA's fixed-rate senior notes are traded among institutions, and these trades are routinely published by a reporting service. Our determination of fair value is based on reported trading activity near year end. We estimate that the carrying value of outstanding borrowings under the credit facilities and the PAA commercial paper program approximates fair value as interest rates reflect current market rates. The fair value estimates for the PAA senior notes, the credit facilities and the PAA commercial paper program are based upon observable market data and are classified in Level 2 of the fair value hierarchy.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Subject to the terms and conditions set forth in an underwriting agreement between us and Citigroup Global Markets Inc. (the "underwriter"), we have agreed to sell to the underwriter and the underwriter has agreed to purchase all of the Class A shares included in this offering.</w:t>
      </w:r>
    </w:p>
    <w:p>
      <w:pPr>
        <w:spacing w:after="0" w:line="139"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underwriting agreement provides that the obligations of the underwriter to purchase the Class A shares included in this offering are subject to approval of legal matters by counsel and to other conditions. Under the terms of the underwriting agreement, the underwriter is committed to purchase all of the Class A shares (other than those covered by the underwriter's option to purchase additional Class A shares described below).</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Greg L. Armstrong, Chairman, Chief Executive Officer and Director of the board of directors of our general partner, has informed us that he intends to purchase up to approximately 50,000 Class A shares in this offering. However, there can be no assurance that Mr. Armstrong will participate in this offering, and if he does participate, there can be no assurance as to the number of shares that Mr. Armstrong will purchase.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underwriter may receive from purchasers of Class A shares normal brokerage commissions in amounts agreed with such purchasers. The underwriter may offer the Class A shares from time to time for sale in one or more transactions on the NYSE, in the over-the-counter market, through negotiated transactions or otherwise at market prices prevailing at the time of sale, at prices related to prevailing market prices or at negotiated prices, subject to receipt and acceptance by it and subject to its right to reject any order in whole or in part. In connection with the sale of the Class A shares offered hereby, the underwriter may be deemed to have received compensation in the form of underwriting discounts and commissions. The underwriter may effect such transactions by selling Class A shares to or through dealers, and such dealers may receive compensation in the form of discounts, concessions or commissions from the underwriter and/or purchasers of Class A shares for whom they may act as agents or to whom they may sell as principal.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granted to the underwriter an option, exercisable for 30 days from the date of this prospectus supplement, to purchase up to 5,100,000 additional Class A shares at the public offering price less the underwriting discounts and commissions.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We, PAA, our general partner, certain officers and directors of our general partner and certain of their affiliates have agreed that, for a period of 60 days from the date of this prospectus supplement, we and they will not, without the prior written consent of the underwriter, offer, sell, contract to sell, pledge or otherwise dispose of any Class A shares, PAA common units or any securities convertible into, or exercisable or exchangeable for or that represent the right to receive Class A shares, PAA common units or any securities that are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Class A shares or PAA common units, including the grant of any options or warrants to purchase Class A shares. Certain Kayne Anderson entities, which collectively own approximately 6,091,753 Class A shares and 9,911,259 PAA common units and which are affiliated with Robert V. Sinnott, a director of our general partner, are not subject to this agreement and may sell some or all of their Class A shares and PAA common units during the lock-up period. In addition, 2,000,000 Class A shares and/or PAA common units owned by certain Kayne Anderson entities attributable to unaffiliated limited partners of such entities are not subject to this agreement. This agreement also will not apply to (i) grants under existing employee benefit plans (including long-term incentive plans adopted by our general partner, PAA GP, Plains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AAP, L.P. or Plains All American GP LLC), (ii) issuances of Class A shares, PAA common units or any securities convertible or exchangeable into Class A shares or PAA common units as payment of any part of the purchase price in connection with acquisitions by us and our affiliates or any third parties (with any transferees in such acquisitions agreeing to be bound by the lock-up agreement for the remainder of the term), (iii) certain sales of Class A shares or PAA common units by the officers or directors of the company that controls our general partner to pay tax liabilities associated with the vesting of units, (iv) transfers of Class A shares or PAA common units by the officers and directors of our general partner in connection with gifts or charitable donations, (v) issuances or deliveries of Class A shares or PAA common units in connection with the conversion, vesting or exercise of securities (including long-term incentive plan awards and the right of holders of AAP Class A units to exchange such AAP Class A Units and our Class B shares for our Class A shares) currently outstanding,</w:t>
      </w:r>
    </w:p>
    <w:p>
      <w:pPr>
        <w:ind w:right="280" w:firstLine="8"/>
        <w:spacing w:after="0" w:line="261" w:lineRule="auto"/>
        <w:tabs>
          <w:tab w:leader="none" w:pos="29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issuances of PAA common units to AAP pursuant to the Omnibus Agreement in connection with this offering. The underwriter, in its sole discretion, may release any of the Class A shares or PAA common units subject to these lock-up agreements at any time without notice.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NYSE under the symbol "PAGP."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offering, the underwriter may purchase and sell Class A shares in the open market. These transactions may include short sales, syndicate covering transactions and stabilizing transactions. Short sales involve syndicate sales of Class A shares in excess of the number of Class A shares to be purchased by the underwriter in the offering, which creates a syndicate short position. "Covered" short sales are sales of Class A shares made in an amount up to the number of Class A shares represented by the underwriter's option to purchase additional Class A shares. In determining the source of Class A shares to close out the covered syndicate short position, the underwriter will consider, among other things, the price of Class A shares available for purchase in the open market as compared to the price at which it may purchase units through the option to purchase additional Class A shares. Transactions to close out the covered syndicate short position involve either purchases of the Class A shares in the open market after the distribution has been completed or the exercise of the option to purchase additional Class A shares. The underwriter may also make "naked" short sales of Class A shares in excess of the option to purchase additional Class A shares. The underwriter must close out any naked short position by purchasing Class A shares in the open market. A naked short position is more likely to be created if the underwriter is concerned that there may be downward pressure on the price of the Class A shares in the open market after pricing that could adversely affect investors who purchase in the offering. Stabilizing transactions consist of bids for or purchases of Class A shares in the open market while the offering is in progress.</w:t>
      </w:r>
    </w:p>
    <w:p>
      <w:pPr>
        <w:spacing w:after="0" w:line="178" w:lineRule="exact"/>
        <w:rPr>
          <w:sz w:val="20"/>
          <w:szCs w:val="20"/>
          <w:color w:val="auto"/>
        </w:rPr>
      </w:pPr>
    </w:p>
    <w:p>
      <w:pPr>
        <w:ind w:right="440" w:firstLine="348"/>
        <w:spacing w:after="0" w:line="370" w:lineRule="auto"/>
        <w:rPr>
          <w:sz w:val="20"/>
          <w:szCs w:val="20"/>
          <w:color w:val="auto"/>
        </w:rPr>
      </w:pPr>
      <w:r>
        <w:rPr>
          <w:rFonts w:ascii="Arial" w:cs="Arial" w:eastAsia="Arial" w:hAnsi="Arial"/>
          <w:sz w:val="15"/>
          <w:szCs w:val="15"/>
          <w:color w:val="auto"/>
        </w:rPr>
        <w:t>The underwriter also may impose a penalty bid. Penalty bids permit the underwriter to reclaim a selling concession from a syndicate member when the underwriter repurchases Class A shares originally sold by that syndicate member in order to cover syndicate short positions or make stabilizing purchases.</w:t>
      </w:r>
    </w:p>
    <w:p>
      <w:pPr>
        <w:spacing w:after="0" w:line="116"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Any of these activities may have the effect of preventing or slowing a decline in the market price of the Class A shares. They may also cause the price of the Class A shares to be higher than the price that would otherwise exist in the open market in the absence of these transactions. The underwriter may conduct these transactions on the NYSE or in the over-the-counter market, or otherwise. If the underwriter commences any of these transactions, it may discontinue them at any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of this offering, excluding underwriting discounts and commissions, will be approximately $500,000.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An affiliate of the underwriter is a lender under PAA's senior unsecured revolving credit facility In accordance with PAA's expected use of proceeds from the sale of common units to AAP as a result of concurrent sales of Class A shares pursuant to this offering (as provided in the Omnibus Agreement) to repay indebtedness under its senior unsecured revolving credit facility, such affiliate may receive a portion of the net proceeds from this offering.</w:t>
      </w:r>
    </w:p>
    <w:p>
      <w:pPr>
        <w:spacing w:after="0" w:line="161"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underwriter and its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the underwriter or its affiliates has a lending relationship with us, they may hedge their credit exposure to us consistent with their customary risk management policies.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This prospectus supplement and the accompanying base prospectus in electronic format may be made available on the website maintained by the underwriter. The underwriter may agree to allocate a number of Class A shares for sale to their online brokerage account holders. The Class A shares will be allocated to the underwriter, which may make Internet distributions on the same basis as other allocations. In addition, Class A shares may be sold by the underwriter to securities dealers who resell Class A shares to online brokerage account holders.</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Other than this prospectus supplement and the accompanying base prospectus in electronic format, information contained in any website maintained by the underwriter is not part of this prospectus supplement or the accompanying base prospectus or registration statement of which the accompanying base prospectus forms a part, has not been endorsed by us and should not be relied on by investors in deciding whether to purchase Class A shares. The underwriter is not responsible for information contained in websites that it does not maintain.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of 1933, as amended, or to contribute to payments the underwriter may be required to make because of any of those liabilities.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validity of the Class A shares offered in this prospectus supplement will be passed upon for us by Vinson &amp; Elkins L.L.P., Houston, Texas. Certain legal matters will be passed upon for the underwriter by Baker Botts L.L.P., Houston, Texas.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2016 have been so incorporated in reliance on the report of PricewaterhouseCoopers LLP, an independent registered public accounting firm, given on the authority of said firm as experts in auditing and accounting.</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are "incorporating by reference" into this prospectus supplement information we file with the SEC. This procedure means that we can disclose important information to you by referring you to documents filed with the SEC. The information we incorporate by reference is deemed to be part of this prospectus supplement and later information that we file with the SEC will automatically update and supersede this information.</w:t>
      </w:r>
    </w:p>
    <w:p>
      <w:pPr>
        <w:spacing w:after="0" w:line="16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Class A shares contemplated by this prospectus supplement are complete:</w:t>
      </w:r>
    </w:p>
    <w:p>
      <w:pPr>
        <w:spacing w:after="0" w:line="208"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Reports on Form 8-K filed on January 24, 2017, February 14, 2017 and February 21, 2017; and</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52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Additionally, you may read and copy any materials that we have filed with the SEC at the SEC's Public Reference Room at 100 F Street, N.E., Room 1580, Washington, D.C. 20549. You may obtain information on the operation of the Public Reference Room by calling the SEC at 1-800-SEC-0330.</w:t>
      </w:r>
    </w:p>
    <w:p>
      <w:pPr>
        <w:spacing w:after="0" w:line="139"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have not, and the underwriter and their affiliates and agents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Class A Shares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1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may offer and sell Class A shares representing limited partner interests in Plains GP Holdings, L.P. from time to time in one or more offerings and in amounts, at prices and on terms to be determined by market conditions and other factors at the time of our offerings.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prospectus describes only the general terms of the Class A shares and the general manner in which we will offer the Class A shares. The specific terms of any Class A shares we offer will be included in a supplement to this prospectus. The prospectus supplement will also describe the specific manner in which we will offer the Class A shares.</w:t>
      </w:r>
    </w:p>
    <w:p>
      <w:pPr>
        <w:spacing w:after="0" w:line="194" w:lineRule="exact"/>
        <w:rPr>
          <w:sz w:val="20"/>
          <w:szCs w:val="20"/>
          <w:color w:val="auto"/>
        </w:rPr>
      </w:pPr>
    </w:p>
    <w:p>
      <w:pPr>
        <w:jc w:val="both"/>
        <w:ind w:right="12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2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34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r>
        <w:rPr>
          <w:rFonts w:ascii="Arial" w:cs="Arial" w:eastAsia="Arial" w:hAnsi="Arial"/>
          <w:sz w:val="16"/>
          <w:szCs w:val="16"/>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date of this prospectus is February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6"/>
            <w:vMerge w:val="restart"/>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6"/>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jc w:val="right"/>
              <w:spacing w:after="0" w:line="170"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gridSpan w:val="3"/>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5"/>
                <w:szCs w:val="15"/>
                <w:color w:val="0000EE"/>
                <w:w w:val="73"/>
              </w:rPr>
            </w:pPr>
            <w:hyperlink w:anchor="page24">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About Plains GP Holdings, L.P.</w:t>
              </w:r>
            </w:hyperlink>
          </w:p>
        </w:tc>
        <w:tc>
          <w:tcPr>
            <w:tcW w:w="3780" w:type="dxa"/>
            <w:vAlign w:val="bottom"/>
            <w:gridSpan w:val="5"/>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5160" w:type="dxa"/>
            <w:vAlign w:val="bottom"/>
            <w:gridSpan w:val="14"/>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4900" w:type="dxa"/>
            <w:vAlign w:val="bottom"/>
            <w:gridSpan w:val="12"/>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Our Cash Distribution Policy</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tcBorders>
            <w:gridSpan w:val="9"/>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The Partnership Agreement</w:t>
              </w:r>
            </w:hyperlink>
          </w:p>
        </w:tc>
        <w:tc>
          <w:tcPr>
            <w:tcW w:w="4000" w:type="dxa"/>
            <w:vAlign w:val="bottom"/>
            <w:gridSpan w:val="7"/>
          </w:tcPr>
          <w:p>
            <w:pPr>
              <w:spacing w:after="0"/>
              <w:rPr>
                <w:sz w:val="17"/>
                <w:szCs w:val="17"/>
                <w:color w:val="auto"/>
              </w:rPr>
            </w:pPr>
          </w:p>
        </w:tc>
        <w:tc>
          <w:tcPr>
            <w:tcW w:w="282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8"/>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Description of Our Shares</w:t>
              </w:r>
            </w:hyperlink>
          </w:p>
        </w:tc>
        <w:tc>
          <w:tcPr>
            <w:tcW w:w="4120" w:type="dxa"/>
            <w:vAlign w:val="bottom"/>
            <w:gridSpan w:val="8"/>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6060" w:type="dxa"/>
            <w:vAlign w:val="bottom"/>
            <w:gridSpan w:val="1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4660" w:type="dxa"/>
            <w:vAlign w:val="bottom"/>
            <w:gridSpan w:val="11"/>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5080" w:type="dxa"/>
            <w:vAlign w:val="bottom"/>
            <w:gridSpan w:val="13"/>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We have not authorized anyone to provide you with additional or different information. If any other person provides you with additional, different or inconsistent information, you should not rely on it. This prospectus and any prospectus supplement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66" w:lineRule="exact"/>
        <w:rPr>
          <w:sz w:val="20"/>
          <w:szCs w:val="20"/>
          <w:color w:val="auto"/>
        </w:rPr>
      </w:pPr>
    </w:p>
    <w:p>
      <w:pPr>
        <w:jc w:val="both"/>
        <w:ind w:right="220" w:firstLine="351"/>
        <w:spacing w:after="0" w:line="262" w:lineRule="auto"/>
        <w:rPr>
          <w:sz w:val="20"/>
          <w:szCs w:val="20"/>
          <w:color w:val="auto"/>
        </w:rPr>
      </w:pPr>
      <w:r>
        <w:rPr>
          <w:rFonts w:ascii="Arial" w:cs="Arial" w:eastAsia="Arial" w:hAnsi="Arial"/>
          <w:sz w:val="18"/>
          <w:szCs w:val="18"/>
          <w:b w:val="1"/>
          <w:bCs w:val="1"/>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we may, over time, offer and sell our Class A shares in one or more offerings. This prospectus generally describes Plains GP Holdings, L.P. and the Class A shares. Each time we sell securities with this prospectus, we will provide you with a prospectus supplement that will contain specific information about the terms of that offering. The prospectus supplement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information should help you understand some of the conventions used in this prospectus. All references in this prospectus to:</w:t>
      </w:r>
    </w:p>
    <w:p>
      <w:pPr>
        <w:spacing w:after="0" w:line="239" w:lineRule="exact"/>
        <w:rPr>
          <w:sz w:val="20"/>
          <w:szCs w:val="20"/>
          <w:color w:val="auto"/>
        </w:rPr>
      </w:pPr>
    </w:p>
    <w:p>
      <w:pPr>
        <w:ind w:left="1080" w:right="160" w:hanging="532"/>
        <w:spacing w:after="0" w:line="29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"partnership agreement" refer to the Second Amended and Restated Agreement of Limited Partnership of Plains GP Holdings, L.P., dated as of November 15, 2016, as it may be amended or restated from time to time;</w:t>
      </w:r>
    </w:p>
    <w:p>
      <w:pPr>
        <w:spacing w:after="0" w:line="212"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initial public offering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including, but not limited to: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85" w:lineRule="exact"/>
        <w:rPr>
          <w:rFonts w:ascii="Arial" w:cs="Arial" w:eastAsia="Arial" w:hAnsi="Arial"/>
          <w:sz w:val="16"/>
          <w:szCs w:val="16"/>
          <w:color w:val="auto"/>
        </w:rPr>
      </w:pPr>
    </w:p>
    <w:p>
      <w:pPr>
        <w:jc w:val="both"/>
        <w:ind w:left="1080" w:right="32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"Omnibus Agreement" refers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jc w:val="both"/>
        <w:ind w:right="70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rather than filed),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Reports on Form 8-K filed on January 24, 2017, February 14, 2017 and February 21, 2017; and</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also make available free of charge on our website at ir.pagp.com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prospectus and you should not consider information contained on our website as part of this prospectus.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38"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2 of this prospectus and as discussed in Item 1A of our Annual Report on Form 10-K for the fiscal year ended December 31, 2016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We do not directly own any operating assets; our principal sources of cash flow are derived from our indirect investment in PAA. As of February 22, 2017, we directly and indirectly owned 103,277,067 Class A Units of AAP, which we refer to as AAP Class A units, which represented a 42.8% limited partner interest in AAP. AAP owns a non-economic general partner interest in PAA and, as of February 22, 2017, owned 243,391,545 common units of PAA. Our general partner, PAA GP Holdings LLC, has responsibility for managing the business and affairs of PAA, in addition to AAP and PAGP.</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PAA is a publicly traded Delaware limited partnership formed in 1998. PAA's operations are conducted directly and indirectly through its primary operating subsidiaries. PAA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2016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Unless otherwise indicated to the contrary in an accompanying prospectus supplement, we will use the net proceeds from the sale of securities covered by this prospectus for general partnership purposes, which may include, among other things, investment in the equity of PAA (acting through AAP as provided in the Omnibus Agreement), repayment of indebtedness, acquisitions, capital expenditures and additions to working capital.</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Pursuant to the Omnibus Agreement, we have agreed to use the net proceeds from any sale of Class A shares to purchase from AAP a number of AAP Class A units equal to the number of Class A shares sold at a price equal to the net proceeds from such sale. The Omnibus Agreement also provides that immediately following such purchase and sale, AAP will use the net proceeds it receives from such sale of AAP Class A units to PAGP to purchase from PAA an equivalent number of common units of PAA. It is anticipated that PAA will, in turn, use the net proceeds from such sale of common units to AAP for general partnership purposes, which may include, among other things, repayment of indebtedness, acquisitions, capital expenditures and additions to working capital.</w:t>
      </w:r>
    </w:p>
    <w:p>
      <w:pPr>
        <w:spacing w:after="0" w:line="170" w:lineRule="exact"/>
        <w:rPr>
          <w:sz w:val="20"/>
          <w:szCs w:val="20"/>
          <w:color w:val="auto"/>
        </w:rPr>
      </w:pPr>
    </w:p>
    <w:p>
      <w:pPr>
        <w:ind w:right="62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available cash also includes cash on hand resulting from borrowings, if any,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principal sources of cash flow are derived from our indirect investment in PAA. As of February 22, 2017, we directly and indirectly owned 103,277,067 AAP Class A units, which represented a 42.8% limited partnership interest in AAP. AAP owns a non-economic general partner interest in PAA and, as of February 22, 2017, owned 243,391,545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it is prohibited from declaring or paying any distribution to unitholders if a default or event of default (as defined in such agreements) exists.</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21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revenue PAA is able to generate from its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capital expenditures PAA makes;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PAA's operating, maintenance and general and administrative expenses or related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PAA's debt service requirements and other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PAA's working capital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distributions contained in PAA's debt agreements and any future debt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PAA's ability to borrow under its revolving credit agreements to make distributions; and</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18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62" w:lineRule="exact"/>
        <w:rPr>
          <w:sz w:val="20"/>
          <w:szCs w:val="20"/>
          <w:color w:val="auto"/>
        </w:rPr>
      </w:pPr>
    </w:p>
    <w:p>
      <w:pPr>
        <w:ind w:left="1080" w:right="20" w:hanging="532"/>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vote for eligible directors as provided under our partnership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manages us and our operations. You will have only limited voting rights on matters affecting our business. You will not have the right to elect our general partner or, except as described below under "—Public Election of Directors," its directors on an annual or other continuing basis.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Class C shares are not entitled to vote on any matter other than for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Accordingly,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general partner will have no fiduciary duty or obligation whatsoever to us or the shareholders, including any duty to act in good faith or in the best interests of us or the shareholders.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4"/>
              </w:rPr>
              <w:t>Issuance of additional shares (or other partnership</w:t>
            </w:r>
          </w:p>
        </w:tc>
        <w:tc>
          <w:tcPr>
            <w:tcW w:w="7540" w:type="dxa"/>
            <w:vAlign w:val="bottom"/>
          </w:tcPr>
          <w:p>
            <w:pPr>
              <w:spacing w:after="0"/>
              <w:rPr>
                <w:sz w:val="18"/>
                <w:szCs w:val="18"/>
                <w:color w:val="auto"/>
              </w:rPr>
            </w:pPr>
          </w:p>
        </w:tc>
      </w:tr>
      <w:tr>
        <w:trPr>
          <w:trHeight w:val="222"/>
        </w:trPr>
        <w:tc>
          <w:tcPr>
            <w:tcW w:w="38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7540" w:type="dxa"/>
            <w:vAlign w:val="bottom"/>
          </w:tcPr>
          <w:p>
            <w:pPr>
              <w:ind w:left="300"/>
              <w:spacing w:after="0"/>
              <w:rPr>
                <w:sz w:val="20"/>
                <w:szCs w:val="20"/>
                <w:color w:val="auto"/>
              </w:rPr>
            </w:pPr>
            <w:r>
              <w:rPr>
                <w:rFonts w:ascii="Arial" w:cs="Arial" w:eastAsia="Arial" w:hAnsi="Arial"/>
                <w:sz w:val="18"/>
                <w:szCs w:val="18"/>
                <w:color w:val="auto"/>
              </w:rPr>
              <w:t>No approval right.</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Amendment of our partnership agreement</w:t>
            </w:r>
          </w:p>
        </w:tc>
        <w:tc>
          <w:tcPr>
            <w:tcW w:w="7540" w:type="dxa"/>
            <w:vAlign w:val="bottom"/>
          </w:tcPr>
          <w:p>
            <w:pPr>
              <w:ind w:left="300"/>
              <w:spacing w:after="0"/>
              <w:rPr>
                <w:sz w:val="20"/>
                <w:szCs w:val="20"/>
                <w:color w:val="auto"/>
              </w:rPr>
            </w:pPr>
            <w:r>
              <w:rPr>
                <w:rFonts w:ascii="Arial" w:cs="Arial" w:eastAsia="Arial" w:hAnsi="Arial"/>
                <w:sz w:val="18"/>
                <w:szCs w:val="18"/>
                <w:color w:val="auto"/>
                <w:w w:val="87"/>
              </w:rPr>
              <w:t>Amendments to our partnership agreement may be proposed only by or with the consent of our general</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6"/>
              </w:rPr>
              <w:t>partner. Certain amendments may be made by our general partner without the approval of our</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87"/>
              </w:rPr>
              <w:t>shareholders. Other amendments generally require the approval of a majority of our outstanding shares</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3"/>
              </w:rPr>
              <w:t>(including under certain circumstances, our Class C shares). Please read "—Amendments to Our</w:t>
            </w:r>
          </w:p>
        </w:tc>
      </w:tr>
      <w:tr>
        <w:trPr>
          <w:trHeight w:val="222"/>
        </w:trPr>
        <w:tc>
          <w:tcPr>
            <w:tcW w:w="3820" w:type="dxa"/>
            <w:vAlign w:val="bottom"/>
          </w:tcPr>
          <w:p>
            <w:pPr>
              <w:spacing w:after="0"/>
              <w:rPr>
                <w:sz w:val="19"/>
                <w:szCs w:val="19"/>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Partnership Agreement."</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Merger of our partnership or the sale of all or</w:t>
            </w: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A majority of our outstanding shares in certain circumstances. Please read "—Merger, Sale or Other</w:t>
            </w:r>
          </w:p>
        </w:tc>
      </w:tr>
      <w:tr>
        <w:trPr>
          <w:trHeight w:val="222"/>
        </w:trPr>
        <w:tc>
          <w:tcPr>
            <w:tcW w:w="3820" w:type="dxa"/>
            <w:vAlign w:val="bottom"/>
          </w:tcPr>
          <w:p>
            <w:pPr>
              <w:ind w:left="180"/>
              <w:spacing w:after="0"/>
              <w:rPr>
                <w:sz w:val="20"/>
                <w:szCs w:val="20"/>
                <w:color w:val="auto"/>
              </w:rPr>
            </w:pPr>
            <w:r>
              <w:rPr>
                <w:rFonts w:ascii="Arial" w:cs="Arial" w:eastAsia="Arial" w:hAnsi="Arial"/>
                <w:sz w:val="18"/>
                <w:szCs w:val="18"/>
                <w:color w:val="auto"/>
              </w:rPr>
              <w:t>substantially all of our assets</w:t>
            </w:r>
          </w:p>
        </w:tc>
        <w:tc>
          <w:tcPr>
            <w:tcW w:w="7540" w:type="dxa"/>
            <w:vAlign w:val="bottom"/>
          </w:tcPr>
          <w:p>
            <w:pPr>
              <w:ind w:left="300"/>
              <w:spacing w:after="0"/>
              <w:rPr>
                <w:sz w:val="20"/>
                <w:szCs w:val="20"/>
                <w:color w:val="auto"/>
              </w:rPr>
            </w:pPr>
            <w:r>
              <w:rPr>
                <w:rFonts w:ascii="Arial" w:cs="Arial" w:eastAsia="Arial" w:hAnsi="Arial"/>
                <w:sz w:val="18"/>
                <w:szCs w:val="18"/>
                <w:color w:val="auto"/>
              </w:rPr>
              <w:t>Disposition of Assets."</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Dissolution</w:t>
            </w:r>
          </w:p>
        </w:tc>
        <w:tc>
          <w:tcPr>
            <w:tcW w:w="7540" w:type="dxa"/>
            <w:vAlign w:val="bottom"/>
          </w:tcPr>
          <w:p>
            <w:pPr>
              <w:ind w:left="300"/>
              <w:spacing w:after="0"/>
              <w:rPr>
                <w:sz w:val="20"/>
                <w:szCs w:val="20"/>
                <w:color w:val="auto"/>
              </w:rPr>
            </w:pPr>
            <w:r>
              <w:rPr>
                <w:rFonts w:ascii="Arial" w:cs="Arial" w:eastAsia="Arial" w:hAnsi="Arial"/>
                <w:sz w:val="18"/>
                <w:szCs w:val="18"/>
                <w:color w:val="auto"/>
              </w:rPr>
              <w:t>A majority of our outstanding shares. Please read "—Termination or Dissolution."</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Reconstitution upon dissolution</w:t>
            </w:r>
          </w:p>
        </w:tc>
        <w:tc>
          <w:tcPr>
            <w:tcW w:w="7540" w:type="dxa"/>
            <w:vAlign w:val="bottom"/>
          </w:tcPr>
          <w:p>
            <w:pPr>
              <w:ind w:left="300"/>
              <w:spacing w:after="0"/>
              <w:rPr>
                <w:sz w:val="20"/>
                <w:szCs w:val="20"/>
                <w:color w:val="auto"/>
              </w:rPr>
            </w:pPr>
            <w:r>
              <w:rPr>
                <w:rFonts w:ascii="Arial" w:cs="Arial" w:eastAsia="Arial" w:hAnsi="Arial"/>
                <w:sz w:val="18"/>
                <w:szCs w:val="18"/>
                <w:color w:val="auto"/>
              </w:rPr>
              <w:t>A majority of our outstanding shares. Please read "—Termination or Dissolution."</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Withdrawal of our general partner</w:t>
            </w:r>
          </w:p>
        </w:tc>
        <w:tc>
          <w:tcPr>
            <w:tcW w:w="7540" w:type="dxa"/>
            <w:vAlign w:val="bottom"/>
          </w:tcPr>
          <w:p>
            <w:pPr>
              <w:ind w:left="300"/>
              <w:spacing w:after="0"/>
              <w:rPr>
                <w:sz w:val="20"/>
                <w:szCs w:val="20"/>
                <w:color w:val="auto"/>
              </w:rPr>
            </w:pPr>
            <w:r>
              <w:rPr>
                <w:rFonts w:ascii="Arial" w:cs="Arial" w:eastAsia="Arial" w:hAnsi="Arial"/>
                <w:sz w:val="18"/>
                <w:szCs w:val="18"/>
                <w:color w:val="auto"/>
              </w:rPr>
              <w:t>No approval right. Please read "—Withdrawal or Removal of the General Partner."</w:t>
            </w:r>
          </w:p>
        </w:tc>
      </w:tr>
      <w:tr>
        <w:trPr>
          <w:trHeight w:val="466"/>
        </w:trPr>
        <w:tc>
          <w:tcPr>
            <w:tcW w:w="3820" w:type="dxa"/>
            <w:vAlign w:val="bottom"/>
          </w:tcPr>
          <w:p>
            <w:pPr>
              <w:spacing w:after="0"/>
              <w:rPr>
                <w:sz w:val="20"/>
                <w:szCs w:val="20"/>
                <w:color w:val="auto"/>
              </w:rPr>
            </w:pPr>
            <w:r>
              <w:rPr>
                <w:rFonts w:ascii="Arial" w:cs="Arial" w:eastAsia="Arial" w:hAnsi="Arial"/>
                <w:sz w:val="18"/>
                <w:szCs w:val="18"/>
                <w:color w:val="auto"/>
              </w:rPr>
              <w:t>Removal of our general partner</w:t>
            </w:r>
          </w:p>
        </w:tc>
        <w:tc>
          <w:tcPr>
            <w:tcW w:w="7540" w:type="dxa"/>
            <w:vAlign w:val="bottom"/>
          </w:tcPr>
          <w:p>
            <w:pPr>
              <w:ind w:left="300"/>
              <w:spacing w:after="0"/>
              <w:rPr>
                <w:sz w:val="20"/>
                <w:szCs w:val="20"/>
                <w:color w:val="auto"/>
              </w:rPr>
            </w:pPr>
            <w:r>
              <w:rPr>
                <w:rFonts w:ascii="Arial" w:cs="Arial" w:eastAsia="Arial" w:hAnsi="Arial"/>
                <w:sz w:val="18"/>
                <w:szCs w:val="18"/>
                <w:color w:val="auto"/>
                <w:w w:val="93"/>
              </w:rPr>
              <w:t>Not less than 66</w:t>
            </w:r>
            <w:r>
              <w:rPr>
                <w:rFonts w:ascii="Arial" w:cs="Arial" w:eastAsia="Arial" w:hAnsi="Arial"/>
                <w:sz w:val="29"/>
                <w:szCs w:val="29"/>
                <w:color w:val="auto"/>
                <w:w w:val="93"/>
                <w:vertAlign w:val="superscript"/>
              </w:rPr>
              <w:t>2</w:t>
            </w:r>
            <w:r>
              <w:rPr>
                <w:rFonts w:ascii="Arial" w:cs="Arial" w:eastAsia="Arial" w:hAnsi="Arial"/>
                <w:sz w:val="18"/>
                <w:szCs w:val="18"/>
                <w:color w:val="auto"/>
                <w:w w:val="93"/>
              </w:rPr>
              <w:t>/</w:t>
            </w:r>
            <w:r>
              <w:rPr>
                <w:rFonts w:ascii="Arial" w:cs="Arial" w:eastAsia="Arial" w:hAnsi="Arial"/>
                <w:sz w:val="14"/>
                <w:szCs w:val="14"/>
                <w:color w:val="auto"/>
                <w:w w:val="93"/>
              </w:rPr>
              <w:t>3</w:t>
            </w:r>
            <w:r>
              <w:rPr>
                <w:rFonts w:ascii="Arial" w:cs="Arial" w:eastAsia="Arial" w:hAnsi="Arial"/>
                <w:sz w:val="18"/>
                <w:szCs w:val="18"/>
                <w:color w:val="auto"/>
                <w:w w:val="93"/>
              </w:rPr>
              <w:t>% of our outstanding shares, including shares held by our general partner, the</w:t>
            </w:r>
          </w:p>
        </w:tc>
      </w:tr>
      <w:tr>
        <w:trPr>
          <w:trHeight w:val="216"/>
        </w:trPr>
        <w:tc>
          <w:tcPr>
            <w:tcW w:w="38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Legacy Owners and their respective affiliates. Please read "—Withdrawal or Removal of the General</w:t>
            </w:r>
          </w:p>
        </w:tc>
      </w:tr>
      <w:tr>
        <w:trPr>
          <w:trHeight w:val="222"/>
        </w:trPr>
        <w:tc>
          <w:tcPr>
            <w:tcW w:w="3820" w:type="dxa"/>
            <w:vAlign w:val="bottom"/>
          </w:tcPr>
          <w:p>
            <w:pPr>
              <w:spacing w:after="0"/>
              <w:rPr>
                <w:sz w:val="19"/>
                <w:szCs w:val="19"/>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Partner."</w:t>
            </w: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Transfer of the general partner interest</w:t>
            </w:r>
          </w:p>
        </w:tc>
        <w:tc>
          <w:tcPr>
            <w:tcW w:w="7540" w:type="dxa"/>
            <w:vAlign w:val="bottom"/>
          </w:tcPr>
          <w:p>
            <w:pPr>
              <w:ind w:left="300"/>
              <w:spacing w:after="0"/>
              <w:rPr>
                <w:sz w:val="20"/>
                <w:szCs w:val="20"/>
                <w:color w:val="auto"/>
              </w:rPr>
            </w:pPr>
            <w:r>
              <w:rPr>
                <w:rFonts w:ascii="Arial" w:cs="Arial" w:eastAsia="Arial" w:hAnsi="Arial"/>
                <w:sz w:val="18"/>
                <w:szCs w:val="18"/>
                <w:color w:val="auto"/>
              </w:rPr>
              <w:t>No approval right. Please read "—Transfer of General Partner Interest."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19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2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"plan asset" regulations adopted under the Employee Retirement Income Security Act of 1974, whether or not substantially similar to plan asset regulations currently applied or proposed;</w:t>
      </w:r>
    </w:p>
    <w:p>
      <w:pPr>
        <w:spacing w:after="0" w:line="199" w:lineRule="exact"/>
        <w:rPr>
          <w:sz w:val="20"/>
          <w:szCs w:val="20"/>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right="2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8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are necessary or appropriate to implement certain governance procedures following the closing of the transactions contemplated by the Simplification Agreement, including the staggering of our board of directors and the public election of directors; or</w:t>
      </w:r>
    </w:p>
    <w:p>
      <w:pPr>
        <w:spacing w:after="0" w:line="166"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are required to effect the intent of the statements contained in the registration statement filed in connection with the initial public offering of Class A shares by us and in the provisions of our partnership agreement or as are otherwise contemplated by our partnership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2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settlement of or creation of a reserve for contingent liabilities;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(excluding the election of directors beginning in 2018 described below under "—Public Election of Directors.")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(other than as described under "— Public Election of Directors") unless any action by the shareholders requires approval by holders of a greater percentage of the shares, in which case the quorum will be the greater percentage.</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Notwithstanding the foregoing sentence, for meetings called for the purpose of electing the directors of our general partner described below under "—Public Election of Directors," 19.9% of the outstanding Class A shares, Class B shares and Class C shares held by any beneficial owner of 20% or more of any class of shares shall be considered outstanding when sending notices and determining the presence of a quorum for such a meeting, and such holders will be entitled to vote up to 19.9% of the outstanding Class A shares, Class B shares and Class C shares in such an election.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general partner's board of directors is divided into three classes of directors such that each class is comprised of one designated director and two independent directors. As provided in our general partner's limited liability company agreement, the officers of our general partner that are serving as directors will not be included in a class or subject to election by our shareholders. In addition, the CEO of our general partner is automatically designated as the Chairman of the board of directors of our general partner. Furthermore, any director subject to appointment by the holders of PAA's Series A preferred units (as described below) will not be included in a class or subject to election by our shareholders. Each class of directors will serve a three-year term.</w:t>
      </w:r>
    </w:p>
    <w:p>
      <w:pPr>
        <w:spacing w:after="0" w:line="170"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Our partnership agreement provides that, beginning in 2018,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Class B shares and Class C shares, voting together as a single class, will constitute a quorum; provided that 19.9% of the outstanding Class A shares, Class B shares and Class C shares beneficially owned by a greater than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 owner will be counted for purposes of determining a quorum for the election of our general partner's board of directors.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172"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holders of PAA's Series A preferred units have the right to designate a director to our general partner's board of directors in the event that PAA does not declare and pay distributions on its Series A preferred units for three quarters, whether or not consecutive.</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and any ownership of PAA common units due to the exercise of the redemption right provided for under the AAP limited partnership agreement)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and any director subject to appointment by the holders of PAA's Series A preferred units) will become subject to election by our shareholders.</w:t>
      </w:r>
    </w:p>
    <w:p>
      <w:pPr>
        <w:spacing w:after="0" w:line="172"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vacancies in designated directors may be filled by the applicable designating party in its sole discretion.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whether we would have the power to indemnify the person against liabilities under our partnership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Pursuant to the Omnibus Agreement, PAA is required to pay or reimburse our general partner, us and our subsidiaries (other than PAA and its subsidiaries) for all direct and indirect expenses incurred (other than income taxes incurred by us or our subsidiaries (other than PAA and its subsidiaries)). These expenses include any amounts paid to persons who perform services for us or on our behalf, as well any expenses and expenditures incurred or paid as a result of us being a publicly traded entity, including expenses associated with (i) compensation for directors of our general partner, (ii) director and officer liability insurance,</w:t>
      </w:r>
    </w:p>
    <w:p>
      <w:pPr>
        <w:spacing w:after="0" w:line="3" w:lineRule="exact"/>
        <w:rPr>
          <w:sz w:val="20"/>
          <w:szCs w:val="20"/>
          <w:color w:val="auto"/>
        </w:rPr>
      </w:pPr>
    </w:p>
    <w:p>
      <w:pPr>
        <w:ind w:right="160" w:firstLine="8"/>
        <w:spacing w:after="0" w:line="261" w:lineRule="auto"/>
        <w:tabs>
          <w:tab w:leader="none" w:pos="3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listing on the New York Stock Exchange, (iv) investor relations, (v) legal, (vi) tax, (vii) financial advisor services and (viii) accounting. There is no limit on the amount of fees and expenses PAA may be required to pay or reimburse pursuant to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non-economic, and provide PAA, as the sole holder of the Class C shares, rights with respect to director nominations and voting rights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or the Class C shares on any stock exchange. All of our Class B shares are owned by the Legacy Owners, including holders of the Class B Units of AAP (the "AAP management units") who have exchanged such AAP management units for AAP Class A units and a like number of Class B shares, or their permitted transferees. All of the Class C shares are owned by PAA.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4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40" w:hanging="5072"/>
        <w:spacing w:after="0" w:line="519" w:lineRule="auto"/>
        <w:tabs>
          <w:tab w:leader="none" w:pos="10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of this filing,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2017, 2018 and 2019,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our Class A shares that is an individual, corporation, estate or trust that is not a U.S. holder as defined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70"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32" w:lineRule="exact"/>
        <w:rPr>
          <w:sz w:val="20"/>
          <w:szCs w:val="20"/>
          <w:color w:val="auto"/>
        </w:rPr>
      </w:pPr>
    </w:p>
    <w:p>
      <w:pPr>
        <w:ind w:left="1080" w:right="1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w:t>
      </w:r>
    </w:p>
    <w:p>
      <w:pPr>
        <w:spacing w:after="0" w:line="24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 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6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In addition, the fiduciaries of any ERISA Plan with investment discretion with respect to the assets of an employee benefit plan should determine whether an investment in our Class A shares is authorized by the appropriate governing instrument and is a proper investment for the plan.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consideration should be given to:</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applicable Similar Laws;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404(a)(1)(C) of ERISA and applicable Similar Laws;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w:t>
      </w:r>
    </w:p>
    <w:p>
      <w:pPr>
        <w:spacing w:after="0" w:line="16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assets" under certain circumstances. Under these rules, an entity's assets generally would not be considered to be "plan assets" if, among other things:</w:t>
      </w:r>
    </w:p>
    <w:p>
      <w:pPr>
        <w:spacing w:after="0" w:line="262" w:lineRule="exact"/>
        <w:rPr>
          <w:sz w:val="20"/>
          <w:szCs w:val="20"/>
          <w:color w:val="auto"/>
        </w:rPr>
      </w:pPr>
    </w:p>
    <w:p>
      <w:pPr>
        <w:ind w:left="1080" w:right="30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registered under some provision of the federal securities laws;</w:t>
      </w:r>
    </w:p>
    <w:p>
      <w:pPr>
        <w:spacing w:after="0" w:line="22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there is no significant investment by benefit plan investors, which is defined to mean that less than 25% of the value of each class of equity interest, disregarding some interests held by our 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sell the Class A shares offered hereby through one or more underwriters on a firm commitment basis.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prospectus supplement with respect to any offering of Class A shares will set forth the terms of the offering, including: (i) the name or names of any underwriters; (ii) the purchase price of the Class A shares and the proceeds to us from the sale; (iii) any underwriting discounts and commissions and other items constituting underwriters' compensation; and (iv) any delayed delivery arrangements.</w:t>
      </w:r>
    </w:p>
    <w:p>
      <w:pPr>
        <w:spacing w:after="0" w:line="194"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will enter into an underwriting agreement with the underwriters at the time of sale to them. We will set forth the names of these underwriters and the terms of the transaction in the prospectus supplement, which will be used by the underwriters to make resales of the Class A shares in respect of which this prospectus is delivered to the public. We may indemnify the underwriters under the relevant underwriting agreement against specific liabilities, including liabilities under the Securities Act. The underwriters may also be our customers or may engage in transactions with or perform services for us in the ordinary course of business.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the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624840</wp:posOffset>
            </wp:positionV>
            <wp:extent cx="2830195" cy="6261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30195" cy="62611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34,000,000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174625</wp:posOffset>
            </wp:positionV>
            <wp:extent cx="18954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PROSPECTUS SUPPLEMENT</w:t>
      </w:r>
    </w:p>
    <w:p>
      <w:pPr>
        <w:spacing w:after="0" w:line="231" w:lineRule="exact"/>
        <w:rPr>
          <w:sz w:val="20"/>
          <w:szCs w:val="20"/>
          <w:color w:val="auto"/>
        </w:rPr>
      </w:pPr>
    </w:p>
    <w:p>
      <w:pPr>
        <w:ind w:left="5020"/>
        <w:spacing w:after="0"/>
        <w:tabs>
          <w:tab w:leader="none" w:pos="5940" w:val="left"/>
        </w:tabs>
        <w:rPr>
          <w:sz w:val="20"/>
          <w:szCs w:val="20"/>
          <w:color w:val="auto"/>
        </w:rPr>
      </w:pPr>
      <w:r>
        <w:rPr>
          <w:rFonts w:ascii="Arial" w:cs="Arial" w:eastAsia="Arial" w:hAnsi="Arial"/>
          <w:sz w:val="18"/>
          <w:szCs w:val="18"/>
          <w:b w:val="1"/>
          <w:bCs w:val="1"/>
          <w:color w:val="auto"/>
        </w:rPr>
        <w:t>February</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40"/>
        <w:spacing w:after="0"/>
        <w:rPr>
          <w:sz w:val="20"/>
          <w:szCs w:val="20"/>
          <w:color w:val="auto"/>
        </w:rPr>
      </w:pPr>
      <w:r>
        <w:rPr>
          <w:rFonts w:ascii="Arial" w:cs="Arial" w:eastAsia="Arial" w:hAnsi="Arial"/>
          <w:sz w:val="32"/>
          <w:szCs w:val="32"/>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Roman"/>
      <w:start w:val="3"/>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lvl w:ilvl="1">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1)"/>
      <w:numFmt w:val="decimal"/>
      <w:start w:val="2"/>
    </w:lvl>
  </w:abstractNum>
  <w:abstractNum w:abstractNumId="10">
    <w:nsid w:val="54E49EB4"/>
    <w:multiLevelType w:val="hybridMultilevel"/>
    <w:lvl w:ilvl="0">
      <w:lvlJc w:val="left"/>
      <w:lvlText w:val="(%1)"/>
      <w:numFmt w:val="lowerRoman"/>
      <w:start w:val="6"/>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5"/>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4"/>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Roman"/>
      <w:start w:val="3"/>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2020-01-16T08:12:56Z</dcterms:created>
  <dcterms:modified xsi:type="dcterms:W3CDTF">2020-01-16T08:12:56Z</dcterms:modified>
</cp:coreProperties>
</file>