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96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9648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5"/>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7"/>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gridSpan w:val="2"/>
            <w:vMerge w:val="restart"/>
          </w:tcPr>
          <w:p>
            <w:pPr>
              <w:spacing w:after="0" w:line="250" w:lineRule="exact"/>
              <w:rPr>
                <w:rFonts w:ascii="Arial" w:cs="Arial" w:eastAsia="Arial" w:hAnsi="Arial"/>
                <w:sz w:val="22"/>
                <w:szCs w:val="22"/>
                <w:color w:val="0000EE"/>
                <w:w w:val="89"/>
              </w:rPr>
            </w:pPr>
            <w:hyperlink r:id="rId12">
              <w:r>
                <w:rPr>
                  <w:rFonts w:ascii="Arial" w:cs="Arial" w:eastAsia="Arial" w:hAnsi="Arial"/>
                  <w:sz w:val="22"/>
                  <w:szCs w:val="22"/>
                  <w:color w:val="0000EE"/>
                  <w:w w:val="89"/>
                </w:rPr>
                <w:t>Swanson Al</w:t>
              </w:r>
            </w:hyperlink>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80" w:type="dxa"/>
            <w:vAlign w:val="bottom"/>
            <w:gridSpan w:val="9"/>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PLAINS ALL AMERICAN PIPELINE LP</w:t>
              </w:r>
            </w:hyperlink>
          </w:p>
        </w:tc>
        <w:tc>
          <w:tcPr>
            <w:tcW w:w="1640" w:type="dxa"/>
            <w:vAlign w:val="bottom"/>
            <w:gridSpan w:val="4"/>
            <w:vMerge w:val="restart"/>
          </w:tcPr>
          <w:p>
            <w:pPr>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4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Borders>
              <w:bottom w:val="single" w:sz="8" w:color="0000EE"/>
            </w:tcBorders>
            <w:gridSpan w:val="2"/>
            <w:vMerge w:val="continue"/>
          </w:tcPr>
          <w:p>
            <w:pPr>
              <w:spacing w:after="0"/>
              <w:rPr>
                <w:sz w:val="5"/>
                <w:szCs w:val="5"/>
                <w:color w:val="auto"/>
              </w:rPr>
            </w:pPr>
          </w:p>
        </w:tc>
        <w:tc>
          <w:tcPr>
            <w:tcW w:w="180" w:type="dxa"/>
            <w:vAlign w:val="bottom"/>
            <w:vMerge w:val="restart"/>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2"/>
            <w:vMerge w:val="restart"/>
          </w:tcPr>
          <w:p>
            <w:pPr>
              <w:spacing w:after="0" w:line="250" w:lineRule="exact"/>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0000FF"/>
              </w:rPr>
              <w:t>PAA</w:t>
            </w:r>
            <w:r>
              <w:rPr>
                <w:rFonts w:ascii="Arial" w:cs="Arial" w:eastAsia="Arial" w:hAnsi="Arial"/>
                <w:sz w:val="22"/>
                <w:szCs w:val="22"/>
                <w:color w:val="auto"/>
              </w:rPr>
              <w:t xml:space="preserve"> ]</w:t>
            </w: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gridSpan w:val="2"/>
          </w:tcPr>
          <w:p>
            <w:pPr>
              <w:spacing w:after="0"/>
              <w:rPr>
                <w:sz w:val="4"/>
                <w:szCs w:val="4"/>
                <w:color w:val="auto"/>
              </w:rPr>
            </w:pPr>
          </w:p>
        </w:tc>
        <w:tc>
          <w:tcPr>
            <w:tcW w:w="18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420" w:type="dxa"/>
            <w:vAlign w:val="bottom"/>
            <w:tcBorders>
              <w:top w:val="single" w:sz="8" w:color="EEEEEE"/>
            </w:tcBorders>
          </w:tcPr>
          <w:p>
            <w:pPr>
              <w:spacing w:after="0"/>
              <w:rPr>
                <w:sz w:val="2"/>
                <w:szCs w:val="2"/>
                <w:color w:val="auto"/>
              </w:rPr>
            </w:pPr>
          </w:p>
        </w:tc>
        <w:tc>
          <w:tcPr>
            <w:tcW w:w="180" w:type="dxa"/>
            <w:vAlign w:val="bottom"/>
            <w:tcBorders>
              <w:top w:val="single" w:sz="8" w:color="EEEEEE"/>
            </w:tcBorders>
          </w:tcPr>
          <w:p>
            <w:pPr>
              <w:spacing w:after="0"/>
              <w:rPr>
                <w:sz w:val="2"/>
                <w:szCs w:val="2"/>
                <w:color w:val="auto"/>
              </w:rPr>
            </w:pPr>
          </w:p>
        </w:tc>
        <w:tc>
          <w:tcPr>
            <w:tcW w:w="280" w:type="dxa"/>
            <w:vAlign w:val="bottom"/>
            <w:tcBorders>
              <w:top w:val="single" w:sz="8" w:color="EEEEEE"/>
            </w:tcBorders>
          </w:tcPr>
          <w:p>
            <w:pPr>
              <w:spacing w:after="0"/>
              <w:rPr>
                <w:sz w:val="2"/>
                <w:szCs w:val="2"/>
                <w:color w:val="auto"/>
              </w:rPr>
            </w:pPr>
          </w:p>
        </w:tc>
        <w:tc>
          <w:tcPr>
            <w:tcW w:w="10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vMerge w:val="continue"/>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17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vMerge w:val="continue"/>
          </w:tcPr>
          <w:p>
            <w:pPr>
              <w:spacing w:after="0"/>
              <w:rPr>
                <w:sz w:val="7"/>
                <w:szCs w:val="7"/>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color w:val="auto"/>
              </w:rPr>
              <w:t>below)</w:t>
            </w:r>
          </w:p>
        </w:tc>
        <w:tc>
          <w:tcPr>
            <w:tcW w:w="960" w:type="dxa"/>
            <w:vAlign w:val="bottom"/>
            <w:vMerge w:val="restart"/>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0" w:type="dxa"/>
            <w:vAlign w:val="bottom"/>
            <w:gridSpan w:val="5"/>
            <w:vMerge w:val="restart"/>
          </w:tcPr>
          <w:p>
            <w:pPr>
              <w:spacing w:after="0"/>
              <w:rPr>
                <w:sz w:val="20"/>
                <w:szCs w:val="20"/>
                <w:color w:val="auto"/>
              </w:rPr>
            </w:pPr>
            <w:r>
              <w:rPr>
                <w:rFonts w:ascii="Arial" w:cs="Arial" w:eastAsia="Arial" w:hAnsi="Arial"/>
                <w:sz w:val="14"/>
                <w:szCs w:val="14"/>
                <w:color w:val="auto"/>
                <w:w w:val="98"/>
              </w:rPr>
              <w:t>3. Date of Earliest Transaction (Month/Day/Year)</w:t>
            </w: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0" w:type="dxa"/>
            <w:vAlign w:val="bottom"/>
            <w:gridSpan w:val="5"/>
            <w:vMerge w:val="continue"/>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760" w:type="dxa"/>
            <w:vAlign w:val="bottom"/>
            <w:gridSpan w:val="2"/>
            <w:vMerge w:val="restart"/>
          </w:tcPr>
          <w:p>
            <w:pPr>
              <w:ind w:left="40"/>
              <w:spacing w:after="0"/>
              <w:rPr>
                <w:sz w:val="20"/>
                <w:szCs w:val="20"/>
                <w:color w:val="auto"/>
              </w:rPr>
            </w:pPr>
            <w:r>
              <w:rPr>
                <w:rFonts w:ascii="Arial" w:cs="Arial" w:eastAsia="Arial" w:hAnsi="Arial"/>
                <w:sz w:val="18"/>
                <w:szCs w:val="18"/>
                <w:color w:val="0000FF"/>
              </w:rPr>
              <w:t>Executive VP &amp; CFO</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0" w:type="dxa"/>
            <w:vAlign w:val="bottom"/>
            <w:gridSpan w:val="5"/>
            <w:vMerge w:val="continue"/>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60" w:type="dxa"/>
            <w:vAlign w:val="bottom"/>
            <w:gridSpan w:val="2"/>
            <w:vMerge w:val="continue"/>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333 CLAY ST., # 1600</w:t>
            </w: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20" w:type="dxa"/>
            <w:vAlign w:val="bottom"/>
            <w:gridSpan w:val="5"/>
            <w:vMerge w:val="restart"/>
          </w:tcPr>
          <w:p>
            <w:pPr>
              <w:ind w:left="160"/>
              <w:spacing w:after="0"/>
              <w:rPr>
                <w:sz w:val="20"/>
                <w:szCs w:val="20"/>
                <w:color w:val="auto"/>
              </w:rPr>
            </w:pPr>
            <w:r>
              <w:rPr>
                <w:rFonts w:ascii="Arial" w:cs="Arial" w:eastAsia="Arial" w:hAnsi="Arial"/>
                <w:sz w:val="18"/>
                <w:szCs w:val="18"/>
                <w:color w:val="0000FF"/>
              </w:rPr>
              <w:t>12/01/2016</w:t>
            </w: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760" w:type="dxa"/>
            <w:vAlign w:val="bottom"/>
            <w:gridSpan w:val="2"/>
            <w:vMerge w:val="continue"/>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40" w:type="dxa"/>
            <w:vAlign w:val="bottom"/>
            <w:gridSpan w:val="5"/>
            <w:vMerge w:val="continue"/>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20" w:type="dxa"/>
            <w:vAlign w:val="bottom"/>
            <w:gridSpan w:val="5"/>
            <w:vMerge w:val="continue"/>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680" w:type="dxa"/>
            <w:vAlign w:val="bottom"/>
            <w:tcBorders>
              <w:bottom w:val="single" w:sz="8" w:color="2C2C2C"/>
            </w:tcBorders>
            <w:gridSpan w:val="6"/>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3240" w:type="dxa"/>
            <w:vAlign w:val="bottom"/>
            <w:tcBorders>
              <w:bottom w:val="single" w:sz="8" w:color="2C2C2C"/>
            </w:tcBorders>
            <w:gridSpan w:val="5"/>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680" w:type="dxa"/>
            <w:vAlign w:val="bottom"/>
            <w:gridSpan w:val="6"/>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3360" w:type="dxa"/>
            <w:vAlign w:val="bottom"/>
            <w:gridSpan w:val="7"/>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680" w:type="dxa"/>
            <w:vAlign w:val="bottom"/>
            <w:gridSpan w:val="6"/>
            <w:vMerge w:val="continue"/>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33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gridSpan w:val="2"/>
          </w:tcPr>
          <w:p>
            <w:pPr>
              <w:spacing w:after="0"/>
              <w:rPr>
                <w:sz w:val="20"/>
                <w:szCs w:val="20"/>
                <w:color w:val="auto"/>
              </w:rPr>
            </w:pPr>
            <w:r>
              <w:rPr>
                <w:rFonts w:ascii="Arial" w:cs="Arial" w:eastAsia="Arial" w:hAnsi="Arial"/>
                <w:sz w:val="14"/>
                <w:szCs w:val="14"/>
                <w:color w:val="auto"/>
              </w:rPr>
              <w:t>Line)</w:t>
            </w: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3"/>
          </w:tcPr>
          <w:p>
            <w:pPr>
              <w:spacing w:after="0"/>
              <w:rPr>
                <w:sz w:val="20"/>
                <w:szCs w:val="20"/>
                <w:color w:val="auto"/>
              </w:rPr>
            </w:pPr>
            <w:r>
              <w:rPr>
                <w:rFonts w:ascii="Arial" w:cs="Arial" w:eastAsia="Arial" w:hAnsi="Arial"/>
                <w:sz w:val="18"/>
                <w:szCs w:val="18"/>
                <w:color w:val="0000FF"/>
              </w:rPr>
              <w:t>HOUSTON</w:t>
            </w:r>
          </w:p>
        </w:tc>
        <w:tc>
          <w:tcPr>
            <w:tcW w:w="280" w:type="dxa"/>
            <w:vAlign w:val="bottom"/>
          </w:tcPr>
          <w:p>
            <w:pPr>
              <w:ind w:left="40"/>
              <w:spacing w:after="0"/>
              <w:rPr>
                <w:sz w:val="20"/>
                <w:szCs w:val="20"/>
                <w:color w:val="auto"/>
              </w:rPr>
            </w:pPr>
            <w:r>
              <w:rPr>
                <w:rFonts w:ascii="Arial" w:cs="Arial" w:eastAsia="Arial" w:hAnsi="Arial"/>
                <w:sz w:val="18"/>
                <w:szCs w:val="18"/>
                <w:color w:val="0000FF"/>
                <w:w w:val="95"/>
              </w:rPr>
              <w:t>TX</w:t>
            </w:r>
          </w:p>
        </w:tc>
        <w:tc>
          <w:tcPr>
            <w:tcW w:w="102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77002</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940" w:type="dxa"/>
            <w:vAlign w:val="bottom"/>
            <w:gridSpan w:val="5"/>
          </w:tcPr>
          <w:p>
            <w:pPr>
              <w:ind w:left="14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720" w:type="dxa"/>
            <w:vAlign w:val="bottom"/>
            <w:tcBorders>
              <w:bottom w:val="single" w:sz="8" w:color="2C2C2C"/>
            </w:tcBorders>
            <w:gridSpan w:val="7"/>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8"/>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36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5"/>
          </w:tcPr>
          <w:p>
            <w:pPr>
              <w:ind w:left="6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7"/>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5"/>
          </w:tcPr>
          <w:p>
            <w:pPr>
              <w:ind w:left="68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5"/>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5"/>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Common Units</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ind w:left="780"/>
              <w:spacing w:after="0"/>
              <w:rPr>
                <w:sz w:val="20"/>
                <w:szCs w:val="20"/>
                <w:color w:val="auto"/>
              </w:rPr>
            </w:pPr>
            <w:r>
              <w:rPr>
                <w:rFonts w:ascii="Arial" w:cs="Arial" w:eastAsia="Arial" w:hAnsi="Arial"/>
                <w:sz w:val="18"/>
                <w:szCs w:val="18"/>
                <w:color w:val="0000FF"/>
              </w:rPr>
              <w:t>12/01/2016</w:t>
            </w:r>
          </w:p>
        </w:tc>
        <w:tc>
          <w:tcPr>
            <w:tcW w:w="2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94"/>
              </w:rPr>
              <w:t>43,551</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gridSpan w:val="5"/>
          </w:tcPr>
          <w:p>
            <w:pPr>
              <w:ind w:left="2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32.36</w:t>
            </w:r>
            <w:r>
              <w:rPr>
                <w:rFonts w:ascii="Arial" w:cs="Arial" w:eastAsia="Arial" w:hAnsi="Arial"/>
                <w:sz w:val="22"/>
                <w:szCs w:val="22"/>
                <w:color w:val="008000"/>
                <w:w w:val="93"/>
                <w:vertAlign w:val="superscript"/>
              </w:rPr>
              <w:t>(1)</w:t>
            </w:r>
          </w:p>
        </w:tc>
        <w:tc>
          <w:tcPr>
            <w:tcW w:w="122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122,447</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Common Units</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ind w:left="780"/>
              <w:spacing w:after="0"/>
              <w:rPr>
                <w:sz w:val="20"/>
                <w:szCs w:val="20"/>
                <w:color w:val="auto"/>
              </w:rPr>
            </w:pPr>
            <w:r>
              <w:rPr>
                <w:rFonts w:ascii="Arial" w:cs="Arial" w:eastAsia="Arial" w:hAnsi="Arial"/>
                <w:sz w:val="18"/>
                <w:szCs w:val="18"/>
                <w:color w:val="0000FF"/>
              </w:rPr>
              <w:t>12/01/2016</w:t>
            </w:r>
          </w:p>
        </w:tc>
        <w:tc>
          <w:tcPr>
            <w:tcW w:w="2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94"/>
              </w:rPr>
              <w:t>21,449</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gridSpan w:val="5"/>
          </w:tcPr>
          <w:p>
            <w:pPr>
              <w:ind w:left="2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33.48</w:t>
            </w:r>
            <w:r>
              <w:rPr>
                <w:rFonts w:ascii="Arial" w:cs="Arial" w:eastAsia="Arial" w:hAnsi="Arial"/>
                <w:sz w:val="22"/>
                <w:szCs w:val="22"/>
                <w:color w:val="008000"/>
                <w:w w:val="93"/>
                <w:vertAlign w:val="superscript"/>
              </w:rPr>
              <w:t>(2)</w:t>
            </w:r>
          </w:p>
        </w:tc>
        <w:tc>
          <w:tcPr>
            <w:tcW w:w="122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100,998</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42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7"/>
          </w:tcPr>
          <w:p>
            <w:pPr>
              <w:jc w:val="center"/>
              <w:ind w:left="8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5"/>
          </w:tcPr>
          <w:p>
            <w:pPr>
              <w:jc w:val="center"/>
              <w:ind w:left="23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6"/>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42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gridSpan w:val="4"/>
          </w:tcPr>
          <w:p>
            <w:pPr>
              <w:ind w:left="50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4"/>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6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980" w:type="dxa"/>
            <w:vAlign w:val="bottom"/>
            <w:gridSpan w:val="4"/>
          </w:tcPr>
          <w:p>
            <w:pPr>
              <w:ind w:left="40"/>
              <w:spacing w:after="0"/>
              <w:rPr>
                <w:sz w:val="20"/>
                <w:szCs w:val="20"/>
                <w:color w:val="auto"/>
              </w:rPr>
            </w:pPr>
            <w:r>
              <w:rPr>
                <w:rFonts w:ascii="Arial" w:cs="Arial" w:eastAsia="Arial" w:hAnsi="Arial"/>
                <w:sz w:val="12"/>
                <w:szCs w:val="12"/>
                <w:b w:val="1"/>
                <w:bCs w:val="1"/>
                <w:color w:val="auto"/>
              </w:rPr>
              <w:t>Title   Shares</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in column 4 is a weighted average price. The units were sold in multiple transactions at prices ranging from $32.30 to $32.435. The Reporting Person undertakes to provide to the SEC staff, the Issuer or any unitholder of the Issuer, upon request, full information regarding the number of units sold at each separate price.</w:t>
      </w:r>
    </w:p>
    <w:p>
      <w:pPr>
        <w:spacing w:after="0" w:line="30" w:lineRule="exact"/>
        <w:rPr>
          <w:rFonts w:ascii="Arial" w:cs="Arial" w:eastAsia="Arial" w:hAnsi="Arial"/>
          <w:sz w:val="14"/>
          <w:szCs w:val="14"/>
          <w:color w:val="008000"/>
        </w:rPr>
      </w:pPr>
    </w:p>
    <w:p>
      <w:pPr>
        <w:ind w:left="40" w:right="3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in column 4 is a weighted average price. The units were sold in multiple transactions at prices ranging from $33.01 to $33.66. The Reporting Person undertakes to provide to the SEC staff, the Issuer or any unitholder of the Issuer, upon request, full information regarding the number of units sold at each separate price.</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080" w:type="dxa"/>
            <w:vAlign w:val="bottom"/>
          </w:tcPr>
          <w:p>
            <w:pPr>
              <w:spacing w:after="0"/>
              <w:rPr>
                <w:sz w:val="20"/>
                <w:szCs w:val="20"/>
                <w:color w:val="auto"/>
              </w:rPr>
            </w:pPr>
            <w:r>
              <w:rPr>
                <w:rFonts w:ascii="Arial" w:cs="Arial" w:eastAsia="Arial" w:hAnsi="Arial"/>
                <w:sz w:val="18"/>
                <w:szCs w:val="18"/>
                <w:color w:val="0000FF"/>
                <w:w w:val="88"/>
              </w:rPr>
              <w:t>/s/ Al Swanson</w:t>
            </w:r>
          </w:p>
        </w:tc>
        <w:tc>
          <w:tcPr>
            <w:tcW w:w="104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12/05/2016</w:t>
            </w:r>
          </w:p>
        </w:tc>
      </w:tr>
      <w:tr>
        <w:trPr>
          <w:trHeight w:val="20"/>
        </w:trPr>
        <w:tc>
          <w:tcPr>
            <w:tcW w:w="108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92270" TargetMode="External"/><Relationship Id="rId13" Type="http://schemas.openxmlformats.org/officeDocument/2006/relationships/hyperlink" Target="http://www.sec.gov/cgi-bin/browse-edgar?action=getcompany&amp;CIK=00010704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2020-01-19T10:21:48Z</dcterms:created>
  <dcterms:modified xsi:type="dcterms:W3CDTF">2020-01-19T10:21:48Z</dcterms:modified>
</cp:coreProperties>
</file>